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F" w:rsidRPr="00991A9E" w:rsidRDefault="00214E6F" w:rsidP="00214E6F">
      <w:pPr>
        <w:pStyle w:val="Nadpis2"/>
      </w:pPr>
      <w:bookmarkStart w:id="0" w:name="_3.2._Výdaje_domácností"/>
      <w:bookmarkStart w:id="1" w:name="_Toc127174559"/>
      <w:bookmarkStart w:id="2" w:name="_Toc127757331"/>
      <w:bookmarkStart w:id="3" w:name="_Toc127758621"/>
      <w:bookmarkStart w:id="4" w:name="_Toc130184766"/>
      <w:bookmarkStart w:id="5" w:name="_Toc256065142"/>
      <w:bookmarkStart w:id="6" w:name="_Toc481748792"/>
      <w:bookmarkEnd w:id="0"/>
      <w:r w:rsidRPr="00991A9E">
        <w:t>3.2. Výdaje domácností na zdravotní péči</w:t>
      </w:r>
      <w:bookmarkEnd w:id="1"/>
      <w:bookmarkEnd w:id="2"/>
      <w:bookmarkEnd w:id="3"/>
      <w:bookmarkEnd w:id="4"/>
      <w:bookmarkEnd w:id="5"/>
      <w:bookmarkEnd w:id="6"/>
    </w:p>
    <w:p w:rsidR="00214E6F" w:rsidRPr="00991A9E" w:rsidRDefault="00214E6F" w:rsidP="00214E6F">
      <w:pPr>
        <w:keepNext/>
        <w:spacing w:before="120"/>
        <w:jc w:val="both"/>
        <w:rPr>
          <w:rFonts w:cs="Arial"/>
          <w:color w:val="000000"/>
          <w:szCs w:val="20"/>
        </w:rPr>
      </w:pPr>
      <w:r w:rsidRPr="00991A9E">
        <w:rPr>
          <w:rFonts w:cs="Arial"/>
          <w:color w:val="000000"/>
          <w:szCs w:val="20"/>
        </w:rPr>
        <w:t xml:space="preserve">Následující kapitola přináší přehled </w:t>
      </w:r>
      <w:r w:rsidRPr="00991A9E">
        <w:rPr>
          <w:rFonts w:cs="Arial"/>
          <w:b/>
          <w:color w:val="000000"/>
          <w:szCs w:val="20"/>
        </w:rPr>
        <w:t>základních údajů o celkových výdajích domácností na zdravotní péči</w:t>
      </w:r>
      <w:r w:rsidRPr="00991A9E">
        <w:rPr>
          <w:rFonts w:cs="Arial"/>
          <w:color w:val="000000"/>
          <w:szCs w:val="20"/>
        </w:rPr>
        <w:t xml:space="preserve"> za uplynulých </w:t>
      </w:r>
      <w:r>
        <w:rPr>
          <w:rFonts w:cs="Arial"/>
          <w:color w:val="000000"/>
          <w:szCs w:val="20"/>
        </w:rPr>
        <w:t>sedm</w:t>
      </w:r>
      <w:r w:rsidRPr="00991A9E">
        <w:rPr>
          <w:rFonts w:cs="Arial"/>
          <w:color w:val="000000"/>
          <w:szCs w:val="20"/>
        </w:rPr>
        <w:t xml:space="preserve"> let. Více pozornosti je věnováno výdajům </w:t>
      </w:r>
      <w:r w:rsidRPr="00991A9E">
        <w:rPr>
          <w:rFonts w:cs="Arial"/>
          <w:b/>
          <w:color w:val="000000"/>
          <w:szCs w:val="20"/>
        </w:rPr>
        <w:t>na léky</w:t>
      </w:r>
      <w:r w:rsidRPr="00991A9E">
        <w:rPr>
          <w:rFonts w:cs="Arial"/>
          <w:color w:val="000000"/>
          <w:szCs w:val="20"/>
        </w:rPr>
        <w:t xml:space="preserve">, které patří k nejnákladnějším položkám českých domácností. Zaměříme se rovněž na informace o výdajích domácností </w:t>
      </w:r>
      <w:r w:rsidRPr="00991A9E">
        <w:rPr>
          <w:rFonts w:cs="Arial"/>
          <w:b/>
          <w:color w:val="000000"/>
          <w:szCs w:val="20"/>
        </w:rPr>
        <w:t xml:space="preserve">na jednotlivé druhy zdravotní péče </w:t>
      </w:r>
      <w:r w:rsidRPr="00991A9E">
        <w:rPr>
          <w:rFonts w:cs="Arial"/>
          <w:color w:val="000000"/>
          <w:szCs w:val="20"/>
        </w:rPr>
        <w:t xml:space="preserve">a připomeneme si </w:t>
      </w:r>
      <w:r w:rsidRPr="00991A9E">
        <w:rPr>
          <w:rFonts w:cs="Arial"/>
          <w:b/>
          <w:color w:val="000000"/>
          <w:szCs w:val="20"/>
        </w:rPr>
        <w:t>vývoj regulačních poplatků</w:t>
      </w:r>
      <w:r w:rsidRPr="00991A9E">
        <w:rPr>
          <w:rFonts w:cs="Arial"/>
          <w:color w:val="000000"/>
          <w:szCs w:val="20"/>
        </w:rPr>
        <w:t xml:space="preserve"> od jejich počátku do současné doby.</w:t>
      </w:r>
    </w:p>
    <w:p w:rsidR="00214E6F" w:rsidRPr="00991A9E" w:rsidRDefault="00214E6F" w:rsidP="00214E6F">
      <w:pPr>
        <w:pStyle w:val="Nadpis3"/>
      </w:pPr>
      <w:bookmarkStart w:id="7" w:name="_Toc481748793"/>
      <w:r w:rsidRPr="00991A9E">
        <w:t xml:space="preserve">3.2.1. </w:t>
      </w:r>
      <w:bookmarkEnd w:id="7"/>
      <w:r>
        <w:t>Celkové výdaje domácností</w:t>
      </w:r>
    </w:p>
    <w:p w:rsidR="00774CA3" w:rsidRPr="00C51E92" w:rsidRDefault="004117C8" w:rsidP="00214E6F">
      <w:pPr>
        <w:keepNext/>
        <w:spacing w:before="120"/>
        <w:jc w:val="both"/>
        <w:rPr>
          <w:szCs w:val="17"/>
        </w:rPr>
      </w:pPr>
      <w:r w:rsidRPr="00C51E92">
        <w:rPr>
          <w:szCs w:val="17"/>
        </w:rPr>
        <w:t>V roce 2016 přesáhly v Česku poprvé v historii výdaje domácností na zdravotní péči hranici 50 miliard Kč</w:t>
      </w:r>
      <w:r w:rsidR="004E3E1A" w:rsidRPr="00C51E92">
        <w:rPr>
          <w:szCs w:val="17"/>
        </w:rPr>
        <w:t xml:space="preserve"> – na své </w:t>
      </w:r>
      <w:r w:rsidR="00774CA3" w:rsidRPr="00C51E92">
        <w:rPr>
          <w:rFonts w:cs="Arial"/>
          <w:color w:val="000000"/>
          <w:szCs w:val="20"/>
        </w:rPr>
        <w:t xml:space="preserve">zdraví </w:t>
      </w:r>
      <w:r w:rsidR="004E3E1A" w:rsidRPr="00C51E92">
        <w:rPr>
          <w:rFonts w:cs="Arial"/>
          <w:color w:val="000000"/>
          <w:szCs w:val="20"/>
        </w:rPr>
        <w:t xml:space="preserve">vynaložily </w:t>
      </w:r>
      <w:r w:rsidR="00774CA3" w:rsidRPr="00C51E92">
        <w:rPr>
          <w:rFonts w:cs="Arial"/>
          <w:color w:val="000000"/>
          <w:szCs w:val="20"/>
        </w:rPr>
        <w:t>celkem</w:t>
      </w:r>
      <w:r w:rsidR="00774CA3" w:rsidRPr="00C51E92">
        <w:rPr>
          <w:rFonts w:cs="Arial"/>
          <w:b/>
          <w:color w:val="000000"/>
          <w:szCs w:val="20"/>
        </w:rPr>
        <w:t xml:space="preserve"> </w:t>
      </w:r>
      <w:r w:rsidR="00214E6F" w:rsidRPr="00C51E92">
        <w:rPr>
          <w:szCs w:val="17"/>
        </w:rPr>
        <w:t>51</w:t>
      </w:r>
      <w:r w:rsidR="00EB7DA1" w:rsidRPr="00C51E92">
        <w:rPr>
          <w:szCs w:val="17"/>
        </w:rPr>
        <w:t>,</w:t>
      </w:r>
      <w:r w:rsidR="00214E6F" w:rsidRPr="00C51E92">
        <w:rPr>
          <w:szCs w:val="17"/>
        </w:rPr>
        <w:t>2 ml</w:t>
      </w:r>
      <w:r w:rsidR="00EB7DA1" w:rsidRPr="00C51E92">
        <w:rPr>
          <w:szCs w:val="17"/>
        </w:rPr>
        <w:t>d</w:t>
      </w:r>
      <w:r w:rsidR="00214E6F" w:rsidRPr="00C51E92">
        <w:rPr>
          <w:szCs w:val="17"/>
        </w:rPr>
        <w:t>. Kč</w:t>
      </w:r>
      <w:r w:rsidR="00214E6F" w:rsidRPr="00C51E92">
        <w:rPr>
          <w:rFonts w:cs="Arial"/>
          <w:color w:val="000000"/>
          <w:szCs w:val="20"/>
        </w:rPr>
        <w:t xml:space="preserve">, tedy 14,2 % z celkových výdajů na zdravotní péči v České republice. </w:t>
      </w:r>
      <w:r w:rsidR="00EB7DA1" w:rsidRPr="00C51E92">
        <w:rPr>
          <w:szCs w:val="17"/>
        </w:rPr>
        <w:t>V posledních třech letech pozorujeme nárůst výdajů domácností na zdravotní péči</w:t>
      </w:r>
      <w:r w:rsidR="004E3E1A" w:rsidRPr="00C51E92">
        <w:rPr>
          <w:szCs w:val="17"/>
        </w:rPr>
        <w:t xml:space="preserve"> o téměř pětinu (18 %)</w:t>
      </w:r>
      <w:r w:rsidR="00EB7DA1" w:rsidRPr="00C51E92">
        <w:rPr>
          <w:szCs w:val="17"/>
        </w:rPr>
        <w:t xml:space="preserve">, a </w:t>
      </w:r>
      <w:r w:rsidR="00774CA3" w:rsidRPr="00C51E92">
        <w:rPr>
          <w:szCs w:val="17"/>
        </w:rPr>
        <w:t>to ze 43,5</w:t>
      </w:r>
      <w:r w:rsidR="00EB7DA1" w:rsidRPr="00C51E92">
        <w:rPr>
          <w:szCs w:val="17"/>
        </w:rPr>
        <w:t xml:space="preserve"> mld. Kč v roce 2013 na výše uvedených 51,2 mld. Kč v roce 2016. </w:t>
      </w:r>
      <w:r w:rsidR="004E3E1A" w:rsidRPr="00C51E92">
        <w:rPr>
          <w:szCs w:val="17"/>
        </w:rPr>
        <w:t>Za celé sledované období let 2010 až 2016 pak zaplatily české domácnosti z vlastních prostředků za zdravotní péči nad rámec veřejného zdravotního pojištění celkem 322 mld. Kč s průměrným ročním tempem růstu 3,1 %.</w:t>
      </w:r>
    </w:p>
    <w:p w:rsidR="00EB7DA1" w:rsidRPr="00C51E92" w:rsidRDefault="00EB7DA1" w:rsidP="00EB7DA1">
      <w:pPr>
        <w:keepNext/>
        <w:spacing w:before="120"/>
        <w:jc w:val="both"/>
        <w:rPr>
          <w:rFonts w:eastAsia="MS Gothic"/>
          <w:bCs/>
          <w:color w:val="000000" w:themeColor="text1"/>
          <w:szCs w:val="20"/>
        </w:rPr>
      </w:pPr>
      <w:r w:rsidRPr="00C51E92">
        <w:rPr>
          <w:rFonts w:eastAsia="MS Gothic"/>
          <w:bCs/>
          <w:color w:val="000000" w:themeColor="text1"/>
          <w:szCs w:val="20"/>
        </w:rPr>
        <w:t>Nejvýraznější zastoupení domácnost</w:t>
      </w:r>
      <w:r w:rsidR="00323231" w:rsidRPr="00C51E92">
        <w:rPr>
          <w:rFonts w:eastAsia="MS Gothic"/>
          <w:bCs/>
          <w:color w:val="000000" w:themeColor="text1"/>
          <w:szCs w:val="20"/>
        </w:rPr>
        <w:t>í</w:t>
      </w:r>
      <w:r w:rsidRPr="00C51E92">
        <w:rPr>
          <w:rFonts w:eastAsia="MS Gothic"/>
          <w:bCs/>
          <w:color w:val="000000" w:themeColor="text1"/>
          <w:szCs w:val="20"/>
        </w:rPr>
        <w:t xml:space="preserve"> ve financování zdravotní péče měli ze zemí EU v  roce 2015 v</w:t>
      </w:r>
      <w:r w:rsidR="00774CA3" w:rsidRPr="00C51E92">
        <w:rPr>
          <w:rFonts w:eastAsia="MS Gothic"/>
          <w:bCs/>
          <w:color w:val="000000" w:themeColor="text1"/>
          <w:szCs w:val="20"/>
        </w:rPr>
        <w:t xml:space="preserve"> Bulharsku (48 %), v </w:t>
      </w:r>
      <w:r w:rsidRPr="00C51E92">
        <w:rPr>
          <w:rFonts w:eastAsia="MS Gothic"/>
          <w:bCs/>
          <w:color w:val="000000" w:themeColor="text1"/>
          <w:szCs w:val="20"/>
        </w:rPr>
        <w:t>Lotyšsku (41</w:t>
      </w:r>
      <w:r w:rsidR="00774CA3" w:rsidRPr="00C51E92">
        <w:rPr>
          <w:rFonts w:eastAsia="MS Gothic"/>
          <w:bCs/>
          <w:color w:val="000000" w:themeColor="text1"/>
          <w:szCs w:val="20"/>
        </w:rPr>
        <w:t> </w:t>
      </w:r>
      <w:r w:rsidRPr="00C51E92">
        <w:rPr>
          <w:rFonts w:eastAsia="MS Gothic"/>
          <w:bCs/>
          <w:color w:val="000000" w:themeColor="text1"/>
          <w:szCs w:val="20"/>
        </w:rPr>
        <w:t>%) a v Řecku (35</w:t>
      </w:r>
      <w:r w:rsidR="00774CA3" w:rsidRPr="00C51E92">
        <w:rPr>
          <w:rFonts w:eastAsia="MS Gothic"/>
          <w:bCs/>
          <w:color w:val="000000" w:themeColor="text1"/>
          <w:szCs w:val="20"/>
        </w:rPr>
        <w:t> </w:t>
      </w:r>
      <w:r w:rsidRPr="00C51E92">
        <w:rPr>
          <w:rFonts w:eastAsia="MS Gothic"/>
          <w:bCs/>
          <w:color w:val="000000" w:themeColor="text1"/>
          <w:szCs w:val="20"/>
        </w:rPr>
        <w:t>%), oproti tomu nejmenší ve Francii (7</w:t>
      </w:r>
      <w:r w:rsidR="00774CA3" w:rsidRPr="00C51E92">
        <w:rPr>
          <w:rFonts w:eastAsia="MS Gothic"/>
        </w:rPr>
        <w:t> </w:t>
      </w:r>
      <w:r w:rsidRPr="00C51E92">
        <w:rPr>
          <w:rFonts w:eastAsia="MS Gothic"/>
          <w:bCs/>
          <w:color w:val="000000" w:themeColor="text1"/>
          <w:szCs w:val="20"/>
        </w:rPr>
        <w:t xml:space="preserve">%). </w:t>
      </w:r>
      <w:r w:rsidRPr="00C51E92">
        <w:rPr>
          <w:rFonts w:eastAsia="MS Gothic"/>
          <w:b/>
          <w:bCs/>
          <w:color w:val="000000" w:themeColor="text1"/>
          <w:szCs w:val="20"/>
        </w:rPr>
        <w:t>Průměr zemí OECD</w:t>
      </w:r>
      <w:r w:rsidRPr="00C51E92">
        <w:rPr>
          <w:rFonts w:eastAsia="MS Gothic"/>
          <w:bCs/>
          <w:color w:val="000000" w:themeColor="text1"/>
          <w:szCs w:val="20"/>
        </w:rPr>
        <w:t xml:space="preserve"> představoval 20</w:t>
      </w:r>
      <w:r w:rsidR="00774CA3" w:rsidRPr="00C51E92">
        <w:rPr>
          <w:rFonts w:eastAsia="MS Gothic"/>
          <w:bCs/>
          <w:color w:val="000000" w:themeColor="text1"/>
          <w:szCs w:val="20"/>
        </w:rPr>
        <w:t> </w:t>
      </w:r>
      <w:r w:rsidRPr="00C51E92">
        <w:rPr>
          <w:rFonts w:eastAsia="MS Gothic"/>
          <w:bCs/>
          <w:color w:val="000000" w:themeColor="text1"/>
          <w:szCs w:val="20"/>
        </w:rPr>
        <w:t>%. Přímé platby domácnosti se v České republice v uvedeném roce podílely z 1</w:t>
      </w:r>
      <w:r w:rsidR="00774CA3" w:rsidRPr="00C51E92">
        <w:rPr>
          <w:rFonts w:eastAsia="MS Gothic"/>
          <w:bCs/>
          <w:color w:val="000000" w:themeColor="text1"/>
          <w:szCs w:val="20"/>
        </w:rPr>
        <w:t>3</w:t>
      </w:r>
      <w:r w:rsidRPr="00C51E92">
        <w:rPr>
          <w:rFonts w:eastAsia="MS Gothic"/>
          <w:bCs/>
          <w:color w:val="000000" w:themeColor="text1"/>
          <w:szCs w:val="20"/>
        </w:rPr>
        <w:t xml:space="preserve"> % na financování zdravotní péče, tj. podobně jako </w:t>
      </w:r>
      <w:r w:rsidR="00774CA3" w:rsidRPr="00C51E92">
        <w:rPr>
          <w:rFonts w:eastAsia="MS Gothic"/>
          <w:bCs/>
          <w:color w:val="000000" w:themeColor="text1"/>
          <w:szCs w:val="20"/>
        </w:rPr>
        <w:t xml:space="preserve">např. ve </w:t>
      </w:r>
      <w:r w:rsidRPr="00C51E92">
        <w:rPr>
          <w:rFonts w:eastAsia="MS Gothic"/>
          <w:bCs/>
          <w:color w:val="000000" w:themeColor="text1"/>
          <w:szCs w:val="20"/>
        </w:rPr>
        <w:t>skandinávsk</w:t>
      </w:r>
      <w:r w:rsidR="00774CA3" w:rsidRPr="00C51E92">
        <w:rPr>
          <w:rFonts w:eastAsia="MS Gothic"/>
          <w:bCs/>
          <w:color w:val="000000" w:themeColor="text1"/>
          <w:szCs w:val="20"/>
        </w:rPr>
        <w:t xml:space="preserve">ých </w:t>
      </w:r>
      <w:r w:rsidRPr="00C51E92">
        <w:rPr>
          <w:rFonts w:eastAsia="MS Gothic"/>
          <w:bCs/>
          <w:color w:val="000000" w:themeColor="text1"/>
          <w:szCs w:val="20"/>
        </w:rPr>
        <w:t>zem</w:t>
      </w:r>
      <w:r w:rsidR="00774CA3" w:rsidRPr="00C51E92">
        <w:rPr>
          <w:rFonts w:eastAsia="MS Gothic"/>
          <w:bCs/>
          <w:color w:val="000000" w:themeColor="text1"/>
          <w:szCs w:val="20"/>
        </w:rPr>
        <w:t>ích</w:t>
      </w:r>
      <w:r w:rsidRPr="00C51E92">
        <w:rPr>
          <w:rFonts w:eastAsia="MS Gothic"/>
          <w:bCs/>
          <w:color w:val="000000" w:themeColor="text1"/>
          <w:szCs w:val="20"/>
        </w:rPr>
        <w:t xml:space="preserve"> (Norsko, Švédsko a Dánsko)</w:t>
      </w:r>
      <w:r w:rsidR="00774CA3" w:rsidRPr="00C51E92">
        <w:rPr>
          <w:rFonts w:eastAsia="MS Gothic"/>
          <w:bCs/>
          <w:color w:val="000000" w:themeColor="text1"/>
          <w:szCs w:val="20"/>
        </w:rPr>
        <w:t xml:space="preserve"> či</w:t>
      </w:r>
      <w:r w:rsidR="004117C8" w:rsidRPr="00C51E92">
        <w:rPr>
          <w:rFonts w:eastAsia="MS Gothic"/>
          <w:bCs/>
          <w:color w:val="000000" w:themeColor="text1"/>
          <w:szCs w:val="20"/>
        </w:rPr>
        <w:t xml:space="preserve"> u naš</w:t>
      </w:r>
      <w:r w:rsidR="004E3E1A" w:rsidRPr="00C51E92">
        <w:rPr>
          <w:rFonts w:eastAsia="MS Gothic"/>
          <w:bCs/>
          <w:color w:val="000000" w:themeColor="text1"/>
          <w:szCs w:val="20"/>
        </w:rPr>
        <w:t xml:space="preserve">eho </w:t>
      </w:r>
      <w:r w:rsidR="004117C8" w:rsidRPr="00C51E92">
        <w:rPr>
          <w:rFonts w:eastAsia="MS Gothic"/>
          <w:bCs/>
          <w:color w:val="000000" w:themeColor="text1"/>
          <w:szCs w:val="20"/>
        </w:rPr>
        <w:t>soused</w:t>
      </w:r>
      <w:r w:rsidR="004E3E1A" w:rsidRPr="00C51E92">
        <w:rPr>
          <w:rFonts w:eastAsia="MS Gothic"/>
          <w:bCs/>
          <w:color w:val="000000" w:themeColor="text1"/>
          <w:szCs w:val="20"/>
        </w:rPr>
        <w:t>a</w:t>
      </w:r>
      <w:r w:rsidR="004117C8" w:rsidRPr="00C51E92">
        <w:rPr>
          <w:rFonts w:eastAsia="MS Gothic"/>
          <w:bCs/>
          <w:color w:val="000000" w:themeColor="text1"/>
          <w:szCs w:val="20"/>
        </w:rPr>
        <w:t xml:space="preserve"> v Německu</w:t>
      </w:r>
      <w:r w:rsidRPr="00C51E92">
        <w:rPr>
          <w:rFonts w:eastAsia="MS Gothic"/>
          <w:bCs/>
          <w:color w:val="000000" w:themeColor="text1"/>
          <w:szCs w:val="20"/>
        </w:rPr>
        <w:t>.</w:t>
      </w:r>
      <w:r w:rsidR="004E3E1A" w:rsidRPr="00C51E92">
        <w:rPr>
          <w:rFonts w:eastAsia="MS Gothic"/>
          <w:bCs/>
          <w:color w:val="000000" w:themeColor="text1"/>
          <w:szCs w:val="20"/>
        </w:rPr>
        <w:t xml:space="preserve"> V Rakousko a na Slovensku se tento podíl (18 ˇ%) blížil výše zmíněnému průměru za země OECD a v Polsku dosáhl hodnoty 23 %.</w:t>
      </w:r>
    </w:p>
    <w:p w:rsidR="00214E6F" w:rsidRPr="00991A9E" w:rsidRDefault="004117C8" w:rsidP="00214E6F">
      <w:pPr>
        <w:keepNext/>
        <w:spacing w:before="120"/>
        <w:jc w:val="both"/>
        <w:rPr>
          <w:szCs w:val="17"/>
        </w:rPr>
      </w:pPr>
      <w:r w:rsidRPr="00C51E92">
        <w:rPr>
          <w:rFonts w:cs="Arial"/>
          <w:color w:val="000000"/>
          <w:szCs w:val="20"/>
        </w:rPr>
        <w:t xml:space="preserve">V roce 2016 </w:t>
      </w:r>
      <w:r w:rsidR="004E3E1A" w:rsidRPr="00C51E92">
        <w:rPr>
          <w:rFonts w:cs="Arial"/>
          <w:color w:val="000000"/>
          <w:szCs w:val="20"/>
        </w:rPr>
        <w:t xml:space="preserve">představovala </w:t>
      </w:r>
      <w:r w:rsidRPr="00C51E92">
        <w:rPr>
          <w:rFonts w:cs="Arial"/>
          <w:color w:val="000000"/>
          <w:szCs w:val="20"/>
        </w:rPr>
        <w:t>výše u</w:t>
      </w:r>
      <w:r w:rsidR="00214E6F" w:rsidRPr="00C51E92">
        <w:rPr>
          <w:rFonts w:cs="Arial"/>
          <w:color w:val="000000"/>
          <w:szCs w:val="20"/>
        </w:rPr>
        <w:t xml:space="preserve">vedená částka </w:t>
      </w:r>
      <w:r w:rsidRPr="00C51E92">
        <w:rPr>
          <w:rFonts w:cs="Arial"/>
          <w:color w:val="000000"/>
          <w:szCs w:val="20"/>
        </w:rPr>
        <w:t xml:space="preserve">51,2 mld. Kč výdajů domácností na zdravotní péče </w:t>
      </w:r>
      <w:r w:rsidR="00214E6F" w:rsidRPr="00C51E92">
        <w:rPr>
          <w:szCs w:val="17"/>
        </w:rPr>
        <w:t>2</w:t>
      </w:r>
      <w:r w:rsidRPr="00C51E92">
        <w:rPr>
          <w:szCs w:val="17"/>
        </w:rPr>
        <w:t>,31</w:t>
      </w:r>
      <w:r w:rsidR="00214E6F" w:rsidRPr="00C51E92">
        <w:rPr>
          <w:szCs w:val="17"/>
        </w:rPr>
        <w:t xml:space="preserve"> % </w:t>
      </w:r>
      <w:r w:rsidR="00214E6F" w:rsidRPr="00C51E92">
        <w:rPr>
          <w:b/>
          <w:szCs w:val="17"/>
        </w:rPr>
        <w:t>z celkových výdajů domácností</w:t>
      </w:r>
      <w:r w:rsidRPr="00C51E92">
        <w:rPr>
          <w:szCs w:val="17"/>
        </w:rPr>
        <w:t xml:space="preserve"> – pro zajímavost před deseti lety to bylo 1,77 %</w:t>
      </w:r>
      <w:r w:rsidR="00214E6F" w:rsidRPr="00C51E92">
        <w:rPr>
          <w:szCs w:val="17"/>
        </w:rPr>
        <w:t xml:space="preserve">. Pokud bychom vztáhly přímé výdaje domácností na zdravotní péči </w:t>
      </w:r>
      <w:r w:rsidR="00214E6F" w:rsidRPr="00C51E92">
        <w:rPr>
          <w:b/>
          <w:szCs w:val="17"/>
        </w:rPr>
        <w:t>na jednoho obyvatele</w:t>
      </w:r>
      <w:r w:rsidR="00214E6F" w:rsidRPr="00C51E92">
        <w:rPr>
          <w:szCs w:val="17"/>
        </w:rPr>
        <w:t>, dosáhly bychom v roce 2016 hodnoty 4,</w:t>
      </w:r>
      <w:r w:rsidR="004E3E1A" w:rsidRPr="00C51E92">
        <w:rPr>
          <w:szCs w:val="17"/>
        </w:rPr>
        <w:t>9</w:t>
      </w:r>
      <w:r w:rsidR="00214E6F" w:rsidRPr="00C51E92">
        <w:rPr>
          <w:szCs w:val="17"/>
        </w:rPr>
        <w:t xml:space="preserve"> tis. Kč oproti 4,1 tis.</w:t>
      </w:r>
      <w:r w:rsidR="00C45E27" w:rsidRPr="00C51E92">
        <w:rPr>
          <w:szCs w:val="17"/>
        </w:rPr>
        <w:t xml:space="preserve"> Kč</w:t>
      </w:r>
      <w:r w:rsidR="00214E6F" w:rsidRPr="00C51E92">
        <w:rPr>
          <w:szCs w:val="17"/>
        </w:rPr>
        <w:t xml:space="preserve"> v roce 2010.</w:t>
      </w:r>
      <w:r w:rsidR="00214E6F" w:rsidRPr="00991A9E">
        <w:rPr>
          <w:szCs w:val="17"/>
        </w:rPr>
        <w:t xml:space="preserve"> </w:t>
      </w:r>
    </w:p>
    <w:p w:rsidR="00214E6F" w:rsidRPr="00991A9E" w:rsidRDefault="00214E6F" w:rsidP="00214E6F">
      <w:pPr>
        <w:keepNext/>
        <w:spacing w:before="24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3.2.1 Přímé výdaje domácností v</w:t>
      </w:r>
      <w:r w:rsidR="00DB210A">
        <w:rPr>
          <w:rFonts w:cs="Arial"/>
          <w:b/>
          <w:sz w:val="18"/>
          <w:szCs w:val="18"/>
        </w:rPr>
        <w:t> </w:t>
      </w:r>
      <w:r w:rsidRPr="00991A9E">
        <w:rPr>
          <w:rFonts w:cs="Arial"/>
          <w:b/>
          <w:sz w:val="18"/>
          <w:szCs w:val="18"/>
        </w:rPr>
        <w:t>Č</w:t>
      </w:r>
      <w:r w:rsidR="00DB210A">
        <w:rPr>
          <w:rFonts w:cs="Arial"/>
          <w:b/>
          <w:sz w:val="18"/>
          <w:szCs w:val="18"/>
        </w:rPr>
        <w:t xml:space="preserve">esku </w:t>
      </w:r>
      <w:r w:rsidRPr="00991A9E">
        <w:rPr>
          <w:rFonts w:cs="Arial"/>
          <w:b/>
          <w:sz w:val="18"/>
          <w:szCs w:val="18"/>
        </w:rPr>
        <w:t>na zdravotní péči, 20</w:t>
      </w:r>
      <w:r>
        <w:rPr>
          <w:rFonts w:cs="Arial"/>
          <w:b/>
          <w:sz w:val="18"/>
          <w:szCs w:val="18"/>
        </w:rPr>
        <w:t>10</w:t>
      </w:r>
      <w:r w:rsidRPr="00991A9E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6</w:t>
      </w:r>
    </w:p>
    <w:p w:rsidR="00214E6F" w:rsidRPr="000B2B5E" w:rsidRDefault="004E3E1A" w:rsidP="00DB210A">
      <w:pPr>
        <w:keepNext/>
        <w:spacing w:before="240" w:after="120"/>
        <w:jc w:val="both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71634F4D" wp14:editId="09E63E87">
            <wp:extent cx="6084000" cy="32400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14E6F">
        <w:rPr>
          <w:i/>
          <w:sz w:val="16"/>
          <w:szCs w:val="16"/>
        </w:rPr>
        <w:t xml:space="preserve">Poznámka: </w:t>
      </w:r>
      <w:r w:rsidR="00214E6F" w:rsidRPr="000B2B5E">
        <w:rPr>
          <w:i/>
          <w:sz w:val="16"/>
          <w:szCs w:val="16"/>
        </w:rPr>
        <w:t xml:space="preserve">Výdaje domácností na zdravotní péči vychází z předběžných výsledků Národních účtů ČSÚ za rok 2016. Na základě revize dat Národních účtů </w:t>
      </w:r>
      <w:r w:rsidR="00214E6F">
        <w:rPr>
          <w:i/>
          <w:sz w:val="16"/>
          <w:szCs w:val="16"/>
        </w:rPr>
        <w:t xml:space="preserve">ČSÚ </w:t>
      </w:r>
      <w:r w:rsidR="00214E6F" w:rsidRPr="000B2B5E">
        <w:rPr>
          <w:i/>
          <w:sz w:val="16"/>
          <w:szCs w:val="16"/>
        </w:rPr>
        <w:t>budou v</w:t>
      </w:r>
      <w:r w:rsidR="00DB210A">
        <w:rPr>
          <w:i/>
          <w:sz w:val="16"/>
          <w:szCs w:val="16"/>
        </w:rPr>
        <w:t xml:space="preserve"> srpnu </w:t>
      </w:r>
      <w:r w:rsidR="00214E6F" w:rsidRPr="000B2B5E">
        <w:rPr>
          <w:i/>
          <w:sz w:val="16"/>
          <w:szCs w:val="16"/>
        </w:rPr>
        <w:t>2018 aktualizována data za rok 2016 v</w:t>
      </w:r>
      <w:r w:rsidR="00214E6F">
        <w:rPr>
          <w:i/>
          <w:sz w:val="16"/>
          <w:szCs w:val="16"/>
        </w:rPr>
        <w:t xml:space="preserve"> této </w:t>
      </w:r>
      <w:r w:rsidR="00214E6F" w:rsidRPr="000B2B5E">
        <w:rPr>
          <w:i/>
          <w:sz w:val="16"/>
          <w:szCs w:val="16"/>
        </w:rPr>
        <w:t>publikaci</w:t>
      </w:r>
      <w:r w:rsidR="00214E6F">
        <w:rPr>
          <w:i/>
          <w:sz w:val="16"/>
          <w:szCs w:val="16"/>
        </w:rPr>
        <w:t>.</w:t>
      </w:r>
      <w:r w:rsidR="00214E6F" w:rsidRPr="000B2B5E">
        <w:rPr>
          <w:i/>
          <w:sz w:val="16"/>
          <w:szCs w:val="16"/>
        </w:rPr>
        <w:t xml:space="preserve"> </w:t>
      </w:r>
    </w:p>
    <w:p w:rsidR="00214E6F" w:rsidRDefault="00214E6F" w:rsidP="00214E6F">
      <w:pPr>
        <w:keepNext/>
        <w:jc w:val="right"/>
        <w:rPr>
          <w:b/>
          <w:i/>
          <w:sz w:val="16"/>
          <w:szCs w:val="16"/>
        </w:rPr>
      </w:pPr>
      <w:r w:rsidRPr="00991A9E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8</w:t>
      </w:r>
      <w:r w:rsidRPr="00991A9E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6</w:t>
      </w:r>
      <w:r w:rsidRPr="00991A9E">
        <w:rPr>
          <w:b/>
          <w:i/>
          <w:sz w:val="16"/>
          <w:szCs w:val="16"/>
        </w:rPr>
        <w:t xml:space="preserve"> </w:t>
      </w:r>
    </w:p>
    <w:p w:rsidR="00DB210A" w:rsidRPr="000B2B5E" w:rsidRDefault="00DB210A" w:rsidP="00214E6F">
      <w:pPr>
        <w:keepNext/>
        <w:jc w:val="right"/>
        <w:rPr>
          <w:i/>
          <w:sz w:val="14"/>
          <w:szCs w:val="14"/>
        </w:rPr>
      </w:pPr>
      <w:bookmarkStart w:id="8" w:name="_GoBack"/>
      <w:bookmarkEnd w:id="8"/>
    </w:p>
    <w:p w:rsidR="00214E6F" w:rsidRDefault="00214E6F" w:rsidP="00214E6F">
      <w:pPr>
        <w:pStyle w:val="Nadpis3"/>
      </w:pPr>
      <w:r w:rsidRPr="00991A9E">
        <w:lastRenderedPageBreak/>
        <w:t>3.2.</w:t>
      </w:r>
      <w:r>
        <w:t>2</w:t>
      </w:r>
      <w:r w:rsidRPr="00991A9E">
        <w:t xml:space="preserve">. </w:t>
      </w:r>
      <w:r>
        <w:t>Výdaje domácností podle druhu zdravotní péče</w:t>
      </w:r>
    </w:p>
    <w:p w:rsidR="00214E6F" w:rsidRPr="00991A9E" w:rsidRDefault="00214E6F" w:rsidP="00214E6F">
      <w:pPr>
        <w:keepNext/>
        <w:spacing w:before="120"/>
        <w:jc w:val="both"/>
        <w:rPr>
          <w:szCs w:val="17"/>
        </w:rPr>
      </w:pPr>
      <w:r w:rsidRPr="00991A9E">
        <w:rPr>
          <w:rFonts w:cs="Arial"/>
          <w:color w:val="000000"/>
          <w:szCs w:val="20"/>
        </w:rPr>
        <w:t>Uvedené výdaje zahrnují přímé náklady domácností na zdravotní péči, nikoli platby, které jsou zpětně propláceny (např. refundace od zdravotních pojišťoven při úhradě naléhavé zdravotní péče v</w:t>
      </w:r>
      <w:r w:rsidR="00323231">
        <w:rPr>
          <w:rFonts w:cs="Arial"/>
          <w:color w:val="000000"/>
          <w:szCs w:val="20"/>
        </w:rPr>
        <w:t> </w:t>
      </w:r>
      <w:r w:rsidRPr="00991A9E">
        <w:rPr>
          <w:rFonts w:cs="Arial"/>
          <w:color w:val="000000"/>
          <w:szCs w:val="20"/>
        </w:rPr>
        <w:t>zahraničí</w:t>
      </w:r>
      <w:r w:rsidR="00323231">
        <w:rPr>
          <w:rFonts w:cs="Arial"/>
          <w:color w:val="000000"/>
          <w:szCs w:val="20"/>
        </w:rPr>
        <w:t xml:space="preserve"> či vstupní lékařské prohlídky do zaměstnání</w:t>
      </w:r>
      <w:r w:rsidRPr="00991A9E">
        <w:rPr>
          <w:rFonts w:cs="Arial"/>
          <w:color w:val="000000"/>
          <w:szCs w:val="20"/>
        </w:rPr>
        <w:t xml:space="preserve">). </w:t>
      </w:r>
      <w:r w:rsidRPr="00991A9E">
        <w:rPr>
          <w:rFonts w:cs="Arial"/>
          <w:szCs w:val="20"/>
        </w:rPr>
        <w:t>Lidé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>platí z vlastní kapsy především léky, ať už se jedná o doplatky za medikamenty na předpis nebo volně prodejné léky a ostatní léčiva. Z rodinného rozpočtu jsou hrazeny i příplatky u stomatologů, regulační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>poplatky za pohotovostní služby a poplatky za různá potvrzení</w:t>
      </w:r>
      <w:r w:rsidR="00323231">
        <w:rPr>
          <w:rFonts w:cs="Arial"/>
          <w:szCs w:val="20"/>
        </w:rPr>
        <w:t xml:space="preserve"> od </w:t>
      </w:r>
      <w:r w:rsidRPr="00991A9E">
        <w:rPr>
          <w:rFonts w:cs="Arial"/>
          <w:szCs w:val="20"/>
        </w:rPr>
        <w:t>praktického lékaře, platby za nadstandardní výkony, materiál a služby a v neposlední řadě kosmetické operace, služby dentální hygien</w:t>
      </w:r>
      <w:r w:rsidR="000D1765">
        <w:rPr>
          <w:rFonts w:cs="Arial"/>
          <w:szCs w:val="20"/>
        </w:rPr>
        <w:t>y</w:t>
      </w:r>
      <w:r w:rsidRPr="00991A9E">
        <w:rPr>
          <w:rFonts w:cs="Arial"/>
          <w:szCs w:val="20"/>
        </w:rPr>
        <w:t>, nutričních terapeutů a další služby nehrazené z veřejného zdravotního pojištění.</w:t>
      </w:r>
    </w:p>
    <w:p w:rsidR="00214E6F" w:rsidRDefault="00214E6F" w:rsidP="00214E6F">
      <w:pPr>
        <w:spacing w:before="240" w:after="120"/>
        <w:rPr>
          <w:b/>
          <w:sz w:val="18"/>
          <w:szCs w:val="18"/>
        </w:rPr>
      </w:pPr>
      <w:r w:rsidRPr="00991A9E">
        <w:rPr>
          <w:b/>
          <w:sz w:val="18"/>
          <w:szCs w:val="18"/>
        </w:rPr>
        <w:t xml:space="preserve">Tabulka č. 3.2.1 Výdaje domácností </w:t>
      </w:r>
      <w:r w:rsidRPr="00991A9E">
        <w:rPr>
          <w:rFonts w:cs="Arial"/>
          <w:b/>
          <w:sz w:val="18"/>
          <w:szCs w:val="18"/>
        </w:rPr>
        <w:t>na zdravotní péči</w:t>
      </w:r>
      <w:r w:rsidRPr="00991A9E">
        <w:rPr>
          <w:b/>
          <w:sz w:val="18"/>
          <w:szCs w:val="18"/>
        </w:rPr>
        <w:t xml:space="preserve"> </w:t>
      </w:r>
      <w:r w:rsidR="00323231">
        <w:rPr>
          <w:b/>
          <w:sz w:val="18"/>
          <w:szCs w:val="18"/>
        </w:rPr>
        <w:t xml:space="preserve">v Česku </w:t>
      </w:r>
      <w:r w:rsidRPr="00991A9E">
        <w:rPr>
          <w:b/>
          <w:sz w:val="18"/>
          <w:szCs w:val="18"/>
        </w:rPr>
        <w:t>podle druhu zdravotní péče</w:t>
      </w:r>
      <w:r>
        <w:rPr>
          <w:b/>
          <w:sz w:val="18"/>
          <w:szCs w:val="18"/>
        </w:rPr>
        <w:t xml:space="preserve"> (mil. Kč)</w:t>
      </w:r>
      <w:r w:rsidRPr="00991A9E">
        <w:rPr>
          <w:b/>
          <w:sz w:val="18"/>
          <w:szCs w:val="18"/>
        </w:rPr>
        <w:t>, 2010-201</w:t>
      </w:r>
      <w:r>
        <w:rPr>
          <w:b/>
          <w:sz w:val="18"/>
          <w:szCs w:val="18"/>
        </w:rPr>
        <w:t>6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769"/>
        <w:gridCol w:w="770"/>
        <w:gridCol w:w="769"/>
        <w:gridCol w:w="770"/>
        <w:gridCol w:w="769"/>
        <w:gridCol w:w="770"/>
        <w:gridCol w:w="770"/>
        <w:gridCol w:w="850"/>
      </w:tblGrid>
      <w:tr w:rsidR="00214E6F" w:rsidRPr="0087553D" w:rsidTr="00AD5913">
        <w:trPr>
          <w:trHeight w:val="645"/>
        </w:trPr>
        <w:tc>
          <w:tcPr>
            <w:tcW w:w="3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Ukazatel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E6F" w:rsidRPr="0087553D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E6F" w:rsidRPr="00AD5913" w:rsidRDefault="00214E6F" w:rsidP="00214E6F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AD5913">
              <w:rPr>
                <w:rFonts w:cs="Arial"/>
                <w:b/>
                <w:bCs/>
                <w:i/>
                <w:iCs/>
                <w:color w:val="000000"/>
                <w:sz w:val="15"/>
                <w:szCs w:val="15"/>
              </w:rPr>
              <w:t>Index 2016/2015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 xml:space="preserve"> Léčebná péče</w:t>
            </w:r>
            <w:r w:rsidR="00AD5913">
              <w:rPr>
                <w:rFonts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13 315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13 337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13 038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13 758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15 301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16 279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16 865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103,6</w:t>
            </w:r>
          </w:p>
        </w:tc>
      </w:tr>
      <w:tr w:rsidR="00323231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231" w:rsidRPr="0087553D" w:rsidRDefault="00323231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>Lůžková léčebná péče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775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903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231" w:rsidRPr="00323231" w:rsidRDefault="00323231" w:rsidP="00323231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3231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231">
              <w:rPr>
                <w:rFonts w:cs="Arial"/>
                <w:sz w:val="16"/>
                <w:szCs w:val="16"/>
              </w:rPr>
              <w:t>4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AD5913">
              <w:rPr>
                <w:rFonts w:cs="Arial"/>
                <w:sz w:val="16"/>
                <w:szCs w:val="16"/>
              </w:rPr>
              <w:t xml:space="preserve"> </w:t>
            </w:r>
            <w:r w:rsidRPr="0087553D">
              <w:rPr>
                <w:rFonts w:cs="Arial"/>
                <w:sz w:val="16"/>
                <w:szCs w:val="16"/>
              </w:rPr>
              <w:t>Ambulantní léčebná péče</w:t>
            </w:r>
            <w:r w:rsidR="00AD5913">
              <w:rPr>
                <w:rFonts w:cs="Arial"/>
                <w:sz w:val="16"/>
                <w:szCs w:val="16"/>
              </w:rPr>
              <w:t xml:space="preserve"> celkem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12 828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12 761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12 204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13 059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14 546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15 465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16 047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103,8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Všeobecná ambulantní léčebná péče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2 382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2 171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2 302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2 429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2 622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2 758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105,2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Stomatologická ambulantní léčebná péče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7 118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7 737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6 802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7 362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8 436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9 236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104,3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Specializovaná ambulantní léčebná péče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3 328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2 853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3 100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3 268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3 488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3 471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101,1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 xml:space="preserve"> Rehabilitační péče</w:t>
            </w:r>
            <w:r w:rsidR="00AD5913">
              <w:rPr>
                <w:rFonts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2 222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2 539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3 388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2 983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3 562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103,5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87553D">
              <w:rPr>
                <w:rFonts w:cs="Arial"/>
                <w:sz w:val="16"/>
                <w:szCs w:val="16"/>
              </w:rPr>
              <w:t xml:space="preserve"> Lůžková rehabilitační (lázeňská) péče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1 596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1 888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2 732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2 289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2 473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2 667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100,5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87553D">
              <w:rPr>
                <w:rFonts w:cs="Arial"/>
                <w:sz w:val="16"/>
                <w:szCs w:val="16"/>
              </w:rPr>
              <w:t xml:space="preserve"> Ambulantní rehabilitační péče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112,4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Léčiva a ost. zdrav. výrobky celkem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27 115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28 089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27 722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26 648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27 867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29 428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30 574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103,9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87553D">
              <w:rPr>
                <w:rFonts w:cs="Arial"/>
                <w:sz w:val="16"/>
                <w:szCs w:val="16"/>
              </w:rPr>
              <w:t xml:space="preserve"> Léčiva a zdravotnický materiál</w:t>
            </w:r>
            <w:r w:rsidR="00AD5913">
              <w:rPr>
                <w:rFonts w:cs="Arial"/>
                <w:sz w:val="16"/>
                <w:szCs w:val="16"/>
              </w:rPr>
              <w:t xml:space="preserve"> celkem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21 380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22 347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22 163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21 102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22 264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23 535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24 428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103,8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 xml:space="preserve"> Léky na předpis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8 932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9 439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9 394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9 303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9 496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10 121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10 295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101,7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Volně prodejné léky a léčiva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11 843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12 262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12 088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11 179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12 140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12 744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13 447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105,5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Ostatní zdravotnický materiál a výrobky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102,4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87553D">
              <w:rPr>
                <w:rFonts w:cs="Arial"/>
                <w:sz w:val="16"/>
                <w:szCs w:val="16"/>
              </w:rPr>
              <w:t>Terapeutické pomůcky</w:t>
            </w:r>
            <w:r w:rsidR="00AD5913">
              <w:rPr>
                <w:rFonts w:cs="Arial"/>
                <w:sz w:val="16"/>
                <w:szCs w:val="16"/>
              </w:rPr>
              <w:t xml:space="preserve"> celkem</w:t>
            </w:r>
            <w:r w:rsidRPr="008755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5 735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5 742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5 559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5 546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5 603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5 893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6 146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104,3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Brýle a další produkty oční optiky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3 740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3 744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3 626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3 617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3 654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3 843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4 008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i/>
                <w:iCs/>
                <w:color w:val="000000"/>
                <w:sz w:val="16"/>
                <w:szCs w:val="16"/>
              </w:rPr>
              <w:t>104,3</w:t>
            </w:r>
          </w:p>
        </w:tc>
      </w:tr>
      <w:tr w:rsidR="00AD5913" w:rsidRPr="0087553D" w:rsidTr="0032323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>Ortopedické a protetické pomůcky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</w:tr>
      <w:tr w:rsidR="00AD5913" w:rsidRPr="0087553D" w:rsidTr="00323231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AD591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87553D">
              <w:rPr>
                <w:rFonts w:cs="Arial"/>
                <w:sz w:val="16"/>
                <w:szCs w:val="16"/>
              </w:rPr>
              <w:t xml:space="preserve">Ostatní terapeut. </w:t>
            </w:r>
            <w:r>
              <w:rPr>
                <w:rFonts w:cs="Arial"/>
                <w:sz w:val="16"/>
                <w:szCs w:val="16"/>
              </w:rPr>
              <w:t>p</w:t>
            </w:r>
            <w:r w:rsidRPr="0087553D">
              <w:rPr>
                <w:rFonts w:cs="Arial"/>
                <w:sz w:val="16"/>
                <w:szCs w:val="16"/>
              </w:rPr>
              <w:t>omůcky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553D">
              <w:rPr>
                <w:rFonts w:cs="Arial"/>
                <w:sz w:val="16"/>
                <w:szCs w:val="16"/>
              </w:rPr>
              <w:t xml:space="preserve"> a vybavení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1 701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1 746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</w:tr>
      <w:tr w:rsidR="00AD5913" w:rsidRPr="0087553D" w:rsidTr="00323231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Výdaje na zdravotní péči celkem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42 705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44 028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44 239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43 465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46 490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49 358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214E6F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51 215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214E6F" w:rsidRPr="0087553D" w:rsidRDefault="00214E6F" w:rsidP="0032323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103,8</w:t>
            </w:r>
          </w:p>
        </w:tc>
      </w:tr>
    </w:tbl>
    <w:p w:rsidR="00214E6F" w:rsidRPr="00991A9E" w:rsidRDefault="00214E6F" w:rsidP="00214E6F">
      <w:pPr>
        <w:spacing w:before="120" w:line="240" w:lineRule="auto"/>
        <w:ind w:firstLine="708"/>
        <w:rPr>
          <w:b/>
          <w:bCs/>
          <w:i/>
          <w:sz w:val="16"/>
          <w:szCs w:val="16"/>
        </w:rPr>
      </w:pPr>
      <w:r w:rsidRPr="00991A9E">
        <w:rPr>
          <w:b/>
          <w:bCs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b/>
          <w:bCs/>
          <w:i/>
          <w:sz w:val="16"/>
          <w:szCs w:val="16"/>
        </w:rPr>
        <w:t xml:space="preserve">            </w:t>
      </w:r>
      <w:r w:rsidR="00323231">
        <w:rPr>
          <w:b/>
          <w:bCs/>
          <w:i/>
          <w:sz w:val="16"/>
          <w:szCs w:val="16"/>
        </w:rPr>
        <w:t xml:space="preserve">    </w:t>
      </w: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8</w:t>
      </w:r>
      <w:r w:rsidRPr="00991A9E">
        <w:rPr>
          <w:b/>
          <w:bCs/>
          <w:i/>
          <w:sz w:val="16"/>
          <w:szCs w:val="16"/>
        </w:rPr>
        <w:t xml:space="preserve">, </w:t>
      </w:r>
      <w:r>
        <w:rPr>
          <w:b/>
          <w:bCs/>
          <w:i/>
          <w:sz w:val="16"/>
          <w:szCs w:val="16"/>
        </w:rPr>
        <w:t>Zdravotnické účty ČR 2010 - 2016</w:t>
      </w:r>
      <w:r w:rsidRPr="00991A9E">
        <w:rPr>
          <w:b/>
          <w:bCs/>
          <w:i/>
          <w:sz w:val="16"/>
          <w:szCs w:val="16"/>
        </w:rPr>
        <w:t xml:space="preserve"> </w:t>
      </w:r>
    </w:p>
    <w:p w:rsidR="00214E6F" w:rsidRPr="007949E3" w:rsidRDefault="00214E6F" w:rsidP="00214E6F">
      <w:pPr>
        <w:spacing w:before="240" w:after="120"/>
        <w:rPr>
          <w:rFonts w:eastAsia="MS Gothic"/>
          <w:b/>
          <w:i/>
        </w:rPr>
      </w:pPr>
      <w:r w:rsidRPr="00781083">
        <w:rPr>
          <w:rFonts w:eastAsia="MS Gothic"/>
          <w:b/>
          <w:i/>
        </w:rPr>
        <w:t>Téměř pětinu z</w:t>
      </w:r>
      <w:r>
        <w:rPr>
          <w:rFonts w:eastAsia="MS Gothic"/>
          <w:b/>
          <w:i/>
        </w:rPr>
        <w:t xml:space="preserve"> celkových </w:t>
      </w:r>
      <w:r w:rsidRPr="00781083">
        <w:rPr>
          <w:rFonts w:eastAsia="MS Gothic"/>
          <w:b/>
          <w:i/>
        </w:rPr>
        <w:t> výdajů na zdravotní péči zaplatí domácnosti za stomatologick</w:t>
      </w:r>
      <w:r>
        <w:rPr>
          <w:rFonts w:eastAsia="MS Gothic"/>
          <w:b/>
          <w:i/>
        </w:rPr>
        <w:t>á</w:t>
      </w:r>
      <w:r w:rsidRPr="00781083">
        <w:rPr>
          <w:rFonts w:eastAsia="MS Gothic"/>
          <w:b/>
          <w:i/>
        </w:rPr>
        <w:t xml:space="preserve"> ošetření  </w:t>
      </w:r>
    </w:p>
    <w:p w:rsidR="00214E6F" w:rsidRPr="00991A9E" w:rsidRDefault="00214E6F" w:rsidP="00214E6F">
      <w:pPr>
        <w:spacing w:before="120"/>
        <w:jc w:val="both"/>
        <w:rPr>
          <w:szCs w:val="20"/>
        </w:rPr>
      </w:pPr>
      <w:r w:rsidRPr="00991A9E">
        <w:rPr>
          <w:szCs w:val="20"/>
        </w:rPr>
        <w:t>Nejvyšší procentuální nárůst výdajů domácnos</w:t>
      </w:r>
      <w:r>
        <w:rPr>
          <w:szCs w:val="20"/>
        </w:rPr>
        <w:t>tí na zdravotní péči v roce 2016</w:t>
      </w:r>
      <w:r w:rsidRPr="00991A9E">
        <w:rPr>
          <w:szCs w:val="20"/>
        </w:rPr>
        <w:t xml:space="preserve"> byl v porovnání s předchozím rokem zaznamenán u výdajů na </w:t>
      </w:r>
      <w:r w:rsidRPr="00991A9E">
        <w:rPr>
          <w:b/>
          <w:szCs w:val="20"/>
        </w:rPr>
        <w:t>ambulantní rehabilitační péči</w:t>
      </w:r>
      <w:r w:rsidRPr="00991A9E">
        <w:rPr>
          <w:szCs w:val="20"/>
        </w:rPr>
        <w:t xml:space="preserve">, </w:t>
      </w:r>
      <w:r>
        <w:rPr>
          <w:szCs w:val="20"/>
        </w:rPr>
        <w:t>o 12 %</w:t>
      </w:r>
      <w:r w:rsidRPr="00991A9E">
        <w:rPr>
          <w:szCs w:val="20"/>
        </w:rPr>
        <w:t xml:space="preserve">. </w:t>
      </w:r>
      <w:r>
        <w:rPr>
          <w:szCs w:val="20"/>
        </w:rPr>
        <w:t>Absolutní výše</w:t>
      </w:r>
      <w:r w:rsidRPr="00991A9E">
        <w:rPr>
          <w:szCs w:val="20"/>
        </w:rPr>
        <w:t xml:space="preserve"> výdajů domácností na tento druh zdravotní péče</w:t>
      </w:r>
      <w:r>
        <w:rPr>
          <w:szCs w:val="20"/>
        </w:rPr>
        <w:t xml:space="preserve"> je velmi nízká</w:t>
      </w:r>
      <w:r w:rsidRPr="00991A9E">
        <w:rPr>
          <w:szCs w:val="20"/>
        </w:rPr>
        <w:t xml:space="preserve"> a proto i nevelký absolutní nárůst způsobí významné procentuální zvýšení. </w:t>
      </w:r>
    </w:p>
    <w:p w:rsidR="00214E6F" w:rsidRPr="00966AD4" w:rsidRDefault="00214E6F" w:rsidP="00214E6F">
      <w:pPr>
        <w:spacing w:before="120"/>
        <w:jc w:val="both"/>
        <w:rPr>
          <w:bCs/>
          <w:szCs w:val="22"/>
        </w:rPr>
      </w:pPr>
      <w:r w:rsidRPr="00991A9E">
        <w:rPr>
          <w:szCs w:val="20"/>
        </w:rPr>
        <w:t>V porovnání s</w:t>
      </w:r>
      <w:r>
        <w:rPr>
          <w:szCs w:val="20"/>
        </w:rPr>
        <w:t xml:space="preserve"> předchozím </w:t>
      </w:r>
      <w:r w:rsidRPr="00991A9E">
        <w:rPr>
          <w:szCs w:val="20"/>
        </w:rPr>
        <w:t xml:space="preserve">rokem </w:t>
      </w:r>
      <w:r>
        <w:rPr>
          <w:szCs w:val="20"/>
        </w:rPr>
        <w:t>zůstaly v roce 2016 stabilní</w:t>
      </w:r>
      <w:r w:rsidRPr="00991A9E">
        <w:rPr>
          <w:szCs w:val="20"/>
        </w:rPr>
        <w:t xml:space="preserve"> výdaje na lůžkovou rehabilitační péči, jejíž podstatnou součástí je </w:t>
      </w:r>
      <w:r w:rsidRPr="00991A9E">
        <w:rPr>
          <w:b/>
          <w:szCs w:val="20"/>
        </w:rPr>
        <w:t>lázeňská léčba</w:t>
      </w:r>
      <w:r>
        <w:rPr>
          <w:szCs w:val="20"/>
        </w:rPr>
        <w:t xml:space="preserve">. </w:t>
      </w:r>
      <w:r w:rsidRPr="00C51E92">
        <w:rPr>
          <w:i/>
          <w:szCs w:val="20"/>
        </w:rPr>
        <w:t>Domácnosti se finančně podílejí především na příspěvkové lázeňské péči, která byla v roce 2013 na základě novely vyhlášky tzv. Indikačního programu o týden zkrácena, což se projevilo snížením těchto výdajů v tomto roce. V dubnu 2014 bylo toto omezení zrušeno a výdaje na lůžkovou rehabilitační péči pozvolna vzrostly, což se potvrdilo i v roce 2015. Lázeňský fond v roce 2016 zahrnoval 92 lázeňských léčeben s  kapacitou 2</w:t>
      </w:r>
      <w:r w:rsidR="00CF3148" w:rsidRPr="00C51E92">
        <w:rPr>
          <w:i/>
          <w:szCs w:val="20"/>
        </w:rPr>
        <w:t>2</w:t>
      </w:r>
      <w:r w:rsidRPr="00C51E92">
        <w:rPr>
          <w:i/>
          <w:szCs w:val="20"/>
        </w:rPr>
        <w:t> 403 lůžek.</w:t>
      </w:r>
      <w:r w:rsidRPr="00CF3148">
        <w:rPr>
          <w:i/>
          <w:szCs w:val="20"/>
        </w:rPr>
        <w:t xml:space="preserve"> Na náklady zdravotních pojišťoven se léčilo v lázeňských zařízeních 93 347 dospělých tuzemských pacientů (84 537 komplexní lázeňská péče a 8 810 příspěvková lázeňská péče).  Zdravotní pojišťovny platily v roce 2016</w:t>
      </w:r>
      <w:r w:rsidR="000D1765" w:rsidRPr="00CF3148">
        <w:rPr>
          <w:i/>
          <w:szCs w:val="20"/>
        </w:rPr>
        <w:t xml:space="preserve"> dětem a mladistvým</w:t>
      </w:r>
      <w:r w:rsidRPr="00CF3148">
        <w:rPr>
          <w:i/>
          <w:szCs w:val="20"/>
        </w:rPr>
        <w:t xml:space="preserve"> plně </w:t>
      </w:r>
      <w:r w:rsidRPr="00CF3148">
        <w:rPr>
          <w:i/>
          <w:szCs w:val="20"/>
        </w:rPr>
        <w:lastRenderedPageBreak/>
        <w:t xml:space="preserve">hrazenou péči </w:t>
      </w:r>
      <w:r w:rsidR="000D1765" w:rsidRPr="00CF3148">
        <w:rPr>
          <w:i/>
          <w:szCs w:val="20"/>
        </w:rPr>
        <w:t xml:space="preserve">v </w:t>
      </w:r>
      <w:r w:rsidRPr="00CF3148">
        <w:rPr>
          <w:i/>
          <w:szCs w:val="20"/>
        </w:rPr>
        <w:t xml:space="preserve">106 199 </w:t>
      </w:r>
      <w:r w:rsidR="000D1765" w:rsidRPr="00CF3148">
        <w:rPr>
          <w:i/>
          <w:szCs w:val="20"/>
        </w:rPr>
        <w:t xml:space="preserve">případech </w:t>
      </w:r>
      <w:r w:rsidRPr="00CF3148">
        <w:rPr>
          <w:i/>
          <w:szCs w:val="20"/>
        </w:rPr>
        <w:t xml:space="preserve">a </w:t>
      </w:r>
      <w:r w:rsidR="000D1765" w:rsidRPr="00CF3148">
        <w:rPr>
          <w:i/>
          <w:szCs w:val="20"/>
        </w:rPr>
        <w:t xml:space="preserve">v </w:t>
      </w:r>
      <w:r w:rsidRPr="00CF3148">
        <w:rPr>
          <w:i/>
          <w:szCs w:val="20"/>
        </w:rPr>
        <w:t xml:space="preserve">8 810 </w:t>
      </w:r>
      <w:r w:rsidR="000D1765" w:rsidRPr="00CF3148">
        <w:rPr>
          <w:i/>
          <w:szCs w:val="20"/>
        </w:rPr>
        <w:t xml:space="preserve">případech </w:t>
      </w:r>
      <w:r w:rsidRPr="00CF3148">
        <w:rPr>
          <w:i/>
          <w:szCs w:val="20"/>
        </w:rPr>
        <w:t xml:space="preserve">částečně hrazenou zdravotní péči. </w:t>
      </w:r>
      <w:r w:rsidRPr="00CF3148">
        <w:rPr>
          <w:i/>
        </w:rPr>
        <w:t>U dospělých se na celkových nákladech na lázeňskou péči nejvíce podílejí nemoci pohybového ústrojí (více než 55 %), nemoci nervové (cca 16 %) a nemoci oběhového ústrojí (10 %). U dětí a dorostu se jedná o nemoci dýchacího ústrojí (cca 40 %), onemocnění nervové soustavy (27 %) a poruchy látkové výměny a žláz s vnitřní sekrecí, nejčastěji diabetes mellitus a obezitu (cca 11 %).</w:t>
      </w:r>
      <w:r w:rsidRPr="00CF3148">
        <w:rPr>
          <w:i/>
          <w:szCs w:val="20"/>
        </w:rPr>
        <w:t xml:space="preserve"> </w:t>
      </w:r>
      <w:r>
        <w:rPr>
          <w:szCs w:val="20"/>
        </w:rPr>
        <w:t>V období 2010 – 2016 zaplatily české domácnosti za lázeňskou a rehabilitační péči přes 16 mld. Kč a p</w:t>
      </w:r>
      <w:r w:rsidRPr="006E0887">
        <w:rPr>
          <w:szCs w:val="20"/>
        </w:rPr>
        <w:t xml:space="preserve">růměrné roční tempo růstu dosáhlo </w:t>
      </w:r>
      <w:r>
        <w:rPr>
          <w:szCs w:val="20"/>
        </w:rPr>
        <w:t>9 %.</w:t>
      </w:r>
    </w:p>
    <w:p w:rsidR="00214E6F" w:rsidRPr="00991A9E" w:rsidRDefault="00214E6F" w:rsidP="00214E6F">
      <w:pPr>
        <w:spacing w:before="200"/>
        <w:jc w:val="both"/>
        <w:rPr>
          <w:szCs w:val="17"/>
        </w:rPr>
      </w:pPr>
      <w:r w:rsidRPr="00991A9E">
        <w:rPr>
          <w:szCs w:val="17"/>
        </w:rPr>
        <w:t xml:space="preserve">Výdaje domácností </w:t>
      </w:r>
      <w:r w:rsidRPr="00991A9E">
        <w:rPr>
          <w:b/>
          <w:szCs w:val="17"/>
        </w:rPr>
        <w:t xml:space="preserve">na specializovanou ambulantní péči, </w:t>
      </w:r>
      <w:r w:rsidRPr="00991A9E">
        <w:rPr>
          <w:szCs w:val="17"/>
        </w:rPr>
        <w:t>které zahrnují širokou škálu nejrůznějších úhrad například za služby nutričních terapeutů, center léčby obezity, center asistované reprodukce, dermatologické</w:t>
      </w:r>
      <w:r>
        <w:rPr>
          <w:szCs w:val="17"/>
        </w:rPr>
        <w:t xml:space="preserve"> </w:t>
      </w:r>
      <w:r w:rsidRPr="00991A9E">
        <w:rPr>
          <w:szCs w:val="17"/>
        </w:rPr>
        <w:t xml:space="preserve">zákroky nehrazené ze zdravotního pojištění, kosmetické operace a další, </w:t>
      </w:r>
      <w:r>
        <w:rPr>
          <w:szCs w:val="17"/>
        </w:rPr>
        <w:t xml:space="preserve">zůstávají v porovnání s rokem 2015 stabilní. </w:t>
      </w:r>
    </w:p>
    <w:p w:rsidR="00214E6F" w:rsidRDefault="00214E6F" w:rsidP="00214E6F">
      <w:pPr>
        <w:spacing w:before="120"/>
        <w:jc w:val="both"/>
        <w:rPr>
          <w:szCs w:val="20"/>
        </w:rPr>
      </w:pPr>
      <w:r w:rsidRPr="00991A9E">
        <w:rPr>
          <w:szCs w:val="17"/>
        </w:rPr>
        <w:t xml:space="preserve">Výdaje na </w:t>
      </w:r>
      <w:r w:rsidRPr="00991A9E">
        <w:rPr>
          <w:b/>
          <w:szCs w:val="17"/>
        </w:rPr>
        <w:t>všeobecnou ambulantní léčebnou péči</w:t>
      </w:r>
      <w:r w:rsidRPr="00991A9E">
        <w:rPr>
          <w:szCs w:val="17"/>
        </w:rPr>
        <w:t xml:space="preserve"> (zejména péče </w:t>
      </w:r>
      <w:r w:rsidRPr="00991A9E">
        <w:rPr>
          <w:szCs w:val="20"/>
        </w:rPr>
        <w:t xml:space="preserve">praktických lékařů pro dospělé a pro děti a dorost) meziročně </w:t>
      </w:r>
      <w:r>
        <w:rPr>
          <w:szCs w:val="20"/>
        </w:rPr>
        <w:t>mírně vzrostly (o 5 %)</w:t>
      </w:r>
      <w:r w:rsidRPr="00991A9E">
        <w:rPr>
          <w:szCs w:val="20"/>
        </w:rPr>
        <w:t xml:space="preserve">. U všeobecné ambulantní péče se může, mimo jiné, jednat o výdaje na různá očkování nebo preventivní vyšetření nehrazená ze zdravotního pojištění. </w:t>
      </w:r>
    </w:p>
    <w:p w:rsidR="00214E6F" w:rsidRDefault="00214E6F" w:rsidP="00214E6F">
      <w:pPr>
        <w:spacing w:before="120"/>
        <w:jc w:val="both"/>
        <w:rPr>
          <w:szCs w:val="20"/>
        </w:rPr>
      </w:pPr>
      <w:r w:rsidRPr="00991A9E">
        <w:rPr>
          <w:szCs w:val="20"/>
        </w:rPr>
        <w:t xml:space="preserve">Výdaje domácností na </w:t>
      </w:r>
      <w:r w:rsidRPr="00991A9E">
        <w:rPr>
          <w:b/>
          <w:szCs w:val="20"/>
        </w:rPr>
        <w:t>stomatologickou ambulantní péči</w:t>
      </w:r>
      <w:r w:rsidRPr="00991A9E">
        <w:rPr>
          <w:szCs w:val="20"/>
        </w:rPr>
        <w:t xml:space="preserve">, které jsou </w:t>
      </w:r>
      <w:r w:rsidR="00C85E96">
        <w:rPr>
          <w:szCs w:val="20"/>
        </w:rPr>
        <w:t>dlouhodobě</w:t>
      </w:r>
      <w:r w:rsidRPr="00991A9E">
        <w:rPr>
          <w:szCs w:val="20"/>
        </w:rPr>
        <w:t xml:space="preserve"> vyšší než výdaje za</w:t>
      </w:r>
      <w:r>
        <w:rPr>
          <w:szCs w:val="20"/>
        </w:rPr>
        <w:t> </w:t>
      </w:r>
      <w:r w:rsidRPr="00991A9E">
        <w:rPr>
          <w:szCs w:val="20"/>
        </w:rPr>
        <w:t>všeobecnou i specializovanou ambulantní péči dohromady, vzrostly v roce 201</w:t>
      </w:r>
      <w:r>
        <w:rPr>
          <w:szCs w:val="20"/>
        </w:rPr>
        <w:t>6</w:t>
      </w:r>
      <w:r w:rsidRPr="00991A9E">
        <w:rPr>
          <w:szCs w:val="20"/>
        </w:rPr>
        <w:t xml:space="preserve"> v porovnání s předchozím rokem</w:t>
      </w:r>
      <w:r w:rsidRPr="0002040C">
        <w:rPr>
          <w:szCs w:val="20"/>
        </w:rPr>
        <w:t xml:space="preserve"> </w:t>
      </w:r>
      <w:r w:rsidRPr="00991A9E">
        <w:rPr>
          <w:szCs w:val="20"/>
        </w:rPr>
        <w:t xml:space="preserve">o </w:t>
      </w:r>
      <w:r>
        <w:rPr>
          <w:szCs w:val="20"/>
        </w:rPr>
        <w:t xml:space="preserve">4 </w:t>
      </w:r>
      <w:r w:rsidRPr="00991A9E">
        <w:rPr>
          <w:szCs w:val="20"/>
        </w:rPr>
        <w:t>%. U stomatologů, kteří spolupracují se zdravotními pojišťovnami</w:t>
      </w:r>
      <w:r>
        <w:rPr>
          <w:szCs w:val="20"/>
        </w:rPr>
        <w:t>,</w:t>
      </w:r>
      <w:r w:rsidRPr="00991A9E">
        <w:rPr>
          <w:szCs w:val="20"/>
        </w:rPr>
        <w:t xml:space="preserve"> si často pacienti připlácí za nestandardní lékařské úkony a materiály. Pokud zubař nemá uzavřenou smlouvu se zdravotními pojišťovnami, jsou veškeré zákroky hrazené dle ceníku příslušného pracoviště. </w:t>
      </w:r>
      <w:r>
        <w:rPr>
          <w:szCs w:val="20"/>
        </w:rPr>
        <w:t xml:space="preserve">V roce 2016 doplatil jeden obyvatel ČR z vlastní kapsy na stomatologický zákrok </w:t>
      </w:r>
      <w:r w:rsidR="00C85E96">
        <w:rPr>
          <w:szCs w:val="20"/>
        </w:rPr>
        <w:t xml:space="preserve">v průměru </w:t>
      </w:r>
      <w:r>
        <w:rPr>
          <w:szCs w:val="20"/>
        </w:rPr>
        <w:t>912 Kč.</w:t>
      </w:r>
    </w:p>
    <w:p w:rsidR="00214E6F" w:rsidRPr="00991A9E" w:rsidRDefault="00214E6F" w:rsidP="00214E6F">
      <w:pPr>
        <w:spacing w:before="120"/>
        <w:jc w:val="both"/>
        <w:rPr>
          <w:szCs w:val="17"/>
        </w:rPr>
      </w:pPr>
      <w:r w:rsidRPr="00991A9E">
        <w:rPr>
          <w:szCs w:val="17"/>
        </w:rPr>
        <w:t xml:space="preserve">Výdaje domácností na </w:t>
      </w:r>
      <w:r w:rsidRPr="00991A9E">
        <w:rPr>
          <w:b/>
          <w:szCs w:val="17"/>
        </w:rPr>
        <w:t>regulační poplatky</w:t>
      </w:r>
      <w:r w:rsidRPr="00991A9E">
        <w:rPr>
          <w:szCs w:val="17"/>
        </w:rPr>
        <w:t xml:space="preserve"> ve výši 90,- Kč za pohotovostní služby jsou zahrnuty v této analýze v ambulantní léčebné péči. </w:t>
      </w:r>
    </w:p>
    <w:p w:rsidR="00214E6F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3.2.2 Výdaje domácností v ČR na zdravotní péči, 201</w:t>
      </w:r>
      <w:r>
        <w:rPr>
          <w:rFonts w:cs="Arial"/>
          <w:b/>
          <w:sz w:val="18"/>
          <w:szCs w:val="18"/>
        </w:rPr>
        <w:t>6</w:t>
      </w:r>
      <w:r w:rsidRPr="00991A9E">
        <w:rPr>
          <w:rFonts w:cs="Arial"/>
          <w:b/>
          <w:sz w:val="18"/>
          <w:szCs w:val="18"/>
        </w:rPr>
        <w:t xml:space="preserve"> (mil. Kč; %)</w:t>
      </w:r>
    </w:p>
    <w:p w:rsidR="00214E6F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086475" cy="28956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4E6F" w:rsidRPr="00991A9E" w:rsidRDefault="00214E6F" w:rsidP="00214E6F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8</w:t>
      </w:r>
      <w:r w:rsidRPr="00991A9E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6</w:t>
      </w:r>
      <w:r w:rsidRPr="00991A9E">
        <w:rPr>
          <w:b/>
          <w:bCs/>
          <w:i/>
          <w:sz w:val="16"/>
          <w:szCs w:val="16"/>
        </w:rPr>
        <w:t xml:space="preserve"> </w:t>
      </w:r>
    </w:p>
    <w:p w:rsidR="00CF3148" w:rsidRDefault="00214E6F" w:rsidP="00214E6F">
      <w:pPr>
        <w:spacing w:before="200"/>
        <w:jc w:val="both"/>
        <w:rPr>
          <w:rFonts w:eastAsia="MS Gothic"/>
        </w:rPr>
      </w:pPr>
      <w:r>
        <w:rPr>
          <w:rFonts w:eastAsia="MS Gothic"/>
        </w:rPr>
        <w:t xml:space="preserve">Zjednodušené schéma pro přehlednost dokresluje, jak se pohybovaly výdaje domácností na zdravotní péči v roce 2016. V daném roce </w:t>
      </w:r>
      <w:r w:rsidRPr="00991A9E">
        <w:rPr>
          <w:rFonts w:eastAsia="MS Gothic"/>
        </w:rPr>
        <w:t xml:space="preserve">utratily české domácnosti za </w:t>
      </w:r>
      <w:r w:rsidRPr="00991A9E">
        <w:rPr>
          <w:rFonts w:eastAsia="MS Gothic"/>
          <w:b/>
        </w:rPr>
        <w:t>léky</w:t>
      </w:r>
      <w:r w:rsidRPr="00991A9E">
        <w:rPr>
          <w:rFonts w:eastAsia="MS Gothic"/>
        </w:rPr>
        <w:t xml:space="preserve"> </w:t>
      </w:r>
      <w:r w:rsidRPr="00D82B89">
        <w:rPr>
          <w:rFonts w:eastAsia="MS Gothic"/>
          <w:b/>
        </w:rPr>
        <w:t xml:space="preserve">a ostatní zdravotnický materiál </w:t>
      </w:r>
      <w:r>
        <w:rPr>
          <w:rFonts w:eastAsia="MS Gothic"/>
        </w:rPr>
        <w:t xml:space="preserve">téměř </w:t>
      </w:r>
      <w:r w:rsidRPr="00991A9E">
        <w:rPr>
          <w:rFonts w:eastAsia="MS Gothic"/>
        </w:rPr>
        <w:t>polovinu (4</w:t>
      </w:r>
      <w:r>
        <w:rPr>
          <w:rFonts w:eastAsia="MS Gothic"/>
        </w:rPr>
        <w:t>8</w:t>
      </w:r>
      <w:r w:rsidRPr="00991A9E">
        <w:rPr>
          <w:rFonts w:eastAsia="MS Gothic"/>
        </w:rPr>
        <w:t> %; 2</w:t>
      </w:r>
      <w:r>
        <w:rPr>
          <w:rFonts w:eastAsia="MS Gothic"/>
        </w:rPr>
        <w:t xml:space="preserve">4,4 mld. Kč) svých výdajů na zdravotní </w:t>
      </w:r>
      <w:r w:rsidRPr="00991A9E">
        <w:rPr>
          <w:rFonts w:eastAsia="MS Gothic"/>
        </w:rPr>
        <w:t xml:space="preserve">péči. </w:t>
      </w:r>
    </w:p>
    <w:p w:rsidR="00214E6F" w:rsidRPr="00991A9E" w:rsidRDefault="00214E6F" w:rsidP="00214E6F">
      <w:pPr>
        <w:spacing w:before="200"/>
        <w:jc w:val="both"/>
        <w:rPr>
          <w:rFonts w:eastAsia="MS Gothic"/>
        </w:rPr>
      </w:pPr>
      <w:r w:rsidRPr="00991A9E">
        <w:rPr>
          <w:rFonts w:eastAsia="MS Gothic"/>
        </w:rPr>
        <w:t xml:space="preserve">Druhou nejdůležitější položkou </w:t>
      </w:r>
      <w:r>
        <w:rPr>
          <w:rFonts w:eastAsia="MS Gothic"/>
        </w:rPr>
        <w:t>dlouhodobě</w:t>
      </w:r>
      <w:r w:rsidRPr="00991A9E">
        <w:rPr>
          <w:rFonts w:eastAsia="MS Gothic"/>
        </w:rPr>
        <w:t xml:space="preserve"> – s </w:t>
      </w:r>
      <w:r>
        <w:rPr>
          <w:rFonts w:eastAsia="MS Gothic"/>
        </w:rPr>
        <w:t>19% (9</w:t>
      </w:r>
      <w:r w:rsidRPr="00991A9E">
        <w:rPr>
          <w:rFonts w:eastAsia="MS Gothic"/>
        </w:rPr>
        <w:t>,</w:t>
      </w:r>
      <w:r>
        <w:rPr>
          <w:rFonts w:eastAsia="MS Gothic"/>
        </w:rPr>
        <w:t>6</w:t>
      </w:r>
      <w:r w:rsidRPr="00991A9E">
        <w:rPr>
          <w:rFonts w:eastAsia="MS Gothic"/>
        </w:rPr>
        <w:t xml:space="preserve"> mld. Kč) podílem v roce 201</w:t>
      </w:r>
      <w:r>
        <w:rPr>
          <w:rFonts w:eastAsia="MS Gothic"/>
        </w:rPr>
        <w:t>6</w:t>
      </w:r>
      <w:r w:rsidRPr="00991A9E">
        <w:rPr>
          <w:rFonts w:eastAsia="MS Gothic"/>
        </w:rPr>
        <w:t xml:space="preserve"> </w:t>
      </w:r>
      <w:r w:rsidR="000D1765" w:rsidRPr="00991A9E">
        <w:rPr>
          <w:rFonts w:eastAsia="MS Gothic"/>
        </w:rPr>
        <w:t>–</w:t>
      </w:r>
      <w:r w:rsidR="000D1765">
        <w:rPr>
          <w:rFonts w:eastAsia="MS Gothic"/>
        </w:rPr>
        <w:t xml:space="preserve"> </w:t>
      </w:r>
      <w:r w:rsidRPr="00991A9E">
        <w:rPr>
          <w:rFonts w:eastAsia="MS Gothic"/>
        </w:rPr>
        <w:t xml:space="preserve">tvoří přímé platby pacientů za </w:t>
      </w:r>
      <w:r w:rsidRPr="00991A9E">
        <w:rPr>
          <w:rFonts w:eastAsia="MS Gothic"/>
          <w:b/>
        </w:rPr>
        <w:t>zubařské výkony</w:t>
      </w:r>
      <w:r w:rsidR="00CF3148" w:rsidRPr="00CF3148">
        <w:rPr>
          <w:rFonts w:eastAsia="MS Gothic"/>
        </w:rPr>
        <w:t>, za které domácnosti v roce 2016 utratily 9,6 mld. Kč</w:t>
      </w:r>
      <w:r w:rsidRPr="00CF3148">
        <w:rPr>
          <w:rFonts w:eastAsia="MS Gothic"/>
        </w:rPr>
        <w:t>.</w:t>
      </w:r>
      <w:r w:rsidRPr="00991A9E">
        <w:rPr>
          <w:rFonts w:eastAsia="MS Gothic"/>
        </w:rPr>
        <w:t xml:space="preserve"> </w:t>
      </w:r>
      <w:r>
        <w:rPr>
          <w:rFonts w:eastAsia="MS Gothic"/>
        </w:rPr>
        <w:t xml:space="preserve">Více než </w:t>
      </w:r>
      <w:r w:rsidRPr="00991A9E">
        <w:rPr>
          <w:rFonts w:eastAsia="MS Gothic"/>
        </w:rPr>
        <w:t xml:space="preserve">desetina z výdajů domácností na zdravotní péči směřuje na příspěvky na </w:t>
      </w:r>
      <w:r w:rsidRPr="00991A9E">
        <w:rPr>
          <w:rFonts w:eastAsia="MS Gothic"/>
          <w:b/>
        </w:rPr>
        <w:t>ambulantní péči</w:t>
      </w:r>
      <w:r w:rsidRPr="00991A9E">
        <w:rPr>
          <w:rFonts w:eastAsia="MS Gothic"/>
        </w:rPr>
        <w:t xml:space="preserve">, ať už léčebnou nebo rehabilitační, stejně jako na </w:t>
      </w:r>
      <w:r w:rsidRPr="00991A9E">
        <w:rPr>
          <w:rFonts w:eastAsia="MS Gothic"/>
          <w:b/>
        </w:rPr>
        <w:t>terapeutické pomůcky</w:t>
      </w:r>
      <w:r w:rsidRPr="00991A9E">
        <w:rPr>
          <w:rFonts w:eastAsia="MS Gothic"/>
        </w:rPr>
        <w:t xml:space="preserve">, nejčastěji brýle a kontaktní čočky. </w:t>
      </w:r>
      <w:r>
        <w:rPr>
          <w:rFonts w:eastAsia="MS Gothic"/>
        </w:rPr>
        <w:t xml:space="preserve">Na lůžkovou péči </w:t>
      </w:r>
      <w:r>
        <w:rPr>
          <w:rFonts w:eastAsia="MS Gothic"/>
        </w:rPr>
        <w:lastRenderedPageBreak/>
        <w:t>přispěly domácnosti částkou ve výši 3,</w:t>
      </w:r>
      <w:r w:rsidR="00CF3148">
        <w:rPr>
          <w:rFonts w:eastAsia="MS Gothic"/>
        </w:rPr>
        <w:t>6</w:t>
      </w:r>
      <w:r>
        <w:rPr>
          <w:rFonts w:eastAsia="MS Gothic"/>
        </w:rPr>
        <w:t xml:space="preserve"> mld. Kč (7 %), z níž největší podíl – 75 % </w:t>
      </w:r>
      <w:r w:rsidR="000D1765">
        <w:rPr>
          <w:rFonts w:eastAsia="MS Gothic"/>
        </w:rPr>
        <w:t>–</w:t>
      </w:r>
      <w:r>
        <w:rPr>
          <w:rFonts w:eastAsia="MS Gothic"/>
        </w:rPr>
        <w:t xml:space="preserve"> tvoří výdaje na lůžkovou rehabilitační péči včetně pobytu v lázeňských zařízeních.</w:t>
      </w:r>
    </w:p>
    <w:p w:rsidR="00214E6F" w:rsidRPr="007949E3" w:rsidRDefault="00214E6F" w:rsidP="00214E6F">
      <w:pPr>
        <w:spacing w:before="240" w:after="120"/>
        <w:rPr>
          <w:rFonts w:eastAsia="MS Gothic"/>
          <w:b/>
          <w:i/>
        </w:rPr>
      </w:pPr>
      <w:r w:rsidRPr="003F4F9C">
        <w:rPr>
          <w:rFonts w:eastAsia="MS Gothic"/>
          <w:b/>
          <w:i/>
        </w:rPr>
        <w:t xml:space="preserve">Léky tvoří </w:t>
      </w:r>
      <w:r>
        <w:rPr>
          <w:rFonts w:eastAsia="MS Gothic"/>
          <w:b/>
          <w:i/>
        </w:rPr>
        <w:t xml:space="preserve">dlouhodobě </w:t>
      </w:r>
      <w:r w:rsidRPr="003F4F9C">
        <w:rPr>
          <w:rFonts w:eastAsia="MS Gothic"/>
          <w:b/>
          <w:i/>
        </w:rPr>
        <w:t>největší část výdajů domácností na zdravotní péči</w:t>
      </w:r>
    </w:p>
    <w:p w:rsidR="00FB007E" w:rsidRDefault="00FB007E" w:rsidP="00FB007E">
      <w:pPr>
        <w:keepNext/>
        <w:spacing w:before="120"/>
        <w:jc w:val="both"/>
      </w:pPr>
      <w:r w:rsidRPr="00CD2496">
        <w:t xml:space="preserve">Největší část finančních prostředků na zdravotní péči vydávají domácnosti každoročně na </w:t>
      </w:r>
      <w:r w:rsidRPr="00CD2496">
        <w:rPr>
          <w:b/>
        </w:rPr>
        <w:t xml:space="preserve">léčiva a ostatní zdravotnické výrobky </w:t>
      </w:r>
      <w:r w:rsidRPr="00CD2496">
        <w:t>(téměř 60 % v roce 2016). Více než tři čtvrtiny z této uvedené kategorie tvoří náklady na léky (na předpis i volně prodejné léky). Pětina výdajů z této kategorie směřuje na terapeutické pomůcky a</w:t>
      </w:r>
      <w:r w:rsidR="00CF3148">
        <w:t> </w:t>
      </w:r>
      <w:r w:rsidRPr="00CD2496">
        <w:t>vybavení (brýle, naslouchadla, ortopedické pomůcky, berle, invalidní vozíky apod</w:t>
      </w:r>
      <w:r w:rsidRPr="00C51E92">
        <w:t>.). Částka ve výši 30,6</w:t>
      </w:r>
      <w:r w:rsidR="00931794" w:rsidRPr="00C51E92">
        <w:t> </w:t>
      </w:r>
      <w:r w:rsidRPr="00C51E92">
        <w:t xml:space="preserve">mld. Kč (viz tabulka č. 3.2.1), kterou zaplatily domácnosti v roce 2016 za léčiva a </w:t>
      </w:r>
      <w:r w:rsidR="00C51E92" w:rsidRPr="00C51E92">
        <w:t xml:space="preserve">ostatní </w:t>
      </w:r>
      <w:r w:rsidRPr="00C51E92">
        <w:t xml:space="preserve">zdravotnické </w:t>
      </w:r>
      <w:r w:rsidR="00C51E92" w:rsidRPr="00C51E92">
        <w:t>výrobky</w:t>
      </w:r>
      <w:r w:rsidRPr="00C51E92">
        <w:t>, tvořila 8,5 % z celkových výdajů na zdravotní péči.</w:t>
      </w:r>
      <w:r>
        <w:t xml:space="preserve"> </w:t>
      </w:r>
    </w:p>
    <w:p w:rsidR="00214E6F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3.2.3 Výdaje domácností v ČR za léčiva a zdravotnický materiál, 201</w:t>
      </w:r>
      <w:r>
        <w:rPr>
          <w:rFonts w:cs="Arial"/>
          <w:b/>
          <w:sz w:val="18"/>
          <w:szCs w:val="18"/>
        </w:rPr>
        <w:t>2</w:t>
      </w:r>
      <w:r w:rsidRPr="00991A9E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6 (mld.</w:t>
      </w:r>
      <w:r w:rsidRPr="00991A9E">
        <w:rPr>
          <w:rFonts w:cs="Arial"/>
          <w:b/>
          <w:sz w:val="18"/>
          <w:szCs w:val="18"/>
        </w:rPr>
        <w:t xml:space="preserve"> Kč</w:t>
      </w:r>
      <w:r w:rsidR="000D1765">
        <w:rPr>
          <w:rFonts w:cs="Arial"/>
          <w:b/>
          <w:sz w:val="18"/>
          <w:szCs w:val="18"/>
        </w:rPr>
        <w:t>; %</w:t>
      </w:r>
      <w:r w:rsidRPr="00991A9E">
        <w:rPr>
          <w:rFonts w:cs="Arial"/>
          <w:b/>
          <w:sz w:val="18"/>
          <w:szCs w:val="18"/>
        </w:rPr>
        <w:t>)</w:t>
      </w:r>
    </w:p>
    <w:p w:rsidR="0051478D" w:rsidRDefault="0051478D" w:rsidP="00CF3148">
      <w:pPr>
        <w:keepNext/>
        <w:jc w:val="both"/>
        <w:rPr>
          <w:rFonts w:cs="Arial"/>
          <w:b/>
          <w:sz w:val="18"/>
          <w:szCs w:val="18"/>
        </w:rPr>
      </w:pPr>
      <w:r>
        <w:rPr>
          <w:b/>
          <w:i/>
          <w:sz w:val="18"/>
        </w:rPr>
        <w:t xml:space="preserve"> a) v mld. Kč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240B6D">
        <w:rPr>
          <w:b/>
          <w:i/>
          <w:sz w:val="18"/>
        </w:rPr>
        <w:t>b) struktura v</w:t>
      </w:r>
      <w:r>
        <w:rPr>
          <w:b/>
          <w:i/>
          <w:sz w:val="18"/>
        </w:rPr>
        <w:t xml:space="preserve"> %</w:t>
      </w:r>
    </w:p>
    <w:p w:rsidR="00214E6F" w:rsidRDefault="00214E6F" w:rsidP="00E1763E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3562350" cy="28670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25" cy="2924175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E6F" w:rsidRPr="00991A9E" w:rsidRDefault="00214E6F" w:rsidP="00214E6F">
      <w:pPr>
        <w:spacing w:before="120"/>
        <w:jc w:val="right"/>
        <w:rPr>
          <w:noProof/>
          <w:sz w:val="18"/>
          <w:szCs w:val="20"/>
        </w:rPr>
      </w:pP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8</w:t>
      </w:r>
      <w:r w:rsidRPr="00991A9E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6</w:t>
      </w:r>
      <w:r w:rsidRPr="00991A9E">
        <w:rPr>
          <w:i/>
          <w:sz w:val="16"/>
          <w:szCs w:val="16"/>
        </w:rPr>
        <w:t xml:space="preserve"> </w:t>
      </w:r>
    </w:p>
    <w:p w:rsidR="00214E6F" w:rsidRPr="00991A9E" w:rsidRDefault="00214E6F" w:rsidP="00214E6F">
      <w:pPr>
        <w:spacing w:before="200"/>
        <w:jc w:val="both"/>
        <w:rPr>
          <w:szCs w:val="17"/>
        </w:rPr>
      </w:pPr>
      <w:r>
        <w:rPr>
          <w:szCs w:val="17"/>
        </w:rPr>
        <w:t xml:space="preserve">Výdaje domácností </w:t>
      </w:r>
      <w:r w:rsidRPr="00AF3C35">
        <w:rPr>
          <w:b/>
          <w:szCs w:val="17"/>
        </w:rPr>
        <w:t>na volně prodejné léky</w:t>
      </w:r>
      <w:r>
        <w:rPr>
          <w:szCs w:val="17"/>
        </w:rPr>
        <w:t xml:space="preserve"> se v letech 2012 – 2014 pohybovaly na úrovni 12 mld. Kč. Výjimku tvořil rok 2013, kdy došlo k jejich mírnému snížení, stejně jako u výdajů léků na předpis. Následující rok přinesl další opětovný nárůst výdajů, který pokračoval i v dalších letech. </w:t>
      </w:r>
      <w:r w:rsidRPr="00991A9E">
        <w:rPr>
          <w:szCs w:val="17"/>
        </w:rPr>
        <w:t>V meziročním srovnání 201</w:t>
      </w:r>
      <w:r>
        <w:rPr>
          <w:szCs w:val="17"/>
        </w:rPr>
        <w:t>5</w:t>
      </w:r>
      <w:r w:rsidRPr="00991A9E">
        <w:rPr>
          <w:szCs w:val="17"/>
        </w:rPr>
        <w:t xml:space="preserve"> a 201</w:t>
      </w:r>
      <w:r>
        <w:rPr>
          <w:szCs w:val="17"/>
        </w:rPr>
        <w:t xml:space="preserve">6 </w:t>
      </w:r>
      <w:r w:rsidRPr="00991A9E">
        <w:rPr>
          <w:szCs w:val="17"/>
        </w:rPr>
        <w:t xml:space="preserve">byl zaznamenán nárůst výdajů domácností </w:t>
      </w:r>
      <w:r w:rsidRPr="00991A9E">
        <w:rPr>
          <w:b/>
          <w:szCs w:val="17"/>
        </w:rPr>
        <w:t xml:space="preserve">na </w:t>
      </w:r>
      <w:r>
        <w:rPr>
          <w:b/>
          <w:szCs w:val="17"/>
        </w:rPr>
        <w:t xml:space="preserve">volně prodejné léky </w:t>
      </w:r>
      <w:r w:rsidRPr="00991A9E">
        <w:rPr>
          <w:szCs w:val="17"/>
        </w:rPr>
        <w:t>o</w:t>
      </w:r>
      <w:r>
        <w:rPr>
          <w:szCs w:val="17"/>
        </w:rPr>
        <w:t> 700 </w:t>
      </w:r>
      <w:r w:rsidRPr="00991A9E">
        <w:rPr>
          <w:szCs w:val="17"/>
        </w:rPr>
        <w:t xml:space="preserve">miliónů Kč </w:t>
      </w:r>
      <w:r>
        <w:rPr>
          <w:szCs w:val="17"/>
        </w:rPr>
        <w:t>(o 5,5 %) a dosáhly zatím historického maxima 13,4 mld. Kč. Uvedená částka za nákup léků bez předpisu tvoří čtvrtinu celkových výdajů českých domácnosti na zdravotní péči.</w:t>
      </w:r>
    </w:p>
    <w:p w:rsidR="00214E6F" w:rsidRPr="00991A9E" w:rsidRDefault="00214E6F" w:rsidP="00214E6F">
      <w:pPr>
        <w:spacing w:before="120"/>
        <w:jc w:val="both"/>
        <w:rPr>
          <w:szCs w:val="17"/>
        </w:rPr>
      </w:pPr>
      <w:r w:rsidRPr="00AF3C35">
        <w:rPr>
          <w:szCs w:val="17"/>
        </w:rPr>
        <w:t xml:space="preserve">Obdobný vývoj výdajů domácností byl zaznamenán i u </w:t>
      </w:r>
      <w:r>
        <w:rPr>
          <w:b/>
          <w:szCs w:val="17"/>
        </w:rPr>
        <w:t xml:space="preserve">léků na předpis. </w:t>
      </w:r>
      <w:r w:rsidRPr="00FD6226">
        <w:rPr>
          <w:szCs w:val="17"/>
        </w:rPr>
        <w:t>V</w:t>
      </w:r>
      <w:r>
        <w:rPr>
          <w:szCs w:val="17"/>
        </w:rPr>
        <w:t xml:space="preserve"> porovnání s rokem 2015 zůstaly výdaje domácností na tuto kategorii léků bez výrazných změn a jejich finanční hodnota se pohybovala na úrovni 10,3 mld. Kč. </w:t>
      </w:r>
    </w:p>
    <w:p w:rsidR="00214E6F" w:rsidRPr="007949E3" w:rsidRDefault="00214E6F" w:rsidP="00214E6F">
      <w:pPr>
        <w:spacing w:before="240" w:after="120"/>
        <w:rPr>
          <w:rFonts w:eastAsia="MS Gothic"/>
          <w:b/>
          <w:i/>
        </w:rPr>
      </w:pPr>
      <w:r>
        <w:rPr>
          <w:rFonts w:eastAsia="MS Gothic"/>
          <w:b/>
          <w:i/>
        </w:rPr>
        <w:t>Domácnosti uhradí každoročně zhruba 200 miliónů Kč za regulační poplatek za návštěvu pohotovosti</w:t>
      </w:r>
    </w:p>
    <w:p w:rsidR="00214E6F" w:rsidRDefault="00214E6F" w:rsidP="00214E6F">
      <w:pPr>
        <w:spacing w:before="120"/>
        <w:jc w:val="both"/>
        <w:rPr>
          <w:rFonts w:cs="Arial"/>
          <w:szCs w:val="20"/>
        </w:rPr>
      </w:pPr>
      <w:r w:rsidRPr="00991A9E">
        <w:rPr>
          <w:rFonts w:cs="Arial"/>
          <w:szCs w:val="20"/>
        </w:rPr>
        <w:t xml:space="preserve">V souladu se zákonem č.261/2007 Sb., o stabilizaci veřejných rozpočtů, kterým byl mimo jiné změněn zákon č.48/1997 Sb., o veřejném zdravotním pojištění, začali pacienti od počátku roku 2008 hradit zdravotnickým zařízením </w:t>
      </w:r>
      <w:r w:rsidRPr="00991A9E">
        <w:rPr>
          <w:rFonts w:cs="Arial"/>
          <w:b/>
          <w:szCs w:val="20"/>
        </w:rPr>
        <w:t>čtyři druhy regulačních poplatků</w:t>
      </w:r>
      <w:r>
        <w:rPr>
          <w:rFonts w:cs="Arial"/>
          <w:b/>
          <w:szCs w:val="20"/>
        </w:rPr>
        <w:t xml:space="preserve"> – za návštěvu lékaře v běžných ambulancích i na pohotovosti, za hospitalizaci</w:t>
      </w:r>
      <w:r w:rsidRPr="00991A9E">
        <w:rPr>
          <w:rFonts w:cs="Arial"/>
          <w:szCs w:val="20"/>
        </w:rPr>
        <w:t xml:space="preserve"> </w:t>
      </w:r>
      <w:r w:rsidRPr="00FD6226">
        <w:rPr>
          <w:rFonts w:cs="Arial"/>
          <w:b/>
          <w:szCs w:val="20"/>
        </w:rPr>
        <w:t>v nemocnici, ústavním či lázeňském zařízení a za recept</w:t>
      </w:r>
      <w:r>
        <w:rPr>
          <w:rFonts w:cs="Arial"/>
          <w:szCs w:val="20"/>
        </w:rPr>
        <w:t xml:space="preserve">. </w:t>
      </w:r>
      <w:r w:rsidRPr="00991A9E">
        <w:rPr>
          <w:rFonts w:cs="Arial"/>
          <w:szCs w:val="20"/>
        </w:rPr>
        <w:t>Cílem regulačních poplatků bylo především lepší využití prostředků veřejného zdravotního pojištění, omezení zbytečných návštěv u lékařů, neúčelné předepisování a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 xml:space="preserve">ušetření výdajů za levné léky a přesunutí finančních prostředků na péči pro těžce nemocné pacienty. </w:t>
      </w:r>
    </w:p>
    <w:p w:rsidR="00214E6F" w:rsidRPr="00991A9E" w:rsidRDefault="00214E6F" w:rsidP="00214E6F">
      <w:pPr>
        <w:spacing w:before="120"/>
        <w:jc w:val="both"/>
        <w:rPr>
          <w:szCs w:val="20"/>
        </w:rPr>
      </w:pPr>
      <w:r>
        <w:rPr>
          <w:rFonts w:cs="Arial"/>
          <w:szCs w:val="20"/>
        </w:rPr>
        <w:lastRenderedPageBreak/>
        <w:t xml:space="preserve">V průběhu uplynulých let došlo u jednotlivých regulačních poplatků k některým legislativním změnám nebo byly postupně úplně zrušeny. </w:t>
      </w:r>
      <w:r w:rsidRPr="00991A9E">
        <w:rPr>
          <w:rFonts w:cs="Arial"/>
          <w:szCs w:val="20"/>
        </w:rPr>
        <w:t>V platnosti nadále zůstává devadesátikorunový regulační poplatek za využití lékařské a zubní pohotovosti.</w:t>
      </w:r>
    </w:p>
    <w:p w:rsidR="00214E6F" w:rsidRDefault="00214E6F" w:rsidP="00214E6F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3.2.4 Výdaje domácností v</w:t>
      </w:r>
      <w:r w:rsidR="00E1763E">
        <w:rPr>
          <w:rFonts w:cs="Arial"/>
          <w:b/>
          <w:sz w:val="18"/>
          <w:szCs w:val="18"/>
        </w:rPr>
        <w:t> </w:t>
      </w:r>
      <w:r w:rsidR="0034055C">
        <w:rPr>
          <w:rFonts w:cs="Arial"/>
          <w:b/>
          <w:sz w:val="18"/>
          <w:szCs w:val="18"/>
        </w:rPr>
        <w:t>Č</w:t>
      </w:r>
      <w:r w:rsidR="00E1763E">
        <w:rPr>
          <w:rFonts w:cs="Arial"/>
          <w:b/>
          <w:sz w:val="18"/>
          <w:szCs w:val="18"/>
        </w:rPr>
        <w:t xml:space="preserve">esku </w:t>
      </w:r>
      <w:r w:rsidRPr="00991A9E">
        <w:rPr>
          <w:rFonts w:cs="Arial"/>
          <w:b/>
          <w:sz w:val="18"/>
          <w:szCs w:val="18"/>
        </w:rPr>
        <w:t>na regulační poplatky, 2008-201</w:t>
      </w:r>
      <w:r>
        <w:rPr>
          <w:rFonts w:cs="Arial"/>
          <w:b/>
          <w:sz w:val="18"/>
          <w:szCs w:val="18"/>
        </w:rPr>
        <w:t>6</w:t>
      </w:r>
      <w:r w:rsidRPr="00991A9E">
        <w:rPr>
          <w:rFonts w:cs="Arial"/>
          <w:b/>
          <w:sz w:val="18"/>
          <w:szCs w:val="18"/>
        </w:rPr>
        <w:t xml:space="preserve"> (mil. Kč)</w:t>
      </w:r>
    </w:p>
    <w:p w:rsidR="00214E6F" w:rsidRDefault="00214E6F" w:rsidP="00214E6F">
      <w:pPr>
        <w:keepNext/>
        <w:spacing w:before="240" w:after="120"/>
        <w:rPr>
          <w:rFonts w:cs="Arial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124575" cy="28800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4E6F" w:rsidRPr="00991A9E" w:rsidRDefault="00214E6F" w:rsidP="00214E6F">
      <w:pPr>
        <w:spacing w:before="120"/>
        <w:jc w:val="right"/>
        <w:rPr>
          <w:szCs w:val="17"/>
        </w:rPr>
      </w:pP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8</w:t>
      </w:r>
      <w:r w:rsidRPr="00991A9E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6</w:t>
      </w:r>
      <w:r w:rsidRPr="00991A9E">
        <w:rPr>
          <w:i/>
          <w:sz w:val="16"/>
          <w:szCs w:val="16"/>
        </w:rPr>
        <w:t xml:space="preserve"> </w:t>
      </w:r>
    </w:p>
    <w:p w:rsidR="00214E6F" w:rsidRDefault="00214E6F" w:rsidP="00214E6F">
      <w:pPr>
        <w:spacing w:before="120"/>
        <w:jc w:val="both"/>
      </w:pPr>
      <w:r w:rsidRPr="000B2479">
        <w:t>Jak ukazuje výše uvedený graf</w:t>
      </w:r>
      <w:r>
        <w:t xml:space="preserve">, </w:t>
      </w:r>
      <w:r w:rsidRPr="000B2479">
        <w:t xml:space="preserve">regulační poplatky </w:t>
      </w:r>
      <w:r>
        <w:t>přinesly</w:t>
      </w:r>
      <w:r w:rsidRPr="000B2479">
        <w:t xml:space="preserve"> do zdravotnického systému až do roku 2013 více než 5 mld. Kč. Po zrušení povinnosti pacientů hradit regulační poplatek ve výši 100 Kč na den za pobyt v lůžkových zařízeních </w:t>
      </w:r>
      <w:r>
        <w:t xml:space="preserve">se tato částka snížila </w:t>
      </w:r>
      <w:r w:rsidRPr="000B2479">
        <w:t xml:space="preserve">zhruba </w:t>
      </w:r>
      <w:r>
        <w:t xml:space="preserve">na </w:t>
      </w:r>
      <w:r w:rsidRPr="000B2479">
        <w:t>4 mld. Kč. V letech 2015 – 2016 utrati</w:t>
      </w:r>
      <w:r>
        <w:t>li lidé za využití pohotovostních služeb necelých 200 mil. Kč.</w:t>
      </w:r>
    </w:p>
    <w:p w:rsidR="00214E6F" w:rsidRPr="00991A9E" w:rsidRDefault="00214E6F" w:rsidP="00214E6F">
      <w:pPr>
        <w:spacing w:before="120"/>
        <w:jc w:val="both"/>
        <w:rPr>
          <w:szCs w:val="17"/>
        </w:rPr>
      </w:pPr>
      <w:r w:rsidRPr="00991A9E">
        <w:rPr>
          <w:szCs w:val="17"/>
        </w:rPr>
        <w:t>Na základě výše výdajů za regulační poplatky v roce 201</w:t>
      </w:r>
      <w:r>
        <w:rPr>
          <w:szCs w:val="17"/>
        </w:rPr>
        <w:t>6</w:t>
      </w:r>
      <w:r w:rsidRPr="00991A9E">
        <w:rPr>
          <w:szCs w:val="17"/>
        </w:rPr>
        <w:t xml:space="preserve"> mezi nejčastější diagnózy, se kterými lidé pohotovostní službu dlouhodobě vyhledávají, patří poranění, otravy a popáleniny (5</w:t>
      </w:r>
      <w:r>
        <w:rPr>
          <w:szCs w:val="17"/>
        </w:rPr>
        <w:t>6</w:t>
      </w:r>
      <w:r w:rsidRPr="00991A9E">
        <w:rPr>
          <w:szCs w:val="17"/>
        </w:rPr>
        <w:t xml:space="preserve"> mil. Kč), nemoci dýchacích cest (25 mil. Kč) a onemocnění trávicí soustavy (2</w:t>
      </w:r>
      <w:r>
        <w:rPr>
          <w:szCs w:val="17"/>
        </w:rPr>
        <w:t>1</w:t>
      </w:r>
      <w:r w:rsidRPr="00991A9E">
        <w:rPr>
          <w:szCs w:val="17"/>
        </w:rPr>
        <w:t xml:space="preserve"> mil. Kč).</w:t>
      </w:r>
      <w:r>
        <w:rPr>
          <w:szCs w:val="17"/>
        </w:rPr>
        <w:t xml:space="preserve"> Podle výše regulačních poplatků podle věkových skupin a pohlaví vyhledávají nejčastěji pohotovostní služby s poraněními, otravami a popáleninami muži ve věku 20 – 29 let (3,3 mil. Kč) a dívky ve věku 10 </w:t>
      </w:r>
      <w:r w:rsidR="0051478D">
        <w:rPr>
          <w:szCs w:val="17"/>
        </w:rPr>
        <w:t xml:space="preserve">– </w:t>
      </w:r>
      <w:r>
        <w:rPr>
          <w:szCs w:val="17"/>
        </w:rPr>
        <w:t>14 let (2,4 mil. Kč). S obtížemi dýchacího ústroj</w:t>
      </w:r>
      <w:r w:rsidR="00C85E96">
        <w:rPr>
          <w:szCs w:val="17"/>
        </w:rPr>
        <w:t>í</w:t>
      </w:r>
      <w:r>
        <w:rPr>
          <w:szCs w:val="17"/>
        </w:rPr>
        <w:t xml:space="preserve"> jsou nejčastějšími pacienty na pohotovosti děti do 4 let (chlapci 3,4 mil. Kč a dívky 2,7 mil. Kč) a s nemocemi zažívacího traktu lidé ve věku 25 – 29 let (shodná výše regulačního poplatku 1,2 mil. Kč).</w:t>
      </w:r>
    </w:p>
    <w:p w:rsidR="00214E6F" w:rsidRPr="007949E3" w:rsidRDefault="00214E6F" w:rsidP="00214E6F">
      <w:pPr>
        <w:spacing w:before="240" w:after="120"/>
        <w:rPr>
          <w:b/>
          <w:i/>
        </w:rPr>
      </w:pPr>
      <w:r w:rsidRPr="007949E3">
        <w:rPr>
          <w:b/>
          <w:i/>
        </w:rPr>
        <w:t>Kdo a kdy neplatí za pohotovost</w:t>
      </w:r>
    </w:p>
    <w:p w:rsidR="00214E6F" w:rsidRPr="00FB007E" w:rsidRDefault="00214E6F" w:rsidP="00214E6F">
      <w:pPr>
        <w:spacing w:before="120" w:after="120"/>
        <w:jc w:val="both"/>
        <w:rPr>
          <w:rFonts w:cs="Arial"/>
          <w:i/>
          <w:szCs w:val="20"/>
        </w:rPr>
      </w:pPr>
      <w:r w:rsidRPr="00FB007E">
        <w:rPr>
          <w:rFonts w:cs="Arial"/>
          <w:i/>
          <w:szCs w:val="20"/>
        </w:rPr>
        <w:t>Pokud v rámci pohotovostní služby ošetřující lékař shledá, že stav pacienta vyžaduje hospitalizaci, regulační poplatek se neplatí.</w:t>
      </w:r>
      <w:r w:rsidR="00FB007E" w:rsidRPr="00FB007E">
        <w:rPr>
          <w:rFonts w:cs="Arial"/>
          <w:i/>
          <w:szCs w:val="20"/>
        </w:rPr>
        <w:t xml:space="preserve"> </w:t>
      </w:r>
      <w:r w:rsidRPr="00FB007E">
        <w:rPr>
          <w:rFonts w:cs="Arial"/>
          <w:i/>
          <w:szCs w:val="20"/>
        </w:rPr>
        <w:t xml:space="preserve">Regulační poplatek za pohotovost neplatí pojištěnci v dětských domovech pro děti do tří let, ve školských zařízeních pro výkon ústavní či ochranné výchovy a v domovech pro osoby se zdravotním postižením. Dále je neplatí také pojištěnci svěření rozhodnutím soudu do pěstounské péče, poručnické péče nebo do péče jiné osoby podle občanského zákoníku. </w:t>
      </w:r>
    </w:p>
    <w:p w:rsidR="00214E6F" w:rsidRPr="00FB007E" w:rsidRDefault="00214E6F" w:rsidP="00214E6F">
      <w:pPr>
        <w:spacing w:before="120" w:after="120"/>
        <w:jc w:val="both"/>
        <w:rPr>
          <w:rFonts w:cs="Arial"/>
          <w:i/>
          <w:szCs w:val="20"/>
        </w:rPr>
      </w:pPr>
      <w:r w:rsidRPr="00FB007E">
        <w:rPr>
          <w:rFonts w:cs="Arial"/>
          <w:i/>
          <w:szCs w:val="20"/>
        </w:rPr>
        <w:t>Regulační poplatek nehradí ani pacienti z domovů pro osoby se zdravotním postižením, domovů pro seniory, domovů se zvláštním režimem nebo v lůžkových zdravotnických zařízeních, pokud jim po úhradě ubytování a stravy zbude méně než 800 korun měsíčně, případně žádný příjem nemají. Osvobozeni od poplatku jsou také ti, kdo se prokážou dokladem o dávce v hmotné nouzi, který není starší než 30 dnů.</w:t>
      </w:r>
    </w:p>
    <w:p w:rsidR="00214E6F" w:rsidRPr="00FB007E" w:rsidRDefault="00214E6F" w:rsidP="00214E6F">
      <w:pPr>
        <w:spacing w:before="120" w:after="120"/>
        <w:jc w:val="both"/>
        <w:rPr>
          <w:rFonts w:cs="Arial"/>
          <w:i/>
          <w:szCs w:val="20"/>
        </w:rPr>
      </w:pPr>
      <w:r w:rsidRPr="00FB007E">
        <w:rPr>
          <w:rFonts w:cs="Arial"/>
          <w:i/>
          <w:szCs w:val="20"/>
        </w:rPr>
        <w:t>Na návštěvní službu, tedy přivolání lékaře do domácnosti, se regulační poplatek jako za pohotovost nevztahuje.</w:t>
      </w:r>
    </w:p>
    <w:sectPr w:rsidR="00214E6F" w:rsidRPr="00FB007E" w:rsidSect="00995B7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F0" w:rsidRDefault="00010AF0" w:rsidP="00E71A58">
      <w:r>
        <w:separator/>
      </w:r>
    </w:p>
  </w:endnote>
  <w:endnote w:type="continuationSeparator" w:id="0">
    <w:p w:rsidR="00010AF0" w:rsidRDefault="00010AF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BF205E" wp14:editId="42498D1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95B75">
      <w:rPr>
        <w:rFonts w:ascii="Arial" w:hAnsi="Arial" w:cs="Arial"/>
        <w:noProof/>
        <w:sz w:val="16"/>
        <w:szCs w:val="16"/>
      </w:rPr>
      <w:t>32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AB593A1" wp14:editId="42ED41C8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995B75">
      <w:rPr>
        <w:rFonts w:ascii="Arial" w:hAnsi="Arial" w:cs="Arial"/>
        <w:noProof/>
        <w:sz w:val="16"/>
        <w:szCs w:val="16"/>
      </w:rPr>
      <w:t>33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F0" w:rsidRDefault="00010AF0" w:rsidP="00E71A58">
      <w:r>
        <w:separator/>
      </w:r>
    </w:p>
  </w:footnote>
  <w:footnote w:type="continuationSeparator" w:id="0">
    <w:p w:rsidR="00010AF0" w:rsidRDefault="00010AF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10AF0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95B75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7_Zdravotnictvi\SHA\ANAL&#221;ZA%20SHA%202010-2016\SHA_2010_2016_Grafy_Kapitola_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823202614379087E-2"/>
          <c:y val="4.2266993464052292E-2"/>
          <c:w val="0.93915277777777773"/>
          <c:h val="0.76891215277777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'2_1 (2)'!$A$4</c:f>
              <c:strCache>
                <c:ptCount val="1"/>
                <c:pt idx="0">
                  <c:v> Celkem v mld. Kč - běžné ceny</c:v>
                </c:pt>
              </c:strCache>
            </c:strRef>
          </c:tx>
          <c:spPr>
            <a:solidFill>
              <a:srgbClr val="D96D75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'2_1 (2)'!$B$3:$H$3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'2_1 (2)'!$B$4:$H$4</c:f>
              <c:numCache>
                <c:formatCode>0.0</c:formatCode>
                <c:ptCount val="7"/>
                <c:pt idx="0">
                  <c:v>42.704999999999998</c:v>
                </c:pt>
                <c:pt idx="1">
                  <c:v>44.027999999999999</c:v>
                </c:pt>
                <c:pt idx="2">
                  <c:v>44.238999999999997</c:v>
                </c:pt>
                <c:pt idx="3">
                  <c:v>43.465000000000003</c:v>
                </c:pt>
                <c:pt idx="4">
                  <c:v>46.49</c:v>
                </c:pt>
                <c:pt idx="5">
                  <c:v>49.357999999999997</c:v>
                </c:pt>
                <c:pt idx="6">
                  <c:v>51.215000000000003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1408896"/>
        <c:axId val="331310208"/>
      </c:barChart>
      <c:lineChart>
        <c:grouping val="standard"/>
        <c:varyColors val="0"/>
        <c:ser>
          <c:idx val="1"/>
          <c:order val="1"/>
          <c:tx>
            <c:strRef>
              <c:f>'2_1 (2)'!$A$5</c:f>
              <c:strCache>
                <c:ptCount val="1"/>
                <c:pt idx="0">
                  <c:v> na 1 obyvatele v Kč</c:v>
                </c:pt>
              </c:strCache>
            </c:strRef>
          </c:tx>
          <c:spPr>
            <a:ln>
              <a:solidFill>
                <a:srgbClr val="187BB8"/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numRef>
              <c:f>'2_1 (2)'!$B$3:$H$3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'2_1 (2)'!$B$5:$H$5</c:f>
              <c:numCache>
                <c:formatCode>#,##0.0</c:formatCode>
                <c:ptCount val="7"/>
                <c:pt idx="0">
                  <c:v>4060.4732398126621</c:v>
                </c:pt>
                <c:pt idx="1">
                  <c:v>4194.4723051268056</c:v>
                </c:pt>
                <c:pt idx="2">
                  <c:v>4209.5152801056129</c:v>
                </c:pt>
                <c:pt idx="3">
                  <c:v>4135.3022566772079</c:v>
                </c:pt>
                <c:pt idx="4">
                  <c:v>4417.1932095892143</c:v>
                </c:pt>
                <c:pt idx="5">
                  <c:v>4681.6154352361991</c:v>
                </c:pt>
                <c:pt idx="6">
                  <c:v>4847.47972700024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709120"/>
        <c:axId val="331310784"/>
      </c:lineChart>
      <c:catAx>
        <c:axId val="9140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331310208"/>
        <c:crosses val="autoZero"/>
        <c:auto val="1"/>
        <c:lblAlgn val="ctr"/>
        <c:lblOffset val="100"/>
        <c:noMultiLvlLbl val="0"/>
      </c:catAx>
      <c:valAx>
        <c:axId val="331310208"/>
        <c:scaling>
          <c:orientation val="minMax"/>
          <c:max val="60"/>
          <c:min val="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" sourceLinked="0"/>
        <c:majorTickMark val="none"/>
        <c:minorTickMark val="none"/>
        <c:tickLblPos val="none"/>
        <c:spPr>
          <a:ln w="3175">
            <a:solidFill>
              <a:schemeClr val="bg1">
                <a:lumMod val="75000"/>
              </a:schemeClr>
            </a:solidFill>
          </a:ln>
        </c:spPr>
        <c:crossAx val="91408896"/>
        <c:crosses val="autoZero"/>
        <c:crossBetween val="between"/>
        <c:majorUnit val="10"/>
        <c:minorUnit val="1"/>
      </c:valAx>
      <c:valAx>
        <c:axId val="331310784"/>
        <c:scaling>
          <c:orientation val="minMax"/>
          <c:max val="5500"/>
          <c:min val="0"/>
        </c:scaling>
        <c:delete val="0"/>
        <c:axPos val="r"/>
        <c:numFmt formatCode="#,##0" sourceLinked="0"/>
        <c:majorTickMark val="none"/>
        <c:minorTickMark val="none"/>
        <c:tickLblPos val="none"/>
        <c:crossAx val="160709120"/>
        <c:crosses val="max"/>
        <c:crossBetween val="between"/>
        <c:majorUnit val="500"/>
        <c:minorUnit val="100"/>
      </c:valAx>
      <c:catAx>
        <c:axId val="160709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131078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597186221287553"/>
          <c:y val="0.13141387393644741"/>
          <c:w val="0.5590707683278725"/>
          <c:h val="0.80908238145209344"/>
        </c:manualLayout>
      </c:layout>
      <c:pieChart>
        <c:varyColors val="1"/>
        <c:ser>
          <c:idx val="0"/>
          <c:order val="0"/>
          <c:spPr>
            <a:solidFill>
              <a:srgbClr val="D96D75"/>
            </a:solidFill>
            <a:ln>
              <a:solidFill>
                <a:srgbClr val="7F7F7F"/>
              </a:solidFill>
            </a:ln>
          </c:spPr>
          <c:dPt>
            <c:idx val="0"/>
            <c:bubble3D val="0"/>
            <c:spPr>
              <a:solidFill>
                <a:srgbClr val="83A5CF"/>
              </a:solidFill>
              <a:ln>
                <a:solidFill>
                  <a:srgbClr val="376092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rgbClr val="77933C"/>
                </a:solidFill>
              </a:ln>
            </c:spPr>
          </c:dPt>
          <c:dPt>
            <c:idx val="2"/>
            <c:bubble3D val="0"/>
            <c:spPr>
              <a:solidFill>
                <a:srgbClr val="0071BC"/>
              </a:solidFill>
              <a:ln>
                <a:solidFill>
                  <a:srgbClr val="376092"/>
                </a:solidFill>
              </a:ln>
            </c:spPr>
          </c:dPt>
          <c:dPt>
            <c:idx val="3"/>
            <c:bubble3D val="0"/>
            <c:spPr>
              <a:solidFill>
                <a:srgbClr val="D96D75"/>
              </a:solidFill>
              <a:ln>
                <a:solidFill>
                  <a:srgbClr val="953735"/>
                </a:solidFill>
              </a:ln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rgbClr val="E46C0A"/>
                </a:solidFill>
              </a:ln>
            </c:spPr>
          </c:dPt>
          <c:dLbls>
            <c:dLbl>
              <c:idx val="0"/>
              <c:layout>
                <c:manualLayout>
                  <c:x val="0.16635803153713766"/>
                  <c:y val="2.70791946059746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8069449065345"/>
                  <c:y val="0.184940133366721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2047407117588594E-2"/>
                  <c:y val="0.139510133477279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3126457018959596E-2"/>
                  <c:y val="2.7804070377556517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Léčiva a zdravotnický materiál </a:t>
                    </a:r>
                    <a:endParaRPr lang="cs-CZ" sz="8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r>
                      <a:rPr lang="cs-CZ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48</a:t>
                    </a:r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424831133139983"/>
                  <c:y val="3.42603963495388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'G2+tabulka 1'!$M$14:$M$18</c:f>
              <c:strCache>
                <c:ptCount val="5"/>
                <c:pt idx="0">
                  <c:v>Lůžková péče
(léčebná, rehabilitační, dlouhodobá)</c:v>
                </c:pt>
                <c:pt idx="1">
                  <c:v>Ambulantní péče
(léčebná, rehabilitační)</c:v>
                </c:pt>
                <c:pt idx="2">
                  <c:v>Stomatologická ambulantní péče</c:v>
                </c:pt>
                <c:pt idx="3">
                  <c:v>Léčiva a zdravotnický materiál</c:v>
                </c:pt>
                <c:pt idx="4">
                  <c:v>Terapeutické pomůcky</c:v>
                </c:pt>
              </c:strCache>
            </c:strRef>
          </c:cat>
          <c:val>
            <c:numRef>
              <c:f>'G2+tabulka 1'!$N$14:$N$18</c:f>
              <c:numCache>
                <c:formatCode>#,##0</c:formatCode>
                <c:ptCount val="5"/>
                <c:pt idx="0">
                  <c:v>3588</c:v>
                </c:pt>
                <c:pt idx="1">
                  <c:v>7416</c:v>
                </c:pt>
                <c:pt idx="2">
                  <c:v>9637</c:v>
                </c:pt>
                <c:pt idx="3">
                  <c:v>24428</c:v>
                </c:pt>
                <c:pt idx="4">
                  <c:v>6146</c:v>
                </c:pt>
              </c:numCache>
            </c:numRef>
          </c:val>
        </c:ser>
        <c:ser>
          <c:idx val="1"/>
          <c:order val="1"/>
          <c:cat>
            <c:strRef>
              <c:f>'G2+tabulka 1'!$M$14:$M$18</c:f>
              <c:strCache>
                <c:ptCount val="5"/>
                <c:pt idx="0">
                  <c:v>Lůžková péče
(léčebná, rehabilitační, dlouhodobá)</c:v>
                </c:pt>
                <c:pt idx="1">
                  <c:v>Ambulantní péče
(léčebná, rehabilitační)</c:v>
                </c:pt>
                <c:pt idx="2">
                  <c:v>Stomatologická ambulantní péče</c:v>
                </c:pt>
                <c:pt idx="3">
                  <c:v>Léčiva a zdravotnický materiál</c:v>
                </c:pt>
                <c:pt idx="4">
                  <c:v>Terapeutické pomůcky</c:v>
                </c:pt>
              </c:strCache>
            </c:strRef>
          </c:cat>
          <c:val>
            <c:numRef>
              <c:f>'G2+tabulka 1'!$O$14:$O$18</c:f>
              <c:numCache>
                <c:formatCode>0%</c:formatCode>
                <c:ptCount val="5"/>
                <c:pt idx="0">
                  <c:v>7.0057600312408513E-2</c:v>
                </c:pt>
                <c:pt idx="1">
                  <c:v>0.14480132773601484</c:v>
                </c:pt>
                <c:pt idx="2">
                  <c:v>0.1881675290442254</c:v>
                </c:pt>
                <c:pt idx="3">
                  <c:v>0.47696963780142537</c:v>
                </c:pt>
                <c:pt idx="4">
                  <c:v>0.12000390510592601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333333333333367E-3"/>
          <c:y val="0"/>
          <c:w val="0.64150791151106112"/>
          <c:h val="0.915055501783207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'G3'!$A$33</c:f>
              <c:strCache>
                <c:ptCount val="1"/>
                <c:pt idx="0">
                  <c:v>Volně prodejné léky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'G3'!$B$32:$H$32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'G3'!$B$33:$H$33</c:f>
              <c:numCache>
                <c:formatCode>0.0</c:formatCode>
                <c:ptCount val="5"/>
                <c:pt idx="0">
                  <c:v>12.1</c:v>
                </c:pt>
                <c:pt idx="1">
                  <c:v>11.179</c:v>
                </c:pt>
                <c:pt idx="2">
                  <c:v>12.14</c:v>
                </c:pt>
                <c:pt idx="3">
                  <c:v>12.744</c:v>
                </c:pt>
                <c:pt idx="4">
                  <c:v>13.447000000000001</c:v>
                </c:pt>
              </c:numCache>
            </c:numRef>
          </c:val>
        </c:ser>
        <c:ser>
          <c:idx val="1"/>
          <c:order val="1"/>
          <c:tx>
            <c:strRef>
              <c:f>'G3'!$A$34</c:f>
              <c:strCache>
                <c:ptCount val="1"/>
                <c:pt idx="0">
                  <c:v>Léky na předpis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'G3'!$B$32:$H$32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'G3'!$B$34:$H$34</c:f>
              <c:numCache>
                <c:formatCode>0.0</c:formatCode>
                <c:ptCount val="5"/>
                <c:pt idx="0">
                  <c:v>9.4</c:v>
                </c:pt>
                <c:pt idx="1">
                  <c:v>9.3030000000000008</c:v>
                </c:pt>
                <c:pt idx="2">
                  <c:v>9.4960000000000004</c:v>
                </c:pt>
                <c:pt idx="3">
                  <c:v>10.121</c:v>
                </c:pt>
                <c:pt idx="4">
                  <c:v>10.295</c:v>
                </c:pt>
              </c:numCache>
            </c:numRef>
          </c:val>
        </c:ser>
        <c:ser>
          <c:idx val="2"/>
          <c:order val="2"/>
          <c:tx>
            <c:strRef>
              <c:f>'G3'!$A$35</c:f>
              <c:strCache>
                <c:ptCount val="1"/>
                <c:pt idx="0">
                  <c:v>Ostatní zdravotnický materiál a výrobky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'G3'!$B$32:$H$32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'G3'!$D$35:$H$35</c:f>
              <c:numCache>
                <c:formatCode>0.0</c:formatCode>
                <c:ptCount val="5"/>
                <c:pt idx="0">
                  <c:v>0.7000000000000004</c:v>
                </c:pt>
                <c:pt idx="1">
                  <c:v>0.62000000000000044</c:v>
                </c:pt>
                <c:pt idx="2">
                  <c:v>0.62800000000000045</c:v>
                </c:pt>
                <c:pt idx="3">
                  <c:v>0.67000000000000071</c:v>
                </c:pt>
                <c:pt idx="4">
                  <c:v>0.68600000000000005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78768896"/>
        <c:axId val="331313088"/>
      </c:barChart>
      <c:catAx>
        <c:axId val="17876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31313088"/>
        <c:crosses val="autoZero"/>
        <c:auto val="1"/>
        <c:lblAlgn val="ctr"/>
        <c:lblOffset val="100"/>
        <c:noMultiLvlLbl val="0"/>
      </c:catAx>
      <c:valAx>
        <c:axId val="331313088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" sourceLinked="1"/>
        <c:majorTickMark val="out"/>
        <c:minorTickMark val="none"/>
        <c:tickLblPos val="none"/>
        <c:crossAx val="178768896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1809523809523856"/>
          <c:y val="0.1965890201224848"/>
          <c:w val="0.27698417697787836"/>
          <c:h val="0.55126640419947504"/>
        </c:manualLayout>
      </c:layout>
      <c:overlay val="0"/>
      <c:spPr>
        <a:ln>
          <a:solidFill>
            <a:schemeClr val="bg1">
              <a:lumMod val="75000"/>
            </a:scheme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555555555555504E-2"/>
          <c:y val="9.524053792950122E-4"/>
          <c:w val="0.94444444444444464"/>
          <c:h val="0.90929510032744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'G3'!$A$39</c:f>
              <c:strCache>
                <c:ptCount val="1"/>
                <c:pt idx="0">
                  <c:v>Volně prodejné léky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'G3'!$B$38:$H$38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'G3'!$B$39:$H$39</c:f>
              <c:numCache>
                <c:formatCode>0.0%</c:formatCode>
                <c:ptCount val="5"/>
                <c:pt idx="0">
                  <c:v>0.54504504504504503</c:v>
                </c:pt>
                <c:pt idx="1">
                  <c:v>0.52976021230215165</c:v>
                </c:pt>
                <c:pt idx="2">
                  <c:v>0.54527488321954765</c:v>
                </c:pt>
                <c:pt idx="3">
                  <c:v>0.54149139579349903</c:v>
                </c:pt>
                <c:pt idx="4">
                  <c:v>0.55047486490912068</c:v>
                </c:pt>
              </c:numCache>
            </c:numRef>
          </c:val>
        </c:ser>
        <c:ser>
          <c:idx val="1"/>
          <c:order val="1"/>
          <c:tx>
            <c:strRef>
              <c:f>'G3'!$A$40</c:f>
              <c:strCache>
                <c:ptCount val="1"/>
                <c:pt idx="0">
                  <c:v>Léky na předpis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'G3'!$B$38:$H$38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'G3'!$B$40:$H$40</c:f>
              <c:numCache>
                <c:formatCode>0.0%</c:formatCode>
                <c:ptCount val="5"/>
                <c:pt idx="0">
                  <c:v>0.42342342342342348</c:v>
                </c:pt>
                <c:pt idx="1">
                  <c:v>0.44085868638043813</c:v>
                </c:pt>
                <c:pt idx="2">
                  <c:v>0.42651814588573511</c:v>
                </c:pt>
                <c:pt idx="3">
                  <c:v>0.43004036541321455</c:v>
                </c:pt>
                <c:pt idx="4">
                  <c:v>0.42144260684460494</c:v>
                </c:pt>
              </c:numCache>
            </c:numRef>
          </c:val>
        </c:ser>
        <c:ser>
          <c:idx val="2"/>
          <c:order val="2"/>
          <c:tx>
            <c:strRef>
              <c:f>'G3'!$A$41</c:f>
              <c:strCache>
                <c:ptCount val="1"/>
                <c:pt idx="0">
                  <c:v>Ostatní zdravotnický materiál a výrobky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'G3'!$B$38:$H$38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'G3'!$B$41:$H$41</c:f>
              <c:numCache>
                <c:formatCode>0.0%</c:formatCode>
                <c:ptCount val="5"/>
                <c:pt idx="0">
                  <c:v>3.1531531531531536E-2</c:v>
                </c:pt>
                <c:pt idx="1">
                  <c:v>2.9381101317410681E-2</c:v>
                </c:pt>
                <c:pt idx="2">
                  <c:v>2.8206970894717947E-2</c:v>
                </c:pt>
                <c:pt idx="3">
                  <c:v>2.8468238793286589E-2</c:v>
                </c:pt>
                <c:pt idx="4">
                  <c:v>2.8082528246274781E-2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94605568"/>
        <c:axId val="331314240"/>
      </c:barChart>
      <c:catAx>
        <c:axId val="19460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31314240"/>
        <c:crosses val="autoZero"/>
        <c:auto val="1"/>
        <c:lblAlgn val="ctr"/>
        <c:lblOffset val="100"/>
        <c:noMultiLvlLbl val="0"/>
      </c:catAx>
      <c:valAx>
        <c:axId val="33131424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%" sourceLinked="1"/>
        <c:majorTickMark val="out"/>
        <c:minorTickMark val="none"/>
        <c:tickLblPos val="none"/>
        <c:crossAx val="194605568"/>
        <c:crosses val="autoZero"/>
        <c:crossBetween val="between"/>
        <c:majorUnit val="0.2"/>
      </c:valAx>
      <c:spPr>
        <a:ln>
          <a:solidFill>
            <a:sysClr val="window" lastClr="FFFFFF">
              <a:lumMod val="75000"/>
            </a:sysClr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289675343905009E-2"/>
          <c:y val="5.0925836368924865E-2"/>
          <c:w val="0.8995695538057743"/>
          <c:h val="0.736428821899731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'G4+G5'!$A$6</c:f>
              <c:strCache>
                <c:ptCount val="1"/>
                <c:pt idx="0">
                  <c:v>Poplatky za pohotovost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7F7F7F"/>
              </a:solidFill>
            </a:ln>
          </c:spPr>
          <c:invertIfNegative val="0"/>
          <c:dLbls>
            <c:dLbl>
              <c:idx val="7"/>
              <c:layout>
                <c:manualLayout>
                  <c:x val="7.6171596130418159E-6"/>
                  <c:y val="-4.020152716025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974416438576218E-3"/>
                  <c:y val="-3.5734220404872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'G4+G5'!$B$2:$J$2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'G4+G5'!$B$6:$J$6</c:f>
              <c:numCache>
                <c:formatCode>General</c:formatCode>
                <c:ptCount val="9"/>
                <c:pt idx="0">
                  <c:v>178</c:v>
                </c:pt>
                <c:pt idx="1">
                  <c:v>208</c:v>
                </c:pt>
                <c:pt idx="2">
                  <c:v>191</c:v>
                </c:pt>
                <c:pt idx="3">
                  <c:v>180</c:v>
                </c:pt>
                <c:pt idx="4">
                  <c:v>179</c:v>
                </c:pt>
                <c:pt idx="5">
                  <c:v>182</c:v>
                </c:pt>
                <c:pt idx="6">
                  <c:v>187</c:v>
                </c:pt>
                <c:pt idx="7">
                  <c:v>192</c:v>
                </c:pt>
                <c:pt idx="8">
                  <c:v>198</c:v>
                </c:pt>
              </c:numCache>
            </c:numRef>
          </c:val>
        </c:ser>
        <c:ser>
          <c:idx val="2"/>
          <c:order val="1"/>
          <c:tx>
            <c:strRef>
              <c:f>'G4+G5'!$A$4</c:f>
              <c:strCache>
                <c:ptCount val="1"/>
                <c:pt idx="0">
                  <c:v>Poplatky za návštěvu lékaře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77933C"/>
              </a:solidFill>
            </a:ln>
          </c:spPr>
          <c:invertIfNegative val="0"/>
          <c:dLbls>
            <c:dLbl>
              <c:idx val="7"/>
              <c:delete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'G4+G5'!$B$2:$J$2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'G4+G5'!$B$4:$I$4</c:f>
              <c:numCache>
                <c:formatCode>#,##0</c:formatCode>
                <c:ptCount val="8"/>
                <c:pt idx="0">
                  <c:v>1806</c:v>
                </c:pt>
                <c:pt idx="1">
                  <c:v>1650</c:v>
                </c:pt>
                <c:pt idx="2">
                  <c:v>1530</c:v>
                </c:pt>
                <c:pt idx="3">
                  <c:v>1374</c:v>
                </c:pt>
                <c:pt idx="4">
                  <c:v>1474</c:v>
                </c:pt>
                <c:pt idx="5">
                  <c:v>1505</c:v>
                </c:pt>
                <c:pt idx="6">
                  <c:v>1502</c:v>
                </c:pt>
                <c:pt idx="7">
                  <c:v>0</c:v>
                </c:pt>
              </c:numCache>
            </c:numRef>
          </c:val>
        </c:ser>
        <c:ser>
          <c:idx val="3"/>
          <c:order val="2"/>
          <c:tx>
            <c:strRef>
              <c:f>'G4+G5'!$A$3</c:f>
              <c:strCache>
                <c:ptCount val="1"/>
                <c:pt idx="0">
                  <c:v>Poplatky za recept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'G4+G5'!$B$2:$J$2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'G4+G5'!$B$3:$H$3</c:f>
              <c:numCache>
                <c:formatCode>#,##0</c:formatCode>
                <c:ptCount val="7"/>
                <c:pt idx="0">
                  <c:v>2411</c:v>
                </c:pt>
                <c:pt idx="1">
                  <c:v>2659</c:v>
                </c:pt>
                <c:pt idx="2">
                  <c:v>2657</c:v>
                </c:pt>
                <c:pt idx="3">
                  <c:v>2458</c:v>
                </c:pt>
                <c:pt idx="4">
                  <c:v>1858</c:v>
                </c:pt>
                <c:pt idx="5">
                  <c:v>2058</c:v>
                </c:pt>
                <c:pt idx="6">
                  <c:v>2256</c:v>
                </c:pt>
              </c:numCache>
            </c:numRef>
          </c:val>
        </c:ser>
        <c:ser>
          <c:idx val="1"/>
          <c:order val="3"/>
          <c:tx>
            <c:strRef>
              <c:f>'G4+G5'!$A$5</c:f>
              <c:strCache>
                <c:ptCount val="1"/>
                <c:pt idx="0">
                  <c:v>Poplatky za hospitalizaci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'G4+G5'!$B$2:$J$2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'G4+G5'!$B$5:$G$5</c:f>
              <c:numCache>
                <c:formatCode>#,##0</c:formatCode>
                <c:ptCount val="6"/>
                <c:pt idx="0">
                  <c:v>1176</c:v>
                </c:pt>
                <c:pt idx="1">
                  <c:v>1263</c:v>
                </c:pt>
                <c:pt idx="2">
                  <c:v>1243</c:v>
                </c:pt>
                <c:pt idx="3">
                  <c:v>1242</c:v>
                </c:pt>
                <c:pt idx="4">
                  <c:v>1824</c:v>
                </c:pt>
                <c:pt idx="5">
                  <c:v>1744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9384832"/>
        <c:axId val="358630528"/>
      </c:barChart>
      <c:lineChart>
        <c:grouping val="standard"/>
        <c:varyColors val="0"/>
        <c:ser>
          <c:idx val="4"/>
          <c:order val="4"/>
          <c:tx>
            <c:v>celkem</c:v>
          </c:tx>
          <c:spPr>
            <a:ln>
              <a:noFill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6045209625042943E-2"/>
                  <c:y val="-2.8923531523570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103463392822307E-2"/>
                  <c:y val="-2.4539504570434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03463392822265E-2"/>
                  <c:y val="-2.0155477617298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103463392822265E-2"/>
                  <c:y val="-2.4539504570434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103463392822265E-2"/>
                  <c:y val="-1.5771450664162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045209625042915E-2"/>
                  <c:y val="-1.5771450664162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103463392822265E-2"/>
                  <c:y val="-2.015547761729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'G4+G5'!$B$7:$H$7</c:f>
              <c:numCache>
                <c:formatCode>#,##0</c:formatCode>
                <c:ptCount val="7"/>
                <c:pt idx="0">
                  <c:v>5571</c:v>
                </c:pt>
                <c:pt idx="1">
                  <c:v>5780</c:v>
                </c:pt>
                <c:pt idx="2">
                  <c:v>5621</c:v>
                </c:pt>
                <c:pt idx="3">
                  <c:v>5254</c:v>
                </c:pt>
                <c:pt idx="4">
                  <c:v>5335</c:v>
                </c:pt>
                <c:pt idx="5">
                  <c:v>5489</c:v>
                </c:pt>
                <c:pt idx="6">
                  <c:v>3945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384832"/>
        <c:axId val="358630528"/>
      </c:lineChart>
      <c:catAx>
        <c:axId val="17938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358630528"/>
        <c:crosses val="autoZero"/>
        <c:auto val="1"/>
        <c:lblAlgn val="ctr"/>
        <c:lblOffset val="100"/>
        <c:noMultiLvlLbl val="0"/>
      </c:catAx>
      <c:valAx>
        <c:axId val="358630528"/>
        <c:scaling>
          <c:orientation val="minMax"/>
          <c:max val="60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79384832"/>
        <c:crosses val="autoZero"/>
        <c:crossBetween val="between"/>
        <c:majorUnit val="1000"/>
      </c:valAx>
      <c:spPr>
        <a:ln>
          <a:solidFill>
            <a:schemeClr val="bg1"/>
          </a:solidFill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5.0000045020101483E-2"/>
          <c:y val="0.90688738409679459"/>
          <c:w val="0.92973118497409091"/>
          <c:h val="6.631195059955057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0.35871</cdr:x>
      <cdr:y>0.65644</cdr:y>
    </cdr:from>
    <cdr:to>
      <cdr:x>0.44411</cdr:x>
      <cdr:y>0.72161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182380" y="1771984"/>
          <a:ext cx="519568" cy="175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24 428</a:t>
          </a:r>
        </a:p>
      </cdr:txBody>
    </cdr:sp>
  </cdr:relSizeAnchor>
  <cdr:relSizeAnchor xmlns:cdr="http://schemas.openxmlformats.org/drawingml/2006/chartDrawing">
    <cdr:from>
      <cdr:x>0.37578</cdr:x>
      <cdr:y>0.18427</cdr:y>
    </cdr:from>
    <cdr:to>
      <cdr:x>0.46118</cdr:x>
      <cdr:y>0.4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05049" y="781050"/>
          <a:ext cx="5238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0.51087</cdr:x>
      <cdr:y>0.24045</cdr:y>
    </cdr:from>
    <cdr:to>
      <cdr:x>0.65994</cdr:x>
      <cdr:y>0.45618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133724" y="1019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0.48596</cdr:x>
      <cdr:y>0.18628</cdr:y>
    </cdr:from>
    <cdr:to>
      <cdr:x>0.55118</cdr:x>
      <cdr:y>0.2492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2956561" y="502838"/>
          <a:ext cx="396795" cy="169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3 588</a:t>
          </a:r>
        </a:p>
      </cdr:txBody>
    </cdr:sp>
  </cdr:relSizeAnchor>
  <cdr:relSizeAnchor xmlns:cdr="http://schemas.openxmlformats.org/drawingml/2006/chartDrawing">
    <cdr:from>
      <cdr:x>0.54168</cdr:x>
      <cdr:y>0.35816</cdr:y>
    </cdr:from>
    <cdr:to>
      <cdr:x>0.60845</cdr:x>
      <cdr:y>0.42108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3295568" y="966812"/>
          <a:ext cx="406224" cy="1698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cs-CZ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7 416</a:t>
          </a:r>
        </a:p>
      </cdr:txBody>
    </cdr:sp>
  </cdr:relSizeAnchor>
  <cdr:relSizeAnchor xmlns:cdr="http://schemas.openxmlformats.org/drawingml/2006/chartDrawing">
    <cdr:from>
      <cdr:x>0.54833</cdr:x>
      <cdr:y>0.58072</cdr:y>
    </cdr:from>
    <cdr:to>
      <cdr:x>0.66254</cdr:x>
      <cdr:y>0.64799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3335980" y="1567591"/>
          <a:ext cx="694846" cy="181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9 637</a:t>
          </a:r>
        </a:p>
      </cdr:txBody>
    </cdr:sp>
  </cdr:relSizeAnchor>
  <cdr:relSizeAnchor xmlns:cdr="http://schemas.openxmlformats.org/drawingml/2006/chartDrawing">
    <cdr:from>
      <cdr:x>0.42236</cdr:x>
      <cdr:y>0.24198</cdr:y>
    </cdr:from>
    <cdr:to>
      <cdr:x>0.50311</cdr:x>
      <cdr:y>0.34694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2590799" y="790575"/>
          <a:ext cx="4953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0.39126</cdr:x>
      <cdr:y>0.21236</cdr:y>
    </cdr:from>
    <cdr:to>
      <cdr:x>0.49375</cdr:x>
      <cdr:y>0.29982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2380420" y="573253"/>
          <a:ext cx="623542" cy="236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6</a:t>
          </a:r>
          <a:r>
            <a:rPr lang="cs-CZ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cs-CZ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146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2CC8-C917-477E-8FD5-A8CEE139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5</Pages>
  <Words>2040</Words>
  <Characters>12036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2018-06-06T06:21:00Z</dcterms:created>
  <dcterms:modified xsi:type="dcterms:W3CDTF">2018-06-06T06:21:00Z</dcterms:modified>
</cp:coreProperties>
</file>