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F" w:rsidRPr="00214E6F" w:rsidRDefault="00214E6F" w:rsidP="00214E6F">
      <w:pPr>
        <w:keepNext/>
        <w:keepLines/>
        <w:spacing w:after="200"/>
        <w:outlineLvl w:val="0"/>
        <w:rPr>
          <w:rFonts w:eastAsia="MS Gothic"/>
          <w:b/>
          <w:bCs/>
          <w:color w:val="BC091B"/>
          <w:sz w:val="32"/>
          <w:szCs w:val="28"/>
        </w:rPr>
      </w:pPr>
      <w:bookmarkStart w:id="0" w:name="_Toc481748789"/>
      <w:r w:rsidRPr="00214E6F">
        <w:rPr>
          <w:rFonts w:eastAsia="MS Gothic"/>
          <w:b/>
          <w:bCs/>
          <w:color w:val="BC091B"/>
          <w:sz w:val="32"/>
          <w:szCs w:val="28"/>
        </w:rPr>
        <w:t>3. Specifické výsledky o výdajích na zdravotní péči</w:t>
      </w:r>
      <w:bookmarkEnd w:id="0"/>
    </w:p>
    <w:p w:rsidR="00214E6F" w:rsidRPr="00214E6F" w:rsidRDefault="00214E6F" w:rsidP="00214E6F">
      <w:pPr>
        <w:spacing w:before="120"/>
        <w:jc w:val="both"/>
        <w:rPr>
          <w:szCs w:val="17"/>
        </w:rPr>
      </w:pPr>
      <w:r w:rsidRPr="00214E6F">
        <w:rPr>
          <w:szCs w:val="17"/>
        </w:rPr>
        <w:t xml:space="preserve">Všechny zdroje dat potřebné k sestavení zdravotnických účtů nepřinášejí údaje na stejné úrovni podrobnosti a ve stejné kvalitě. V rámci specifických výsledků jsou uvedeny zejména informace vycházející z podrobných údajů, které mají k dispozici </w:t>
      </w:r>
      <w:r w:rsidRPr="00214E6F">
        <w:rPr>
          <w:b/>
          <w:szCs w:val="17"/>
        </w:rPr>
        <w:t>zdravotní pojišťovny</w:t>
      </w:r>
      <w:r w:rsidRPr="00214E6F">
        <w:rPr>
          <w:szCs w:val="17"/>
        </w:rPr>
        <w:t xml:space="preserve">. Patří sem také informace, které přinášejí bližší pohled na sociálně či ekonomicky významnou oblast zdravotní péče - </w:t>
      </w:r>
      <w:r w:rsidRPr="00214E6F">
        <w:rPr>
          <w:b/>
          <w:szCs w:val="17"/>
        </w:rPr>
        <w:t>účast domácností, dlouhodobá péče či výdaje za léky.</w:t>
      </w:r>
    </w:p>
    <w:p w:rsidR="00214E6F" w:rsidRPr="00214E6F" w:rsidRDefault="00214E6F" w:rsidP="00214E6F">
      <w:pPr>
        <w:keepNext/>
        <w:keepLines/>
        <w:spacing w:before="240" w:after="120"/>
        <w:outlineLvl w:val="1"/>
        <w:rPr>
          <w:rFonts w:eastAsia="MS Gothic"/>
          <w:b/>
          <w:bCs/>
          <w:color w:val="BC091B"/>
          <w:sz w:val="28"/>
          <w:szCs w:val="26"/>
        </w:rPr>
      </w:pPr>
      <w:bookmarkStart w:id="1" w:name="_3.1_Výdaje_zdravotních"/>
      <w:bookmarkStart w:id="2" w:name="_Toc481748790"/>
      <w:bookmarkEnd w:id="1"/>
      <w:r w:rsidRPr="00214E6F">
        <w:rPr>
          <w:rFonts w:eastAsia="MS Gothic"/>
          <w:b/>
          <w:bCs/>
          <w:color w:val="BC091B"/>
          <w:sz w:val="28"/>
          <w:szCs w:val="26"/>
        </w:rPr>
        <w:t>3.1 Výdaje zdravotních pojišťoven</w:t>
      </w:r>
      <w:bookmarkEnd w:id="2"/>
    </w:p>
    <w:p w:rsidR="00214E6F" w:rsidRPr="00214E6F" w:rsidRDefault="00214E6F" w:rsidP="00214E6F">
      <w:pPr>
        <w:keepNext/>
        <w:jc w:val="both"/>
      </w:pPr>
      <w:r w:rsidRPr="00214E6F">
        <w:t xml:space="preserve">Zdravotní péče je v našem systému hrazená převážně z veřejného zdravotního pojištění a pouze v některých </w:t>
      </w:r>
      <w:r w:rsidRPr="00381C1A">
        <w:t>případech bývá doplněna o spoluúčast pacientů (např. doplatky za některé léky, stomatologická péče apod</w:t>
      </w:r>
      <w:r w:rsidRPr="00214E6F">
        <w:t xml:space="preserve">.). Následující kapitola podává </w:t>
      </w:r>
      <w:r w:rsidR="00381C1A">
        <w:t xml:space="preserve">jak </w:t>
      </w:r>
      <w:r w:rsidRPr="00214E6F">
        <w:t xml:space="preserve">ucelenou informaci </w:t>
      </w:r>
      <w:r w:rsidRPr="00214E6F">
        <w:rPr>
          <w:b/>
        </w:rPr>
        <w:t>o</w:t>
      </w:r>
      <w:r w:rsidR="00381C1A">
        <w:rPr>
          <w:b/>
        </w:rPr>
        <w:t xml:space="preserve"> celkových </w:t>
      </w:r>
      <w:r w:rsidRPr="00214E6F">
        <w:rPr>
          <w:b/>
        </w:rPr>
        <w:t xml:space="preserve">výdajích </w:t>
      </w:r>
      <w:r w:rsidRPr="00381C1A">
        <w:t>zdravotních pojišťoven na zdravotní péči</w:t>
      </w:r>
      <w:r w:rsidR="00381C1A">
        <w:t xml:space="preserve">, tak i </w:t>
      </w:r>
      <w:r w:rsidRPr="00214E6F">
        <w:t xml:space="preserve">podrobné informace o </w:t>
      </w:r>
      <w:r w:rsidRPr="00381C1A">
        <w:rPr>
          <w:b/>
        </w:rPr>
        <w:t>výdajích na jednotlivé druhy diagnóz</w:t>
      </w:r>
      <w:r w:rsidRPr="00214E6F">
        <w:t xml:space="preserve"> podle Mezinárodní statistické klasifikace nemocí a přidružených zdravotních problémů (dále také „MKN-10“) a</w:t>
      </w:r>
      <w:r w:rsidR="00F85872">
        <w:t> </w:t>
      </w:r>
      <w:r w:rsidRPr="00214E6F">
        <w:t>nechybí ani vý</w:t>
      </w:r>
      <w:r w:rsidRPr="00214E6F">
        <w:rPr>
          <w:bCs/>
        </w:rPr>
        <w:t xml:space="preserve">daje zdravotních pojišťoven na zdravotní péči </w:t>
      </w:r>
      <w:r w:rsidRPr="00381C1A">
        <w:rPr>
          <w:b/>
          <w:bCs/>
        </w:rPr>
        <w:t>na 1 pojištěnce podle pohlaví</w:t>
      </w:r>
      <w:r w:rsidR="00381C1A">
        <w:rPr>
          <w:b/>
          <w:bCs/>
        </w:rPr>
        <w:t>, věku</w:t>
      </w:r>
      <w:r w:rsidRPr="00381C1A">
        <w:rPr>
          <w:b/>
          <w:bCs/>
        </w:rPr>
        <w:t xml:space="preserve"> a</w:t>
      </w:r>
      <w:r w:rsidR="00F85872">
        <w:rPr>
          <w:b/>
          <w:bCs/>
        </w:rPr>
        <w:t> </w:t>
      </w:r>
      <w:r w:rsidRPr="00381C1A">
        <w:rPr>
          <w:b/>
          <w:bCs/>
        </w:rPr>
        <w:t>diagnóz</w:t>
      </w:r>
      <w:r w:rsidRPr="00214E6F">
        <w:rPr>
          <w:bCs/>
        </w:rPr>
        <w:t>.</w:t>
      </w:r>
    </w:p>
    <w:p w:rsidR="00214E6F" w:rsidRPr="00214E6F" w:rsidRDefault="00214E6F" w:rsidP="00214E6F">
      <w:pPr>
        <w:keepNext/>
        <w:keepLines/>
        <w:spacing w:before="240" w:after="120"/>
        <w:outlineLvl w:val="2"/>
        <w:rPr>
          <w:rFonts w:eastAsia="MS Gothic"/>
          <w:b/>
          <w:bCs/>
          <w:color w:val="BC091B"/>
          <w:sz w:val="24"/>
        </w:rPr>
      </w:pPr>
      <w:bookmarkStart w:id="3" w:name="_Toc481748791"/>
      <w:r w:rsidRPr="00214E6F">
        <w:rPr>
          <w:rFonts w:eastAsia="MS Gothic"/>
          <w:b/>
          <w:bCs/>
          <w:color w:val="BC091B"/>
          <w:sz w:val="24"/>
        </w:rPr>
        <w:t>3.1.1. Celkové výdaje zdravotních pojišťoven</w:t>
      </w:r>
      <w:bookmarkEnd w:id="3"/>
    </w:p>
    <w:p w:rsidR="00E81B7C" w:rsidRDefault="00214E6F" w:rsidP="00214E6F">
      <w:pPr>
        <w:spacing w:before="120"/>
        <w:jc w:val="both"/>
        <w:rPr>
          <w:bCs/>
        </w:rPr>
      </w:pPr>
      <w:r w:rsidRPr="00214E6F">
        <w:rPr>
          <w:b/>
        </w:rPr>
        <w:t xml:space="preserve">Zdravotní pojišťovny </w:t>
      </w:r>
      <w:r w:rsidRPr="00214E6F">
        <w:t xml:space="preserve">vydaly v roce 2016 </w:t>
      </w:r>
      <w:r w:rsidRPr="00DD39C0">
        <w:rPr>
          <w:b/>
        </w:rPr>
        <w:t xml:space="preserve">na zdravotní péči </w:t>
      </w:r>
      <w:r w:rsidR="00E81B7C" w:rsidRPr="00DD39C0">
        <w:rPr>
          <w:b/>
        </w:rPr>
        <w:t>celkem</w:t>
      </w:r>
      <w:r w:rsidR="00E81B7C">
        <w:t xml:space="preserve"> </w:t>
      </w:r>
      <w:r w:rsidRPr="00214E6F">
        <w:t>237,7 mld. Kč</w:t>
      </w:r>
      <w:r w:rsidR="00E81B7C">
        <w:t xml:space="preserve"> a touto částkou se tak ze dvou třetin podílely na financování </w:t>
      </w:r>
      <w:r w:rsidRPr="00214E6F">
        <w:t>zdravotní péč</w:t>
      </w:r>
      <w:r w:rsidR="00E81B7C">
        <w:t>e</w:t>
      </w:r>
      <w:r w:rsidRPr="00214E6F">
        <w:t xml:space="preserve"> v České republice.</w:t>
      </w:r>
      <w:r w:rsidRPr="00214E6F">
        <w:rPr>
          <w:szCs w:val="17"/>
        </w:rPr>
        <w:t xml:space="preserve"> </w:t>
      </w:r>
      <w:r w:rsidRPr="00214E6F">
        <w:t>V roce 2014 byl v rámci sledovaného období poprvé zaznamenán meziroční pokles výdajů na zdravotní péči financovan</w:t>
      </w:r>
      <w:r w:rsidR="00FD0F42">
        <w:t>ý</w:t>
      </w:r>
      <w:r w:rsidRPr="00214E6F">
        <w:t xml:space="preserve"> z</w:t>
      </w:r>
      <w:r w:rsidR="00F85872">
        <w:t> </w:t>
      </w:r>
      <w:r w:rsidRPr="00214E6F">
        <w:t xml:space="preserve">povinného zdravotního pojištění. Zatímco v roce 2013 dosáhly celkové výdaje zdravotních pojišťoven na zdravotní péči 238,4 mld. Kč, o rok později to bylo o 3,8 mld. Kč (1,6 %) méně. </w:t>
      </w:r>
      <w:r w:rsidR="00E81B7C">
        <w:t xml:space="preserve">V následujícím roce zůstala výše financování z toho zdroje na </w:t>
      </w:r>
      <w:r w:rsidR="00DD39C0">
        <w:t xml:space="preserve">téměř </w:t>
      </w:r>
      <w:r w:rsidR="00E81B7C">
        <w:t>stejné úrovni. V ro</w:t>
      </w:r>
      <w:r w:rsidRPr="00214E6F">
        <w:t>ce 201</w:t>
      </w:r>
      <w:r w:rsidR="00E81B7C">
        <w:t xml:space="preserve">6 výdaje na zdravotní péči z veřejného zdravotního pojištění meziročně vzrostly o 3,2 mld. Kč (1,4 %) na </w:t>
      </w:r>
      <w:r w:rsidRPr="00214E6F">
        <w:rPr>
          <w:bCs/>
        </w:rPr>
        <w:t>výše zmíněných 237,7 mld. Kč</w:t>
      </w:r>
      <w:r w:rsidR="00E81B7C">
        <w:rPr>
          <w:bCs/>
        </w:rPr>
        <w:t>.</w:t>
      </w:r>
    </w:p>
    <w:p w:rsidR="00F954C5" w:rsidRDefault="00214E6F" w:rsidP="00214E6F">
      <w:pPr>
        <w:spacing w:before="120"/>
        <w:jc w:val="both"/>
        <w:rPr>
          <w:bCs/>
        </w:rPr>
      </w:pPr>
      <w:r w:rsidRPr="00214E6F">
        <w:rPr>
          <w:bCs/>
        </w:rPr>
        <w:t>Za zdravotní péči v</w:t>
      </w:r>
      <w:r w:rsidR="00E81B7C">
        <w:rPr>
          <w:bCs/>
        </w:rPr>
        <w:t xml:space="preserve"> letech </w:t>
      </w:r>
      <w:r w:rsidRPr="00214E6F">
        <w:rPr>
          <w:bCs/>
        </w:rPr>
        <w:t xml:space="preserve">2010 </w:t>
      </w:r>
      <w:r w:rsidR="00E81B7C">
        <w:rPr>
          <w:bCs/>
        </w:rPr>
        <w:t>až</w:t>
      </w:r>
      <w:r w:rsidRPr="00214E6F">
        <w:rPr>
          <w:bCs/>
        </w:rPr>
        <w:t xml:space="preserve"> 2016 zaplatily zdravotní pojišťovny celkem 1 649,3 mld. Kč</w:t>
      </w:r>
      <w:r w:rsidR="00E81B7C">
        <w:rPr>
          <w:bCs/>
        </w:rPr>
        <w:t xml:space="preserve"> a p</w:t>
      </w:r>
      <w:r w:rsidR="005E316C">
        <w:rPr>
          <w:bCs/>
        </w:rPr>
        <w:t>r</w:t>
      </w:r>
      <w:r w:rsidRPr="00214E6F">
        <w:rPr>
          <w:bCs/>
        </w:rPr>
        <w:t xml:space="preserve">ůměrné výdaje zdravotních pojišťoven </w:t>
      </w:r>
      <w:r w:rsidRPr="005E316C">
        <w:rPr>
          <w:b/>
          <w:bCs/>
        </w:rPr>
        <w:t xml:space="preserve">na jednoho </w:t>
      </w:r>
      <w:r w:rsidRPr="00F954C5">
        <w:rPr>
          <w:b/>
          <w:bCs/>
        </w:rPr>
        <w:t>pojištěnce</w:t>
      </w:r>
      <w:r w:rsidRPr="00F954C5">
        <w:rPr>
          <w:bCs/>
        </w:rPr>
        <w:t xml:space="preserve"> </w:t>
      </w:r>
      <w:r w:rsidR="00E81B7C" w:rsidRPr="00F954C5">
        <w:rPr>
          <w:bCs/>
        </w:rPr>
        <w:t xml:space="preserve">v tomto období </w:t>
      </w:r>
      <w:r w:rsidRPr="00F954C5">
        <w:rPr>
          <w:bCs/>
        </w:rPr>
        <w:t xml:space="preserve">dosáhly </w:t>
      </w:r>
      <w:r w:rsidR="005E316C" w:rsidRPr="00F954C5">
        <w:rPr>
          <w:bCs/>
        </w:rPr>
        <w:t xml:space="preserve">částky </w:t>
      </w:r>
      <w:r w:rsidR="00FB007E" w:rsidRPr="00F954C5">
        <w:rPr>
          <w:bCs/>
        </w:rPr>
        <w:t xml:space="preserve">22 </w:t>
      </w:r>
      <w:r w:rsidR="00F954C5" w:rsidRPr="00F954C5">
        <w:rPr>
          <w:bCs/>
        </w:rPr>
        <w:t>652</w:t>
      </w:r>
      <w:r w:rsidR="005E316C" w:rsidRPr="00F954C5">
        <w:rPr>
          <w:bCs/>
        </w:rPr>
        <w:t xml:space="preserve"> </w:t>
      </w:r>
      <w:r w:rsidR="00E23CFF" w:rsidRPr="00F954C5">
        <w:rPr>
          <w:bCs/>
        </w:rPr>
        <w:t>Kč</w:t>
      </w:r>
      <w:r w:rsidR="00F954C5">
        <w:rPr>
          <w:bCs/>
        </w:rPr>
        <w:t>.</w:t>
      </w:r>
      <w:r w:rsidR="00E23CFF" w:rsidRPr="00A52B44">
        <w:rPr>
          <w:bCs/>
          <w:highlight w:val="yellow"/>
        </w:rPr>
        <w:t xml:space="preserve"> </w:t>
      </w:r>
    </w:p>
    <w:p w:rsidR="00214E6F" w:rsidRPr="00214E6F" w:rsidRDefault="00214E6F" w:rsidP="00214E6F">
      <w:pPr>
        <w:spacing w:before="120"/>
        <w:jc w:val="both"/>
        <w:rPr>
          <w:b/>
          <w:bCs/>
          <w:sz w:val="18"/>
          <w:szCs w:val="18"/>
        </w:rPr>
      </w:pPr>
      <w:r w:rsidRPr="006A429F">
        <w:rPr>
          <w:b/>
          <w:bCs/>
          <w:sz w:val="18"/>
          <w:szCs w:val="18"/>
        </w:rPr>
        <w:t xml:space="preserve">Graf č. 3.1.1 </w:t>
      </w:r>
      <w:r w:rsidR="009E3D07" w:rsidRPr="006A429F">
        <w:rPr>
          <w:b/>
          <w:bCs/>
          <w:sz w:val="18"/>
          <w:szCs w:val="18"/>
        </w:rPr>
        <w:t>V</w:t>
      </w:r>
      <w:r w:rsidRPr="006A429F">
        <w:rPr>
          <w:b/>
          <w:bCs/>
          <w:sz w:val="18"/>
          <w:szCs w:val="18"/>
        </w:rPr>
        <w:t xml:space="preserve">ýdaje na zdravotní péči </w:t>
      </w:r>
      <w:r w:rsidR="00A52B44">
        <w:rPr>
          <w:b/>
          <w:bCs/>
          <w:sz w:val="18"/>
          <w:szCs w:val="18"/>
        </w:rPr>
        <w:t xml:space="preserve">v Česku </w:t>
      </w:r>
      <w:r w:rsidR="00561D72" w:rsidRPr="006A429F">
        <w:rPr>
          <w:b/>
          <w:bCs/>
          <w:sz w:val="18"/>
          <w:szCs w:val="18"/>
        </w:rPr>
        <w:t xml:space="preserve">financované </w:t>
      </w:r>
      <w:r w:rsidR="00A52B44">
        <w:rPr>
          <w:b/>
          <w:bCs/>
          <w:sz w:val="18"/>
          <w:szCs w:val="18"/>
        </w:rPr>
        <w:t xml:space="preserve">ze zdrojů </w:t>
      </w:r>
      <w:r w:rsidR="00561D72" w:rsidRPr="006A429F">
        <w:rPr>
          <w:b/>
          <w:bCs/>
          <w:sz w:val="18"/>
          <w:szCs w:val="18"/>
        </w:rPr>
        <w:t>z</w:t>
      </w:r>
      <w:r w:rsidR="00A52B44">
        <w:rPr>
          <w:b/>
          <w:bCs/>
          <w:sz w:val="18"/>
          <w:szCs w:val="18"/>
        </w:rPr>
        <w:t>dravotních pojišťoven</w:t>
      </w:r>
      <w:r w:rsidRPr="006A429F">
        <w:rPr>
          <w:b/>
          <w:bCs/>
          <w:sz w:val="18"/>
          <w:szCs w:val="18"/>
        </w:rPr>
        <w:t>, 2010-2016</w:t>
      </w:r>
    </w:p>
    <w:p w:rsidR="00214E6F" w:rsidRPr="00214E6F" w:rsidRDefault="00B76CB5" w:rsidP="00214E6F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7BA3FCA1" wp14:editId="312C9ED4">
            <wp:extent cx="5972810" cy="26640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316C" w:rsidRDefault="00214E6F" w:rsidP="00214E6F">
      <w:pPr>
        <w:keepNext/>
        <w:spacing w:line="240" w:lineRule="auto"/>
        <w:ind w:firstLine="708"/>
        <w:rPr>
          <w:b/>
          <w:bCs/>
          <w:i/>
          <w:sz w:val="16"/>
          <w:szCs w:val="16"/>
        </w:rPr>
      </w:pPr>
      <w:r w:rsidRPr="00214E6F"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           Zdroj: ČSÚ 2018, Zdravotnické účty ČR 2010 </w:t>
      </w:r>
      <w:r w:rsidR="005E316C">
        <w:rPr>
          <w:b/>
          <w:bCs/>
          <w:i/>
          <w:sz w:val="16"/>
          <w:szCs w:val="16"/>
        </w:rPr>
        <w:t>–</w:t>
      </w:r>
      <w:r w:rsidRPr="00214E6F">
        <w:rPr>
          <w:b/>
          <w:bCs/>
          <w:i/>
          <w:sz w:val="16"/>
          <w:szCs w:val="16"/>
        </w:rPr>
        <w:t xml:space="preserve"> 2016</w:t>
      </w:r>
    </w:p>
    <w:p w:rsidR="005E316C" w:rsidRPr="00214E6F" w:rsidRDefault="005E316C" w:rsidP="005E316C">
      <w:pPr>
        <w:spacing w:before="120"/>
        <w:jc w:val="both"/>
      </w:pPr>
      <w:r w:rsidRPr="006A429F">
        <w:t>V </w:t>
      </w:r>
      <w:r w:rsidRPr="006A429F">
        <w:rPr>
          <w:b/>
        </w:rPr>
        <w:t>mezinárodním srovnání</w:t>
      </w:r>
      <w:r w:rsidRPr="006A429F">
        <w:t xml:space="preserve"> podíl výdajů na zdravotní péči v České republice financovaný z povinného zdravotního pojištění vysoce převyšuje průměr zemí </w:t>
      </w:r>
      <w:r w:rsidR="00A52B44">
        <w:t>OECD</w:t>
      </w:r>
      <w:r w:rsidRPr="006A429F">
        <w:t xml:space="preserve"> (36 % v roce </w:t>
      </w:r>
      <w:r w:rsidR="00E23CFF">
        <w:t>2015</w:t>
      </w:r>
      <w:r w:rsidRPr="006A429F">
        <w:t>). Náš stát se tak řadí k zemím jako je například Nizozemsko</w:t>
      </w:r>
      <w:r w:rsidR="00901E8E" w:rsidRPr="006A429F">
        <w:t xml:space="preserve">, Německo, Slovensko, </w:t>
      </w:r>
      <w:r w:rsidR="00A52B44">
        <w:t>Francie či Nizozemsko</w:t>
      </w:r>
      <w:r w:rsidRPr="006A429F">
        <w:t xml:space="preserve">, kde je systém </w:t>
      </w:r>
      <w:r w:rsidR="00A52B44">
        <w:t xml:space="preserve">financování </w:t>
      </w:r>
      <w:r w:rsidRPr="006A429F">
        <w:t>zdravotní</w:t>
      </w:r>
      <w:r w:rsidR="00A52B44">
        <w:t xml:space="preserve"> péče </w:t>
      </w:r>
      <w:r w:rsidRPr="006A429F">
        <w:t xml:space="preserve">založený především na </w:t>
      </w:r>
      <w:r w:rsidR="00A52B44">
        <w:t xml:space="preserve">zdrojích ze </w:t>
      </w:r>
      <w:r w:rsidRPr="006A429F">
        <w:t>všeobecné</w:t>
      </w:r>
      <w:r w:rsidR="00A52B44">
        <w:t>ho</w:t>
      </w:r>
      <w:r w:rsidRPr="006A429F">
        <w:t xml:space="preserve"> zdravotní</w:t>
      </w:r>
      <w:r w:rsidR="00A52B44">
        <w:t>ho</w:t>
      </w:r>
      <w:r w:rsidRPr="006A429F">
        <w:t xml:space="preserve"> pojištění.</w:t>
      </w:r>
      <w:bookmarkStart w:id="4" w:name="_GoBack"/>
      <w:bookmarkEnd w:id="4"/>
    </w:p>
    <w:p w:rsidR="00214E6F" w:rsidRPr="00214E6F" w:rsidRDefault="00214E6F" w:rsidP="00214E6F">
      <w:pPr>
        <w:keepNext/>
        <w:keepLines/>
        <w:spacing w:before="240" w:after="120"/>
        <w:outlineLvl w:val="2"/>
        <w:rPr>
          <w:rFonts w:eastAsia="MS Gothic"/>
          <w:b/>
          <w:bCs/>
          <w:color w:val="BC091B"/>
          <w:sz w:val="24"/>
        </w:rPr>
      </w:pPr>
      <w:r w:rsidRPr="00214E6F">
        <w:rPr>
          <w:rFonts w:eastAsia="MS Gothic"/>
          <w:b/>
          <w:bCs/>
          <w:color w:val="BC091B"/>
          <w:sz w:val="24"/>
        </w:rPr>
        <w:lastRenderedPageBreak/>
        <w:t>3.1.2. Výdaje zdravotních pojišťoven podle diagnóz MKN-10</w:t>
      </w:r>
    </w:p>
    <w:p w:rsidR="00FB007E" w:rsidRPr="00FB007E" w:rsidRDefault="006A429F" w:rsidP="00214E6F">
      <w:pPr>
        <w:spacing w:before="120"/>
        <w:jc w:val="both"/>
      </w:pPr>
      <w:r w:rsidRPr="00FB007E">
        <w:t xml:space="preserve">V této kapitole </w:t>
      </w:r>
      <w:r w:rsidR="00214E6F" w:rsidRPr="00FB007E">
        <w:t xml:space="preserve">se budeme </w:t>
      </w:r>
      <w:r w:rsidRPr="00FB007E">
        <w:t xml:space="preserve">podrobně </w:t>
      </w:r>
      <w:r w:rsidR="00214E6F" w:rsidRPr="00FB007E">
        <w:t>věnovat výdajům na zdravotní péči v členění podle</w:t>
      </w:r>
      <w:r w:rsidRPr="00FB007E">
        <w:t xml:space="preserve"> jejich </w:t>
      </w:r>
      <w:r w:rsidRPr="00FB007E">
        <w:rPr>
          <w:b/>
        </w:rPr>
        <w:t>diagnóz</w:t>
      </w:r>
      <w:r w:rsidRPr="00FB007E">
        <w:t xml:space="preserve"> definovaných podle </w:t>
      </w:r>
      <w:r w:rsidRPr="00A52B44">
        <w:rPr>
          <w:b/>
        </w:rPr>
        <w:t>Mezinárodní statistické klasifikace nemocí a přidružených zdravotnických problémů z roku 2010</w:t>
      </w:r>
      <w:r w:rsidRPr="00FB007E">
        <w:t xml:space="preserve"> (dále jen </w:t>
      </w:r>
      <w:r w:rsidR="00214E6F" w:rsidRPr="00FB007E">
        <w:t>MKN-10</w:t>
      </w:r>
      <w:r w:rsidRPr="00FB007E">
        <w:t>)</w:t>
      </w:r>
      <w:r w:rsidR="00A52B44">
        <w:t xml:space="preserve">, a to </w:t>
      </w:r>
      <w:r w:rsidR="00FB007E" w:rsidRPr="00FB007E">
        <w:t>v členění podle pohlaví a věku pojištěnců.</w:t>
      </w:r>
    </w:p>
    <w:p w:rsidR="00214E6F" w:rsidRPr="00214E6F" w:rsidRDefault="00214E6F" w:rsidP="00561D72">
      <w:pPr>
        <w:keepNext/>
        <w:spacing w:before="240" w:after="120" w:line="240" w:lineRule="auto"/>
        <w:rPr>
          <w:b/>
          <w:bCs/>
          <w:i/>
          <w:sz w:val="16"/>
          <w:szCs w:val="16"/>
        </w:rPr>
      </w:pPr>
      <w:r w:rsidRPr="00214E6F">
        <w:rPr>
          <w:rFonts w:eastAsia="MS Gothic"/>
          <w:b/>
          <w:bCs/>
          <w:i/>
        </w:rPr>
        <w:t>Nejvíce peněz vydávají zdravotní pojišťovny na léčení nemocí srdce a cév</w:t>
      </w:r>
    </w:p>
    <w:p w:rsidR="00BF011D" w:rsidRDefault="00214E6F" w:rsidP="00561D72">
      <w:pPr>
        <w:spacing w:before="120"/>
        <w:jc w:val="both"/>
      </w:pPr>
      <w:r w:rsidRPr="00214E6F">
        <w:t xml:space="preserve">Na celkových výdajích u jednotlivých kapitol diagnóz se podílí jednak četnost daných onemocnění v populaci a pochopitelně také nákladnost jejich léčby. Nejnákladnější skupinou onemocnění jsou dlouhodobě </w:t>
      </w:r>
      <w:r w:rsidRPr="00214E6F">
        <w:rPr>
          <w:b/>
        </w:rPr>
        <w:t xml:space="preserve">nemoci oběhové soustavy </w:t>
      </w:r>
      <w:r w:rsidRPr="00214E6F">
        <w:t>(25,4 mld. Kč), kam spadají mimo jiné ischemické choroby srdeční (např. infarkt myokardu, angina pectoris aj.) a cévní nemoci mozku (mrtvice), což jsou jak vysoce nákladná</w:t>
      </w:r>
      <w:r w:rsidR="00E23CFF">
        <w:t>,</w:t>
      </w:r>
      <w:r w:rsidRPr="00214E6F">
        <w:t xml:space="preserve"> tak i relativně častá onemocnění. </w:t>
      </w:r>
    </w:p>
    <w:p w:rsidR="00214E6F" w:rsidRPr="00BF011D" w:rsidRDefault="00214E6F" w:rsidP="00561D72">
      <w:pPr>
        <w:spacing w:before="120"/>
        <w:jc w:val="both"/>
        <w:rPr>
          <w:i/>
        </w:rPr>
      </w:pPr>
      <w:r w:rsidRPr="00BF011D">
        <w:rPr>
          <w:i/>
        </w:rPr>
        <w:t>Podle informací Ústavu zdravotnických informací a statistiky ČR (dále jen ÚZIS ČR) patří kardiovaskulární onemocnění k nejčastějším příčinám úmrtí v Česku u obou pohlaví. V roce 2016 byly příčinou 41 % úmrtí mužů a 48 % úmrtí žen, celkem zapříčinily téměř 48 tisíc případů úmrtí z celkového počtu 10</w:t>
      </w:r>
      <w:r w:rsidR="00BF011D" w:rsidRPr="00BF011D">
        <w:rPr>
          <w:i/>
        </w:rPr>
        <w:t>8 tisíc.</w:t>
      </w:r>
      <w:r w:rsidRPr="00BF011D">
        <w:rPr>
          <w:i/>
        </w:rPr>
        <w:t xml:space="preserve"> </w:t>
      </w:r>
    </w:p>
    <w:p w:rsidR="00214E6F" w:rsidRPr="00214E6F" w:rsidRDefault="00214E6F" w:rsidP="00561D72">
      <w:pPr>
        <w:spacing w:before="120"/>
        <w:jc w:val="both"/>
      </w:pPr>
      <w:r w:rsidRPr="00214E6F">
        <w:t xml:space="preserve">Na druhém místě nákladných diagnóz zůstávají </w:t>
      </w:r>
      <w:r w:rsidRPr="00214E6F">
        <w:rPr>
          <w:b/>
        </w:rPr>
        <w:t>novotvary</w:t>
      </w:r>
      <w:r w:rsidRPr="00214E6F">
        <w:t xml:space="preserve"> (23,6 mld. Kč), které představují poměrně vysoké náklady v souvislosti s nárůstem nově hlášených případů onkologických pacientů a zaváděním moderních, ale také velmi drahých léků do praxe. </w:t>
      </w:r>
    </w:p>
    <w:p w:rsidR="00214E6F" w:rsidRPr="00214E6F" w:rsidRDefault="00214E6F" w:rsidP="00214E6F">
      <w:pPr>
        <w:spacing w:before="240" w:after="120"/>
        <w:jc w:val="both"/>
        <w:rPr>
          <w:b/>
          <w:bCs/>
          <w:sz w:val="18"/>
          <w:szCs w:val="18"/>
        </w:rPr>
      </w:pPr>
      <w:r w:rsidRPr="00214E6F">
        <w:rPr>
          <w:b/>
          <w:bCs/>
          <w:sz w:val="18"/>
          <w:szCs w:val="18"/>
        </w:rPr>
        <w:t>Graf č. 3.1.2 Výdaje zdravotních pojišťoven na zdravotní péči v ČR podle diagnóz MKN-10*, 2016 (v mld. Kč; %)</w:t>
      </w:r>
    </w:p>
    <w:p w:rsidR="00214E6F" w:rsidRPr="00214E6F" w:rsidRDefault="00214E6F" w:rsidP="00214E6F">
      <w:pPr>
        <w:spacing w:before="240" w:after="120"/>
        <w:jc w:val="center"/>
        <w:rPr>
          <w:b/>
          <w:bCs/>
          <w:sz w:val="18"/>
          <w:szCs w:val="18"/>
        </w:rPr>
      </w:pPr>
      <w:r w:rsidRPr="00214E6F">
        <w:rPr>
          <w:noProof/>
        </w:rPr>
        <w:drawing>
          <wp:inline distT="0" distB="0" distL="0" distR="0">
            <wp:extent cx="6084000" cy="34200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16DE" w:rsidRDefault="00D516DE" w:rsidP="00BF011D">
      <w:pPr>
        <w:spacing w:before="120" w:line="240" w:lineRule="auto"/>
        <w:jc w:val="both"/>
        <w:rPr>
          <w:sz w:val="16"/>
        </w:rPr>
      </w:pPr>
      <w:r>
        <w:rPr>
          <w:sz w:val="16"/>
        </w:rPr>
        <w:t xml:space="preserve">(1) </w:t>
      </w:r>
      <w:r w:rsidRPr="00D516DE">
        <w:rPr>
          <w:sz w:val="16"/>
        </w:rPr>
        <w:t>zahrnuje výdaje na další kapitoly diagnóz v grafu neuvedené: např. nemoci nervové soustavy, nemoci oka, nemoci ucha, nemoci kůže, některé infekční a parazitární nemoci, těhotenství, porod a šestinedělí atd.</w:t>
      </w:r>
    </w:p>
    <w:p w:rsidR="00164260" w:rsidRPr="00FB007E" w:rsidRDefault="00BF011D" w:rsidP="00BF011D">
      <w:pPr>
        <w:spacing w:before="120" w:line="240" w:lineRule="auto"/>
        <w:jc w:val="both"/>
        <w:rPr>
          <w:b/>
          <w:bCs/>
          <w:i/>
          <w:sz w:val="12"/>
          <w:szCs w:val="16"/>
        </w:rPr>
      </w:pPr>
      <w:r w:rsidRPr="00FB007E">
        <w:rPr>
          <w:sz w:val="16"/>
        </w:rPr>
        <w:t xml:space="preserve">Poznámka: </w:t>
      </w:r>
      <w:r w:rsidR="00D516DE">
        <w:rPr>
          <w:sz w:val="16"/>
        </w:rPr>
        <w:t>v</w:t>
      </w:r>
      <w:r w:rsidR="00D516DE" w:rsidRPr="00D516DE">
        <w:rPr>
          <w:sz w:val="16"/>
        </w:rPr>
        <w:t>ýdaje zdravotních pojišťoven na zdravotní péči v ČR podle diagnóz MKN-10 uvedené v tomto grafu neobsahují údaje za „neznámou“ diagnózu ve výši 51,4 mld. Kč. Položka neznámá diagnóza zahrnuje výdaje, které není možné rozčlenit na konkrétní diagnózy. Jedná se například o kapitační platby registrujícím lékařům, návštěvní službu v rámci domácí péče, léky na recept, různé bonusy a příspěvky a také náklady pojišťoven na správu a provoz vlastních organizací.</w:t>
      </w:r>
    </w:p>
    <w:p w:rsidR="00214E6F" w:rsidRPr="00214E6F" w:rsidRDefault="00214E6F" w:rsidP="00214E6F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 w:rsidRPr="00214E6F">
        <w:rPr>
          <w:b/>
          <w:bCs/>
          <w:i/>
          <w:sz w:val="16"/>
          <w:szCs w:val="16"/>
        </w:rPr>
        <w:t xml:space="preserve">Zdroj: ČSÚ 2018, Zdravotnické účty ČR 2010 - 2016 </w:t>
      </w:r>
    </w:p>
    <w:p w:rsidR="00BF011D" w:rsidRPr="00214E6F" w:rsidRDefault="00BF011D" w:rsidP="00BF011D">
      <w:pPr>
        <w:spacing w:before="120"/>
        <w:jc w:val="both"/>
      </w:pPr>
      <w:r w:rsidRPr="00214E6F">
        <w:t xml:space="preserve">Třetí nejnákladnější kapitolou jsou </w:t>
      </w:r>
      <w:r w:rsidRPr="00214E6F">
        <w:rPr>
          <w:b/>
        </w:rPr>
        <w:t xml:space="preserve">faktory ovlivňující zdravotní stav a kontakt se zdravotnickými službami </w:t>
      </w:r>
      <w:r w:rsidRPr="00214E6F">
        <w:t xml:space="preserve">(18,0 mld. Kč). Jedná se obsahově o velmi různorodou skupinu příčin čerpání zdravotní péče. Patří sem nejrůznější prohlídky (preventivní, zubní, gynekologické, v těhotenství, oční atd.), laboratorní vyšetření, screeningové vyšetření, očkování, lékařské pozorování, kosmetické výkony, přizpůsobení </w:t>
      </w:r>
      <w:r w:rsidRPr="00214E6F">
        <w:lastRenderedPageBreak/>
        <w:t xml:space="preserve">a seřízení implantovaných nebo protetických pomůcek, následná vyšetření po chemoterapii, dárcovství orgánů a tkání, hospitalizace novorozenců po porodu, doprovod dítěte při hospitalizaci a další. </w:t>
      </w:r>
    </w:p>
    <w:p w:rsidR="00214E6F" w:rsidRPr="00214E6F" w:rsidRDefault="00214E6F" w:rsidP="00214E6F">
      <w:pPr>
        <w:spacing w:before="240" w:after="120"/>
        <w:rPr>
          <w:rFonts w:eastAsia="MS Gothic"/>
          <w:b/>
          <w:i/>
        </w:rPr>
      </w:pPr>
      <w:r w:rsidRPr="00214E6F">
        <w:rPr>
          <w:rFonts w:eastAsia="MS Gothic"/>
          <w:b/>
          <w:i/>
        </w:rPr>
        <w:t>Výdaje na onkologickou léčbu v roce 2016 dosáhly 23,6 miliard korun, stejně jako v roce 2015</w:t>
      </w:r>
    </w:p>
    <w:p w:rsidR="00214E6F" w:rsidRPr="00214E6F" w:rsidRDefault="00D516DE" w:rsidP="00214E6F">
      <w:pPr>
        <w:keepNext/>
        <w:spacing w:before="120"/>
        <w:jc w:val="both"/>
      </w:pPr>
      <w:r w:rsidRPr="00F954C5">
        <w:t>I když i v</w:t>
      </w:r>
      <w:r w:rsidR="00214E6F" w:rsidRPr="00F954C5">
        <w:t> roce 2016</w:t>
      </w:r>
      <w:r w:rsidRPr="00F954C5">
        <w:t xml:space="preserve"> – jak již bylo uvedeno výše –</w:t>
      </w:r>
      <w:r w:rsidR="00214E6F" w:rsidRPr="00F954C5">
        <w:t xml:space="preserve"> vykázaly zdravotní pojišťovny největší objem výdajů na zdravotní péči (25,4 mld. Kč) za </w:t>
      </w:r>
      <w:r w:rsidR="00214E6F" w:rsidRPr="00F954C5">
        <w:rPr>
          <w:b/>
        </w:rPr>
        <w:t>nemoci oběhové soustavy</w:t>
      </w:r>
      <w:r w:rsidR="00214E6F" w:rsidRPr="00F954C5">
        <w:t xml:space="preserve">, bylo </w:t>
      </w:r>
      <w:r w:rsidRPr="00F954C5">
        <w:t xml:space="preserve">to </w:t>
      </w:r>
      <w:r w:rsidR="00214E6F" w:rsidRPr="00F954C5">
        <w:t xml:space="preserve">o 5 % méně než v roce 2010. Pokles výdajů na jejich léčbu byl </w:t>
      </w:r>
      <w:r w:rsidRPr="00F954C5">
        <w:t xml:space="preserve">v tomto období </w:t>
      </w:r>
      <w:r w:rsidR="00214E6F" w:rsidRPr="00F954C5">
        <w:t xml:space="preserve">zaznamenán ve všech věkových skupinách s výjimkou dětí do 9 let. </w:t>
      </w:r>
      <w:r w:rsidR="00214E6F" w:rsidRPr="00F954C5">
        <w:rPr>
          <w:i/>
        </w:rPr>
        <w:t xml:space="preserve">Podle informací zdravotních pojišťoven se výdaje v rizikových věkových skupinách 60 - 69 let </w:t>
      </w:r>
      <w:r w:rsidRPr="00F954C5">
        <w:rPr>
          <w:i/>
        </w:rPr>
        <w:t xml:space="preserve">na tuto diagnózu </w:t>
      </w:r>
      <w:r w:rsidR="00F954C5" w:rsidRPr="00F954C5">
        <w:rPr>
          <w:i/>
        </w:rPr>
        <w:t xml:space="preserve">v letech 2015 – 2016 </w:t>
      </w:r>
      <w:r w:rsidR="00214E6F" w:rsidRPr="00F954C5">
        <w:rPr>
          <w:i/>
        </w:rPr>
        <w:t xml:space="preserve">snížily o </w:t>
      </w:r>
      <w:r w:rsidR="00F954C5" w:rsidRPr="00F954C5">
        <w:rPr>
          <w:i/>
        </w:rPr>
        <w:t xml:space="preserve">9 %. </w:t>
      </w:r>
      <w:r w:rsidR="00214E6F" w:rsidRPr="00F954C5">
        <w:rPr>
          <w:i/>
        </w:rPr>
        <w:t>Z důvodu nemocí oběhového systému bylo v roce 2016 hospitalizováno více než 298 tisíc pacientů, což je o 8 % méně v porovnání s rokem 2010.</w:t>
      </w:r>
      <w:r w:rsidR="00214E6F" w:rsidRPr="00214E6F">
        <w:t xml:space="preserve"> </w:t>
      </w:r>
    </w:p>
    <w:p w:rsidR="00214E6F" w:rsidRPr="00214E6F" w:rsidRDefault="00214E6F" w:rsidP="00606B1B">
      <w:pPr>
        <w:spacing w:before="240"/>
        <w:jc w:val="both"/>
        <w:rPr>
          <w:b/>
          <w:bCs/>
          <w:sz w:val="18"/>
          <w:szCs w:val="18"/>
        </w:rPr>
      </w:pPr>
      <w:r w:rsidRPr="00214E6F">
        <w:rPr>
          <w:b/>
          <w:bCs/>
          <w:sz w:val="18"/>
          <w:szCs w:val="18"/>
        </w:rPr>
        <w:t xml:space="preserve">Graf č. 3.1.3 </w:t>
      </w:r>
      <w:r w:rsidR="00561D72">
        <w:rPr>
          <w:b/>
          <w:bCs/>
          <w:sz w:val="18"/>
          <w:szCs w:val="18"/>
        </w:rPr>
        <w:t>V</w:t>
      </w:r>
      <w:r w:rsidRPr="00214E6F">
        <w:rPr>
          <w:b/>
          <w:bCs/>
          <w:sz w:val="18"/>
          <w:szCs w:val="18"/>
        </w:rPr>
        <w:t>ýdaj</w:t>
      </w:r>
      <w:r w:rsidR="00561D72">
        <w:rPr>
          <w:b/>
          <w:bCs/>
          <w:sz w:val="18"/>
          <w:szCs w:val="18"/>
        </w:rPr>
        <w:t>e</w:t>
      </w:r>
      <w:r w:rsidRPr="00214E6F">
        <w:rPr>
          <w:b/>
          <w:bCs/>
          <w:sz w:val="18"/>
          <w:szCs w:val="18"/>
        </w:rPr>
        <w:t xml:space="preserve"> zdravotních pojišťoven v Č</w:t>
      </w:r>
      <w:r w:rsidR="00F85872">
        <w:rPr>
          <w:b/>
          <w:bCs/>
          <w:sz w:val="18"/>
          <w:szCs w:val="18"/>
        </w:rPr>
        <w:t>esku</w:t>
      </w:r>
      <w:r w:rsidRPr="00214E6F">
        <w:rPr>
          <w:b/>
          <w:bCs/>
          <w:sz w:val="18"/>
          <w:szCs w:val="18"/>
        </w:rPr>
        <w:t xml:space="preserve"> podle diagnóz MKN-10, 2010 a 2016 (mil. Kč) </w:t>
      </w:r>
    </w:p>
    <w:p w:rsidR="00214E6F" w:rsidRPr="00214E6F" w:rsidRDefault="00214E6F" w:rsidP="00606B1B">
      <w:pPr>
        <w:jc w:val="both"/>
        <w:rPr>
          <w:b/>
          <w:bCs/>
          <w:sz w:val="18"/>
          <w:szCs w:val="18"/>
        </w:rPr>
      </w:pPr>
      <w:r w:rsidRPr="00214E6F">
        <w:rPr>
          <w:noProof/>
        </w:rPr>
        <w:drawing>
          <wp:inline distT="0" distB="0" distL="0" distR="0">
            <wp:extent cx="6086475" cy="43200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4E6F" w:rsidRPr="00214E6F" w:rsidRDefault="00214E6F" w:rsidP="00F85872">
      <w:pPr>
        <w:spacing w:before="120" w:after="240" w:line="240" w:lineRule="auto"/>
        <w:jc w:val="right"/>
        <w:rPr>
          <w:b/>
          <w:bCs/>
          <w:i/>
          <w:sz w:val="16"/>
          <w:szCs w:val="16"/>
        </w:rPr>
      </w:pPr>
      <w:r w:rsidRPr="00214E6F">
        <w:rPr>
          <w:b/>
          <w:bCs/>
          <w:i/>
          <w:sz w:val="16"/>
          <w:szCs w:val="16"/>
        </w:rPr>
        <w:t xml:space="preserve">Zdroj: ČSÚ 2018, Zdravotnické účty ČR 2010 - 2016 </w:t>
      </w:r>
    </w:p>
    <w:p w:rsidR="00BF011D" w:rsidRPr="00214E6F" w:rsidRDefault="00BF011D" w:rsidP="00BF011D">
      <w:pPr>
        <w:spacing w:before="120"/>
        <w:jc w:val="both"/>
        <w:rPr>
          <w:bCs/>
          <w:szCs w:val="22"/>
        </w:rPr>
      </w:pPr>
      <w:r w:rsidRPr="00214E6F">
        <w:t xml:space="preserve">V roce 2016 vydaly zdravotní pojišťovny na léčbu </w:t>
      </w:r>
      <w:r w:rsidRPr="00214E6F">
        <w:rPr>
          <w:b/>
        </w:rPr>
        <w:t>onkologických onemocnění</w:t>
      </w:r>
      <w:r w:rsidRPr="00214E6F">
        <w:t xml:space="preserve"> 23,6 mld. Kč, což odpovídá úrovni z roku 2015. Vysoké výdaj</w:t>
      </w:r>
      <w:r w:rsidR="00123EF0">
        <w:t>e</w:t>
      </w:r>
      <w:r w:rsidRPr="00214E6F">
        <w:t xml:space="preserve"> na onkologickou léčbu souvisí s možnostmi nových moderních léčebných i diagnostických metod, přístrojů a léčivých prostředků a bohužel také se zvyšujícím se počtem nově hlášených onkologických onemocnění v populaci. Nádorová onemocnění jsou stále druhou nejčastější příčinou úmrtí, po nemocech oběhové soustavy. Diagnostikována jsou u více než čtvrtiny zemřelých. U mužů se týkají zejména plic, tlustého střeva a prostaty. U žen je zaznamenána nejvýznamnější část úmrtí v důsledku novotvarů plic, tlustého střeva, prsu a pohlavních orgánů. K nejnákladnějším skupinám onkologických onemocnění patří nádory trávicího ústrojí a nádory mízní, krvetvorné a příbuzné tkáně.</w:t>
      </w:r>
    </w:p>
    <w:p w:rsidR="00BF011D" w:rsidRPr="00214E6F" w:rsidRDefault="00BF011D" w:rsidP="00BF011D">
      <w:pPr>
        <w:keepNext/>
        <w:spacing w:before="120"/>
        <w:jc w:val="both"/>
      </w:pPr>
      <w:r w:rsidRPr="00214E6F">
        <w:lastRenderedPageBreak/>
        <w:t xml:space="preserve">Léčba </w:t>
      </w:r>
      <w:r w:rsidRPr="00214E6F">
        <w:rPr>
          <w:b/>
        </w:rPr>
        <w:t xml:space="preserve">nemocí svalové a kosterní soustavy a pojivové tkáně </w:t>
      </w:r>
      <w:r w:rsidRPr="00214E6F">
        <w:t xml:space="preserve">stála </w:t>
      </w:r>
      <w:r w:rsidR="00F85872" w:rsidRPr="00214E6F">
        <w:t xml:space="preserve">v roce 2016 </w:t>
      </w:r>
      <w:r w:rsidRPr="00214E6F">
        <w:t xml:space="preserve">zdravotní </w:t>
      </w:r>
      <w:r w:rsidR="00F85872" w:rsidRPr="00214E6F">
        <w:t xml:space="preserve">pojišťovny </w:t>
      </w:r>
      <w:r w:rsidRPr="00214E6F">
        <w:t>16,</w:t>
      </w:r>
      <w:r w:rsidR="00F85872">
        <w:t>3 </w:t>
      </w:r>
      <w:r w:rsidRPr="00214E6F">
        <w:t xml:space="preserve">mld. Kč, což je o polovinu více než v roce 2010. Dlouhodobě se výdaje za léčbu nemocí pohybového ústrojí obecně řadí na přední místa pomyslného žebříčku. </w:t>
      </w:r>
    </w:p>
    <w:p w:rsidR="00214E6F" w:rsidRPr="00214E6F" w:rsidRDefault="00214E6F" w:rsidP="00214E6F">
      <w:pPr>
        <w:spacing w:before="240" w:after="120"/>
        <w:rPr>
          <w:rFonts w:eastAsia="MS Gothic"/>
          <w:b/>
          <w:i/>
          <w:color w:val="FF0000"/>
        </w:rPr>
      </w:pPr>
      <w:r w:rsidRPr="00214E6F">
        <w:rPr>
          <w:rFonts w:eastAsia="MS Gothic"/>
          <w:b/>
          <w:i/>
        </w:rPr>
        <w:t xml:space="preserve">Mezi roky 2010 a 2016 </w:t>
      </w:r>
      <w:r w:rsidR="007A7B9B">
        <w:rPr>
          <w:rFonts w:eastAsia="MS Gothic"/>
          <w:b/>
          <w:i/>
        </w:rPr>
        <w:t xml:space="preserve">procentuálně </w:t>
      </w:r>
      <w:r w:rsidRPr="00214E6F">
        <w:rPr>
          <w:rFonts w:eastAsia="MS Gothic"/>
          <w:b/>
          <w:i/>
        </w:rPr>
        <w:t>nejvíce vzrostly výdaje na léčení poranění a otrav</w:t>
      </w:r>
    </w:p>
    <w:p w:rsidR="00214E6F" w:rsidRPr="00214E6F" w:rsidRDefault="00214E6F" w:rsidP="00214E6F">
      <w:pPr>
        <w:spacing w:before="120"/>
        <w:jc w:val="both"/>
      </w:pPr>
      <w:r w:rsidRPr="00F954C5">
        <w:t xml:space="preserve">Od roku 2010 se </w:t>
      </w:r>
      <w:r w:rsidR="00F85872" w:rsidRPr="00F954C5">
        <w:t xml:space="preserve">v absolutních číslech </w:t>
      </w:r>
      <w:r w:rsidRPr="00F954C5">
        <w:t xml:space="preserve">nejvíce zvýšily náklady na léčení </w:t>
      </w:r>
      <w:r w:rsidRPr="00F954C5">
        <w:rPr>
          <w:b/>
        </w:rPr>
        <w:t>nemocí svalové a kosterní soustavy a pojivové tkáně</w:t>
      </w:r>
      <w:r w:rsidR="00F85872" w:rsidRPr="00F954C5">
        <w:rPr>
          <w:b/>
        </w:rPr>
        <w:t xml:space="preserve"> </w:t>
      </w:r>
      <w:r w:rsidR="00F85872" w:rsidRPr="00F954C5">
        <w:t>(o 5,6 mld. Kč)</w:t>
      </w:r>
      <w:r w:rsidRPr="00F954C5">
        <w:t xml:space="preserve"> a na kapitol</w:t>
      </w:r>
      <w:r w:rsidR="00F85872" w:rsidRPr="00F954C5">
        <w:t>u</w:t>
      </w:r>
      <w:r w:rsidRPr="00F954C5">
        <w:t xml:space="preserve"> </w:t>
      </w:r>
      <w:r w:rsidRPr="00F954C5">
        <w:rPr>
          <w:b/>
        </w:rPr>
        <w:t>faktory ovlivňující zdravotní stav</w:t>
      </w:r>
      <w:r w:rsidR="00F85872" w:rsidRPr="00F954C5">
        <w:rPr>
          <w:b/>
        </w:rPr>
        <w:t xml:space="preserve"> </w:t>
      </w:r>
      <w:r w:rsidR="00F85872" w:rsidRPr="00F954C5">
        <w:t>(o 5,5 mld. Kč), která</w:t>
      </w:r>
      <w:r w:rsidR="00F85872" w:rsidRPr="00F954C5">
        <w:rPr>
          <w:b/>
        </w:rPr>
        <w:t xml:space="preserve"> </w:t>
      </w:r>
      <w:r w:rsidRPr="00F954C5">
        <w:t>zahrnuj</w:t>
      </w:r>
      <w:r w:rsidR="00F85872" w:rsidRPr="00F954C5">
        <w:t>e</w:t>
      </w:r>
      <w:r w:rsidRPr="00F954C5">
        <w:t xml:space="preserve"> různá vyšetření, poradny, hospitalizaci dětí po porodu, doprovod při hospitalizaci, laboratorní vyšetření a</w:t>
      </w:r>
      <w:r w:rsidR="00F85872" w:rsidRPr="00F954C5">
        <w:t xml:space="preserve"> další obdobné zdravotnické úkony</w:t>
      </w:r>
      <w:r w:rsidRPr="00F954C5">
        <w:t>. Vysoce nadprůměrnou dynamiku v absolutních hodnotách</w:t>
      </w:r>
      <w:r w:rsidRPr="00214E6F">
        <w:t xml:space="preserve"> měly</w:t>
      </w:r>
      <w:r w:rsidR="00F85872">
        <w:t xml:space="preserve"> i</w:t>
      </w:r>
      <w:r w:rsidRPr="00214E6F">
        <w:t xml:space="preserve"> </w:t>
      </w:r>
      <w:r w:rsidRPr="00214E6F">
        <w:rPr>
          <w:b/>
        </w:rPr>
        <w:t>diagnózy poranění a otrav</w:t>
      </w:r>
      <w:r w:rsidR="00F85872">
        <w:rPr>
          <w:b/>
        </w:rPr>
        <w:t xml:space="preserve"> (o 4,4 mld. Kč)</w:t>
      </w:r>
      <w:r w:rsidRPr="00214E6F">
        <w:t xml:space="preserve"> </w:t>
      </w:r>
      <w:r w:rsidR="00F85872">
        <w:t xml:space="preserve">a již výše uvedená </w:t>
      </w:r>
      <w:r w:rsidRPr="00F85872">
        <w:rPr>
          <w:b/>
        </w:rPr>
        <w:t>onkologická onemocnění</w:t>
      </w:r>
      <w:r w:rsidR="00F85872">
        <w:rPr>
          <w:b/>
        </w:rPr>
        <w:t xml:space="preserve"> </w:t>
      </w:r>
      <w:r w:rsidR="00F85872" w:rsidRPr="00F85872">
        <w:t>(o 4,1</w:t>
      </w:r>
      <w:r w:rsidR="00F85872">
        <w:t> </w:t>
      </w:r>
      <w:r w:rsidR="00F85872" w:rsidRPr="00F85872">
        <w:t>mld.</w:t>
      </w:r>
      <w:r w:rsidR="00F85872">
        <w:t xml:space="preserve"> </w:t>
      </w:r>
      <w:r w:rsidR="00F85872" w:rsidRPr="00F85872">
        <w:t>Kč)</w:t>
      </w:r>
      <w:r w:rsidRPr="00F85872">
        <w:t>.</w:t>
      </w:r>
      <w:r w:rsidRPr="00214E6F">
        <w:t xml:space="preserve"> Výdaje na léčbu nemocí </w:t>
      </w:r>
      <w:r w:rsidRPr="00214E6F">
        <w:rPr>
          <w:b/>
        </w:rPr>
        <w:t>močové a pohlavní soustavy</w:t>
      </w:r>
      <w:r w:rsidRPr="00214E6F">
        <w:t xml:space="preserve"> stouply o 3 mld. Kč. </w:t>
      </w:r>
    </w:p>
    <w:p w:rsidR="007A7B9B" w:rsidRDefault="00BF011D" w:rsidP="007A7B9B">
      <w:pPr>
        <w:widowControl w:val="0"/>
        <w:spacing w:before="240" w:after="80"/>
        <w:jc w:val="both"/>
        <w:rPr>
          <w:rFonts w:cs="Arial"/>
          <w:b/>
          <w:bCs/>
          <w:spacing w:val="-7"/>
          <w:sz w:val="18"/>
          <w:szCs w:val="18"/>
        </w:rPr>
      </w:pPr>
      <w:r w:rsidRPr="00214E6F">
        <w:rPr>
          <w:rFonts w:cs="Arial"/>
          <w:b/>
          <w:bCs/>
          <w:spacing w:val="-7"/>
          <w:sz w:val="18"/>
          <w:szCs w:val="18"/>
        </w:rPr>
        <w:t xml:space="preserve">Graf č. 3.1.4 </w:t>
      </w:r>
      <w:r w:rsidR="007A7B9B">
        <w:rPr>
          <w:rFonts w:cs="Arial"/>
          <w:b/>
          <w:bCs/>
          <w:spacing w:val="-7"/>
          <w:sz w:val="18"/>
          <w:szCs w:val="18"/>
        </w:rPr>
        <w:t xml:space="preserve">Změna </w:t>
      </w:r>
      <w:r w:rsidRPr="00214E6F">
        <w:rPr>
          <w:rFonts w:cs="Arial"/>
          <w:b/>
          <w:bCs/>
          <w:spacing w:val="-7"/>
          <w:sz w:val="18"/>
          <w:szCs w:val="18"/>
        </w:rPr>
        <w:t>výdaj</w:t>
      </w:r>
      <w:r w:rsidR="007A7B9B">
        <w:rPr>
          <w:rFonts w:cs="Arial"/>
          <w:b/>
          <w:bCs/>
          <w:spacing w:val="-7"/>
          <w:sz w:val="18"/>
          <w:szCs w:val="18"/>
        </w:rPr>
        <w:t>ů</w:t>
      </w:r>
      <w:r w:rsidRPr="00214E6F">
        <w:rPr>
          <w:rFonts w:cs="Arial"/>
          <w:b/>
          <w:bCs/>
          <w:spacing w:val="-7"/>
          <w:sz w:val="18"/>
          <w:szCs w:val="18"/>
        </w:rPr>
        <w:t xml:space="preserve"> zdravotních pojišťoven </w:t>
      </w:r>
      <w:r w:rsidR="007A7B9B">
        <w:rPr>
          <w:rFonts w:cs="Arial"/>
          <w:b/>
          <w:bCs/>
          <w:spacing w:val="-7"/>
          <w:sz w:val="18"/>
          <w:szCs w:val="18"/>
        </w:rPr>
        <w:t xml:space="preserve">v Česku </w:t>
      </w:r>
      <w:r w:rsidRPr="00214E6F">
        <w:rPr>
          <w:rFonts w:cs="Arial"/>
          <w:b/>
          <w:bCs/>
          <w:spacing w:val="-7"/>
          <w:sz w:val="18"/>
          <w:szCs w:val="18"/>
        </w:rPr>
        <w:t xml:space="preserve">dle diagnóz </w:t>
      </w:r>
      <w:r w:rsidRPr="00214E6F">
        <w:rPr>
          <w:b/>
          <w:bCs/>
          <w:sz w:val="18"/>
          <w:szCs w:val="18"/>
        </w:rPr>
        <w:t xml:space="preserve">MKN-10 </w:t>
      </w:r>
      <w:r w:rsidRPr="00214E6F">
        <w:rPr>
          <w:rFonts w:cs="Arial"/>
          <w:b/>
          <w:bCs/>
          <w:spacing w:val="-7"/>
          <w:sz w:val="18"/>
          <w:szCs w:val="18"/>
        </w:rPr>
        <w:t>m</w:t>
      </w:r>
      <w:r w:rsidR="00F53404">
        <w:rPr>
          <w:rFonts w:cs="Arial"/>
          <w:b/>
          <w:bCs/>
          <w:spacing w:val="-7"/>
          <w:sz w:val="18"/>
          <w:szCs w:val="18"/>
        </w:rPr>
        <w:t>ezi roky 2010 a 2016 (mil. Kč)</w:t>
      </w:r>
    </w:p>
    <w:p w:rsidR="00BF011D" w:rsidRPr="00F53404" w:rsidRDefault="00F53404" w:rsidP="007A7B9B">
      <w:pPr>
        <w:widowControl w:val="0"/>
        <w:spacing w:before="240" w:after="80"/>
        <w:jc w:val="both"/>
        <w:rPr>
          <w:rFonts w:cs="Arial"/>
          <w:b/>
          <w:bCs/>
          <w:spacing w:val="-7"/>
          <w:sz w:val="18"/>
          <w:szCs w:val="18"/>
        </w:rPr>
      </w:pPr>
      <w:r>
        <w:rPr>
          <w:rFonts w:cs="Arial"/>
          <w:b/>
          <w:bCs/>
          <w:spacing w:val="-7"/>
          <w:sz w:val="18"/>
          <w:szCs w:val="18"/>
        </w:rPr>
        <w:t xml:space="preserve"> </w:t>
      </w:r>
      <w:r w:rsidR="00BF011D" w:rsidRPr="00214E6F">
        <w:rPr>
          <w:noProof/>
          <w:color w:val="FF0000"/>
        </w:rPr>
        <w:drawing>
          <wp:inline distT="0" distB="0" distL="0" distR="0">
            <wp:extent cx="5972175" cy="32400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011D" w:rsidRPr="00214E6F" w:rsidRDefault="00BF011D" w:rsidP="00BF011D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 w:rsidRPr="00214E6F">
        <w:rPr>
          <w:b/>
          <w:bCs/>
          <w:i/>
          <w:sz w:val="16"/>
          <w:szCs w:val="16"/>
        </w:rPr>
        <w:t xml:space="preserve">Zdroj: ČSÚ 2018, Zdravotnické účty ČR 2010 - 2016 </w:t>
      </w:r>
    </w:p>
    <w:p w:rsidR="00214E6F" w:rsidRPr="00214E6F" w:rsidRDefault="00214E6F" w:rsidP="00214E6F">
      <w:pPr>
        <w:spacing w:before="120"/>
        <w:jc w:val="both"/>
      </w:pPr>
      <w:r w:rsidRPr="00214E6F">
        <w:rPr>
          <w:b/>
        </w:rPr>
        <w:t>Procentuálně</w:t>
      </w:r>
      <w:r w:rsidRPr="00214E6F">
        <w:t xml:space="preserve"> mezi roky 2010 a 2016 nejvíce vzrostly výdaje na léčbu </w:t>
      </w:r>
      <w:r w:rsidRPr="00214E6F">
        <w:rPr>
          <w:b/>
        </w:rPr>
        <w:t>následků poranění a otrav</w:t>
      </w:r>
      <w:r w:rsidRPr="00214E6F">
        <w:t xml:space="preserve"> (nárůst o 62 %) a onemocnění svalové</w:t>
      </w:r>
      <w:r w:rsidRPr="00214E6F">
        <w:rPr>
          <w:b/>
        </w:rPr>
        <w:t xml:space="preserve"> nemocí svalové a kosterní soustavy a pojivové tkáně</w:t>
      </w:r>
      <w:r w:rsidRPr="00214E6F">
        <w:t xml:space="preserve"> (nárůst o 53 %).</w:t>
      </w:r>
    </w:p>
    <w:p w:rsidR="00214E6F" w:rsidRPr="00BF011D" w:rsidRDefault="00214E6F" w:rsidP="00DE6B5D">
      <w:pPr>
        <w:widowControl w:val="0"/>
        <w:spacing w:before="120"/>
        <w:jc w:val="both"/>
        <w:rPr>
          <w:rFonts w:eastAsia="Calibri"/>
          <w:i/>
        </w:rPr>
      </w:pPr>
      <w:r w:rsidRPr="00BF011D">
        <w:rPr>
          <w:rFonts w:eastAsia="Calibri"/>
          <w:i/>
        </w:rPr>
        <w:t xml:space="preserve">Podle informací ÚZIS ČR jsou </w:t>
      </w:r>
      <w:r w:rsidRPr="00BF011D">
        <w:rPr>
          <w:rFonts w:eastAsia="Calibri"/>
          <w:b/>
          <w:i/>
        </w:rPr>
        <w:t>nemoci svalové a kosterní soustavy</w:t>
      </w:r>
      <w:r w:rsidRPr="00BF011D">
        <w:rPr>
          <w:rFonts w:eastAsia="Calibri"/>
          <w:i/>
        </w:rPr>
        <w:t xml:space="preserve"> dlouhodobě druhou nejčastější příčinou pracovní neschopnosti (dále jen PN). V roce 2016 tvořily necelou pětinu všech případů PN. Tyto nemoci se vyznačují poměrně dlouhou průměrnou dobou trvání jednoho případu PN, která v roce 2016 činila 66 dnů. Na celkovém počtu prostonaných dnů se nemoci svalové a kosterní soustavy podílely 31 %, což je dlouhodobě nejvyšší podíl. Z této skupiny onemocnění se na pracovní neschopnosti nejvíce podílely onemocnění zad a páteře.</w:t>
      </w:r>
    </w:p>
    <w:p w:rsidR="00214E6F" w:rsidRPr="00214E6F" w:rsidRDefault="00214E6F" w:rsidP="00DE6B5D">
      <w:pPr>
        <w:widowControl w:val="0"/>
        <w:spacing w:before="120"/>
        <w:jc w:val="both"/>
      </w:pPr>
      <w:r w:rsidRPr="00214E6F">
        <w:rPr>
          <w:rFonts w:eastAsia="Calibri"/>
          <w:b/>
        </w:rPr>
        <w:t>Poranění, otravy a jiné následky vnějších příčin</w:t>
      </w:r>
      <w:r w:rsidRPr="00214E6F">
        <w:rPr>
          <w:rFonts w:eastAsia="Calibri"/>
        </w:rPr>
        <w:t xml:space="preserve"> byly v roce 2016 mezi důvody pracovní neschopnosti na třetím místě. Poranění, otravy a jiné následky vnějších příčin bylo důvodem 15 % prostonaných dnů v PN. Průměrná doba PN u této skupiny činila 52 dní. Nejvíce případů PN z této skupiny příčin způsobila vymknutí, podvrtnutí a natažení kloubních vazů.</w:t>
      </w:r>
    </w:p>
    <w:p w:rsidR="00FB007E" w:rsidRPr="00214E6F" w:rsidRDefault="00FB007E" w:rsidP="00FB007E">
      <w:pPr>
        <w:widowControl w:val="0"/>
        <w:spacing w:before="120"/>
        <w:jc w:val="both"/>
      </w:pPr>
      <w:r>
        <w:t>Ke</w:t>
      </w:r>
      <w:r w:rsidRPr="00214E6F">
        <w:t xml:space="preserve"> snížení výdajů pojišťoven </w:t>
      </w:r>
      <w:r>
        <w:t>na zdravotní péči mezi roky 2010 a 2016 došlo u</w:t>
      </w:r>
      <w:r w:rsidRPr="00214E6F">
        <w:t xml:space="preserve"> kapitol </w:t>
      </w:r>
      <w:r w:rsidRPr="00214E6F">
        <w:rPr>
          <w:b/>
        </w:rPr>
        <w:t>těhotenství, porod a šestinedělí</w:t>
      </w:r>
      <w:r>
        <w:rPr>
          <w:b/>
        </w:rPr>
        <w:t xml:space="preserve"> </w:t>
      </w:r>
      <w:r w:rsidRPr="00534498">
        <w:t>o 6%</w:t>
      </w:r>
      <w:r w:rsidRPr="00214E6F">
        <w:rPr>
          <w:b/>
        </w:rPr>
        <w:t xml:space="preserve"> </w:t>
      </w:r>
      <w:r w:rsidRPr="00214E6F">
        <w:t xml:space="preserve">a </w:t>
      </w:r>
      <w:r w:rsidRPr="00214E6F">
        <w:rPr>
          <w:b/>
        </w:rPr>
        <w:t>stavy vzniklé v perinatálním období</w:t>
      </w:r>
      <w:r>
        <w:rPr>
          <w:b/>
        </w:rPr>
        <w:t xml:space="preserve"> </w:t>
      </w:r>
      <w:r w:rsidRPr="00534498">
        <w:t>o 27 %.</w:t>
      </w:r>
      <w:r w:rsidRPr="00214E6F">
        <w:t xml:space="preserve"> </w:t>
      </w:r>
      <w:r>
        <w:t xml:space="preserve">V případě diagnózy stavy vzniklé v prenatálním období je poměrně výrazný pokles dán také relativně nízkou absolutní výší výdajů zdravotních pojišťoven na tento druh zdravotní péče. Nevelké absolutní snížení tak způsobí významný procentuální </w:t>
      </w:r>
      <w:r>
        <w:lastRenderedPageBreak/>
        <w:t xml:space="preserve">pokles. </w:t>
      </w:r>
      <w:r w:rsidRPr="00214E6F">
        <w:t>Tuto skutečnost ovlivnil s největší pravděpodobností pokles počtu narozených dětí v tomto období, který se snížil ze 117 tisíc v roce 2010 na 113 tisíc v roce 2016.</w:t>
      </w:r>
    </w:p>
    <w:p w:rsidR="00214E6F" w:rsidRPr="00214E6F" w:rsidRDefault="00214E6F" w:rsidP="00214E6F">
      <w:pPr>
        <w:spacing w:before="240" w:after="120"/>
        <w:jc w:val="both"/>
        <w:rPr>
          <w:rFonts w:eastAsia="MS Gothic"/>
          <w:b/>
          <w:i/>
        </w:rPr>
      </w:pPr>
      <w:r w:rsidRPr="00214E6F">
        <w:rPr>
          <w:rFonts w:eastAsia="MS Gothic"/>
          <w:b/>
          <w:i/>
        </w:rPr>
        <w:t>Zdravotní pojišťovny přispívají u dětí nejčastěji na léčbu onemocnění dýchacích cest a stavů vzniklých v perinatálním období</w:t>
      </w:r>
    </w:p>
    <w:p w:rsidR="00214E6F" w:rsidRPr="00214E6F" w:rsidRDefault="00214E6F" w:rsidP="000C547E">
      <w:pPr>
        <w:widowControl w:val="0"/>
        <w:jc w:val="both"/>
        <w:rPr>
          <w:rFonts w:eastAsia="Calibri"/>
        </w:rPr>
      </w:pPr>
      <w:r w:rsidRPr="00214E6F">
        <w:t>Následující graf č. 3.1.5 přináší přehled nejnákladnějších kapitol diagnóz z roku 201</w:t>
      </w:r>
      <w:r w:rsidR="00606B1B">
        <w:t>6</w:t>
      </w:r>
      <w:r w:rsidRPr="00214E6F">
        <w:t xml:space="preserve"> ve třech základních věkových skupinách.</w:t>
      </w:r>
      <w:r w:rsidRPr="00214E6F">
        <w:rPr>
          <w:rFonts w:cs="Arial"/>
          <w:szCs w:val="20"/>
          <w:vertAlign w:val="superscript"/>
        </w:rPr>
        <w:footnoteReference w:id="1"/>
      </w:r>
      <w:r w:rsidRPr="00214E6F">
        <w:t xml:space="preserve">  Ve věkových skupinách </w:t>
      </w:r>
      <w:r w:rsidRPr="00214E6F">
        <w:rPr>
          <w:b/>
        </w:rPr>
        <w:t xml:space="preserve">15 – 64 let </w:t>
      </w:r>
      <w:r w:rsidRPr="00214E6F">
        <w:t xml:space="preserve">a </w:t>
      </w:r>
      <w:r w:rsidRPr="00214E6F">
        <w:rPr>
          <w:b/>
        </w:rPr>
        <w:t>65 a více let</w:t>
      </w:r>
      <w:r w:rsidRPr="00214E6F">
        <w:t xml:space="preserve"> je výčet nejnákladovějších skupin diagnóz téměř totožný a mění se mírně pouze jejich pořadí. Nejmarkantnější </w:t>
      </w:r>
      <w:r w:rsidRPr="00214E6F">
        <w:rPr>
          <w:b/>
        </w:rPr>
        <w:t>rozdíl</w:t>
      </w:r>
      <w:r w:rsidRPr="00214E6F">
        <w:t xml:space="preserve"> podle věku je ve výdajích zdravotních pojišťoven </w:t>
      </w:r>
      <w:r w:rsidRPr="00214E6F">
        <w:rPr>
          <w:b/>
        </w:rPr>
        <w:t>na léčení nemocí kardiovaskulárního systému</w:t>
      </w:r>
      <w:r w:rsidRPr="00214E6F">
        <w:t xml:space="preserve">. Ve věkové skupině 65+ tvoří téměř čtvrtinu výdajů zdravotních pojišťoven na zdravotní péči, zatímco ve skupině 15 – 64 let se jedná o desetinu. </w:t>
      </w:r>
      <w:r w:rsidRPr="00214E6F">
        <w:rPr>
          <w:rFonts w:eastAsia="Calibri"/>
        </w:rPr>
        <w:t xml:space="preserve">Z hlediska struktury příčin nemocnosti jsou stále nemoci oběhové soustavy nejčastějším důvodem pro hospitalizaci a také </w:t>
      </w:r>
      <w:r w:rsidRPr="00214E6F">
        <w:t xml:space="preserve">úmrtnosti. Podle demografické statistiky umírá polovina seniorů v České republice na nemoci oběhové soustavy (zejména na infarkt myokardu a cévní onemocnění), ve středním věku jsou nejčastějšími příčinami úmrtí zhoubné novotvary. </w:t>
      </w:r>
    </w:p>
    <w:p w:rsidR="00214E6F" w:rsidRPr="00214E6F" w:rsidRDefault="00214E6F" w:rsidP="00214E6F">
      <w:pPr>
        <w:spacing w:before="120"/>
        <w:jc w:val="both"/>
      </w:pPr>
      <w:r w:rsidRPr="00214E6F">
        <w:rPr>
          <w:b/>
        </w:rPr>
        <w:t>U dětí do 14 let</w:t>
      </w:r>
      <w:r w:rsidRPr="00214E6F">
        <w:t xml:space="preserve"> je výčet finančně nejnáročnějších diagnóz z hlediska výdajů zdravotních pojišťoven odlišný. Jedná se zejména o nemoci </w:t>
      </w:r>
      <w:r w:rsidRPr="00214E6F">
        <w:rPr>
          <w:b/>
        </w:rPr>
        <w:t xml:space="preserve">dýchací soustavy </w:t>
      </w:r>
      <w:r w:rsidRPr="00214E6F">
        <w:t>a</w:t>
      </w:r>
      <w:r w:rsidRPr="00214E6F">
        <w:rPr>
          <w:b/>
        </w:rPr>
        <w:t xml:space="preserve"> stavy vzniklé v perinatálním období</w:t>
      </w:r>
      <w:r w:rsidRPr="00214E6F">
        <w:t>, což je pravděpodobně ovlivněno nárůstem počtu předčasně narozených dětí s nízkou či velmi nízkou porodní hmotností. Zdravotní péče o tyto velmi ohrožené děti je značně nákladná a s vývojem stále dokonalejších léčebných metod, léků a přístrojů budou tyto náklady pravděpodobně nadále narůstat.</w:t>
      </w:r>
    </w:p>
    <w:p w:rsidR="00214E6F" w:rsidRPr="00214E6F" w:rsidRDefault="00214E6F" w:rsidP="00214E6F">
      <w:pPr>
        <w:spacing w:before="240" w:after="120"/>
        <w:rPr>
          <w:b/>
          <w:bCs/>
          <w:spacing w:val="-6"/>
          <w:sz w:val="18"/>
          <w:szCs w:val="18"/>
        </w:rPr>
      </w:pPr>
      <w:r w:rsidRPr="00214E6F">
        <w:rPr>
          <w:b/>
          <w:bCs/>
          <w:spacing w:val="-6"/>
          <w:sz w:val="18"/>
          <w:szCs w:val="18"/>
        </w:rPr>
        <w:t xml:space="preserve">Graf č. 3.1.5 Výdaje zdravotních pojišťoven </w:t>
      </w:r>
      <w:r w:rsidR="000C547E">
        <w:rPr>
          <w:b/>
          <w:bCs/>
          <w:spacing w:val="-6"/>
          <w:sz w:val="18"/>
          <w:szCs w:val="18"/>
        </w:rPr>
        <w:t xml:space="preserve">v Česku </w:t>
      </w:r>
      <w:r w:rsidRPr="00214E6F">
        <w:rPr>
          <w:b/>
          <w:bCs/>
          <w:spacing w:val="-6"/>
          <w:sz w:val="18"/>
          <w:szCs w:val="18"/>
        </w:rPr>
        <w:t xml:space="preserve">podle věkových skupin a diagnóz MKN-10*, 2016 (%) </w:t>
      </w:r>
    </w:p>
    <w:p w:rsidR="00214E6F" w:rsidRPr="00214E6F" w:rsidRDefault="00214E6F" w:rsidP="00214E6F">
      <w:pPr>
        <w:spacing w:before="240" w:after="120"/>
        <w:rPr>
          <w:b/>
          <w:bCs/>
          <w:spacing w:val="-6"/>
          <w:sz w:val="18"/>
          <w:szCs w:val="18"/>
        </w:rPr>
      </w:pPr>
      <w:r w:rsidRPr="00214E6F">
        <w:rPr>
          <w:noProof/>
        </w:rPr>
        <w:drawing>
          <wp:inline distT="0" distB="0" distL="0" distR="0">
            <wp:extent cx="6120000" cy="23400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547E" w:rsidRPr="00FB007E" w:rsidRDefault="00214E6F" w:rsidP="000C547E">
      <w:pPr>
        <w:spacing w:before="120" w:line="240" w:lineRule="auto"/>
        <w:jc w:val="both"/>
        <w:rPr>
          <w:b/>
          <w:bCs/>
          <w:i/>
          <w:sz w:val="12"/>
          <w:szCs w:val="16"/>
        </w:rPr>
      </w:pPr>
      <w:r w:rsidRPr="00214E6F">
        <w:rPr>
          <w:bCs/>
          <w:i/>
          <w:sz w:val="16"/>
          <w:szCs w:val="16"/>
        </w:rPr>
        <w:t>*</w:t>
      </w:r>
      <w:r w:rsidR="000C547E" w:rsidRPr="000C547E">
        <w:rPr>
          <w:sz w:val="16"/>
        </w:rPr>
        <w:t xml:space="preserve"> </w:t>
      </w:r>
      <w:r w:rsidR="000C547E" w:rsidRPr="00FB007E">
        <w:rPr>
          <w:sz w:val="16"/>
        </w:rPr>
        <w:t xml:space="preserve">Poznámka: </w:t>
      </w:r>
      <w:r w:rsidR="000C547E">
        <w:rPr>
          <w:sz w:val="16"/>
        </w:rPr>
        <w:t>v</w:t>
      </w:r>
      <w:r w:rsidR="000C547E" w:rsidRPr="00D516DE">
        <w:rPr>
          <w:sz w:val="16"/>
        </w:rPr>
        <w:t>ýdaje zdravotních pojišťoven na zdravotní péči v ČR podle diagnóz MKN-10 uvedené v tomto grafu neobsahují údaje za „neznámou“ diagnózu ve výši 51,4 mld. Kč. Položka neznámá diagnóza zahrnuje výdaje, které není možné rozčlenit na konkrétní diagnózy. Jedná se například o kapitační platby registrujícím lékařům, návštěvní službu v rámci domácí péče, léky na recept, různé bonusy a příspěvky a také náklady pojišťoven na správu a provoz vlastních organizací.</w:t>
      </w:r>
    </w:p>
    <w:p w:rsidR="00214E6F" w:rsidRPr="00214E6F" w:rsidRDefault="00214E6F" w:rsidP="00214E6F">
      <w:pPr>
        <w:keepNext/>
        <w:spacing w:before="120" w:line="240" w:lineRule="auto"/>
        <w:jc w:val="right"/>
        <w:rPr>
          <w:b/>
          <w:bCs/>
          <w:i/>
          <w:sz w:val="16"/>
          <w:szCs w:val="16"/>
        </w:rPr>
      </w:pPr>
      <w:r w:rsidRPr="00214E6F">
        <w:rPr>
          <w:b/>
          <w:bCs/>
          <w:i/>
          <w:sz w:val="16"/>
          <w:szCs w:val="16"/>
        </w:rPr>
        <w:t>Zdroj: ČSÚ 2018, Zdravotnické účty ČR 2010 - 2016</w:t>
      </w:r>
    </w:p>
    <w:p w:rsidR="00214E6F" w:rsidRPr="00214E6F" w:rsidRDefault="00214E6F" w:rsidP="00606B1B">
      <w:pPr>
        <w:spacing w:before="240" w:line="240" w:lineRule="auto"/>
        <w:rPr>
          <w:rFonts w:eastAsia="MS Gothic"/>
          <w:b/>
          <w:i/>
        </w:rPr>
      </w:pPr>
      <w:r w:rsidRPr="00214E6F">
        <w:rPr>
          <w:rFonts w:eastAsia="MS Gothic"/>
          <w:b/>
          <w:i/>
        </w:rPr>
        <w:t xml:space="preserve">Výrazně vyšší </w:t>
      </w:r>
      <w:r w:rsidR="00606B1B">
        <w:rPr>
          <w:rFonts w:eastAsia="MS Gothic"/>
          <w:b/>
          <w:i/>
        </w:rPr>
        <w:t xml:space="preserve">jsou </w:t>
      </w:r>
      <w:r w:rsidRPr="00214E6F">
        <w:rPr>
          <w:rFonts w:eastAsia="MS Gothic"/>
          <w:b/>
          <w:i/>
        </w:rPr>
        <w:t xml:space="preserve">výdaje na léčení nemocí oběhové soustavy u mužů </w:t>
      </w:r>
      <w:r w:rsidR="00606B1B">
        <w:rPr>
          <w:rFonts w:eastAsia="MS Gothic"/>
          <w:b/>
          <w:i/>
        </w:rPr>
        <w:t>než u žen</w:t>
      </w:r>
    </w:p>
    <w:p w:rsidR="00214E6F" w:rsidRPr="00214E6F" w:rsidRDefault="00214E6F" w:rsidP="00214E6F">
      <w:pPr>
        <w:spacing w:before="120"/>
        <w:jc w:val="both"/>
        <w:rPr>
          <w:szCs w:val="20"/>
        </w:rPr>
      </w:pPr>
      <w:r w:rsidRPr="00214E6F">
        <w:rPr>
          <w:szCs w:val="20"/>
        </w:rPr>
        <w:t>Graf č. 3.1.6 podává přehled o průměrných výdajích zdravotních pojišťoven podle diagnóz přepočtených na jednoho pojištěnce daného pohlaví. Je zde patrná převaha výdajů na zdravotní péči o</w:t>
      </w:r>
      <w:r w:rsidRPr="00214E6F">
        <w:rPr>
          <w:b/>
          <w:szCs w:val="20"/>
        </w:rPr>
        <w:t xml:space="preserve"> ženy</w:t>
      </w:r>
      <w:r w:rsidRPr="00214E6F">
        <w:rPr>
          <w:szCs w:val="20"/>
        </w:rPr>
        <w:t xml:space="preserve"> u nemocí svalové a kosterní soustavy, ale také u diagnóz ze skupiny faktory ovlivňující zdravotní stav.  Také u nemocí močové a pohlavní soustavy a nemocí nervové soustavy jsou průměrné výdaje pojišťoven vyšší u žen než u mužů. </w:t>
      </w:r>
    </w:p>
    <w:p w:rsidR="00214E6F" w:rsidRPr="00214E6F" w:rsidRDefault="00214E6F" w:rsidP="00214E6F">
      <w:pPr>
        <w:spacing w:before="120"/>
        <w:jc w:val="both"/>
        <w:rPr>
          <w:szCs w:val="20"/>
        </w:rPr>
      </w:pPr>
      <w:r w:rsidRPr="00214E6F">
        <w:rPr>
          <w:szCs w:val="20"/>
        </w:rPr>
        <w:lastRenderedPageBreak/>
        <w:t>Naopak vyšší výdaje pojišťoven na zdravotní péči o </w:t>
      </w:r>
      <w:r w:rsidRPr="00214E6F">
        <w:rPr>
          <w:b/>
          <w:szCs w:val="20"/>
        </w:rPr>
        <w:t xml:space="preserve">muže </w:t>
      </w:r>
      <w:r w:rsidRPr="00214E6F">
        <w:rPr>
          <w:szCs w:val="20"/>
        </w:rPr>
        <w:t>jsou zaznamenány u onemocnění oběhové soustavy. I v tomto případě odrážejí průměrné náklady jak četnost onemocnění, která může být pro muže a ženy různá, tak i nákladnost léčby. Při tom v jedné skupině diagnóz často najdeme diagnózy typické jak pro muže, tak pro ženy, které se svou frekvencí i nákladností léčby mohou velmi lišit.</w:t>
      </w:r>
    </w:p>
    <w:p w:rsidR="00214E6F" w:rsidRDefault="00214E6F" w:rsidP="000C547E">
      <w:pPr>
        <w:spacing w:before="240"/>
        <w:jc w:val="both"/>
        <w:rPr>
          <w:b/>
          <w:bCs/>
          <w:sz w:val="18"/>
          <w:szCs w:val="18"/>
        </w:rPr>
      </w:pPr>
      <w:r w:rsidRPr="00214E6F">
        <w:rPr>
          <w:b/>
          <w:bCs/>
          <w:sz w:val="18"/>
          <w:szCs w:val="18"/>
        </w:rPr>
        <w:t xml:space="preserve">Graf č. 3.1.6 Výdaje zdravotních pojišťoven </w:t>
      </w:r>
      <w:r w:rsidR="000C547E">
        <w:rPr>
          <w:b/>
          <w:bCs/>
          <w:sz w:val="18"/>
          <w:szCs w:val="18"/>
        </w:rPr>
        <w:t xml:space="preserve">v Česku </w:t>
      </w:r>
      <w:r w:rsidRPr="00214E6F">
        <w:rPr>
          <w:b/>
          <w:bCs/>
          <w:sz w:val="18"/>
          <w:szCs w:val="18"/>
        </w:rPr>
        <w:t xml:space="preserve">na 1 pojištěnce podle pohlaví a diagnóz MKN-10, 2016 (Kč) </w:t>
      </w:r>
    </w:p>
    <w:p w:rsidR="00214E6F" w:rsidRPr="00214E6F" w:rsidRDefault="00214E6F" w:rsidP="000C547E">
      <w:pPr>
        <w:spacing w:line="240" w:lineRule="auto"/>
        <w:jc w:val="right"/>
        <w:rPr>
          <w:b/>
          <w:i/>
          <w:sz w:val="16"/>
          <w:szCs w:val="16"/>
        </w:rPr>
      </w:pPr>
      <w:r w:rsidRPr="009D307C">
        <w:rPr>
          <w:noProof/>
        </w:rPr>
        <w:drawing>
          <wp:inline distT="0" distB="0" distL="0" distR="0" wp14:anchorId="13F33CAA" wp14:editId="756AF52F">
            <wp:extent cx="6076950" cy="43560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214E6F">
        <w:rPr>
          <w:b/>
          <w:i/>
          <w:sz w:val="16"/>
          <w:szCs w:val="16"/>
        </w:rPr>
        <w:t xml:space="preserve">Zdroj: ČSÚ 2018, Zdravotnické účty ČR 2010 - 2016 </w:t>
      </w:r>
    </w:p>
    <w:p w:rsidR="00214E6F" w:rsidRPr="00214E6F" w:rsidRDefault="00214E6F" w:rsidP="00DE6B5D">
      <w:pPr>
        <w:widowControl w:val="0"/>
        <w:spacing w:before="240" w:after="120"/>
        <w:rPr>
          <w:rFonts w:eastAsia="MS Gothic"/>
          <w:b/>
          <w:i/>
        </w:rPr>
      </w:pPr>
      <w:r w:rsidRPr="00214E6F">
        <w:rPr>
          <w:rFonts w:eastAsia="MS Gothic"/>
          <w:b/>
          <w:i/>
        </w:rPr>
        <w:t>Nejvíce peněz vydaly zdravotní pojišťovny na péči o muže i ženy ve věku 70 až 74 let</w:t>
      </w:r>
    </w:p>
    <w:p w:rsidR="00214E6F" w:rsidRPr="00214E6F" w:rsidRDefault="00214E6F" w:rsidP="00DE6B5D">
      <w:pPr>
        <w:widowControl w:val="0"/>
        <w:spacing w:before="120"/>
        <w:jc w:val="both"/>
      </w:pPr>
      <w:r w:rsidRPr="00214E6F">
        <w:t>Následující část je zaměřena na výdaje pojišťoven na zdravotní péči členěné</w:t>
      </w:r>
      <w:r w:rsidRPr="00214E6F">
        <w:rPr>
          <w:b/>
        </w:rPr>
        <w:t xml:space="preserve"> podle věku </w:t>
      </w:r>
      <w:r w:rsidRPr="00214E6F">
        <w:t>a</w:t>
      </w:r>
      <w:r w:rsidRPr="00214E6F">
        <w:rPr>
          <w:b/>
        </w:rPr>
        <w:t xml:space="preserve"> pohlaví pojištěnců</w:t>
      </w:r>
      <w:r w:rsidRPr="00214E6F">
        <w:t xml:space="preserve">, na které byla tato péče vykázána. </w:t>
      </w:r>
      <w:r w:rsidRPr="00480E40">
        <w:rPr>
          <w:i/>
        </w:rPr>
        <w:t>Každá věková skupina má odlišný počet pojištěnců, který přímo úměrně ovlivňuje výši celkových vynaložených výdajů. Při vyčíslení výdajů na jednoho pojištěnce se ukazuje jako potřebné vzít v úvahu i věk pojištěnce, protože v různém věku se stejná nemoc může projevovat různě, mít odlišnou délku léčení, specifické komplikace, odlišný průběh a tudíž rozdílné náklady</w:t>
      </w:r>
      <w:r w:rsidRPr="00214E6F">
        <w:t>.</w:t>
      </w:r>
    </w:p>
    <w:p w:rsidR="00D615CD" w:rsidRDefault="00214E6F" w:rsidP="00D615CD">
      <w:pPr>
        <w:spacing w:before="240"/>
        <w:jc w:val="both"/>
      </w:pPr>
      <w:r w:rsidRPr="00214E6F">
        <w:t xml:space="preserve">Z celkových výdajů zdravotních pojišťoven na zdravotní péči připadlo zhruba 48 % na péči </w:t>
      </w:r>
      <w:r w:rsidRPr="00480E40">
        <w:t>o</w:t>
      </w:r>
      <w:r w:rsidRPr="00480E40">
        <w:rPr>
          <w:b/>
        </w:rPr>
        <w:t> muže</w:t>
      </w:r>
      <w:r w:rsidRPr="00214E6F">
        <w:t xml:space="preserve"> a 52 % na </w:t>
      </w:r>
      <w:r w:rsidRPr="00480E40">
        <w:t>péči o</w:t>
      </w:r>
      <w:r w:rsidRPr="00480E40">
        <w:rPr>
          <w:b/>
        </w:rPr>
        <w:t xml:space="preserve"> ženy</w:t>
      </w:r>
      <w:r w:rsidRPr="00214E6F">
        <w:t>. Vyšší výdaje na zdravotní péči o muže než na péči o ženy byly v roce 2016 pojišťovnami evidovány ve věkových skupinách 0 – 14 a 55 – 79 let. V ostatních věkových skupinách byly vyšší výdaje na zdravotní péči o ženy než o muže. U obou pohlaví se nejvyšší částka objevuje shodně ve věkové skupině 70 – 74 let.</w:t>
      </w:r>
      <w:r w:rsidR="00D615CD" w:rsidRPr="00D615CD">
        <w:t xml:space="preserve"> </w:t>
      </w:r>
      <w:r w:rsidR="00C51E92">
        <w:t xml:space="preserve">   </w:t>
      </w:r>
    </w:p>
    <w:p w:rsidR="00D615CD" w:rsidRPr="00214E6F" w:rsidRDefault="00D615CD" w:rsidP="00F5536C">
      <w:pPr>
        <w:widowControl w:val="0"/>
        <w:spacing w:before="240"/>
        <w:jc w:val="both"/>
      </w:pPr>
      <w:r w:rsidRPr="00C51E92">
        <w:t xml:space="preserve">V porovnání s rokem 2010 se celkové výdaje zdravotních pojišťoven na zdravotní péči v roce 2016 zvýšily téměř o 6 miliard korun. Největší nárůst výdajů pojišťoven na zdravotní péči o muže byl mezi lety 2010 a 2016 zaznamenán ve </w:t>
      </w:r>
      <w:r w:rsidRPr="00C51E92">
        <w:rPr>
          <w:b/>
        </w:rPr>
        <w:t xml:space="preserve">věkové </w:t>
      </w:r>
      <w:r w:rsidR="00480E40" w:rsidRPr="00C51E92">
        <w:rPr>
          <w:b/>
        </w:rPr>
        <w:t>skupině</w:t>
      </w:r>
      <w:r w:rsidR="00480E40" w:rsidRPr="00C51E92">
        <w:t xml:space="preserve"> </w:t>
      </w:r>
      <w:r w:rsidRPr="00C51E92">
        <w:t xml:space="preserve">70 </w:t>
      </w:r>
      <w:r w:rsidR="00480E40" w:rsidRPr="00C51E92">
        <w:t>až</w:t>
      </w:r>
      <w:r w:rsidRPr="00C51E92">
        <w:t xml:space="preserve"> 74 let (</w:t>
      </w:r>
      <w:r w:rsidR="00480E40" w:rsidRPr="00C51E92">
        <w:t xml:space="preserve">o </w:t>
      </w:r>
      <w:r w:rsidRPr="00C51E92">
        <w:t>52 %) a výdaje na zdravotní péči o ženy se nejvíce zvýšily ve věkové skupině 85 a více let (</w:t>
      </w:r>
      <w:r w:rsidR="00480E40" w:rsidRPr="00C51E92">
        <w:t xml:space="preserve">o </w:t>
      </w:r>
      <w:r w:rsidRPr="00C51E92">
        <w:t xml:space="preserve">36 %). V těchto skupinách rozlišených dle věku a pohlaví došlo zároveň k výraznému nárůstu počtu obyvatel a zároveň se jedná o věkové skupiny, u nichž je </w:t>
      </w:r>
      <w:r w:rsidR="00C51E92" w:rsidRPr="00C51E92">
        <w:t xml:space="preserve">tradičně </w:t>
      </w:r>
      <w:r w:rsidRPr="00C51E92">
        <w:t xml:space="preserve">vysoká míra nemocnosti. </w:t>
      </w:r>
    </w:p>
    <w:p w:rsidR="00214E6F" w:rsidRPr="00214E6F" w:rsidRDefault="00214E6F" w:rsidP="00214E6F">
      <w:pPr>
        <w:keepNext/>
        <w:spacing w:before="240" w:after="120" w:line="240" w:lineRule="auto"/>
        <w:jc w:val="both"/>
        <w:rPr>
          <w:b/>
          <w:bCs/>
          <w:sz w:val="18"/>
          <w:szCs w:val="18"/>
        </w:rPr>
      </w:pPr>
      <w:r w:rsidRPr="00214E6F">
        <w:rPr>
          <w:b/>
          <w:bCs/>
          <w:sz w:val="18"/>
          <w:szCs w:val="18"/>
        </w:rPr>
        <w:lastRenderedPageBreak/>
        <w:t xml:space="preserve">Tab. </w:t>
      </w:r>
      <w:proofErr w:type="gramStart"/>
      <w:r w:rsidRPr="00214E6F">
        <w:rPr>
          <w:b/>
          <w:bCs/>
          <w:sz w:val="18"/>
          <w:szCs w:val="18"/>
        </w:rPr>
        <w:t>č.</w:t>
      </w:r>
      <w:proofErr w:type="gramEnd"/>
      <w:r w:rsidRPr="00214E6F">
        <w:rPr>
          <w:b/>
          <w:bCs/>
          <w:sz w:val="18"/>
          <w:szCs w:val="18"/>
        </w:rPr>
        <w:t xml:space="preserve"> 3.1.1 Výdaje zdravotních pojišťoven na zdravotní péči v ČR podle věku a pohlaví, 2010 a 2016 (mil. Kč) </w:t>
      </w: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1581"/>
        <w:gridCol w:w="1308"/>
        <w:gridCol w:w="1308"/>
        <w:gridCol w:w="1309"/>
        <w:gridCol w:w="1308"/>
        <w:gridCol w:w="1309"/>
        <w:gridCol w:w="1308"/>
      </w:tblGrid>
      <w:tr w:rsidR="00480E40" w:rsidRPr="00F5536C" w:rsidTr="00480E40">
        <w:trPr>
          <w:trHeight w:val="283"/>
        </w:trPr>
        <w:tc>
          <w:tcPr>
            <w:tcW w:w="158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Default="00480E40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sz w:val="16"/>
                <w:szCs w:val="16"/>
                <w:lang w:val="en-US" w:eastAsia="en-US"/>
              </w:rPr>
              <w:t>Věková</w:t>
            </w:r>
            <w:proofErr w:type="spellEnd"/>
            <w:r w:rsidRPr="00F5536C">
              <w:rPr>
                <w:rFonts w:cs="Arial"/>
                <w:sz w:val="16"/>
                <w:szCs w:val="16"/>
                <w:lang w:val="en-US" w:eastAsia="en-US"/>
              </w:rPr>
              <w:t xml:space="preserve"> </w:t>
            </w:r>
          </w:p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sz w:val="16"/>
                <w:szCs w:val="16"/>
                <w:lang w:val="en-US" w:eastAsia="en-US"/>
              </w:rPr>
              <w:t>skupina</w:t>
            </w:r>
            <w:proofErr w:type="spellEnd"/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2010</w:t>
            </w:r>
          </w:p>
        </w:tc>
        <w:tc>
          <w:tcPr>
            <w:tcW w:w="39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2016</w:t>
            </w:r>
          </w:p>
        </w:tc>
      </w:tr>
      <w:tr w:rsidR="00480E40" w:rsidRPr="00F5536C" w:rsidTr="00480E40">
        <w:trPr>
          <w:trHeight w:val="283"/>
        </w:trPr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Muži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Ženy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Celkem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Muži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Ženy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80E40" w:rsidRPr="00F5536C" w:rsidRDefault="00480E40" w:rsidP="00F5536C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Celkem</w:t>
            </w:r>
            <w:proofErr w:type="spellEnd"/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0-4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5 256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4 072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9 328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5 493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4 581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10 074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0-5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2 716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2 188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4 904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3 066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2 486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5 552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10-14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2 584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2 627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5 211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2 709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2 487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5 196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15-19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2 964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3 385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6 349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2 389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2 771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5 159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20-24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2 831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3 673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6 504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2 501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3 313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5 814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25-29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5 446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8 949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3 343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5 023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8 367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30-34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4 650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7 589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12 239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3 892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5 905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9 797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35-39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4 780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5 975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10 755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5 257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6 859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12 116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40-44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5 368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5 759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11 127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7 377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13 617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45-49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5 499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6 229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11 728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6 111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6 882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12 993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50-54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8 201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8 664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16 865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7 623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7 828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15 451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55-59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10 631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10 095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20 726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9 266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8 668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17 934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60-64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13 828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11 523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25 351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13 120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11 547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24 667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65-69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11 282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11 942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23 224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11 409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10 067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21 476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70-74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8 650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10 182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18 832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13 165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13 125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26 289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75-79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7 730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9 707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17 437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8 696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7 719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16 415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80-84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5 092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8 071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13 163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5 557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8 631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14 188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85+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2 772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6 435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9 207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3 837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sz w:val="16"/>
                <w:szCs w:val="16"/>
                <w:lang w:val="en-US" w:eastAsia="en-US"/>
              </w:rPr>
              <w:t>8 758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12 595</w:t>
            </w:r>
          </w:p>
        </w:tc>
      </w:tr>
      <w:tr w:rsidR="00F5536C" w:rsidRPr="00F5536C" w:rsidTr="00F5536C">
        <w:trPr>
          <w:trHeight w:val="283"/>
        </w:trPr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536C" w:rsidRPr="00F5536C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C</w:t>
            </w:r>
            <w:r w:rsidR="00F5536C"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elkem</w:t>
            </w:r>
            <w:proofErr w:type="spell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108 332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123 557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231 889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113 673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124 027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5536C" w:rsidRPr="00F5536C" w:rsidRDefault="00F5536C" w:rsidP="00F5536C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F5536C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237 700</w:t>
            </w:r>
          </w:p>
        </w:tc>
      </w:tr>
    </w:tbl>
    <w:p w:rsidR="00214E6F" w:rsidRPr="00214E6F" w:rsidRDefault="00214E6F" w:rsidP="00214E6F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 w:rsidRPr="00214E6F">
        <w:rPr>
          <w:b/>
          <w:bCs/>
          <w:i/>
          <w:sz w:val="16"/>
          <w:szCs w:val="16"/>
        </w:rPr>
        <w:t xml:space="preserve">Zdroj: ČSÚ 2018, Zdravotnické účty ČR 2010 - 2016 </w:t>
      </w:r>
    </w:p>
    <w:p w:rsidR="00214E6F" w:rsidRPr="00214E6F" w:rsidRDefault="00214E6F" w:rsidP="00214E6F">
      <w:pPr>
        <w:spacing w:before="120"/>
        <w:jc w:val="both"/>
      </w:pPr>
      <w:r w:rsidRPr="00214E6F">
        <w:t>K největšímu poklesu naopak došlo u výdajů na zdravotní péči o muže ve věkové skupině 15 – 19 let (o 19 %)</w:t>
      </w:r>
      <w:r w:rsidR="00C45E27">
        <w:t xml:space="preserve">, což je důsledek </w:t>
      </w:r>
      <w:r w:rsidRPr="00214E6F">
        <w:t>sníž</w:t>
      </w:r>
      <w:r w:rsidR="00C45E27">
        <w:t>ení</w:t>
      </w:r>
      <w:r w:rsidRPr="00214E6F">
        <w:t xml:space="preserve"> počt</w:t>
      </w:r>
      <w:r w:rsidR="00C45E27">
        <w:t>u</w:t>
      </w:r>
      <w:r w:rsidRPr="00214E6F">
        <w:t xml:space="preserve"> mužů ve věku 15 – 19 let</w:t>
      </w:r>
      <w:r w:rsidR="00C45E27">
        <w:t xml:space="preserve"> o</w:t>
      </w:r>
      <w:r w:rsidRPr="00214E6F">
        <w:t xml:space="preserve"> jednu pětinu</w:t>
      </w:r>
      <w:r w:rsidR="00C45E27">
        <w:t xml:space="preserve"> v porovnání s rokem 2010</w:t>
      </w:r>
      <w:r w:rsidRPr="00214E6F">
        <w:t>. Výdaje na péči o ženy ve věkové skupině 30 – 34 let poklesly o 22 %, což může být, s ohledem na důvody čerpání zdravotní péče mladými ženami, do jisté míry ovlivněno také poklesem porodnosti v uvedeném období.</w:t>
      </w:r>
    </w:p>
    <w:p w:rsidR="00214E6F" w:rsidRPr="00214E6F" w:rsidRDefault="00214E6F" w:rsidP="00D615CD">
      <w:pPr>
        <w:spacing w:before="120" w:line="240" w:lineRule="auto"/>
        <w:rPr>
          <w:b/>
          <w:bCs/>
          <w:sz w:val="18"/>
          <w:szCs w:val="18"/>
        </w:rPr>
      </w:pPr>
      <w:r w:rsidRPr="00214E6F">
        <w:rPr>
          <w:b/>
          <w:bCs/>
          <w:sz w:val="18"/>
          <w:szCs w:val="18"/>
        </w:rPr>
        <w:t>Graf č. 3.1.7 Výdaje zdravotních pojišťoven na zdravotní péči v Č</w:t>
      </w:r>
      <w:r w:rsidR="00F5536C">
        <w:rPr>
          <w:b/>
          <w:bCs/>
          <w:sz w:val="18"/>
          <w:szCs w:val="18"/>
        </w:rPr>
        <w:t>esku</w:t>
      </w:r>
      <w:r w:rsidRPr="00214E6F">
        <w:rPr>
          <w:b/>
          <w:bCs/>
          <w:sz w:val="18"/>
          <w:szCs w:val="18"/>
        </w:rPr>
        <w:t xml:space="preserve"> podle věku a pohlaví v roce 2016 </w:t>
      </w:r>
      <w:r w:rsidR="00F5536C">
        <w:rPr>
          <w:b/>
          <w:bCs/>
          <w:sz w:val="18"/>
          <w:szCs w:val="18"/>
        </w:rPr>
        <w:t>(</w:t>
      </w:r>
      <w:r w:rsidRPr="00214E6F">
        <w:rPr>
          <w:b/>
          <w:bCs/>
          <w:sz w:val="18"/>
          <w:szCs w:val="18"/>
        </w:rPr>
        <w:t>mil. Kč)</w:t>
      </w:r>
    </w:p>
    <w:p w:rsidR="00214E6F" w:rsidRPr="00214E6F" w:rsidRDefault="00214E6F" w:rsidP="00214E6F">
      <w:pPr>
        <w:spacing w:before="240" w:after="120"/>
        <w:jc w:val="right"/>
        <w:rPr>
          <w:b/>
          <w:bCs/>
          <w:sz w:val="18"/>
          <w:szCs w:val="18"/>
        </w:rPr>
      </w:pPr>
      <w:r w:rsidRPr="00214E6F">
        <w:rPr>
          <w:noProof/>
        </w:rPr>
        <w:drawing>
          <wp:inline distT="0" distB="0" distL="0" distR="0">
            <wp:extent cx="6084000" cy="30600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14E6F">
        <w:rPr>
          <w:b/>
          <w:i/>
          <w:sz w:val="16"/>
          <w:szCs w:val="16"/>
        </w:rPr>
        <w:t>Zdroj: ČSÚ 2018, Zdravotnické účty ČR 2010 - 2016</w:t>
      </w:r>
      <w:r w:rsidRPr="00214E6F">
        <w:rPr>
          <w:i/>
          <w:sz w:val="16"/>
          <w:szCs w:val="16"/>
        </w:rPr>
        <w:t xml:space="preserve"> </w:t>
      </w:r>
    </w:p>
    <w:p w:rsidR="00214E6F" w:rsidRPr="00214E6F" w:rsidRDefault="00214E6F" w:rsidP="00480E40">
      <w:pPr>
        <w:spacing w:before="240"/>
        <w:rPr>
          <w:rFonts w:eastAsia="MS Gothic"/>
          <w:b/>
          <w:i/>
        </w:rPr>
      </w:pPr>
      <w:r w:rsidRPr="00214E6F">
        <w:rPr>
          <w:rFonts w:eastAsia="MS Gothic"/>
          <w:b/>
          <w:i/>
        </w:rPr>
        <w:lastRenderedPageBreak/>
        <w:t>Výdaje na léčení žen jsou v průměru o 6 % vyšší než na léčení mužů</w:t>
      </w:r>
    </w:p>
    <w:p w:rsidR="00214E6F" w:rsidRPr="00214E6F" w:rsidRDefault="00C51E92" w:rsidP="00480E40">
      <w:pPr>
        <w:spacing w:before="120" w:after="120"/>
        <w:jc w:val="both"/>
        <w:rPr>
          <w:bCs/>
          <w:szCs w:val="17"/>
        </w:rPr>
      </w:pPr>
      <w:r w:rsidRPr="00C51E92">
        <w:rPr>
          <w:bCs/>
          <w:szCs w:val="17"/>
        </w:rPr>
        <w:t xml:space="preserve">Následující tabulka </w:t>
      </w:r>
      <w:proofErr w:type="gramStart"/>
      <w:r w:rsidRPr="00C51E92">
        <w:rPr>
          <w:bCs/>
          <w:szCs w:val="17"/>
        </w:rPr>
        <w:t>č.3.1.2</w:t>
      </w:r>
      <w:proofErr w:type="gramEnd"/>
      <w:r w:rsidRPr="00C51E92">
        <w:rPr>
          <w:bCs/>
          <w:szCs w:val="17"/>
        </w:rPr>
        <w:t xml:space="preserve"> </w:t>
      </w:r>
      <w:r w:rsidR="00214E6F" w:rsidRPr="00C51E92">
        <w:rPr>
          <w:bCs/>
          <w:szCs w:val="17"/>
        </w:rPr>
        <w:t xml:space="preserve">přináší </w:t>
      </w:r>
      <w:r w:rsidRPr="00C51E92">
        <w:rPr>
          <w:b/>
          <w:bCs/>
          <w:szCs w:val="17"/>
        </w:rPr>
        <w:t>průměrné výdaje</w:t>
      </w:r>
      <w:r w:rsidR="00214E6F" w:rsidRPr="00C51E92">
        <w:rPr>
          <w:b/>
          <w:bCs/>
          <w:szCs w:val="17"/>
        </w:rPr>
        <w:t xml:space="preserve"> zdravotních pojišťoven na zdravotní péči na jednoho pojištěnce podle pohlaví a věku</w:t>
      </w:r>
      <w:r w:rsidR="00214E6F" w:rsidRPr="00C51E92">
        <w:rPr>
          <w:bCs/>
          <w:szCs w:val="17"/>
        </w:rPr>
        <w:t>.</w:t>
      </w:r>
      <w:r w:rsidR="00214E6F" w:rsidRPr="00C51E92">
        <w:rPr>
          <w:bCs/>
          <w:szCs w:val="17"/>
          <w:vertAlign w:val="superscript"/>
        </w:rPr>
        <w:footnoteReference w:id="2"/>
      </w:r>
      <w:r w:rsidR="00214E6F" w:rsidRPr="00C51E92">
        <w:rPr>
          <w:bCs/>
          <w:szCs w:val="17"/>
        </w:rPr>
        <w:t xml:space="preserve"> Obecně lze říci, že výdaje na zdravotní péči rostou spolu s věkem a v jednotlivých věkových skupinách se jejich výše liší i v závislosti na pohlaví.</w:t>
      </w:r>
    </w:p>
    <w:p w:rsidR="00214E6F" w:rsidRPr="00214E6F" w:rsidRDefault="00214E6F" w:rsidP="00AD5913">
      <w:pPr>
        <w:keepNext/>
        <w:spacing w:before="120"/>
        <w:jc w:val="both"/>
      </w:pPr>
      <w:r w:rsidRPr="00214E6F">
        <w:t xml:space="preserve">Důvodem je čerpání velmi odlišné zdravotní péče u každé věkové skupiny. Poměrně vysoké výdaje na jednoho pojištěnce jsou vykazovány v nejmladší věkové skupině dětí do 4 let, což je dáno nákladnější péčí o novorozence (každý novorozenec je po porodu hospitalizován), zejména u předčasně narozených dětí. V následujících věkových skupinách až do 34 let se hodnota průměrných ročních výdajů na jednoho pojištěnce pohybuje kolem 10 tisíc Kč u mužů a 13,6 tisíc Kč u žen (výdaje na zdravotní péči jsou vyšší u žen než u mužů také z důvodů zajištění péče související s těhotenstvím a porodem). Od 35. roku věku se průměrné výdaje na zdravotní péči zvyšují s narůstajícím věkem. U mladších ročníků obou pohlaví jsou často průměrné výdaje na jednoho pojištěnce v dané věkové skupině ovlivněny nabídkou zdravotních pojišťoven na očkování nebo preventivní programy. </w:t>
      </w:r>
    </w:p>
    <w:p w:rsidR="00214E6F" w:rsidRPr="00214E6F" w:rsidRDefault="00214E6F" w:rsidP="00AD5913">
      <w:pPr>
        <w:keepNext/>
        <w:spacing w:before="120"/>
        <w:jc w:val="both"/>
      </w:pPr>
      <w:r w:rsidRPr="00214E6F">
        <w:t>Celkově byly v roce 2016 průměrné výdaje zdravotních pojišťoven na jednu pojištěnou ženu (23 385 Kč) o 5,8 % vyšší než průměrné výdaje na jednoho pojištěného muže (22 103 Kč). Průměrné výdaje na jednu pojištěnou ženu zůstaly mezi roky 2010 a 2016 stabilní</w:t>
      </w:r>
      <w:r w:rsidR="00E663CD">
        <w:t>. V</w:t>
      </w:r>
      <w:r w:rsidRPr="00214E6F">
        <w:t xml:space="preserve">ýdaje na jednoho pojištěnce - muže vzrostly </w:t>
      </w:r>
      <w:r w:rsidR="00E663CD">
        <w:t xml:space="preserve">ve stejném období </w:t>
      </w:r>
      <w:r w:rsidRPr="00214E6F">
        <w:t>o 3,9 %. K největšímu nárůstu průměrných výdajů došlo u dívek nejmladší věkové skupiny do 4 let o 17,8 % a u mužů ve věkové skupině 35 – 39 let o 11,2 %.  Naopak nejvíce se za toto sedmileté období snížily průměrné výdaje u obou pohlaví ve věkové skupině 65 - 69 let – u mužů o 12 % a u žen o 33</w:t>
      </w:r>
      <w:r w:rsidR="00931794">
        <w:t> </w:t>
      </w:r>
      <w:r w:rsidRPr="00214E6F">
        <w:t>%.</w:t>
      </w:r>
    </w:p>
    <w:p w:rsidR="00214E6F" w:rsidRPr="00214E6F" w:rsidRDefault="00214E6F" w:rsidP="00214E6F">
      <w:pPr>
        <w:keepNext/>
        <w:spacing w:before="120"/>
        <w:jc w:val="both"/>
        <w:rPr>
          <w:b/>
          <w:bCs/>
          <w:sz w:val="18"/>
          <w:szCs w:val="18"/>
        </w:rPr>
      </w:pPr>
      <w:r w:rsidRPr="00214E6F">
        <w:t xml:space="preserve">Vývoj průměrných ročních výdajů zdravotních pojišťoven na zdravotní péči </w:t>
      </w:r>
      <w:r w:rsidRPr="00D615CD">
        <w:rPr>
          <w:b/>
        </w:rPr>
        <w:t>na jednoho pojištěnce podle věku a pohlaví</w:t>
      </w:r>
      <w:r w:rsidRPr="00214E6F">
        <w:t xml:space="preserve"> mezi roky 2010 a 2016 přehledně zachycuje následující tabulka č. 3.1.2. </w:t>
      </w:r>
    </w:p>
    <w:p w:rsidR="00214E6F" w:rsidRPr="00214E6F" w:rsidRDefault="00AD5913" w:rsidP="00214E6F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</w:t>
      </w:r>
      <w:r w:rsidR="00214E6F" w:rsidRPr="00214E6F">
        <w:rPr>
          <w:b/>
          <w:bCs/>
          <w:sz w:val="18"/>
          <w:szCs w:val="18"/>
        </w:rPr>
        <w:t xml:space="preserve">abulka č. 3.1.2 </w:t>
      </w:r>
      <w:r w:rsidR="00D16F21">
        <w:rPr>
          <w:b/>
          <w:bCs/>
          <w:sz w:val="18"/>
          <w:szCs w:val="18"/>
        </w:rPr>
        <w:t>V</w:t>
      </w:r>
      <w:r w:rsidR="00214E6F" w:rsidRPr="00214E6F">
        <w:rPr>
          <w:b/>
          <w:bCs/>
          <w:sz w:val="18"/>
          <w:szCs w:val="18"/>
        </w:rPr>
        <w:t>ýdaj</w:t>
      </w:r>
      <w:r w:rsidR="00D16F21">
        <w:rPr>
          <w:b/>
          <w:bCs/>
          <w:sz w:val="18"/>
          <w:szCs w:val="18"/>
        </w:rPr>
        <w:t>e</w:t>
      </w:r>
      <w:r w:rsidR="00214E6F" w:rsidRPr="00214E6F">
        <w:rPr>
          <w:b/>
          <w:bCs/>
          <w:sz w:val="18"/>
          <w:szCs w:val="18"/>
        </w:rPr>
        <w:t xml:space="preserve"> zdravotních pojišťoven </w:t>
      </w:r>
      <w:r w:rsidR="00D16F21">
        <w:rPr>
          <w:b/>
          <w:bCs/>
          <w:sz w:val="18"/>
          <w:szCs w:val="18"/>
        </w:rPr>
        <w:t>v ČR</w:t>
      </w:r>
      <w:r w:rsidR="00214E6F" w:rsidRPr="00214E6F">
        <w:rPr>
          <w:b/>
          <w:bCs/>
          <w:sz w:val="18"/>
          <w:szCs w:val="18"/>
        </w:rPr>
        <w:t xml:space="preserve"> na </w:t>
      </w:r>
      <w:r w:rsidR="00D16F21">
        <w:rPr>
          <w:b/>
          <w:bCs/>
          <w:sz w:val="18"/>
          <w:szCs w:val="18"/>
        </w:rPr>
        <w:t>1</w:t>
      </w:r>
      <w:r w:rsidR="00214E6F" w:rsidRPr="00214E6F">
        <w:rPr>
          <w:b/>
          <w:bCs/>
          <w:sz w:val="18"/>
          <w:szCs w:val="18"/>
        </w:rPr>
        <w:t xml:space="preserve"> pojištěnce podle věku a pohlaví</w:t>
      </w:r>
      <w:r w:rsidR="00D16F21">
        <w:rPr>
          <w:b/>
          <w:bCs/>
          <w:sz w:val="18"/>
          <w:szCs w:val="18"/>
        </w:rPr>
        <w:t xml:space="preserve">, </w:t>
      </w:r>
      <w:r w:rsidR="00214E6F" w:rsidRPr="00214E6F">
        <w:rPr>
          <w:b/>
          <w:bCs/>
          <w:sz w:val="18"/>
          <w:szCs w:val="18"/>
        </w:rPr>
        <w:t>2010 a 2016 (v Kč)</w:t>
      </w:r>
    </w:p>
    <w:tbl>
      <w:tblPr>
        <w:tblW w:w="95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8"/>
        <w:gridCol w:w="1367"/>
        <w:gridCol w:w="1368"/>
        <w:gridCol w:w="1367"/>
        <w:gridCol w:w="1368"/>
        <w:gridCol w:w="1367"/>
        <w:gridCol w:w="1368"/>
      </w:tblGrid>
      <w:tr w:rsidR="00480E40" w:rsidRPr="00480E40" w:rsidTr="00480E40">
        <w:trPr>
          <w:trHeight w:val="258"/>
        </w:trPr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sz w:val="16"/>
                <w:szCs w:val="16"/>
                <w:lang w:val="en-US" w:eastAsia="en-US"/>
              </w:rPr>
              <w:t>Věková</w:t>
            </w:r>
            <w:proofErr w:type="spellEnd"/>
            <w:r w:rsidRPr="00480E40">
              <w:rPr>
                <w:rFonts w:cs="Arial"/>
                <w:sz w:val="16"/>
                <w:szCs w:val="16"/>
                <w:lang w:val="en-US" w:eastAsia="en-US"/>
              </w:rPr>
              <w:t xml:space="preserve"> </w:t>
            </w:r>
            <w:r w:rsidRPr="00480E40">
              <w:rPr>
                <w:rFonts w:cs="Arial"/>
                <w:sz w:val="16"/>
                <w:szCs w:val="16"/>
                <w:lang w:val="en-US" w:eastAsia="en-US"/>
              </w:rPr>
              <w:br/>
            </w:r>
            <w:proofErr w:type="spellStart"/>
            <w:r w:rsidRPr="00480E40">
              <w:rPr>
                <w:rFonts w:cs="Arial"/>
                <w:sz w:val="16"/>
                <w:szCs w:val="16"/>
                <w:lang w:val="en-US" w:eastAsia="en-US"/>
              </w:rPr>
              <w:t>skupina</w:t>
            </w:r>
            <w:proofErr w:type="spellEnd"/>
          </w:p>
        </w:tc>
        <w:tc>
          <w:tcPr>
            <w:tcW w:w="41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2010</w:t>
            </w:r>
          </w:p>
        </w:tc>
        <w:tc>
          <w:tcPr>
            <w:tcW w:w="4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2016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Muži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Ženy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Celkem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Muži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Ženy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Celkem</w:t>
            </w:r>
            <w:proofErr w:type="spellEnd"/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0-4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17 666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14 361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16 014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19 277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16 912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18 095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5-9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11 156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9 514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10 335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10 190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8 651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9 420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10.14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11 014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11 822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11 418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10 733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10 404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10 568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15-19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9 667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11 659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10 663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10 123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12 459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11 291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20-24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8 345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11 412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9 879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8 578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12 112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10 345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25-29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9 618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15 907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12 763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9 708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15 484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12 596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30-34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10 281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17 854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14 068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10 748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17 347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14 047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35-39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10 922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14 566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12 744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12 149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16 906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14 528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40-44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15 088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17 168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16 128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13 823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17 243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15 533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45-49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15 761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18 675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17 218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17 097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20 244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18 671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50-54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23 815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25 436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24 626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21 901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23 213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22 557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55-59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28 516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26 057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27 287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29 048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27 010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28 029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60-64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39 756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30 036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34 896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38 049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31 114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34 581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65-69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45 612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40 172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42 892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35 657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27 061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31 359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70-74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54 245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47 241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50 743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59 108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45 387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52 248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75-79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62 624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50 086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56 355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64 924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39 046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51 985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80-84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65 217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53 670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59 444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66 387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58 510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62 448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85+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68 462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60 030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64 246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67 565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sz w:val="16"/>
                <w:szCs w:val="16"/>
                <w:lang w:val="en-US" w:eastAsia="en-US"/>
              </w:rPr>
              <w:t>64 169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65 867</w:t>
            </w:r>
          </w:p>
        </w:tc>
      </w:tr>
      <w:tr w:rsidR="00480E40" w:rsidRPr="00480E40" w:rsidTr="00480E40">
        <w:trPr>
          <w:trHeight w:val="258"/>
        </w:trPr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480E40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>Celkem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sz w:val="16"/>
                <w:szCs w:val="16"/>
                <w:lang w:val="en-US" w:eastAsia="en-US"/>
              </w:rPr>
              <w:t>21 267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sz w:val="16"/>
                <w:szCs w:val="16"/>
                <w:lang w:val="en-US" w:eastAsia="en-US"/>
              </w:rPr>
              <w:t>23 445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22 356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sz w:val="16"/>
                <w:szCs w:val="16"/>
                <w:lang w:val="en-US" w:eastAsia="en-US"/>
              </w:rPr>
              <w:t>22 103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sz w:val="16"/>
                <w:szCs w:val="16"/>
                <w:lang w:val="en-US" w:eastAsia="en-US"/>
              </w:rPr>
              <w:t>23 385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480E40" w:rsidRPr="00480E40" w:rsidRDefault="00480E40" w:rsidP="00480E40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80E40">
              <w:rPr>
                <w:rFonts w:cs="Arial"/>
                <w:b/>
                <w:bCs/>
                <w:color w:val="000000"/>
                <w:sz w:val="16"/>
                <w:szCs w:val="16"/>
                <w:lang w:val="en-US" w:eastAsia="en-US"/>
              </w:rPr>
              <w:t>22 744</w:t>
            </w:r>
          </w:p>
        </w:tc>
      </w:tr>
    </w:tbl>
    <w:p w:rsidR="00214E6F" w:rsidRPr="00214E6F" w:rsidRDefault="00214E6F" w:rsidP="00214E6F">
      <w:pPr>
        <w:spacing w:before="120" w:line="240" w:lineRule="auto"/>
        <w:jc w:val="right"/>
        <w:rPr>
          <w:b/>
          <w:bCs/>
          <w:i/>
          <w:sz w:val="16"/>
          <w:szCs w:val="16"/>
        </w:rPr>
      </w:pPr>
      <w:r w:rsidRPr="00214E6F">
        <w:rPr>
          <w:b/>
          <w:bCs/>
          <w:i/>
          <w:sz w:val="16"/>
          <w:szCs w:val="16"/>
        </w:rPr>
        <w:t xml:space="preserve">Zdroj: ČSÚ 2018, Zdravotnické účty ČR 2010 - 2016 </w:t>
      </w:r>
    </w:p>
    <w:sectPr w:rsidR="00214E6F" w:rsidRPr="00214E6F" w:rsidSect="00174E6D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78" w:rsidRDefault="00BB6A78" w:rsidP="00E71A58">
      <w:r>
        <w:separator/>
      </w:r>
    </w:p>
  </w:endnote>
  <w:endnote w:type="continuationSeparator" w:id="0">
    <w:p w:rsidR="00BB6A78" w:rsidRDefault="00BB6A7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A2C0327" wp14:editId="4581C795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74E6D">
      <w:rPr>
        <w:rFonts w:ascii="Arial" w:hAnsi="Arial" w:cs="Arial"/>
        <w:noProof/>
        <w:sz w:val="16"/>
        <w:szCs w:val="16"/>
      </w:rPr>
      <w:t>28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ED285DC" wp14:editId="0D65FD86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74E6D">
      <w:rPr>
        <w:rFonts w:ascii="Arial" w:hAnsi="Arial" w:cs="Arial"/>
        <w:noProof/>
        <w:sz w:val="16"/>
        <w:szCs w:val="16"/>
      </w:rPr>
      <w:t>29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78" w:rsidRDefault="00BB6A78" w:rsidP="00E71A58">
      <w:r>
        <w:separator/>
      </w:r>
    </w:p>
  </w:footnote>
  <w:footnote w:type="continuationSeparator" w:id="0">
    <w:p w:rsidR="00BB6A78" w:rsidRDefault="00BB6A78" w:rsidP="00E71A58">
      <w:r>
        <w:continuationSeparator/>
      </w:r>
    </w:p>
  </w:footnote>
  <w:footnote w:id="1">
    <w:p w:rsidR="00216072" w:rsidRDefault="00216072" w:rsidP="00214E6F">
      <w:pPr>
        <w:pStyle w:val="Textpoznpodarou"/>
      </w:pPr>
      <w:r w:rsidRPr="00991FEF">
        <w:rPr>
          <w:rStyle w:val="Znakapoznpodarou"/>
        </w:rPr>
        <w:footnoteRef/>
      </w:r>
      <w:r w:rsidRPr="00991FEF">
        <w:t xml:space="preserve"> Nejsou zde samostatně zahrnuty diagnózy z kapitoly - Faktory ovlivňující zdravotní stav a kontakt se zdravotnickými službami, které</w:t>
      </w:r>
      <w:r>
        <w:t> </w:t>
      </w:r>
      <w:r w:rsidRPr="00991FEF">
        <w:t>jsou uvedeny v položce ostatní diagnózy.</w:t>
      </w:r>
    </w:p>
    <w:p w:rsidR="00216072" w:rsidRDefault="00216072" w:rsidP="00214E6F">
      <w:pPr>
        <w:pStyle w:val="Textpoznpodarou"/>
      </w:pPr>
    </w:p>
  </w:footnote>
  <w:footnote w:id="2">
    <w:p w:rsidR="00216072" w:rsidRDefault="00216072" w:rsidP="00214E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23596">
        <w:t xml:space="preserve">Tabulka počtu pojištěnců podle věku a pohlaví je uvedena </w:t>
      </w:r>
      <w:r w:rsidRPr="00223335">
        <w:t xml:space="preserve">v příloze (viz tabulka </w:t>
      </w:r>
      <w:proofErr w:type="gramStart"/>
      <w:r w:rsidRPr="00223335">
        <w:t>č.1</w:t>
      </w:r>
      <w:r>
        <w:t>2</w:t>
      </w:r>
      <w:proofErr w:type="gram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4E6D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B6A78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823202614379087E-2"/>
          <c:y val="4.2266993464052292E-2"/>
          <c:w val="0.93915277777777773"/>
          <c:h val="0.78547727422034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'2_1'!$A$4</c:f>
              <c:strCache>
                <c:ptCount val="1"/>
                <c:pt idx="0">
                  <c:v> Celkem v mld. Kč - běžné ceny</c:v>
                </c:pt>
              </c:strCache>
            </c:strRef>
          </c:tx>
          <c:spPr>
            <a:solidFill>
              <a:srgbClr val="D96D75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'2_1'!$B$3:$H$3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'2_1'!$B$4:$H$4</c:f>
              <c:numCache>
                <c:formatCode>0.0</c:formatCode>
                <c:ptCount val="7"/>
                <c:pt idx="0">
                  <c:v>231.88897809654742</c:v>
                </c:pt>
                <c:pt idx="1">
                  <c:v>234.33741301580017</c:v>
                </c:pt>
                <c:pt idx="2">
                  <c:v>237.92727992194759</c:v>
                </c:pt>
                <c:pt idx="3">
                  <c:v>238.3540485343969</c:v>
                </c:pt>
                <c:pt idx="4">
                  <c:v>234.60161366699961</c:v>
                </c:pt>
                <c:pt idx="5">
                  <c:v>234.4604914581293</c:v>
                </c:pt>
                <c:pt idx="6">
                  <c:v>237.70046427490126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845504"/>
        <c:axId val="52997504"/>
      </c:barChart>
      <c:lineChart>
        <c:grouping val="standard"/>
        <c:varyColors val="0"/>
        <c:ser>
          <c:idx val="1"/>
          <c:order val="1"/>
          <c:tx>
            <c:strRef>
              <c:f>'2_1'!$A$5</c:f>
              <c:strCache>
                <c:ptCount val="1"/>
                <c:pt idx="0">
                  <c:v> na 1 pojištěnce v Kč</c:v>
                </c:pt>
              </c:strCache>
            </c:strRef>
          </c:tx>
          <c:spPr>
            <a:ln>
              <a:solidFill>
                <a:srgbClr val="187BB8"/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numRef>
              <c:f>'2_1'!$B$3:$H$3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'2_1'!$B$5:$H$5</c:f>
              <c:numCache>
                <c:formatCode>#,##0.0</c:formatCode>
                <c:ptCount val="7"/>
                <c:pt idx="0">
                  <c:v>22374.708998837828</c:v>
                </c:pt>
                <c:pt idx="1">
                  <c:v>22599.254779157705</c:v>
                </c:pt>
                <c:pt idx="2">
                  <c:v>22924.941029431284</c:v>
                </c:pt>
                <c:pt idx="3">
                  <c:v>22930.233871367458</c:v>
                </c:pt>
                <c:pt idx="4">
                  <c:v>22533.260214431371</c:v>
                </c:pt>
                <c:pt idx="5">
                  <c:v>22490.624909051512</c:v>
                </c:pt>
                <c:pt idx="6">
                  <c:v>22710.59707398856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193408"/>
        <c:axId val="54635328"/>
      </c:lineChart>
      <c:catAx>
        <c:axId val="9384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52997504"/>
        <c:crosses val="autoZero"/>
        <c:auto val="1"/>
        <c:lblAlgn val="ctr"/>
        <c:lblOffset val="100"/>
        <c:noMultiLvlLbl val="0"/>
      </c:catAx>
      <c:valAx>
        <c:axId val="52997504"/>
        <c:scaling>
          <c:orientation val="minMax"/>
          <c:max val="300"/>
          <c:min val="0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" sourceLinked="0"/>
        <c:majorTickMark val="none"/>
        <c:minorTickMark val="none"/>
        <c:tickLblPos val="none"/>
        <c:spPr>
          <a:ln w="3175">
            <a:solidFill>
              <a:schemeClr val="bg1">
                <a:lumMod val="75000"/>
              </a:schemeClr>
            </a:solidFill>
          </a:ln>
        </c:spPr>
        <c:crossAx val="93845504"/>
        <c:crosses val="autoZero"/>
        <c:crossBetween val="between"/>
        <c:majorUnit val="50"/>
        <c:minorUnit val="1"/>
      </c:valAx>
      <c:valAx>
        <c:axId val="54635328"/>
        <c:scaling>
          <c:orientation val="minMax"/>
          <c:max val="26000"/>
          <c:min val="0"/>
        </c:scaling>
        <c:delete val="0"/>
        <c:axPos val="r"/>
        <c:numFmt formatCode="#,##0" sourceLinked="0"/>
        <c:majorTickMark val="none"/>
        <c:minorTickMark val="none"/>
        <c:tickLblPos val="none"/>
        <c:crossAx val="194193408"/>
        <c:crosses val="max"/>
        <c:crossBetween val="between"/>
        <c:majorUnit val="1000"/>
        <c:minorUnit val="100"/>
      </c:valAx>
      <c:catAx>
        <c:axId val="1941934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635328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1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324929971988816"/>
          <c:y val="0.10167992225153223"/>
          <c:w val="0.46124324781982895"/>
          <c:h val="0.72069257471848325"/>
        </c:manualLayout>
      </c:layout>
      <c:pieChart>
        <c:varyColors val="1"/>
        <c:ser>
          <c:idx val="0"/>
          <c:order val="0"/>
          <c:spPr>
            <a:ln>
              <a:solidFill>
                <a:sysClr val="window" lastClr="FFFFFF">
                  <a:lumMod val="75000"/>
                </a:sysClr>
              </a:solidFill>
            </a:ln>
          </c:spPr>
          <c:dPt>
            <c:idx val="0"/>
            <c:bubble3D val="0"/>
            <c:spPr>
              <a:solidFill>
                <a:srgbClr val="D96D75"/>
              </a:solidFill>
              <a:ln>
                <a:solidFill>
                  <a:srgbClr val="953735"/>
                </a:solidFill>
              </a:ln>
            </c:spPr>
          </c:dPt>
          <c:dPt>
            <c:idx val="1"/>
            <c:bubble3D val="0"/>
            <c:spPr>
              <a:solidFill>
                <a:srgbClr val="0071BC"/>
              </a:solidFill>
              <a:ln>
                <a:solidFill>
                  <a:srgbClr val="376092"/>
                </a:solidFill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rgbClr val="77933C"/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rgbClr val="8064A2">
                    <a:lumMod val="40000"/>
                    <a:lumOff val="60000"/>
                  </a:srgbClr>
                </a:solidFill>
              </a:ln>
            </c:spPr>
          </c:dPt>
          <c:dPt>
            <c:idx val="4"/>
            <c:bubble3D val="0"/>
            <c:spPr>
              <a:solidFill>
                <a:srgbClr val="EAF46C"/>
              </a:solidFill>
              <a:ln>
                <a:solidFill>
                  <a:srgbClr val="FAC090"/>
                </a:solidFill>
              </a:ln>
            </c:spPr>
          </c:dPt>
          <c:dPt>
            <c:idx val="5"/>
            <c:bubble3D val="0"/>
            <c:spPr>
              <a:solidFill>
                <a:srgbClr val="83A5CF"/>
              </a:solidFill>
              <a:ln>
                <a:solidFill>
                  <a:srgbClr val="376092"/>
                </a:solidFill>
              </a:ln>
            </c:spPr>
          </c:dPt>
          <c:dPt>
            <c:idx val="6"/>
            <c:bubble3D val="0"/>
            <c:spPr>
              <a:solidFill>
                <a:srgbClr val="E6B9B8"/>
              </a:solidFill>
              <a:ln>
                <a:solidFill>
                  <a:srgbClr val="D99694"/>
                </a:solidFill>
              </a:ln>
            </c:spPr>
          </c:dPt>
          <c:dPt>
            <c:idx val="7"/>
            <c:bubble3D val="0"/>
            <c:spPr>
              <a:solidFill>
                <a:srgbClr val="EEECE1">
                  <a:lumMod val="50000"/>
                </a:srgbClr>
              </a:solidFill>
              <a:ln>
                <a:solidFill>
                  <a:srgbClr val="EEECE1">
                    <a:lumMod val="50000"/>
                  </a:srgbClr>
                </a:solidFill>
              </a:ln>
            </c:spPr>
          </c:dPt>
          <c:dPt>
            <c:idx val="8"/>
            <c:bubble3D val="0"/>
            <c:spPr>
              <a:solidFill>
                <a:srgbClr val="B43734"/>
              </a:solidFill>
              <a:ln>
                <a:solidFill>
                  <a:srgbClr val="C00000"/>
                </a:solidFill>
              </a:ln>
            </c:spPr>
          </c:dPt>
          <c:dPt>
            <c:idx val="9"/>
            <c:bubble3D val="0"/>
            <c:spPr>
              <a:solidFill>
                <a:srgbClr val="FFC000"/>
              </a:solidFill>
              <a:ln>
                <a:solidFill>
                  <a:srgbClr val="E46C0A"/>
                </a:solidFill>
              </a:ln>
            </c:spPr>
          </c:dPt>
          <c:dLbls>
            <c:dLbl>
              <c:idx val="0"/>
              <c:layout>
                <c:manualLayout>
                  <c:x val="7.2098382068438632E-2"/>
                  <c:y val="-7.428040854224698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Nemoci oběhové soustavy</a:t>
                    </a:r>
                    <a:endParaRPr lang="cs-CZ"/>
                  </a:p>
                  <a:p>
                    <a:r>
                      <a:rPr lang="en-US"/>
                      <a:t>25,4</a:t>
                    </a:r>
                    <a:endParaRPr lang="cs-CZ"/>
                  </a:p>
                  <a:p>
                    <a:r>
                      <a:rPr lang="en-US"/>
                      <a:t>1</a:t>
                    </a:r>
                    <a:r>
                      <a:rPr lang="cs-CZ"/>
                      <a:t>3,6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3221610209521938E-2"/>
                  <c:y val="-7.2284488115865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Novotvary</a:t>
                    </a:r>
                    <a:endParaRPr lang="cs-CZ"/>
                  </a:p>
                  <a:p>
                    <a:r>
                      <a:rPr lang="en-US"/>
                      <a:t>23,6</a:t>
                    </a:r>
                    <a:endParaRPr lang="cs-CZ"/>
                  </a:p>
                  <a:p>
                    <a:r>
                      <a:rPr lang="en-US"/>
                      <a:t>1</a:t>
                    </a:r>
                    <a:r>
                      <a:rPr lang="cs-CZ"/>
                      <a:t>2,7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06617541351932"/>
                  <c:y val="-0.120566753668326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Faktory ovlivňující zdravotní stav</a:t>
                    </a:r>
                    <a:endParaRPr lang="cs-CZ"/>
                  </a:p>
                  <a:p>
                    <a:r>
                      <a:rPr lang="en-US"/>
                      <a:t>18,</a:t>
                    </a:r>
                    <a:r>
                      <a:rPr lang="cs-CZ"/>
                      <a:t>0</a:t>
                    </a:r>
                  </a:p>
                  <a:p>
                    <a:r>
                      <a:rPr lang="cs-CZ"/>
                      <a:t>9,7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114150423140238"/>
                  <c:y val="3.02264358013182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Nemoci svalové, kosterní a pojivové tkáně</a:t>
                    </a:r>
                    <a:endParaRPr lang="cs-CZ"/>
                  </a:p>
                  <a:p>
                    <a:r>
                      <a:rPr lang="en-US"/>
                      <a:t>16,3</a:t>
                    </a:r>
                    <a:endParaRPr lang="cs-CZ"/>
                  </a:p>
                  <a:p>
                    <a:r>
                      <a:rPr lang="en-US"/>
                      <a:t> </a:t>
                    </a:r>
                    <a:r>
                      <a:rPr lang="cs-CZ"/>
                      <a:t>8,7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6785988605884356E-2"/>
                  <c:y val="5.84262203993303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Nemoci močové a pohlavní soustavy</a:t>
                    </a:r>
                    <a:endParaRPr lang="cs-CZ"/>
                  </a:p>
                  <a:p>
                    <a:r>
                      <a:rPr lang="en-US"/>
                      <a:t> 14,4</a:t>
                    </a:r>
                    <a:endParaRPr lang="cs-CZ"/>
                  </a:p>
                  <a:p>
                    <a:r>
                      <a:rPr lang="cs-CZ"/>
                      <a:t>7,7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5086318435547673E-2"/>
                  <c:y val="3.9012713940005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Nemoci trávicí soustavy</a:t>
                    </a:r>
                    <a:endParaRPr lang="cs-CZ"/>
                  </a:p>
                  <a:p>
                    <a:r>
                      <a:rPr lang="en-US"/>
                      <a:t> 14,4</a:t>
                    </a:r>
                    <a:endParaRPr lang="cs-CZ"/>
                  </a:p>
                  <a:p>
                    <a:r>
                      <a:rPr lang="cs-CZ"/>
                      <a:t>7,7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8.5068122353250453E-2"/>
                  <c:y val="2.78396537480168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Poranění, otravy </a:t>
                    </a:r>
                    <a:endParaRPr lang="cs-CZ"/>
                  </a:p>
                  <a:p>
                    <a:r>
                      <a:rPr lang="en-US"/>
                      <a:t> 10,7</a:t>
                    </a:r>
                    <a:endParaRPr lang="cs-CZ"/>
                  </a:p>
                  <a:p>
                    <a:r>
                      <a:rPr lang="cs-CZ"/>
                      <a:t>5,8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1193654783762358"/>
                  <c:y val="1.29525731289159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Poruchy duševní a poruchy chování</a:t>
                    </a:r>
                    <a:endParaRPr lang="cs-CZ"/>
                  </a:p>
                  <a:p>
                    <a:r>
                      <a:rPr lang="en-US"/>
                      <a:t>9,6</a:t>
                    </a:r>
                    <a:endParaRPr lang="cs-CZ"/>
                  </a:p>
                  <a:p>
                    <a:r>
                      <a:rPr lang="en-US"/>
                      <a:t>5</a:t>
                    </a:r>
                    <a:r>
                      <a:rPr lang="cs-CZ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8.5325249836728151E-2"/>
                  <c:y val="-1.67595902879828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Nemoci dýchací soustavy</a:t>
                    </a:r>
                    <a:endParaRPr lang="cs-CZ"/>
                  </a:p>
                  <a:p>
                    <a:r>
                      <a:rPr lang="en-US"/>
                      <a:t>9,9</a:t>
                    </a:r>
                    <a:endParaRPr lang="cs-CZ"/>
                  </a:p>
                  <a:p>
                    <a:r>
                      <a:rPr lang="en-US"/>
                      <a:t> 5</a:t>
                    </a:r>
                    <a:r>
                      <a:rPr lang="cs-CZ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5636152738972139"/>
                  <c:y val="3.35952716237926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Ostatní</a:t>
                    </a:r>
                    <a:r>
                      <a:rPr lang="cs-CZ"/>
                      <a:t> (1)</a:t>
                    </a:r>
                  </a:p>
                  <a:p>
                    <a:r>
                      <a:rPr lang="en-US"/>
                      <a:t> 43,9</a:t>
                    </a:r>
                    <a:endParaRPr lang="cs-CZ"/>
                  </a:p>
                  <a:p>
                    <a:r>
                      <a:rPr lang="en-US"/>
                      <a:t>23</a:t>
                    </a:r>
                    <a:r>
                      <a:rPr lang="cs-CZ"/>
                      <a:t>,6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 3.1.2, 3.1.3 a 3.1.4'!$A$88:$A$97</c:f>
              <c:strCache>
                <c:ptCount val="10"/>
                <c:pt idx="0">
                  <c:v>Nemoci oběhové soustavy</c:v>
                </c:pt>
                <c:pt idx="1">
                  <c:v>Novotvary</c:v>
                </c:pt>
                <c:pt idx="2">
                  <c:v>Faktory ovlivňující zdravotní stav</c:v>
                </c:pt>
                <c:pt idx="3">
                  <c:v>Nemoci svalové, kosterní a pojivové tkáně</c:v>
                </c:pt>
                <c:pt idx="4">
                  <c:v>Nemoci močové a pohlavní soustavy</c:v>
                </c:pt>
                <c:pt idx="5">
                  <c:v>Nemoci trávicí soustavy</c:v>
                </c:pt>
                <c:pt idx="6">
                  <c:v>Poranění, otravy aj.</c:v>
                </c:pt>
                <c:pt idx="7">
                  <c:v>Poruchy duševní a poruchy chování</c:v>
                </c:pt>
                <c:pt idx="8">
                  <c:v>Nemoci dýchací soustavy</c:v>
                </c:pt>
                <c:pt idx="9">
                  <c:v>Ostatní (1)</c:v>
                </c:pt>
              </c:strCache>
            </c:strRef>
          </c:cat>
          <c:val>
            <c:numRef>
              <c:f>'Graf 3.1.2, 3.1.3 a 3.1.4'!$B$88:$B$97</c:f>
              <c:numCache>
                <c:formatCode>0.0</c:formatCode>
                <c:ptCount val="10"/>
                <c:pt idx="0">
                  <c:v>25.396318149999999</c:v>
                </c:pt>
                <c:pt idx="1">
                  <c:v>23.618393510000001</c:v>
                </c:pt>
                <c:pt idx="2">
                  <c:v>18.084579694734998</c:v>
                </c:pt>
                <c:pt idx="3">
                  <c:v>16.27556697</c:v>
                </c:pt>
                <c:pt idx="4">
                  <c:v>14.39198504</c:v>
                </c:pt>
                <c:pt idx="5">
                  <c:v>14.385266040000001</c:v>
                </c:pt>
                <c:pt idx="6">
                  <c:v>10.743911389999999</c:v>
                </c:pt>
                <c:pt idx="7">
                  <c:v>9.5672169</c:v>
                </c:pt>
                <c:pt idx="8">
                  <c:v>9.873019545</c:v>
                </c:pt>
                <c:pt idx="9">
                  <c:v>43.939597418999902</c:v>
                </c:pt>
              </c:numCache>
            </c:numRef>
          </c:val>
        </c:ser>
        <c:ser>
          <c:idx val="1"/>
          <c:order val="1"/>
          <c:cat>
            <c:strRef>
              <c:f>'Graf 3.1.2, 3.1.3 a 3.1.4'!$A$88:$A$97</c:f>
              <c:strCache>
                <c:ptCount val="10"/>
                <c:pt idx="0">
                  <c:v>Nemoci oběhové soustavy</c:v>
                </c:pt>
                <c:pt idx="1">
                  <c:v>Novotvary</c:v>
                </c:pt>
                <c:pt idx="2">
                  <c:v>Faktory ovlivňující zdravotní stav</c:v>
                </c:pt>
                <c:pt idx="3">
                  <c:v>Nemoci svalové, kosterní a pojivové tkáně</c:v>
                </c:pt>
                <c:pt idx="4">
                  <c:v>Nemoci močové a pohlavní soustavy</c:v>
                </c:pt>
                <c:pt idx="5">
                  <c:v>Nemoci trávicí soustavy</c:v>
                </c:pt>
                <c:pt idx="6">
                  <c:v>Poranění, otravy aj.</c:v>
                </c:pt>
                <c:pt idx="7">
                  <c:v>Poruchy duševní a poruchy chování</c:v>
                </c:pt>
                <c:pt idx="8">
                  <c:v>Nemoci dýchací soustavy</c:v>
                </c:pt>
                <c:pt idx="9">
                  <c:v>Ostatní (1)</c:v>
                </c:pt>
              </c:strCache>
            </c:strRef>
          </c:cat>
          <c:val>
            <c:numRef>
              <c:f>'Graf 3.1.2, 3.1.3 a 3.1.4'!$C$88:$C$97</c:f>
              <c:numCache>
                <c:formatCode>0%</c:formatCode>
                <c:ptCount val="10"/>
                <c:pt idx="0">
                  <c:v>0.13633714469611261</c:v>
                </c:pt>
                <c:pt idx="1">
                  <c:v>0.12679256553818993</c:v>
                </c:pt>
                <c:pt idx="2">
                  <c:v>9.7084937432533547E-2</c:v>
                </c:pt>
                <c:pt idx="3">
                  <c:v>8.7373465550956694E-2</c:v>
                </c:pt>
                <c:pt idx="4">
                  <c:v>7.7261677668137421E-2</c:v>
                </c:pt>
                <c:pt idx="5">
                  <c:v>7.7225607507502222E-2</c:v>
                </c:pt>
                <c:pt idx="6">
                  <c:v>5.7677423677283804E-2</c:v>
                </c:pt>
                <c:pt idx="7">
                  <c:v>5.1360477811402516E-2</c:v>
                </c:pt>
                <c:pt idx="8">
                  <c:v>5.3002143316361501E-2</c:v>
                </c:pt>
                <c:pt idx="9">
                  <c:v>0.23588455680151971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603760797505968"/>
          <c:y val="2.0530442260027992E-2"/>
          <c:w val="0.6054189001022755"/>
          <c:h val="0.93057624756220247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'Graf 3.1.2, 3.1.3 a 3.1.4'!$C$30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953735"/>
              </a:solidFill>
            </a:ln>
          </c:spPr>
          <c:invertIfNegative val="0"/>
          <c:dLbls>
            <c:dLbl>
              <c:idx val="19"/>
              <c:layout>
                <c:manualLayout>
                  <c:x val="2.84023668639054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3.1.2, 3.1.3 a 3.1.4'!$A$31:$A$50</c:f>
              <c:strCache>
                <c:ptCount val="20"/>
                <c:pt idx="0">
                  <c:v>Vrozené vady a deformace</c:v>
                </c:pt>
                <c:pt idx="1">
                  <c:v>Nemoci ucha</c:v>
                </c:pt>
                <c:pt idx="2">
                  <c:v>Stavy vzniklé v perinatálním období</c:v>
                </c:pt>
                <c:pt idx="3">
                  <c:v>Nemoci kůže</c:v>
                </c:pt>
                <c:pt idx="4">
                  <c:v>Nemoci krve a krvetvorných orgánů</c:v>
                </c:pt>
                <c:pt idx="5">
                  <c:v>Infekční a parazitární nemoci</c:v>
                </c:pt>
                <c:pt idx="6">
                  <c:v>Nemoci oka</c:v>
                </c:pt>
                <c:pt idx="7">
                  <c:v>Těhotenství, porod a šestinedělí</c:v>
                </c:pt>
                <c:pt idx="8">
                  <c:v>Příznaky, znaky</c:v>
                </c:pt>
                <c:pt idx="9">
                  <c:v>Nemoci endokrinní a metabolické</c:v>
                </c:pt>
                <c:pt idx="10">
                  <c:v>Nemoci nervové soustavy</c:v>
                </c:pt>
                <c:pt idx="11">
                  <c:v>Poranění, otravy aj.</c:v>
                </c:pt>
                <c:pt idx="12">
                  <c:v>Poruchy duševní a poruchy chování</c:v>
                </c:pt>
                <c:pt idx="13">
                  <c:v>Nemoci dýchací soustavy</c:v>
                </c:pt>
                <c:pt idx="14">
                  <c:v>Nemoci svalové, kosterní a pojivové tkáně</c:v>
                </c:pt>
                <c:pt idx="15">
                  <c:v>Nemoci močové a pohlavní soustavy</c:v>
                </c:pt>
                <c:pt idx="16">
                  <c:v>Faktory ovlivňující zdravotní stav</c:v>
                </c:pt>
                <c:pt idx="17">
                  <c:v>Nemoci trávicí soustavy</c:v>
                </c:pt>
                <c:pt idx="18">
                  <c:v>Novotvary</c:v>
                </c:pt>
                <c:pt idx="19">
                  <c:v>Nemoci oběhové soustavy</c:v>
                </c:pt>
              </c:strCache>
            </c:strRef>
          </c:cat>
          <c:val>
            <c:numRef>
              <c:f>'Graf 3.1.2, 3.1.3 a 3.1.4'!$C$31:$C$50</c:f>
              <c:numCache>
                <c:formatCode>#,##0</c:formatCode>
                <c:ptCount val="20"/>
                <c:pt idx="0">
                  <c:v>1139.4234039999999</c:v>
                </c:pt>
                <c:pt idx="1">
                  <c:v>1417.0808890000001</c:v>
                </c:pt>
                <c:pt idx="2">
                  <c:v>1516.7775860000008</c:v>
                </c:pt>
                <c:pt idx="3">
                  <c:v>2752.1108009999998</c:v>
                </c:pt>
                <c:pt idx="4">
                  <c:v>2998.3950590000018</c:v>
                </c:pt>
                <c:pt idx="5">
                  <c:v>3528.2727949999999</c:v>
                </c:pt>
                <c:pt idx="6">
                  <c:v>4282.4777439999962</c:v>
                </c:pt>
                <c:pt idx="7">
                  <c:v>2708.9885920000002</c:v>
                </c:pt>
                <c:pt idx="8">
                  <c:v>7720.1354620000002</c:v>
                </c:pt>
                <c:pt idx="9">
                  <c:v>7686.1245570000001</c:v>
                </c:pt>
                <c:pt idx="10">
                  <c:v>8189.8105300000034</c:v>
                </c:pt>
                <c:pt idx="11">
                  <c:v>10743.911389999992</c:v>
                </c:pt>
                <c:pt idx="12">
                  <c:v>9567.2168999999922</c:v>
                </c:pt>
                <c:pt idx="13">
                  <c:v>9873.0195449999992</c:v>
                </c:pt>
                <c:pt idx="14">
                  <c:v>16275.566969999989</c:v>
                </c:pt>
                <c:pt idx="15">
                  <c:v>14391.98504</c:v>
                </c:pt>
                <c:pt idx="16">
                  <c:v>18084.579694735003</c:v>
                </c:pt>
                <c:pt idx="17">
                  <c:v>14385.26604</c:v>
                </c:pt>
                <c:pt idx="18">
                  <c:v>23618.393510000002</c:v>
                </c:pt>
                <c:pt idx="19">
                  <c:v>25396.318149999996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198710272"/>
        <c:axId val="172247872"/>
      </c:barChart>
      <c:barChart>
        <c:barDir val="bar"/>
        <c:grouping val="clustered"/>
        <c:varyColors val="0"/>
        <c:ser>
          <c:idx val="0"/>
          <c:order val="0"/>
          <c:tx>
            <c:strRef>
              <c:f>'Graf 3.1.2, 3.1.3 a 3.1.4'!$B$30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83A5CD"/>
            </a:solidFill>
            <a:ln>
              <a:solidFill>
                <a:srgbClr val="376092"/>
              </a:solidFill>
            </a:ln>
          </c:spPr>
          <c:invertIfNegative val="0"/>
          <c:dLbls>
            <c:dLbl>
              <c:idx val="3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'Graf 3.1.2, 3.1.3 a 3.1.4'!$A$31:$A$50</c:f>
              <c:strCache>
                <c:ptCount val="20"/>
                <c:pt idx="0">
                  <c:v>Vrozené vady a deformace</c:v>
                </c:pt>
                <c:pt idx="1">
                  <c:v>Nemoci ucha</c:v>
                </c:pt>
                <c:pt idx="2">
                  <c:v>Stavy vzniklé v perinatálním období</c:v>
                </c:pt>
                <c:pt idx="3">
                  <c:v>Nemoci kůže</c:v>
                </c:pt>
                <c:pt idx="4">
                  <c:v>Nemoci krve a krvetvorných orgánů</c:v>
                </c:pt>
                <c:pt idx="5">
                  <c:v>Infekční a parazitární nemoci</c:v>
                </c:pt>
                <c:pt idx="6">
                  <c:v>Nemoci oka</c:v>
                </c:pt>
                <c:pt idx="7">
                  <c:v>Těhotenství, porod a šestinedělí</c:v>
                </c:pt>
                <c:pt idx="8">
                  <c:v>Příznaky, znaky</c:v>
                </c:pt>
                <c:pt idx="9">
                  <c:v>Nemoci endokrinní a metabolické</c:v>
                </c:pt>
                <c:pt idx="10">
                  <c:v>Nemoci nervové soustavy</c:v>
                </c:pt>
                <c:pt idx="11">
                  <c:v>Poranění, otravy aj.</c:v>
                </c:pt>
                <c:pt idx="12">
                  <c:v>Poruchy duševní a poruchy chování</c:v>
                </c:pt>
                <c:pt idx="13">
                  <c:v>Nemoci dýchací soustavy</c:v>
                </c:pt>
                <c:pt idx="14">
                  <c:v>Nemoci svalové, kosterní a pojivové tkáně</c:v>
                </c:pt>
                <c:pt idx="15">
                  <c:v>Nemoci močové a pohlavní soustavy</c:v>
                </c:pt>
                <c:pt idx="16">
                  <c:v>Faktory ovlivňující zdravotní stav</c:v>
                </c:pt>
                <c:pt idx="17">
                  <c:v>Nemoci trávicí soustavy</c:v>
                </c:pt>
                <c:pt idx="18">
                  <c:v>Novotvary</c:v>
                </c:pt>
                <c:pt idx="19">
                  <c:v>Nemoci oběhové soustavy</c:v>
                </c:pt>
              </c:strCache>
            </c:strRef>
          </c:cat>
          <c:val>
            <c:numRef>
              <c:f>'Graf 3.1.2, 3.1.3 a 3.1.4'!$B$31:$B$50</c:f>
              <c:numCache>
                <c:formatCode>General</c:formatCode>
                <c:ptCount val="20"/>
                <c:pt idx="0">
                  <c:v>932</c:v>
                </c:pt>
                <c:pt idx="1">
                  <c:v>940</c:v>
                </c:pt>
                <c:pt idx="2" formatCode="#,##0">
                  <c:v>2091</c:v>
                </c:pt>
                <c:pt idx="3" formatCode="#,##0">
                  <c:v>2096</c:v>
                </c:pt>
                <c:pt idx="4" formatCode="#,##0">
                  <c:v>2359</c:v>
                </c:pt>
                <c:pt idx="5" formatCode="#,##0">
                  <c:v>2384</c:v>
                </c:pt>
                <c:pt idx="6" formatCode="#,##0">
                  <c:v>2816</c:v>
                </c:pt>
                <c:pt idx="7" formatCode="#,##0">
                  <c:v>2884</c:v>
                </c:pt>
                <c:pt idx="8" formatCode="#,##0">
                  <c:v>5400</c:v>
                </c:pt>
                <c:pt idx="9" formatCode="#,##0">
                  <c:v>5690</c:v>
                </c:pt>
                <c:pt idx="10" formatCode="#,##0">
                  <c:v>5832</c:v>
                </c:pt>
                <c:pt idx="11" formatCode="#,##0">
                  <c:v>6627</c:v>
                </c:pt>
                <c:pt idx="12" formatCode="#,##0">
                  <c:v>7783</c:v>
                </c:pt>
                <c:pt idx="13" formatCode="#,##0">
                  <c:v>8551</c:v>
                </c:pt>
                <c:pt idx="14" formatCode="#,##0">
                  <c:v>10659</c:v>
                </c:pt>
                <c:pt idx="15" formatCode="#,##0">
                  <c:v>11355</c:v>
                </c:pt>
                <c:pt idx="16" formatCode="#,##0">
                  <c:v>12614</c:v>
                </c:pt>
                <c:pt idx="17" formatCode="#,##0">
                  <c:v>13213</c:v>
                </c:pt>
                <c:pt idx="18" formatCode="#,##0">
                  <c:v>19217</c:v>
                </c:pt>
                <c:pt idx="19" formatCode="#,##0">
                  <c:v>26758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overlap val="100"/>
        <c:axId val="198711296"/>
        <c:axId val="172248448"/>
      </c:barChart>
      <c:catAx>
        <c:axId val="198710272"/>
        <c:scaling>
          <c:orientation val="minMax"/>
        </c:scaling>
        <c:delete val="0"/>
        <c:axPos val="l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Arial" panose="020B0604020202020204" pitchFamily="34" charset="0"/>
              </a:defRPr>
            </a:pPr>
            <a:endParaRPr lang="cs-CZ"/>
          </a:p>
        </c:txPr>
        <c:crossAx val="172247872"/>
        <c:crosses val="autoZero"/>
        <c:auto val="1"/>
        <c:lblAlgn val="ctr"/>
        <c:lblOffset val="100"/>
        <c:noMultiLvlLbl val="0"/>
      </c:catAx>
      <c:valAx>
        <c:axId val="172247872"/>
        <c:scaling>
          <c:orientation val="minMax"/>
          <c:max val="30000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98710272"/>
        <c:crosses val="autoZero"/>
        <c:crossBetween val="between"/>
      </c:valAx>
      <c:valAx>
        <c:axId val="17224844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198711296"/>
        <c:crosses val="max"/>
        <c:crossBetween val="between"/>
      </c:valAx>
      <c:catAx>
        <c:axId val="198711296"/>
        <c:scaling>
          <c:orientation val="minMax"/>
        </c:scaling>
        <c:delete val="1"/>
        <c:axPos val="l"/>
        <c:majorTickMark val="out"/>
        <c:minorTickMark val="none"/>
        <c:tickLblPos val="none"/>
        <c:crossAx val="17224844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6748947461379533"/>
          <c:y val="0.83648714497193788"/>
          <c:w val="8.2508072854529546E-2"/>
          <c:h val="9.8964213333395057E-2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9296495284464161"/>
          <c:y val="0"/>
          <c:w val="0.63125338565906097"/>
          <c:h val="0.9016748378150849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D96D75"/>
            </a:solidFill>
            <a:ln>
              <a:solidFill>
                <a:srgbClr val="953735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71BC"/>
              </a:solidFill>
              <a:ln>
                <a:solidFill>
                  <a:srgbClr val="376092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71BC"/>
              </a:solidFill>
              <a:ln>
                <a:solidFill>
                  <a:srgbClr val="376092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spPr>
                <a:solidFill>
                  <a:srgbClr val="0071BC"/>
                </a:solidFill>
                <a:ln>
                  <a:solidFill>
                    <a:srgbClr val="376092"/>
                  </a:solidFill>
                </a:ln>
              </c:spPr>
              <c:txPr>
                <a:bodyPr/>
                <a:lstStyle/>
                <a:p>
                  <a:pPr>
                    <a:defRPr sz="800" b="1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3.1.2, 3.1.3 a 3.1.4'!$A$63:$A$82</c:f>
              <c:strCache>
                <c:ptCount val="20"/>
                <c:pt idx="0">
                  <c:v>Těhotenství, porod a šestinedělí</c:v>
                </c:pt>
                <c:pt idx="1">
                  <c:v>Stavy vzniklé v perinatálním období</c:v>
                </c:pt>
                <c:pt idx="2">
                  <c:v>Nemoci oběhové soustavy</c:v>
                </c:pt>
                <c:pt idx="3">
                  <c:v>Vrozené vady a deformace</c:v>
                </c:pt>
                <c:pt idx="4">
                  <c:v>Nemoci ucha</c:v>
                </c:pt>
                <c:pt idx="5">
                  <c:v>Nemoci krve a krvetvorných orgánů</c:v>
                </c:pt>
                <c:pt idx="6">
                  <c:v>Nemoci kůže</c:v>
                </c:pt>
                <c:pt idx="7">
                  <c:v>Infekční a parazitární nemoci</c:v>
                </c:pt>
                <c:pt idx="8">
                  <c:v>Nemoci trávicí soustavy</c:v>
                </c:pt>
                <c:pt idx="9">
                  <c:v>Nemoci dýchací soustavy</c:v>
                </c:pt>
                <c:pt idx="10">
                  <c:v>Nemoci oka</c:v>
                </c:pt>
                <c:pt idx="11">
                  <c:v>Poruchy duševní a poruchy chování</c:v>
                </c:pt>
                <c:pt idx="12">
                  <c:v>Nemoci endokrinní a metabolické</c:v>
                </c:pt>
                <c:pt idx="13">
                  <c:v>Příznaky, znaky</c:v>
                </c:pt>
                <c:pt idx="14">
                  <c:v>Nemoci nervové soustavy</c:v>
                </c:pt>
                <c:pt idx="15">
                  <c:v>Nemoci močové a pohlavní soustavy</c:v>
                </c:pt>
                <c:pt idx="16">
                  <c:v>Poranění, otravy aj.</c:v>
                </c:pt>
                <c:pt idx="17">
                  <c:v>Novotvary</c:v>
                </c:pt>
                <c:pt idx="18">
                  <c:v>Faktory ovlivňující zdravotní stav</c:v>
                </c:pt>
                <c:pt idx="19">
                  <c:v>Nemoci svalové, kosterní a pojivové tkáně</c:v>
                </c:pt>
              </c:strCache>
            </c:strRef>
          </c:cat>
          <c:val>
            <c:numRef>
              <c:f>'Graf 3.1.2, 3.1.3 a 3.1.4'!$B$63:$B$82</c:f>
              <c:numCache>
                <c:formatCode>#,##0</c:formatCode>
                <c:ptCount val="20"/>
                <c:pt idx="0">
                  <c:v>-175.01140799999996</c:v>
                </c:pt>
                <c:pt idx="1">
                  <c:v>-574.22241400000007</c:v>
                </c:pt>
                <c:pt idx="2">
                  <c:v>-1361.6818500000008</c:v>
                </c:pt>
                <c:pt idx="3">
                  <c:v>207.42340399999989</c:v>
                </c:pt>
                <c:pt idx="4">
                  <c:v>477.08088900000007</c:v>
                </c:pt>
                <c:pt idx="5">
                  <c:v>639.39505899999949</c:v>
                </c:pt>
                <c:pt idx="6">
                  <c:v>656.11080099999981</c:v>
                </c:pt>
                <c:pt idx="7">
                  <c:v>1144.2727949999999</c:v>
                </c:pt>
                <c:pt idx="8">
                  <c:v>1172.26604</c:v>
                </c:pt>
                <c:pt idx="9">
                  <c:v>1322.0195449999992</c:v>
                </c:pt>
                <c:pt idx="10">
                  <c:v>1466.477744</c:v>
                </c:pt>
                <c:pt idx="11">
                  <c:v>1784.2169000000001</c:v>
                </c:pt>
                <c:pt idx="12">
                  <c:v>1996.1245570000001</c:v>
                </c:pt>
                <c:pt idx="13">
                  <c:v>2320.1354620000002</c:v>
                </c:pt>
                <c:pt idx="14">
                  <c:v>2357.810530000002</c:v>
                </c:pt>
                <c:pt idx="15">
                  <c:v>3036.9850399999996</c:v>
                </c:pt>
                <c:pt idx="16">
                  <c:v>4116.9113899999993</c:v>
                </c:pt>
                <c:pt idx="17">
                  <c:v>4401.3935100000017</c:v>
                </c:pt>
                <c:pt idx="18">
                  <c:v>5470.5796947350054</c:v>
                </c:pt>
                <c:pt idx="19">
                  <c:v>5616.5669700000044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91119104"/>
        <c:axId val="172249024"/>
      </c:barChart>
      <c:catAx>
        <c:axId val="291119104"/>
        <c:scaling>
          <c:orientation val="minMax"/>
        </c:scaling>
        <c:delete val="0"/>
        <c:axPos val="l"/>
        <c:majorTickMark val="out"/>
        <c:minorTickMark val="none"/>
        <c:tickLblPos val="low"/>
        <c:spPr>
          <a:ln w="3175">
            <a:noFill/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72249024"/>
        <c:crosses val="autoZero"/>
        <c:auto val="1"/>
        <c:lblAlgn val="ctr"/>
        <c:lblOffset val="1000"/>
        <c:noMultiLvlLbl val="0"/>
      </c:catAx>
      <c:valAx>
        <c:axId val="172249024"/>
        <c:scaling>
          <c:orientation val="minMax"/>
          <c:max val="6000"/>
          <c:min val="-20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291119104"/>
        <c:crosses val="autoZero"/>
        <c:crossBetween val="between"/>
        <c:majorUnit val="1000"/>
        <c:minorUnit val="100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484201879345337E-2"/>
          <c:y val="4.3419267299864311E-2"/>
          <c:w val="0.88747250105187236"/>
          <c:h val="0.6463615218829353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'Graf 3.1.5'!$L$5:$M$5</c:f>
              <c:strCache>
                <c:ptCount val="1"/>
                <c:pt idx="0">
                  <c:v>Novotvary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3.1.5'!$N$5:$P$5</c:f>
              <c:numCache>
                <c:formatCode>0.0%</c:formatCode>
                <c:ptCount val="3"/>
                <c:pt idx="0" formatCode="0%">
                  <c:v>0.14327776184426141</c:v>
                </c:pt>
                <c:pt idx="1">
                  <c:v>0.12741934415818368</c:v>
                </c:pt>
                <c:pt idx="2">
                  <c:v>3.9468346500374507E-2</c:v>
                </c:pt>
              </c:numCache>
            </c:numRef>
          </c:val>
        </c:ser>
        <c:ser>
          <c:idx val="1"/>
          <c:order val="1"/>
          <c:tx>
            <c:strRef>
              <c:f>'Graf 3.1.5'!$L$6:$M$6</c:f>
              <c:strCache>
                <c:ptCount val="1"/>
                <c:pt idx="0">
                  <c:v>Nem. oběhové soust.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953735"/>
              </a:solidFill>
            </a:ln>
          </c:spPr>
          <c:invertIfNegative val="0"/>
          <c:dLbls>
            <c:dLbl>
              <c:idx val="2"/>
              <c:delete val="1"/>
            </c:dLbl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3.1.5'!$N$6:$P$6</c:f>
              <c:numCache>
                <c:formatCode>0.0%</c:formatCode>
                <c:ptCount val="3"/>
                <c:pt idx="0">
                  <c:v>0.22131604835928761</c:v>
                </c:pt>
                <c:pt idx="1">
                  <c:v>8.8856104915998713E-2</c:v>
                </c:pt>
                <c:pt idx="2">
                  <c:v>6.3826341596235825E-3</c:v>
                </c:pt>
              </c:numCache>
            </c:numRef>
          </c:val>
        </c:ser>
        <c:ser>
          <c:idx val="2"/>
          <c:order val="2"/>
          <c:tx>
            <c:strRef>
              <c:f>'Graf 3.1.5'!$L$7:$M$7</c:f>
              <c:strCache>
                <c:ptCount val="1"/>
                <c:pt idx="0">
                  <c:v>Nem. dýchací soust.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77933C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3.1.5'!$N$7:$P$7</c:f>
              <c:numCache>
                <c:formatCode>0.0%</c:formatCode>
                <c:ptCount val="3"/>
                <c:pt idx="0">
                  <c:v>5.1343976863685872E-2</c:v>
                </c:pt>
                <c:pt idx="1">
                  <c:v>4.4273887512323334E-2</c:v>
                </c:pt>
                <c:pt idx="2">
                  <c:v>0.11649681750530438</c:v>
                </c:pt>
              </c:numCache>
            </c:numRef>
          </c:val>
        </c:ser>
        <c:ser>
          <c:idx val="3"/>
          <c:order val="3"/>
          <c:tx>
            <c:strRef>
              <c:f>'Graf 3.1.5'!$L$8:$M$8</c:f>
              <c:strCache>
                <c:ptCount val="1"/>
                <c:pt idx="0">
                  <c:v>Nem. trávicí soust.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3.1.5'!$N$8:$P$8</c:f>
              <c:numCache>
                <c:formatCode>0.0%</c:formatCode>
                <c:ptCount val="3"/>
                <c:pt idx="0">
                  <c:v>5.9246003869585707E-2</c:v>
                </c:pt>
                <c:pt idx="1">
                  <c:v>9.2509382254590045E-2</c:v>
                </c:pt>
                <c:pt idx="2">
                  <c:v>7.1649737599763397E-2</c:v>
                </c:pt>
              </c:numCache>
            </c:numRef>
          </c:val>
        </c:ser>
        <c:ser>
          <c:idx val="4"/>
          <c:order val="4"/>
          <c:tx>
            <c:strRef>
              <c:f>'Graf 3.1.5'!$L$9:$M$9</c:f>
              <c:strCache>
                <c:ptCount val="1"/>
                <c:pt idx="0">
                  <c:v>Nem. svalové a kosterní soust.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E36C0A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3.1.5'!$N$9:$P$9</c:f>
              <c:numCache>
                <c:formatCode>0.0%</c:formatCode>
                <c:ptCount val="3"/>
                <c:pt idx="0">
                  <c:v>8.2734743269344144E-2</c:v>
                </c:pt>
                <c:pt idx="1">
                  <c:v>0.1000951932818771</c:v>
                </c:pt>
                <c:pt idx="2">
                  <c:v>3.0508280865934049E-2</c:v>
                </c:pt>
              </c:numCache>
            </c:numRef>
          </c:val>
        </c:ser>
        <c:ser>
          <c:idx val="5"/>
          <c:order val="5"/>
          <c:tx>
            <c:strRef>
              <c:f>'Graf 3.1.5'!$L$10:$M$10</c:f>
              <c:strCache>
                <c:ptCount val="1"/>
                <c:pt idx="0">
                  <c:v>Nem. pohlavní a močové soust.</c:v>
                </c:pt>
              </c:strCache>
            </c:strRef>
          </c:tx>
          <c:spPr>
            <a:solidFill>
              <a:srgbClr val="F3F9A1"/>
            </a:solidFill>
            <a:ln>
              <a:solidFill>
                <a:srgbClr val="FAC090"/>
              </a:solidFill>
            </a:ln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3.1.5'!$N$10:$P$10</c:f>
              <c:numCache>
                <c:formatCode>0.0%</c:formatCode>
                <c:ptCount val="3"/>
                <c:pt idx="0">
                  <c:v>9.0567144427112528E-2</c:v>
                </c:pt>
                <c:pt idx="1">
                  <c:v>7.604229163653034E-2</c:v>
                </c:pt>
                <c:pt idx="2">
                  <c:v>1.7674049296991429E-2</c:v>
                </c:pt>
              </c:numCache>
            </c:numRef>
          </c:val>
        </c:ser>
        <c:ser>
          <c:idx val="6"/>
          <c:order val="6"/>
          <c:tx>
            <c:strRef>
              <c:f>'Graf 3.1.5'!$L$11:$M$11</c:f>
              <c:strCache>
                <c:ptCount val="1"/>
                <c:pt idx="0">
                  <c:v>Stavy vzniklé v perinatálním obd.</c:v>
                </c:pt>
              </c:strCache>
            </c:strRef>
          </c:tx>
          <c:spPr>
            <a:solidFill>
              <a:srgbClr val="E6B9B8"/>
            </a:solidFill>
            <a:ln>
              <a:solidFill>
                <a:srgbClr val="D99694"/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3.1.5'!$N$11:$P$11</c:f>
              <c:numCache>
                <c:formatCode>0.0%</c:formatCode>
                <c:ptCount val="3"/>
                <c:pt idx="0">
                  <c:v>4.2357643710036327E-6</c:v>
                </c:pt>
                <c:pt idx="1">
                  <c:v>3.8698237473560328E-5</c:v>
                </c:pt>
                <c:pt idx="2">
                  <c:v>0.10045998122674657</c:v>
                </c:pt>
              </c:numCache>
            </c:numRef>
          </c:val>
        </c:ser>
        <c:ser>
          <c:idx val="7"/>
          <c:order val="7"/>
          <c:tx>
            <c:strRef>
              <c:f>'Graf 3.1.5'!$L$12:$M$12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83A5CF"/>
            </a:solidFill>
            <a:ln>
              <a:solidFill>
                <a:srgbClr val="376092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3.1.5'!$N$4:$P$4</c:f>
              <c:strCache>
                <c:ptCount val="3"/>
                <c:pt idx="0">
                  <c:v>65+</c:v>
                </c:pt>
                <c:pt idx="1">
                  <c:v>15-64</c:v>
                </c:pt>
                <c:pt idx="2">
                  <c:v>0-14</c:v>
                </c:pt>
              </c:strCache>
            </c:strRef>
          </c:cat>
          <c:val>
            <c:numRef>
              <c:f>'Graf 3.1.5'!$N$12:$P$12</c:f>
              <c:numCache>
                <c:formatCode>0.0%</c:formatCode>
                <c:ptCount val="3"/>
                <c:pt idx="0">
                  <c:v>0.35150879373264127</c:v>
                </c:pt>
                <c:pt idx="1">
                  <c:v>0.47076509800302369</c:v>
                </c:pt>
                <c:pt idx="2">
                  <c:v>0.61736015284526158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99324160"/>
        <c:axId val="172246144"/>
      </c:barChart>
      <c:catAx>
        <c:axId val="199324160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 w="3175">
            <a:solidFill>
              <a:schemeClr val="bg1">
                <a:lumMod val="85000"/>
              </a:schemeClr>
            </a:solidFill>
          </a:ln>
        </c:spPr>
        <c:crossAx val="172246144"/>
        <c:crosses val="autoZero"/>
        <c:auto val="1"/>
        <c:lblAlgn val="ctr"/>
        <c:lblOffset val="100"/>
        <c:noMultiLvlLbl val="0"/>
      </c:catAx>
      <c:valAx>
        <c:axId val="172246144"/>
        <c:scaling>
          <c:orientation val="minMax"/>
          <c:max val="1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19932416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9.5166997255114127E-2"/>
          <c:y val="0.77976612679512625"/>
          <c:w val="0.84724190726159321"/>
          <c:h val="0.1911229820831419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434489607717978"/>
          <c:y val="2.1431898477479106E-2"/>
          <c:w val="0.68880825707597404"/>
          <c:h val="0.90935306054607068"/>
        </c:manualLayout>
      </c:layout>
      <c:barChart>
        <c:barDir val="bar"/>
        <c:grouping val="clustered"/>
        <c:varyColors val="0"/>
        <c:ser>
          <c:idx val="3"/>
          <c:order val="0"/>
          <c:tx>
            <c:v>Ženy</c:v>
          </c:tx>
          <c:spPr>
            <a:solidFill>
              <a:srgbClr val="D96D75"/>
            </a:solidFill>
            <a:ln w="9525">
              <a:solidFill>
                <a:srgbClr val="953735"/>
              </a:solidFill>
              <a:prstDash val="solid"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3.1.6'!$S$30:$S$49</c:f>
              <c:strCache>
                <c:ptCount val="20"/>
                <c:pt idx="0">
                  <c:v>Vrozené vady a deformace</c:v>
                </c:pt>
                <c:pt idx="1">
                  <c:v>Nemoci ucha</c:v>
                </c:pt>
                <c:pt idx="2">
                  <c:v>Stavy vzniklé v perinatálním období</c:v>
                </c:pt>
                <c:pt idx="3">
                  <c:v>Nemoci kůže</c:v>
                </c:pt>
                <c:pt idx="4">
                  <c:v>Nemoci krve a krvetvorných orgánů</c:v>
                </c:pt>
                <c:pt idx="5">
                  <c:v>Nemoci oka</c:v>
                </c:pt>
                <c:pt idx="6">
                  <c:v>Infekční a parazitární nemoci</c:v>
                </c:pt>
                <c:pt idx="7">
                  <c:v>Těhotenství, porod a šestinedělí</c:v>
                </c:pt>
                <c:pt idx="8">
                  <c:v>Nemoci endokrinní a metabolické</c:v>
                </c:pt>
                <c:pt idx="9">
                  <c:v>Příznaky, znaky</c:v>
                </c:pt>
                <c:pt idx="10">
                  <c:v>Nemoci nervové soustavy</c:v>
                </c:pt>
                <c:pt idx="11">
                  <c:v>Poruchy duševní a poruchy chování</c:v>
                </c:pt>
                <c:pt idx="12">
                  <c:v>Nemoci dýchací soustavy</c:v>
                </c:pt>
                <c:pt idx="13">
                  <c:v>Poranění, otravy aj.</c:v>
                </c:pt>
                <c:pt idx="14">
                  <c:v>Nemoci svalové, kosterní a pojivové tkáně</c:v>
                </c:pt>
                <c:pt idx="15">
                  <c:v>Nemoci močové a pohlavní soustavy</c:v>
                </c:pt>
                <c:pt idx="16">
                  <c:v>Nemoci trávicí soustavy</c:v>
                </c:pt>
                <c:pt idx="17">
                  <c:v>Faktory ovlivňující zdravotní stav</c:v>
                </c:pt>
                <c:pt idx="18">
                  <c:v>Novotvary</c:v>
                </c:pt>
                <c:pt idx="19">
                  <c:v>Nemoci oběhové soustavy</c:v>
                </c:pt>
              </c:strCache>
            </c:strRef>
          </c:cat>
          <c:val>
            <c:numRef>
              <c:f>'Graf 3.1.6'!$T$30:$T$49</c:f>
              <c:numCache>
                <c:formatCode>#,##0</c:formatCode>
                <c:ptCount val="20"/>
                <c:pt idx="0">
                  <c:v>99.980955947058192</c:v>
                </c:pt>
                <c:pt idx="1">
                  <c:v>141.29111712914568</c:v>
                </c:pt>
                <c:pt idx="2">
                  <c:v>127.07204077897238</c:v>
                </c:pt>
                <c:pt idx="3">
                  <c:v>268.40189663293535</c:v>
                </c:pt>
                <c:pt idx="4">
                  <c:v>276.80630477466929</c:v>
                </c:pt>
                <c:pt idx="5">
                  <c:v>473.78901069343203</c:v>
                </c:pt>
                <c:pt idx="6">
                  <c:v>302.63139488841864</c:v>
                </c:pt>
                <c:pt idx="7">
                  <c:v>510.58333144988575</c:v>
                </c:pt>
                <c:pt idx="8">
                  <c:v>831.33825107003111</c:v>
                </c:pt>
                <c:pt idx="9">
                  <c:v>808.06429697996441</c:v>
                </c:pt>
                <c:pt idx="10">
                  <c:v>888.21259401387101</c:v>
                </c:pt>
                <c:pt idx="11">
                  <c:v>876.38925700905759</c:v>
                </c:pt>
                <c:pt idx="12">
                  <c:v>883.81670819774058</c:v>
                </c:pt>
                <c:pt idx="13">
                  <c:v>970.93990987262771</c:v>
                </c:pt>
                <c:pt idx="14">
                  <c:v>1901.2219441127074</c:v>
                </c:pt>
                <c:pt idx="15">
                  <c:v>1505.1848935842104</c:v>
                </c:pt>
                <c:pt idx="16">
                  <c:v>1384.7455940055911</c:v>
                </c:pt>
                <c:pt idx="17">
                  <c:v>1995.565735793333</c:v>
                </c:pt>
                <c:pt idx="18">
                  <c:v>2252.2985746166405</c:v>
                </c:pt>
                <c:pt idx="19">
                  <c:v>2135.0373356126725</c:v>
                </c:pt>
              </c:numCache>
            </c:numRef>
          </c:val>
        </c:ser>
        <c:ser>
          <c:idx val="0"/>
          <c:order val="1"/>
          <c:tx>
            <c:v>Muži</c:v>
          </c:tx>
          <c:spPr>
            <a:solidFill>
              <a:srgbClr val="0071BC"/>
            </a:solidFill>
            <a:ln>
              <a:solidFill>
                <a:srgbClr val="376092"/>
              </a:solidFill>
            </a:ln>
          </c:spPr>
          <c:invertIfNegative val="0"/>
          <c:dLbls>
            <c:dLbl>
              <c:idx val="0"/>
              <c:numFmt formatCode="#,##0;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;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;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;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;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;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#,##0;#,##0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;#,##0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 3.1.6'!$S$30:$S$49</c:f>
              <c:strCache>
                <c:ptCount val="20"/>
                <c:pt idx="0">
                  <c:v>Vrozené vady a deformace</c:v>
                </c:pt>
                <c:pt idx="1">
                  <c:v>Nemoci ucha</c:v>
                </c:pt>
                <c:pt idx="2">
                  <c:v>Stavy vzniklé v perinatálním období</c:v>
                </c:pt>
                <c:pt idx="3">
                  <c:v>Nemoci kůže</c:v>
                </c:pt>
                <c:pt idx="4">
                  <c:v>Nemoci krve a krvetvorných orgánů</c:v>
                </c:pt>
                <c:pt idx="5">
                  <c:v>Nemoci oka</c:v>
                </c:pt>
                <c:pt idx="6">
                  <c:v>Infekční a parazitární nemoci</c:v>
                </c:pt>
                <c:pt idx="7">
                  <c:v>Těhotenství, porod a šestinedělí</c:v>
                </c:pt>
                <c:pt idx="8">
                  <c:v>Nemoci endokrinní a metabolické</c:v>
                </c:pt>
                <c:pt idx="9">
                  <c:v>Příznaky, znaky</c:v>
                </c:pt>
                <c:pt idx="10">
                  <c:v>Nemoci nervové soustavy</c:v>
                </c:pt>
                <c:pt idx="11">
                  <c:v>Poruchy duševní a poruchy chování</c:v>
                </c:pt>
                <c:pt idx="12">
                  <c:v>Nemoci dýchací soustavy</c:v>
                </c:pt>
                <c:pt idx="13">
                  <c:v>Poranění, otravy aj.</c:v>
                </c:pt>
                <c:pt idx="14">
                  <c:v>Nemoci svalové, kosterní a pojivové tkáně</c:v>
                </c:pt>
                <c:pt idx="15">
                  <c:v>Nemoci močové a pohlavní soustavy</c:v>
                </c:pt>
                <c:pt idx="16">
                  <c:v>Nemoci trávicí soustavy</c:v>
                </c:pt>
                <c:pt idx="17">
                  <c:v>Faktory ovlivňující zdravotní stav</c:v>
                </c:pt>
                <c:pt idx="18">
                  <c:v>Novotvary</c:v>
                </c:pt>
                <c:pt idx="19">
                  <c:v>Nemoci oběhové soustavy</c:v>
                </c:pt>
              </c:strCache>
            </c:strRef>
          </c:cat>
          <c:val>
            <c:numRef>
              <c:f>'Graf 3.1.6'!$U$30:$U$49</c:f>
              <c:numCache>
                <c:formatCode>#,##0</c:formatCode>
                <c:ptCount val="20"/>
                <c:pt idx="0">
                  <c:v>-118.44773011247659</c:v>
                </c:pt>
                <c:pt idx="1">
                  <c:v>-129.83512355294661</c:v>
                </c:pt>
                <c:pt idx="2">
                  <c:v>-163.88402596600417</c:v>
                </c:pt>
                <c:pt idx="3">
                  <c:v>-258.33951095601765</c:v>
                </c:pt>
                <c:pt idx="4">
                  <c:v>-297.56083506749621</c:v>
                </c:pt>
                <c:pt idx="5">
                  <c:v>-344.10300876905291</c:v>
                </c:pt>
                <c:pt idx="6">
                  <c:v>-373.95993887254849</c:v>
                </c:pt>
                <c:pt idx="8">
                  <c:v>-637.1958513328027</c:v>
                </c:pt>
                <c:pt idx="9">
                  <c:v>-667.81046301383446</c:v>
                </c:pt>
                <c:pt idx="10">
                  <c:v>-676.4824022097506</c:v>
                </c:pt>
                <c:pt idx="11">
                  <c:v>-956.50327239100795</c:v>
                </c:pt>
                <c:pt idx="12">
                  <c:v>-1008.3050642487875</c:v>
                </c:pt>
                <c:pt idx="13">
                  <c:v>-1087.7981624734209</c:v>
                </c:pt>
                <c:pt idx="14">
                  <c:v>-1204.0347332561712</c:v>
                </c:pt>
                <c:pt idx="15">
                  <c:v>-1246.199708554389</c:v>
                </c:pt>
                <c:pt idx="16">
                  <c:v>-1369.0969972870121</c:v>
                </c:pt>
                <c:pt idx="17">
                  <c:v>-1541.966528610066</c:v>
                </c:pt>
                <c:pt idx="18">
                  <c:v>-2269.7511510419672</c:v>
                </c:pt>
                <c:pt idx="19">
                  <c:v>-2736.38374664295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99327232"/>
        <c:axId val="172250176"/>
      </c:barChart>
      <c:catAx>
        <c:axId val="199327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chemeClr val="tx1">
                <a:lumMod val="50000"/>
                <a:lumOff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72250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2250176"/>
        <c:scaling>
          <c:orientation val="minMax"/>
          <c:max val="3000"/>
          <c:min val="-3000"/>
        </c:scaling>
        <c:delete val="0"/>
        <c:axPos val="b"/>
        <c:majorGridlines>
          <c:spPr>
            <a:ln w="952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;0" sourceLinked="0"/>
        <c:majorTickMark val="out"/>
        <c:minorTickMark val="none"/>
        <c:tickLblPos val="nextTo"/>
        <c:spPr>
          <a:ln w="3175">
            <a:solidFill>
              <a:sysClr val="window" lastClr="FFFFFF">
                <a:lumMod val="75000"/>
              </a:sys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9327232"/>
        <c:crosses val="autoZero"/>
        <c:crossBetween val="between"/>
        <c:majorUnit val="500"/>
        <c:minorUnit val="20"/>
      </c:valAx>
      <c:spPr>
        <a:solidFill>
          <a:srgbClr val="FFFFFF"/>
        </a:solidFill>
        <a:ln w="3175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82007520219847241"/>
          <c:y val="0.80512004476194887"/>
          <c:w val="0.13477420727814418"/>
          <c:h val="4.7811897957801948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130278427482718E-2"/>
          <c:y val="5.0925925925925923E-2"/>
          <c:w val="0.93076744100611053"/>
          <c:h val="0.79918965427334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'Tabulka 3.1.1, Graf 3.1.7'!$B$26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0071BC"/>
            </a:solidFill>
            <a:ln>
              <a:solidFill>
                <a:srgbClr val="17375E"/>
              </a:solidFill>
            </a:ln>
          </c:spPr>
          <c:invertIfNegative val="0"/>
          <c:cat>
            <c:strRef>
              <c:f>'Tabulka 3.1.1, Graf 3.1.7'!$A$27:$A$44</c:f>
              <c:strCache>
                <c:ptCount val="18"/>
                <c:pt idx="0">
                  <c:v>Do 4 let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'Tabulka 3.1.1, Graf 3.1.7'!$B$27:$B$44</c:f>
              <c:numCache>
                <c:formatCode>#,##0</c:formatCode>
                <c:ptCount val="18"/>
                <c:pt idx="0">
                  <c:v>5492.9560540000011</c:v>
                </c:pt>
                <c:pt idx="1">
                  <c:v>3066.4955770000033</c:v>
                </c:pt>
                <c:pt idx="2">
                  <c:v>2709.4879580000002</c:v>
                </c:pt>
                <c:pt idx="3">
                  <c:v>2388.5558570000012</c:v>
                </c:pt>
                <c:pt idx="4">
                  <c:v>2501.2701430000016</c:v>
                </c:pt>
                <c:pt idx="5">
                  <c:v>3343.3291469999999</c:v>
                </c:pt>
                <c:pt idx="6">
                  <c:v>3891.6930870000006</c:v>
                </c:pt>
                <c:pt idx="7">
                  <c:v>5256.8630420000036</c:v>
                </c:pt>
                <c:pt idx="8">
                  <c:v>6239.9439509999993</c:v>
                </c:pt>
                <c:pt idx="9">
                  <c:v>6111.2735290000037</c:v>
                </c:pt>
                <c:pt idx="10">
                  <c:v>7622.8959020000057</c:v>
                </c:pt>
                <c:pt idx="11">
                  <c:v>9266.1968809999926</c:v>
                </c:pt>
                <c:pt idx="12">
                  <c:v>13119.692166000004</c:v>
                </c:pt>
                <c:pt idx="13">
                  <c:v>11408.783103000005</c:v>
                </c:pt>
                <c:pt idx="14">
                  <c:v>13164.832974000003</c:v>
                </c:pt>
                <c:pt idx="15">
                  <c:v>8695.562799000003</c:v>
                </c:pt>
                <c:pt idx="16">
                  <c:v>5556.9414060000036</c:v>
                </c:pt>
                <c:pt idx="17">
                  <c:v>3836.6350630000015</c:v>
                </c:pt>
              </c:numCache>
            </c:numRef>
          </c:val>
        </c:ser>
        <c:ser>
          <c:idx val="1"/>
          <c:order val="1"/>
          <c:tx>
            <c:strRef>
              <c:f>'Tabulka 3.1.1, Graf 3.1.7'!$C$26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rgbClr val="C00000"/>
              </a:solidFill>
            </a:ln>
          </c:spPr>
          <c:invertIfNegative val="0"/>
          <c:cat>
            <c:strRef>
              <c:f>'Tabulka 3.1.1, Graf 3.1.7'!$A$27:$A$44</c:f>
              <c:strCache>
                <c:ptCount val="18"/>
                <c:pt idx="0">
                  <c:v>Do 4 let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'Tabulka 3.1.1, Graf 3.1.7'!$C$27:$C$44</c:f>
              <c:numCache>
                <c:formatCode>#,##0</c:formatCode>
                <c:ptCount val="18"/>
                <c:pt idx="0">
                  <c:v>4581.3613140000025</c:v>
                </c:pt>
                <c:pt idx="1">
                  <c:v>2485.8853680000002</c:v>
                </c:pt>
                <c:pt idx="2">
                  <c:v>2486.7105180000008</c:v>
                </c:pt>
                <c:pt idx="3">
                  <c:v>2770.7585829999998</c:v>
                </c:pt>
                <c:pt idx="4">
                  <c:v>3312.8268550000003</c:v>
                </c:pt>
                <c:pt idx="5">
                  <c:v>5023.3784060000016</c:v>
                </c:pt>
                <c:pt idx="6">
                  <c:v>5904.9253350000008</c:v>
                </c:pt>
                <c:pt idx="7">
                  <c:v>6859.1219630000096</c:v>
                </c:pt>
                <c:pt idx="8">
                  <c:v>7376.7322910000021</c:v>
                </c:pt>
                <c:pt idx="9">
                  <c:v>6881.5282560000105</c:v>
                </c:pt>
                <c:pt idx="10">
                  <c:v>7828.1942040000104</c:v>
                </c:pt>
                <c:pt idx="11">
                  <c:v>8668.298854000006</c:v>
                </c:pt>
                <c:pt idx="12">
                  <c:v>11547.348518999994</c:v>
                </c:pt>
                <c:pt idx="13">
                  <c:v>10067.223593000004</c:v>
                </c:pt>
                <c:pt idx="14">
                  <c:v>13124.571784000022</c:v>
                </c:pt>
                <c:pt idx="15">
                  <c:v>7719.4211270000051</c:v>
                </c:pt>
                <c:pt idx="16">
                  <c:v>8630.7512410000109</c:v>
                </c:pt>
                <c:pt idx="17">
                  <c:v>8758.0174500000048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99860224"/>
        <c:axId val="172246720"/>
      </c:barChart>
      <c:catAx>
        <c:axId val="19986022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172246720"/>
        <c:crosses val="autoZero"/>
        <c:auto val="1"/>
        <c:lblAlgn val="ctr"/>
        <c:lblOffset val="100"/>
        <c:noMultiLvlLbl val="0"/>
      </c:catAx>
      <c:valAx>
        <c:axId val="172246720"/>
        <c:scaling>
          <c:orientation val="minMax"/>
          <c:max val="14000"/>
        </c:scaling>
        <c:delete val="0"/>
        <c:axPos val="l"/>
        <c:majorGridlines>
          <c:spPr>
            <a:ln>
              <a:solidFill>
                <a:sysClr val="window" lastClr="FFFFFF">
                  <a:lumMod val="75000"/>
                </a:sys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crossAx val="199860224"/>
        <c:crosses val="autoZero"/>
        <c:crossBetween val="between"/>
        <c:majorUnit val="1000"/>
        <c:minorUnit val="50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0468208486777061"/>
          <c:y val="7.6822153146174285E-2"/>
          <c:w val="0.15630607206962982"/>
          <c:h val="6.5543446142079922E-2"/>
        </c:manualLayout>
      </c:layout>
      <c:overlay val="0"/>
      <c:spPr>
        <a:solidFill>
          <a:sysClr val="window" lastClr="FFFFFF"/>
        </a:solidFill>
        <a:ln>
          <a:solidFill>
            <a:sysClr val="window" lastClr="FFFFFF">
              <a:lumMod val="75000"/>
            </a:sys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D1B8-0167-4315-BD6A-F8F4C573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8</Pages>
  <Words>2831</Words>
  <Characters>16706</Characters>
  <Application>Microsoft Office Word</Application>
  <DocSecurity>0</DocSecurity>
  <Lines>139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2018-06-06T06:13:00Z</dcterms:created>
  <dcterms:modified xsi:type="dcterms:W3CDTF">2018-06-06T06:13:00Z</dcterms:modified>
</cp:coreProperties>
</file>