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B6D" w:rsidRPr="00240B6D" w:rsidRDefault="00240B6D" w:rsidP="009F4437">
      <w:pPr>
        <w:keepNext/>
        <w:keepLines/>
        <w:spacing w:after="120"/>
        <w:outlineLvl w:val="0"/>
        <w:rPr>
          <w:rFonts w:eastAsia="MS Gothic"/>
          <w:b/>
          <w:bCs/>
          <w:color w:val="BC091B"/>
          <w:sz w:val="32"/>
          <w:szCs w:val="28"/>
        </w:rPr>
      </w:pPr>
      <w:bookmarkStart w:id="0" w:name="_Toc481748784"/>
      <w:r w:rsidRPr="00240B6D">
        <w:rPr>
          <w:rFonts w:eastAsia="MS Gothic"/>
          <w:b/>
          <w:bCs/>
          <w:color w:val="BC091B"/>
          <w:sz w:val="32"/>
          <w:szCs w:val="28"/>
        </w:rPr>
        <w:t>2. Souhrnné výsledky zdravotnických účtů</w:t>
      </w:r>
      <w:bookmarkEnd w:id="0"/>
    </w:p>
    <w:p w:rsidR="00240B6D" w:rsidRPr="00240B6D" w:rsidRDefault="00240B6D" w:rsidP="002D246F">
      <w:pPr>
        <w:keepNext/>
        <w:spacing w:before="120"/>
        <w:jc w:val="both"/>
        <w:rPr>
          <w:bCs/>
        </w:rPr>
      </w:pPr>
      <w:r w:rsidRPr="00240B6D">
        <w:rPr>
          <w:bCs/>
        </w:rPr>
        <w:t xml:space="preserve">V této části publikace jsou uvedeny základní informace vycházející ze zpracování zdravotnických účtů České republiky za referenční roky 2010 až 2016 z pohledu jejich tří rozměrů, což jsou </w:t>
      </w:r>
      <w:r w:rsidRPr="00240B6D">
        <w:rPr>
          <w:b/>
          <w:bCs/>
        </w:rPr>
        <w:t>zdroje financování, druh zdravotní péče a typ jejího poskytovatele</w:t>
      </w:r>
      <w:r w:rsidRPr="00240B6D">
        <w:rPr>
          <w:bCs/>
        </w:rPr>
        <w:t>. Otázky metodického charakteru týkající se užívaných pojmů či metodických nástrojů (klasifikací apod.), které není nutno s ohledem na srozumitelnost textu řešit bezprostředně na místě, jsou blíže specifikovány v metodické příloze.</w:t>
      </w:r>
    </w:p>
    <w:p w:rsidR="00240B6D" w:rsidRPr="00240B6D" w:rsidRDefault="00240B6D" w:rsidP="002D246F">
      <w:pPr>
        <w:keepNext/>
        <w:keepLines/>
        <w:spacing w:before="240" w:after="120"/>
        <w:outlineLvl w:val="1"/>
        <w:rPr>
          <w:rFonts w:eastAsia="MS Gothic"/>
          <w:b/>
          <w:bCs/>
          <w:color w:val="BC091B"/>
          <w:sz w:val="28"/>
          <w:szCs w:val="26"/>
        </w:rPr>
      </w:pPr>
      <w:bookmarkStart w:id="1" w:name="OLE_LINK9"/>
      <w:bookmarkStart w:id="2" w:name="OLE_LINK116"/>
      <w:r w:rsidRPr="00240B6D">
        <w:rPr>
          <w:rFonts w:eastAsia="MS Gothic"/>
          <w:b/>
          <w:bCs/>
          <w:color w:val="BC091B"/>
          <w:sz w:val="28"/>
          <w:szCs w:val="26"/>
        </w:rPr>
        <w:t>2.1 Celkové výdaje na zdravotní péči</w:t>
      </w:r>
      <w:r w:rsidR="003452B6">
        <w:rPr>
          <w:rFonts w:eastAsia="MS Gothic"/>
          <w:b/>
          <w:bCs/>
          <w:color w:val="BC091B"/>
          <w:sz w:val="28"/>
          <w:szCs w:val="26"/>
        </w:rPr>
        <w:t xml:space="preserve"> – základní údaje</w:t>
      </w:r>
      <w:r w:rsidRPr="00240B6D">
        <w:rPr>
          <w:rFonts w:eastAsia="MS Gothic"/>
          <w:b/>
          <w:bCs/>
          <w:color w:val="BC091B"/>
          <w:sz w:val="28"/>
          <w:szCs w:val="26"/>
        </w:rPr>
        <w:t xml:space="preserve"> </w:t>
      </w:r>
    </w:p>
    <w:p w:rsidR="00240B6D" w:rsidRDefault="00240B6D" w:rsidP="002D246F">
      <w:pPr>
        <w:keepNext/>
        <w:spacing w:before="120"/>
        <w:jc w:val="both"/>
        <w:rPr>
          <w:bCs/>
          <w:szCs w:val="20"/>
        </w:rPr>
      </w:pPr>
      <w:r w:rsidRPr="00240B6D">
        <w:rPr>
          <w:b/>
          <w:bCs/>
          <w:szCs w:val="20"/>
        </w:rPr>
        <w:t>V roce 2016 dosáhly celkové výdaje</w:t>
      </w:r>
      <w:r w:rsidRPr="00240B6D">
        <w:rPr>
          <w:bCs/>
          <w:szCs w:val="20"/>
        </w:rPr>
        <w:t xml:space="preserve"> </w:t>
      </w:r>
      <w:r w:rsidRPr="00240B6D">
        <w:rPr>
          <w:b/>
          <w:bCs/>
          <w:szCs w:val="20"/>
        </w:rPr>
        <w:t>na zdravotní péči</w:t>
      </w:r>
      <w:r w:rsidRPr="00240B6D">
        <w:rPr>
          <w:b/>
          <w:bCs/>
          <w:szCs w:val="20"/>
          <w:vertAlign w:val="superscript"/>
        </w:rPr>
        <w:footnoteReference w:id="1"/>
      </w:r>
      <w:r w:rsidRPr="00240B6D">
        <w:rPr>
          <w:bCs/>
          <w:szCs w:val="20"/>
        </w:rPr>
        <w:t xml:space="preserve"> v České republice </w:t>
      </w:r>
      <w:r w:rsidRPr="00240B6D">
        <w:rPr>
          <w:b/>
          <w:bCs/>
          <w:szCs w:val="20"/>
        </w:rPr>
        <w:t xml:space="preserve">361,6 mld. Kč. </w:t>
      </w:r>
      <w:r w:rsidRPr="00240B6D">
        <w:rPr>
          <w:bCs/>
          <w:szCs w:val="20"/>
        </w:rPr>
        <w:t>Meziročně vzrostly o</w:t>
      </w:r>
      <w:r w:rsidRPr="00240B6D">
        <w:rPr>
          <w:b/>
          <w:bCs/>
          <w:szCs w:val="20"/>
        </w:rPr>
        <w:t xml:space="preserve"> </w:t>
      </w:r>
      <w:r w:rsidRPr="00240B6D">
        <w:rPr>
          <w:bCs/>
          <w:szCs w:val="20"/>
        </w:rPr>
        <w:t xml:space="preserve">9,6 mld. Kč (2,7 %), </w:t>
      </w:r>
      <w:r w:rsidR="00C47265" w:rsidRPr="002E7C59">
        <w:rPr>
          <w:bCs/>
          <w:szCs w:val="20"/>
        </w:rPr>
        <w:t>tj.</w:t>
      </w:r>
      <w:r w:rsidRPr="002E7C59">
        <w:rPr>
          <w:bCs/>
          <w:szCs w:val="20"/>
        </w:rPr>
        <w:t xml:space="preserve"> nejvíce od roku 2010</w:t>
      </w:r>
      <w:r w:rsidR="002E7C59" w:rsidRPr="002E7C59">
        <w:rPr>
          <w:bCs/>
          <w:szCs w:val="20"/>
        </w:rPr>
        <w:t>, kdy</w:t>
      </w:r>
      <w:r w:rsidR="004236AB" w:rsidRPr="002E7C59">
        <w:rPr>
          <w:bCs/>
          <w:szCs w:val="20"/>
        </w:rPr>
        <w:t xml:space="preserve"> má ČSÚ k dispozici srovnatelné údaje o</w:t>
      </w:r>
      <w:r w:rsidR="00CC2E9C" w:rsidRPr="002E7C59">
        <w:rPr>
          <w:bCs/>
          <w:szCs w:val="20"/>
        </w:rPr>
        <w:t> </w:t>
      </w:r>
      <w:r w:rsidR="004236AB" w:rsidRPr="002E7C59">
        <w:rPr>
          <w:bCs/>
          <w:szCs w:val="20"/>
        </w:rPr>
        <w:t>výdajích na zdravotní péči podle mezinárodní metodiky SHA 2011</w:t>
      </w:r>
      <w:r w:rsidRPr="002E7C59">
        <w:rPr>
          <w:bCs/>
          <w:szCs w:val="20"/>
        </w:rPr>
        <w:t>.</w:t>
      </w:r>
      <w:r w:rsidRPr="00240B6D">
        <w:rPr>
          <w:bCs/>
          <w:szCs w:val="20"/>
        </w:rPr>
        <w:t xml:space="preserve"> Výše uvedený meziroční celkový nárůst výdajů na zdravotní péči v ČR byl zapříčiněn téměř stejnou měrou jak nárůstem prostředků ze zdravotního pojištění, tak přímo hrazené péče ze státního rozpočtu. Výdaje zdravotních pojišťoven meziročně vzrostly o 3,2 mld. Kč (1,4 %) a výdaje ze státního rozpočtu o 3,3 mld. Kč (6,2 %).</w:t>
      </w:r>
      <w:r w:rsidR="00406353">
        <w:rPr>
          <w:bCs/>
          <w:szCs w:val="20"/>
        </w:rPr>
        <w:t xml:space="preserve"> Přímé platby domácností (pacientů) – třetí hlavní zdroj financování zdravotní péče v Česku </w:t>
      </w:r>
      <w:r w:rsidR="006A4247">
        <w:rPr>
          <w:bCs/>
          <w:szCs w:val="20"/>
        </w:rPr>
        <w:t xml:space="preserve">– </w:t>
      </w:r>
      <w:r w:rsidR="00406353">
        <w:rPr>
          <w:bCs/>
          <w:szCs w:val="20"/>
        </w:rPr>
        <w:t>meziročně vzrostly o 1,9 mld. Kč (3,8 %).</w:t>
      </w:r>
    </w:p>
    <w:p w:rsidR="00406353" w:rsidRPr="00240B6D" w:rsidRDefault="00406353" w:rsidP="00406353">
      <w:pPr>
        <w:keepNext/>
        <w:spacing w:before="120"/>
        <w:jc w:val="both"/>
        <w:rPr>
          <w:bCs/>
          <w:szCs w:val="20"/>
        </w:rPr>
      </w:pPr>
      <w:r w:rsidRPr="00240B6D">
        <w:rPr>
          <w:bCs/>
          <w:szCs w:val="20"/>
        </w:rPr>
        <w:t>V letech 2010 až 2016 rostly celkové výdaje na zdravotní péči v běžných cenách</w:t>
      </w:r>
      <w:r w:rsidR="00B63AFC" w:rsidRPr="00B63AFC">
        <w:rPr>
          <w:bCs/>
          <w:szCs w:val="20"/>
        </w:rPr>
        <w:t xml:space="preserve"> </w:t>
      </w:r>
      <w:r w:rsidR="00B63AFC" w:rsidRPr="00240B6D">
        <w:rPr>
          <w:bCs/>
          <w:szCs w:val="20"/>
        </w:rPr>
        <w:t>v průměru</w:t>
      </w:r>
      <w:r w:rsidRPr="00240B6D">
        <w:rPr>
          <w:bCs/>
          <w:szCs w:val="20"/>
        </w:rPr>
        <w:t xml:space="preserve"> o 1,33 % ročně. Od roku 2010 včetně bylo za zdravotní péči v Česku vynaloženo celkem téměř 2 421 miliard korun z toho v posledních třech letech (2014 až 2016) to byl cca jeden bilion (1 062 mld. Kč). </w:t>
      </w:r>
    </w:p>
    <w:p w:rsidR="002D246F" w:rsidRPr="00240B6D" w:rsidRDefault="002D246F" w:rsidP="002D246F">
      <w:pPr>
        <w:keepNext/>
        <w:spacing w:before="240"/>
        <w:jc w:val="both"/>
        <w:rPr>
          <w:rFonts w:cs="Arial"/>
          <w:b/>
          <w:sz w:val="18"/>
          <w:szCs w:val="18"/>
        </w:rPr>
      </w:pPr>
      <w:r w:rsidRPr="00240B6D">
        <w:rPr>
          <w:rFonts w:cs="Arial"/>
          <w:b/>
          <w:sz w:val="18"/>
          <w:szCs w:val="18"/>
        </w:rPr>
        <w:t>Graf č. 2.1 Celkové výdaje na zdravotní péči v Česku, 2010 - 2016 (mld. Kč; podíl na HDP)</w:t>
      </w:r>
    </w:p>
    <w:p w:rsidR="002D246F" w:rsidRPr="00240B6D" w:rsidRDefault="002D246F" w:rsidP="009F4437">
      <w:pPr>
        <w:keepNext/>
        <w:jc w:val="both"/>
        <w:rPr>
          <w:rFonts w:cs="Arial"/>
          <w:b/>
          <w:sz w:val="18"/>
          <w:szCs w:val="18"/>
        </w:rPr>
      </w:pPr>
      <w:r w:rsidRPr="00240B6D">
        <w:rPr>
          <w:noProof/>
        </w:rPr>
        <w:drawing>
          <wp:inline distT="0" distB="0" distL="0" distR="0" wp14:anchorId="09C0F850" wp14:editId="4B02B834">
            <wp:extent cx="6084000" cy="29520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D246F" w:rsidRPr="00240B6D" w:rsidRDefault="002D246F" w:rsidP="002D246F">
      <w:pPr>
        <w:spacing w:before="120" w:line="240" w:lineRule="auto"/>
        <w:jc w:val="right"/>
        <w:rPr>
          <w:b/>
          <w:bCs/>
          <w:i/>
          <w:sz w:val="16"/>
          <w:szCs w:val="16"/>
        </w:rPr>
      </w:pPr>
      <w:r w:rsidRPr="00240B6D">
        <w:rPr>
          <w:b/>
          <w:bCs/>
          <w:i/>
          <w:sz w:val="16"/>
          <w:szCs w:val="16"/>
        </w:rPr>
        <w:t xml:space="preserve">Zdroj: ČSÚ 2018, Zdravotnické účty ČR 2010 - 2016 </w:t>
      </w:r>
    </w:p>
    <w:p w:rsidR="0038205A" w:rsidRDefault="0038205A" w:rsidP="004236AB">
      <w:pPr>
        <w:widowControl w:val="0"/>
        <w:spacing w:before="120"/>
        <w:jc w:val="both"/>
      </w:pPr>
      <w:r w:rsidRPr="00CC2E9C">
        <w:t xml:space="preserve">Zatímco v absolutních hodnotách každoročně výdaje na zdravotní péči v Česku rostou, v případě </w:t>
      </w:r>
      <w:r w:rsidRPr="00CC2E9C">
        <w:rPr>
          <w:b/>
        </w:rPr>
        <w:t>podílu na HDP</w:t>
      </w:r>
      <w:r w:rsidRPr="00CC2E9C">
        <w:t xml:space="preserve"> – základní poměrový ukazatele používaný pro mezinárodní srovnání – došlo v roce 2014 poprvé k výraznému meziročnímu poklesu z 8,4 % na 8,1 %.</w:t>
      </w:r>
      <w:r w:rsidRPr="00240B6D">
        <w:t xml:space="preserve"> Klesající trend však pokračoval i v dalších letech až na hodnotu 7,6 % v roce 2016. Výdaje na zdravotní péči v posledních letech tedy rostou pomalejším tempem, než roste celá česká ekonomika. </w:t>
      </w:r>
    </w:p>
    <w:p w:rsidR="0038205A" w:rsidRPr="00240B6D" w:rsidRDefault="00B63AFC" w:rsidP="0038205A">
      <w:pPr>
        <w:keepNext/>
        <w:spacing w:before="120"/>
        <w:jc w:val="both"/>
      </w:pPr>
      <w:r>
        <w:t>V</w:t>
      </w:r>
      <w:r w:rsidR="0038205A" w:rsidRPr="00240B6D">
        <w:t xml:space="preserve">ýdaje na zdravotní péči v České republice ve vztahu k jeho HDP patří </w:t>
      </w:r>
      <w:r w:rsidR="0038205A" w:rsidRPr="0038205A">
        <w:rPr>
          <w:b/>
        </w:rPr>
        <w:t>v rámci zemí EU</w:t>
      </w:r>
      <w:r w:rsidR="0038205A" w:rsidRPr="00240B6D">
        <w:t xml:space="preserve"> k těm nižším. V roce 2015 – novější definitivní mezinárodní údaje nejsou k dispozici – jsme se </w:t>
      </w:r>
      <w:r>
        <w:t> hodnotou tohoto</w:t>
      </w:r>
      <w:r w:rsidR="0038205A" w:rsidRPr="00240B6D">
        <w:t xml:space="preserve"> ukazatel</w:t>
      </w:r>
      <w:r>
        <w:t>e</w:t>
      </w:r>
      <w:r w:rsidR="0038205A" w:rsidRPr="00240B6D">
        <w:t xml:space="preserve"> </w:t>
      </w:r>
      <w:r w:rsidR="0038205A" w:rsidRPr="00240B6D">
        <w:lastRenderedPageBreak/>
        <w:t>umístili na pomyslném žebříčku zemí EU až v jeho druhé polovině, a to spolu s Maďarskem na 18</w:t>
      </w:r>
      <w:r>
        <w:t>.</w:t>
      </w:r>
      <w:r w:rsidR="00C47265">
        <w:t xml:space="preserve"> místě</w:t>
      </w:r>
      <w:r>
        <w:t>.</w:t>
      </w:r>
      <w:r w:rsidR="0038205A" w:rsidRPr="00240B6D">
        <w:t xml:space="preserve"> Více jak 11 % ve vztahu k HDP ze zemí EU vydaly na zdravotní péči pouze Německo, Švédsko a Francie. </w:t>
      </w:r>
      <w:r>
        <w:t>Nejméně</w:t>
      </w:r>
      <w:r w:rsidR="0038205A" w:rsidRPr="00240B6D">
        <w:t xml:space="preserve"> vydaly na zdravotní péči </w:t>
      </w:r>
      <w:r w:rsidRPr="00240B6D">
        <w:t>Polsko</w:t>
      </w:r>
      <w:r w:rsidR="00C47265">
        <w:t xml:space="preserve"> (6,3 % jejich HDP), Lotyšsko (5,7 %) a Rumunsko</w:t>
      </w:r>
      <w:r w:rsidRPr="00240B6D">
        <w:t xml:space="preserve"> </w:t>
      </w:r>
      <w:r>
        <w:t>(</w:t>
      </w:r>
      <w:r w:rsidR="00C47265">
        <w:t>5,0 %)</w:t>
      </w:r>
      <w:r w:rsidR="0038205A" w:rsidRPr="00240B6D">
        <w:t>.</w:t>
      </w:r>
    </w:p>
    <w:p w:rsidR="00240B6D" w:rsidRPr="00240B6D" w:rsidRDefault="009D7138" w:rsidP="0038205A">
      <w:pPr>
        <w:keepNext/>
        <w:spacing w:before="120"/>
        <w:jc w:val="both"/>
        <w:rPr>
          <w:bCs/>
          <w:szCs w:val="20"/>
        </w:rPr>
      </w:pPr>
      <w:r>
        <w:rPr>
          <w:bCs/>
          <w:szCs w:val="20"/>
        </w:rPr>
        <w:t>P</w:t>
      </w:r>
      <w:r w:rsidR="00240B6D" w:rsidRPr="00240B6D">
        <w:rPr>
          <w:bCs/>
          <w:szCs w:val="20"/>
        </w:rPr>
        <w:t xml:space="preserve">růměrné výdaje na zdravotní péči vztažené </w:t>
      </w:r>
      <w:r w:rsidR="00240B6D" w:rsidRPr="00240B6D">
        <w:rPr>
          <w:b/>
          <w:bCs/>
          <w:szCs w:val="20"/>
        </w:rPr>
        <w:t>na jednoho obyvatele</w:t>
      </w:r>
      <w:r w:rsidR="00240B6D" w:rsidRPr="00240B6D">
        <w:rPr>
          <w:bCs/>
          <w:szCs w:val="20"/>
        </w:rPr>
        <w:t xml:space="preserve"> ČR vzrostly od roku 2010 z 31 767 Kč na 34 230 Kč v roce 2016 (tj. o 7,8 %). </w:t>
      </w:r>
      <w:r w:rsidR="00711D97">
        <w:rPr>
          <w:bCs/>
          <w:szCs w:val="20"/>
        </w:rPr>
        <w:t>V</w:t>
      </w:r>
      <w:r w:rsidR="0038205A">
        <w:rPr>
          <w:bCs/>
          <w:szCs w:val="20"/>
        </w:rPr>
        <w:t xml:space="preserve">ýdaje na zdravotní péči připadající na 1 obyvatele jsou například </w:t>
      </w:r>
      <w:r w:rsidR="00240B6D" w:rsidRPr="00240B6D">
        <w:rPr>
          <w:bCs/>
          <w:szCs w:val="20"/>
        </w:rPr>
        <w:t>ve Švédsku nebo v</w:t>
      </w:r>
      <w:r w:rsidR="0038205A">
        <w:rPr>
          <w:bCs/>
          <w:szCs w:val="20"/>
        </w:rPr>
        <w:t> </w:t>
      </w:r>
      <w:r w:rsidR="00240B6D" w:rsidRPr="00240B6D">
        <w:rPr>
          <w:bCs/>
          <w:szCs w:val="20"/>
        </w:rPr>
        <w:t>Dánsku</w:t>
      </w:r>
      <w:r w:rsidR="0038205A">
        <w:rPr>
          <w:bCs/>
          <w:szCs w:val="20"/>
        </w:rPr>
        <w:t xml:space="preserve"> </w:t>
      </w:r>
      <w:r w:rsidR="00711D97">
        <w:rPr>
          <w:bCs/>
          <w:szCs w:val="20"/>
        </w:rPr>
        <w:t>–</w:t>
      </w:r>
      <w:r w:rsidR="0038205A">
        <w:rPr>
          <w:bCs/>
          <w:szCs w:val="20"/>
        </w:rPr>
        <w:t xml:space="preserve"> kde v roce 2015 </w:t>
      </w:r>
      <w:r w:rsidR="00240B6D" w:rsidRPr="00240B6D">
        <w:rPr>
          <w:bCs/>
          <w:szCs w:val="20"/>
        </w:rPr>
        <w:t xml:space="preserve">dosáhly 5,0 tisíc EUR </w:t>
      </w:r>
      <w:r w:rsidR="0038205A">
        <w:rPr>
          <w:bCs/>
          <w:szCs w:val="20"/>
        </w:rPr>
        <w:t xml:space="preserve">– cca </w:t>
      </w:r>
      <w:r w:rsidR="00240B6D" w:rsidRPr="00240B6D">
        <w:rPr>
          <w:bCs/>
          <w:szCs w:val="20"/>
        </w:rPr>
        <w:t>4krát vyšší než v případě České republiky (1,2 tisíc EUR na obyvatele)</w:t>
      </w:r>
      <w:r w:rsidR="0038205A">
        <w:rPr>
          <w:bCs/>
          <w:szCs w:val="20"/>
        </w:rPr>
        <w:t>.</w:t>
      </w:r>
      <w:r w:rsidR="00240B6D" w:rsidRPr="00240B6D">
        <w:rPr>
          <w:bCs/>
          <w:szCs w:val="20"/>
        </w:rPr>
        <w:t xml:space="preserve"> I v Německu a v Rakousku je tento ukazatel 3,5krát vyšší než u nás. Naopak v Česku vydáváme na zdravotní péči na </w:t>
      </w:r>
      <w:r w:rsidR="00711D97">
        <w:rPr>
          <w:bCs/>
          <w:szCs w:val="20"/>
        </w:rPr>
        <w:t xml:space="preserve">1 </w:t>
      </w:r>
      <w:r w:rsidR="00240B6D" w:rsidRPr="00240B6D">
        <w:rPr>
          <w:bCs/>
          <w:szCs w:val="20"/>
        </w:rPr>
        <w:t>obyvatele více než na Slovensku</w:t>
      </w:r>
      <w:r w:rsidR="00711D97">
        <w:rPr>
          <w:bCs/>
          <w:szCs w:val="20"/>
        </w:rPr>
        <w:t xml:space="preserve"> (</w:t>
      </w:r>
      <w:r w:rsidR="00711D97" w:rsidRPr="00240B6D">
        <w:rPr>
          <w:bCs/>
          <w:szCs w:val="20"/>
        </w:rPr>
        <w:t>o 16 %</w:t>
      </w:r>
      <w:r w:rsidR="00711D97">
        <w:rPr>
          <w:bCs/>
          <w:szCs w:val="20"/>
        </w:rPr>
        <w:t>)</w:t>
      </w:r>
      <w:r w:rsidR="00240B6D" w:rsidRPr="00240B6D">
        <w:rPr>
          <w:bCs/>
          <w:szCs w:val="20"/>
        </w:rPr>
        <w:t xml:space="preserve">, v Maďarsku </w:t>
      </w:r>
      <w:r w:rsidR="00711D97">
        <w:rPr>
          <w:bCs/>
          <w:szCs w:val="20"/>
        </w:rPr>
        <w:t>(</w:t>
      </w:r>
      <w:r w:rsidR="00711D97" w:rsidRPr="00240B6D">
        <w:rPr>
          <w:bCs/>
          <w:szCs w:val="20"/>
        </w:rPr>
        <w:t>o 44 %</w:t>
      </w:r>
      <w:r w:rsidR="00711D97">
        <w:rPr>
          <w:bCs/>
          <w:szCs w:val="20"/>
        </w:rPr>
        <w:t>)</w:t>
      </w:r>
      <w:r w:rsidR="00711D97" w:rsidRPr="00240B6D">
        <w:rPr>
          <w:bCs/>
          <w:szCs w:val="20"/>
        </w:rPr>
        <w:t xml:space="preserve"> </w:t>
      </w:r>
      <w:r w:rsidR="00240B6D" w:rsidRPr="00240B6D">
        <w:rPr>
          <w:bCs/>
          <w:szCs w:val="20"/>
        </w:rPr>
        <w:t>a v Polsku</w:t>
      </w:r>
      <w:r w:rsidR="00711D97" w:rsidRPr="00711D97">
        <w:rPr>
          <w:bCs/>
          <w:szCs w:val="20"/>
        </w:rPr>
        <w:t xml:space="preserve"> </w:t>
      </w:r>
      <w:r w:rsidR="00711D97">
        <w:rPr>
          <w:bCs/>
          <w:szCs w:val="20"/>
        </w:rPr>
        <w:t>(</w:t>
      </w:r>
      <w:r w:rsidR="00711D97" w:rsidRPr="00240B6D">
        <w:rPr>
          <w:bCs/>
          <w:szCs w:val="20"/>
        </w:rPr>
        <w:t>o 62 %</w:t>
      </w:r>
      <w:r w:rsidR="00711D97">
        <w:rPr>
          <w:bCs/>
          <w:szCs w:val="20"/>
        </w:rPr>
        <w:t>)</w:t>
      </w:r>
      <w:r w:rsidR="00240B6D" w:rsidRPr="00240B6D">
        <w:rPr>
          <w:bCs/>
          <w:szCs w:val="20"/>
        </w:rPr>
        <w:t xml:space="preserve">. </w:t>
      </w:r>
    </w:p>
    <w:p w:rsidR="00240B6D" w:rsidRPr="00240B6D" w:rsidRDefault="00240B6D" w:rsidP="0038205A">
      <w:pPr>
        <w:keepNext/>
        <w:spacing w:before="120"/>
        <w:jc w:val="both"/>
        <w:rPr>
          <w:bCs/>
          <w:szCs w:val="20"/>
        </w:rPr>
      </w:pPr>
      <w:r w:rsidRPr="00240B6D">
        <w:rPr>
          <w:bCs/>
          <w:szCs w:val="20"/>
        </w:rPr>
        <w:t xml:space="preserve">Výše uvedené celkové částky od roku 2010 zahrnují (neinvestiční) běžné výdaje na zdravotní péči. Pro úplnost informací uvádíme, že z veřejných rozpočtů šlo v roce 2016 </w:t>
      </w:r>
      <w:r w:rsidRPr="009F4437">
        <w:rPr>
          <w:b/>
          <w:bCs/>
          <w:szCs w:val="20"/>
        </w:rPr>
        <w:t xml:space="preserve">na investice, vzdělávání zdravotnického personálu či výzkum </w:t>
      </w:r>
      <w:r w:rsidR="00CE26E9" w:rsidRPr="009F4437">
        <w:rPr>
          <w:b/>
          <w:bCs/>
          <w:szCs w:val="20"/>
        </w:rPr>
        <w:t>a vývoj</w:t>
      </w:r>
      <w:r w:rsidR="00CE26E9">
        <w:rPr>
          <w:bCs/>
          <w:szCs w:val="20"/>
        </w:rPr>
        <w:t xml:space="preserve"> v oblasti zdravotní péče </w:t>
      </w:r>
      <w:r w:rsidRPr="00240B6D">
        <w:rPr>
          <w:bCs/>
          <w:szCs w:val="20"/>
        </w:rPr>
        <w:t xml:space="preserve">celkem </w:t>
      </w:r>
      <w:r w:rsidR="00CE26E9">
        <w:rPr>
          <w:bCs/>
          <w:szCs w:val="20"/>
        </w:rPr>
        <w:t xml:space="preserve">dalších </w:t>
      </w:r>
      <w:r w:rsidRPr="00240B6D">
        <w:rPr>
          <w:bCs/>
          <w:szCs w:val="20"/>
        </w:rPr>
        <w:t xml:space="preserve">6,5 mld. Kč. V porovnání s předchozím rokem se </w:t>
      </w:r>
      <w:r w:rsidR="00CE26E9">
        <w:rPr>
          <w:bCs/>
          <w:szCs w:val="20"/>
        </w:rPr>
        <w:t xml:space="preserve">tyto </w:t>
      </w:r>
      <w:r w:rsidRPr="00240B6D">
        <w:rPr>
          <w:bCs/>
          <w:szCs w:val="20"/>
        </w:rPr>
        <w:t xml:space="preserve">investiční výdaje zvýšily o 721 miliónů Kč (tj. o 12,6 %). Téměř 5 mld. Kč </w:t>
      </w:r>
      <w:r w:rsidRPr="00240B6D">
        <w:t xml:space="preserve">bylo použito v roce 2016 na nákup a modernizaci přístrojového vybavení a výstavbu a rekonstrukci zdravotnických zařízení. V meziročním srovnání byl zaznamenán finanční nárůst o jednu pětinu. Naopak o 14 % méně finančních prostředků ze státního rozpočtu (tj. 1,2 mld. Kč) plynulo v roce 2016 na výzkum </w:t>
      </w:r>
      <w:r w:rsidR="00CE26E9">
        <w:t xml:space="preserve">a vývoj </w:t>
      </w:r>
      <w:r w:rsidRPr="00240B6D">
        <w:t>ve zdravotnictví v porovnání s rokem 2015.</w:t>
      </w:r>
    </w:p>
    <w:p w:rsidR="00240B6D" w:rsidRPr="00240B6D" w:rsidRDefault="00240B6D" w:rsidP="009F4437">
      <w:pPr>
        <w:keepNext/>
        <w:keepLines/>
        <w:spacing w:before="240" w:after="120"/>
        <w:outlineLvl w:val="1"/>
        <w:rPr>
          <w:rFonts w:eastAsia="MS Gothic"/>
          <w:b/>
          <w:bCs/>
          <w:color w:val="BC091B"/>
          <w:sz w:val="28"/>
          <w:szCs w:val="26"/>
        </w:rPr>
      </w:pPr>
      <w:bookmarkStart w:id="3" w:name="_Toc481748786"/>
      <w:r w:rsidRPr="00240B6D">
        <w:rPr>
          <w:rFonts w:eastAsia="MS Gothic"/>
          <w:b/>
          <w:bCs/>
          <w:color w:val="BC091B"/>
          <w:sz w:val="28"/>
          <w:szCs w:val="26"/>
        </w:rPr>
        <w:t>2.2 Výdaje na zdravotní péči dle zdrojů financování</w:t>
      </w:r>
      <w:bookmarkEnd w:id="3"/>
      <w:r w:rsidRPr="00240B6D">
        <w:rPr>
          <w:rFonts w:eastAsia="MS Gothic"/>
          <w:b/>
          <w:bCs/>
          <w:color w:val="BC091B"/>
          <w:sz w:val="28"/>
          <w:szCs w:val="26"/>
        </w:rPr>
        <w:t xml:space="preserve"> </w:t>
      </w:r>
    </w:p>
    <w:p w:rsidR="00240B6D" w:rsidRPr="00240B6D" w:rsidRDefault="00240B6D" w:rsidP="009D7138">
      <w:pPr>
        <w:keepNext/>
        <w:jc w:val="both"/>
        <w:rPr>
          <w:bCs/>
          <w:szCs w:val="20"/>
        </w:rPr>
      </w:pPr>
      <w:r w:rsidRPr="00240B6D">
        <w:rPr>
          <w:bCs/>
          <w:szCs w:val="20"/>
        </w:rPr>
        <w:t xml:space="preserve">Manuál SHA 2011 k zdravotnickým účtům </w:t>
      </w:r>
      <w:r w:rsidR="000F6E14">
        <w:rPr>
          <w:bCs/>
          <w:szCs w:val="20"/>
        </w:rPr>
        <w:t>definuje</w:t>
      </w:r>
      <w:r w:rsidR="000F6E14" w:rsidRPr="00240B6D">
        <w:rPr>
          <w:bCs/>
          <w:szCs w:val="20"/>
        </w:rPr>
        <w:t xml:space="preserve"> </w:t>
      </w:r>
      <w:r w:rsidRPr="00240B6D">
        <w:rPr>
          <w:bCs/>
          <w:szCs w:val="20"/>
        </w:rPr>
        <w:t xml:space="preserve">tři základní </w:t>
      </w:r>
      <w:r w:rsidRPr="00240B6D">
        <w:rPr>
          <w:b/>
          <w:bCs/>
          <w:szCs w:val="20"/>
        </w:rPr>
        <w:t>zdroje financování</w:t>
      </w:r>
      <w:r w:rsidRPr="00240B6D">
        <w:rPr>
          <w:bCs/>
          <w:szCs w:val="20"/>
        </w:rPr>
        <w:t xml:space="preserve"> zdravotní péče</w:t>
      </w:r>
      <w:r w:rsidR="000F6E14">
        <w:rPr>
          <w:bCs/>
          <w:szCs w:val="20"/>
        </w:rPr>
        <w:t>,</w:t>
      </w:r>
      <w:r w:rsidRPr="00240B6D">
        <w:rPr>
          <w:bCs/>
          <w:szCs w:val="20"/>
        </w:rPr>
        <w:t xml:space="preserve"> a to: </w:t>
      </w:r>
    </w:p>
    <w:p w:rsidR="00240B6D" w:rsidRPr="00240B6D" w:rsidRDefault="00240B6D" w:rsidP="003452B6">
      <w:pPr>
        <w:keepNext/>
        <w:numPr>
          <w:ilvl w:val="0"/>
          <w:numId w:val="20"/>
        </w:numPr>
        <w:tabs>
          <w:tab w:val="left" w:pos="426"/>
        </w:tabs>
        <w:ind w:left="851" w:hanging="851"/>
        <w:jc w:val="both"/>
        <w:rPr>
          <w:bCs/>
          <w:szCs w:val="20"/>
        </w:rPr>
      </w:pPr>
      <w:r w:rsidRPr="00240B6D">
        <w:rPr>
          <w:bCs/>
          <w:szCs w:val="20"/>
        </w:rPr>
        <w:t>veřejné zdroje</w:t>
      </w:r>
      <w:r w:rsidR="000F6E14">
        <w:rPr>
          <w:bCs/>
          <w:szCs w:val="20"/>
        </w:rPr>
        <w:t>,</w:t>
      </w:r>
      <w:r w:rsidRPr="00240B6D">
        <w:rPr>
          <w:bCs/>
          <w:szCs w:val="20"/>
        </w:rPr>
        <w:t xml:space="preserve"> </w:t>
      </w:r>
    </w:p>
    <w:p w:rsidR="00240B6D" w:rsidRPr="00240B6D" w:rsidRDefault="00240B6D" w:rsidP="003452B6">
      <w:pPr>
        <w:keepNext/>
        <w:numPr>
          <w:ilvl w:val="0"/>
          <w:numId w:val="20"/>
        </w:numPr>
        <w:tabs>
          <w:tab w:val="left" w:pos="426"/>
        </w:tabs>
        <w:ind w:left="851" w:hanging="851"/>
        <w:jc w:val="both"/>
        <w:rPr>
          <w:bCs/>
          <w:szCs w:val="20"/>
        </w:rPr>
      </w:pPr>
      <w:r w:rsidRPr="00240B6D">
        <w:rPr>
          <w:bCs/>
          <w:szCs w:val="20"/>
        </w:rPr>
        <w:t>soukromé zdroje bez přímých plateb domácností</w:t>
      </w:r>
      <w:r w:rsidR="000F6E14">
        <w:rPr>
          <w:bCs/>
          <w:szCs w:val="20"/>
        </w:rPr>
        <w:t>,</w:t>
      </w:r>
    </w:p>
    <w:p w:rsidR="00240B6D" w:rsidRPr="00240B6D" w:rsidRDefault="00240B6D" w:rsidP="003452B6">
      <w:pPr>
        <w:keepNext/>
        <w:numPr>
          <w:ilvl w:val="0"/>
          <w:numId w:val="20"/>
        </w:numPr>
        <w:tabs>
          <w:tab w:val="left" w:pos="426"/>
        </w:tabs>
        <w:ind w:left="851" w:hanging="851"/>
        <w:jc w:val="both"/>
        <w:rPr>
          <w:bCs/>
          <w:szCs w:val="20"/>
        </w:rPr>
      </w:pPr>
      <w:r w:rsidRPr="00240B6D">
        <w:rPr>
          <w:bCs/>
          <w:szCs w:val="20"/>
        </w:rPr>
        <w:t>přímé platby domácností</w:t>
      </w:r>
      <w:r w:rsidR="000F6E14">
        <w:rPr>
          <w:bCs/>
          <w:szCs w:val="20"/>
        </w:rPr>
        <w:t>.</w:t>
      </w:r>
    </w:p>
    <w:p w:rsidR="009F4437" w:rsidRDefault="00240B6D" w:rsidP="00240B6D">
      <w:pPr>
        <w:keepNext/>
        <w:spacing w:before="120"/>
        <w:jc w:val="both"/>
        <w:rPr>
          <w:bCs/>
          <w:szCs w:val="20"/>
        </w:rPr>
      </w:pPr>
      <w:r w:rsidRPr="00240B6D">
        <w:rPr>
          <w:bCs/>
          <w:szCs w:val="20"/>
        </w:rPr>
        <w:t xml:space="preserve">Do prvně jmenované skupiny – veřejné zdroje </w:t>
      </w:r>
      <w:r w:rsidR="000F6E14" w:rsidRPr="00240B6D">
        <w:rPr>
          <w:bCs/>
          <w:szCs w:val="20"/>
        </w:rPr>
        <w:t xml:space="preserve">– </w:t>
      </w:r>
      <w:r w:rsidRPr="00240B6D">
        <w:rPr>
          <w:bCs/>
          <w:szCs w:val="20"/>
        </w:rPr>
        <w:t xml:space="preserve">patří především finanční prostředky získané v rámci </w:t>
      </w:r>
      <w:r w:rsidRPr="00240B6D">
        <w:rPr>
          <w:b/>
          <w:bCs/>
          <w:szCs w:val="20"/>
        </w:rPr>
        <w:t>povinného zdravotního pojištění</w:t>
      </w:r>
      <w:r w:rsidRPr="00240B6D">
        <w:rPr>
          <w:bCs/>
          <w:szCs w:val="20"/>
        </w:rPr>
        <w:t xml:space="preserve"> (podrobněji viz kapitola 3.1) a dále prostředky z veřejných rozpočtů, které zahrnují jak finanční zdroje získané na zdravotní péči přímo ze </w:t>
      </w:r>
      <w:r w:rsidRPr="00240B6D">
        <w:rPr>
          <w:b/>
          <w:bCs/>
          <w:szCs w:val="20"/>
        </w:rPr>
        <w:t>státního rozpočtu</w:t>
      </w:r>
      <w:r w:rsidRPr="00240B6D">
        <w:rPr>
          <w:bCs/>
          <w:szCs w:val="20"/>
        </w:rPr>
        <w:t xml:space="preserve"> - nejčastěji z kapitoly Ministerstva zdravotnictví ČR a MPSV, tak zdroje místních rozpočtů</w:t>
      </w:r>
      <w:r w:rsidR="000F6E14">
        <w:rPr>
          <w:bCs/>
          <w:szCs w:val="20"/>
        </w:rPr>
        <w:t>,</w:t>
      </w:r>
      <w:r w:rsidRPr="00240B6D">
        <w:rPr>
          <w:bCs/>
          <w:szCs w:val="20"/>
        </w:rPr>
        <w:t xml:space="preserve"> kam patří především zdroje získané na zdravotní péči z </w:t>
      </w:r>
      <w:r w:rsidRPr="00240B6D">
        <w:rPr>
          <w:b/>
          <w:bCs/>
          <w:szCs w:val="20"/>
        </w:rPr>
        <w:t>krajských rozpočtů</w:t>
      </w:r>
      <w:r w:rsidRPr="00240B6D">
        <w:rPr>
          <w:bCs/>
          <w:szCs w:val="20"/>
        </w:rPr>
        <w:t>.</w:t>
      </w:r>
    </w:p>
    <w:p w:rsidR="00240B6D" w:rsidRPr="00240B6D" w:rsidRDefault="00240B6D" w:rsidP="00240B6D">
      <w:pPr>
        <w:keepNext/>
        <w:spacing w:before="120"/>
        <w:jc w:val="both"/>
        <w:rPr>
          <w:bCs/>
          <w:szCs w:val="20"/>
        </w:rPr>
      </w:pPr>
      <w:r w:rsidRPr="00240B6D">
        <w:rPr>
          <w:bCs/>
          <w:szCs w:val="20"/>
        </w:rPr>
        <w:t xml:space="preserve">Do soukromých zdrojů (bez přímých plateb domácností) jsou zahrnuty </w:t>
      </w:r>
      <w:r w:rsidRPr="00240B6D">
        <w:rPr>
          <w:b/>
          <w:bCs/>
          <w:szCs w:val="20"/>
        </w:rPr>
        <w:t>dobrovolné platby</w:t>
      </w:r>
      <w:r w:rsidRPr="00240B6D">
        <w:rPr>
          <w:bCs/>
          <w:szCs w:val="20"/>
        </w:rPr>
        <w:t xml:space="preserve"> na zdravotní péči </w:t>
      </w:r>
      <w:r w:rsidRPr="00240B6D">
        <w:rPr>
          <w:b/>
          <w:bCs/>
          <w:szCs w:val="20"/>
        </w:rPr>
        <w:t>neziskových institucí</w:t>
      </w:r>
      <w:r w:rsidRPr="00240B6D">
        <w:rPr>
          <w:bCs/>
          <w:szCs w:val="20"/>
        </w:rPr>
        <w:t xml:space="preserve">, </w:t>
      </w:r>
      <w:r w:rsidRPr="00240B6D">
        <w:rPr>
          <w:b/>
          <w:bCs/>
          <w:szCs w:val="20"/>
        </w:rPr>
        <w:t>soukromé zdravotní pojištění</w:t>
      </w:r>
      <w:r w:rsidRPr="00240B6D">
        <w:rPr>
          <w:bCs/>
          <w:szCs w:val="20"/>
        </w:rPr>
        <w:t xml:space="preserve"> a </w:t>
      </w:r>
      <w:r w:rsidRPr="00240B6D">
        <w:rPr>
          <w:b/>
          <w:bCs/>
          <w:szCs w:val="20"/>
        </w:rPr>
        <w:t>závodní (podniková) preventivní péče</w:t>
      </w:r>
      <w:r w:rsidRPr="00240B6D">
        <w:rPr>
          <w:bCs/>
          <w:szCs w:val="20"/>
        </w:rPr>
        <w:t xml:space="preserve">. Přímé platby domácností (podrobněji viz kapitola 3.2) zahrnují </w:t>
      </w:r>
      <w:r w:rsidRPr="00240B6D">
        <w:rPr>
          <w:b/>
          <w:bCs/>
          <w:szCs w:val="20"/>
        </w:rPr>
        <w:t>přímé výdaje příjemců zdravotní péče (pacientů)</w:t>
      </w:r>
      <w:r w:rsidRPr="00240B6D">
        <w:rPr>
          <w:bCs/>
          <w:szCs w:val="20"/>
        </w:rPr>
        <w:t xml:space="preserve"> nebo jejich případnou </w:t>
      </w:r>
      <w:r w:rsidRPr="00240B6D">
        <w:rPr>
          <w:b/>
          <w:bCs/>
          <w:szCs w:val="20"/>
        </w:rPr>
        <w:t>spoluúčast</w:t>
      </w:r>
      <w:r w:rsidRPr="00240B6D">
        <w:rPr>
          <w:bCs/>
          <w:szCs w:val="20"/>
        </w:rPr>
        <w:t xml:space="preserve">. </w:t>
      </w:r>
    </w:p>
    <w:p w:rsidR="00240B6D" w:rsidRPr="00240B6D" w:rsidRDefault="00240B6D" w:rsidP="00240B6D">
      <w:pPr>
        <w:keepNext/>
        <w:spacing w:before="240" w:after="120" w:line="240" w:lineRule="auto"/>
        <w:jc w:val="both"/>
        <w:rPr>
          <w:b/>
          <w:bCs/>
          <w:sz w:val="18"/>
          <w:szCs w:val="18"/>
        </w:rPr>
      </w:pPr>
      <w:bookmarkStart w:id="4" w:name="OLE_LINK2"/>
      <w:r w:rsidRPr="00240B6D">
        <w:rPr>
          <w:b/>
          <w:bCs/>
          <w:sz w:val="18"/>
          <w:szCs w:val="18"/>
        </w:rPr>
        <w:t>Tab. 2.1 Výdaje na zdravotní péči v Česku podle zdrojů financování, 2010 - 2016 (mil. Kč)</w:t>
      </w:r>
    </w:p>
    <w:tbl>
      <w:tblPr>
        <w:tblW w:w="9654" w:type="dxa"/>
        <w:tblInd w:w="93" w:type="dxa"/>
        <w:tblLayout w:type="fixed"/>
        <w:tblLook w:val="04A0" w:firstRow="1" w:lastRow="0" w:firstColumn="1" w:lastColumn="0" w:noHBand="0" w:noVBand="1"/>
      </w:tblPr>
      <w:tblGrid>
        <w:gridCol w:w="2992"/>
        <w:gridCol w:w="801"/>
        <w:gridCol w:w="802"/>
        <w:gridCol w:w="802"/>
        <w:gridCol w:w="801"/>
        <w:gridCol w:w="802"/>
        <w:gridCol w:w="802"/>
        <w:gridCol w:w="802"/>
        <w:gridCol w:w="1050"/>
      </w:tblGrid>
      <w:tr w:rsidR="00240B6D" w:rsidRPr="00240B6D" w:rsidTr="009D7138">
        <w:trPr>
          <w:trHeight w:val="527"/>
        </w:trPr>
        <w:tc>
          <w:tcPr>
            <w:tcW w:w="299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sz w:val="16"/>
                <w:szCs w:val="16"/>
                <w:lang w:eastAsia="en-US"/>
              </w:rPr>
            </w:pPr>
            <w:r w:rsidRPr="00240B6D">
              <w:rPr>
                <w:rFonts w:cs="Arial"/>
                <w:sz w:val="16"/>
                <w:szCs w:val="16"/>
                <w:lang w:eastAsia="en-US"/>
              </w:rPr>
              <w:t>Ukazatel</w:t>
            </w:r>
          </w:p>
        </w:tc>
        <w:tc>
          <w:tcPr>
            <w:tcW w:w="801"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2010</w:t>
            </w:r>
          </w:p>
        </w:tc>
        <w:tc>
          <w:tcPr>
            <w:tcW w:w="80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2011</w:t>
            </w:r>
          </w:p>
        </w:tc>
        <w:tc>
          <w:tcPr>
            <w:tcW w:w="80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2012</w:t>
            </w:r>
          </w:p>
        </w:tc>
        <w:tc>
          <w:tcPr>
            <w:tcW w:w="801"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2013</w:t>
            </w:r>
          </w:p>
        </w:tc>
        <w:tc>
          <w:tcPr>
            <w:tcW w:w="80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2014</w:t>
            </w:r>
          </w:p>
        </w:tc>
        <w:tc>
          <w:tcPr>
            <w:tcW w:w="80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2015</w:t>
            </w:r>
          </w:p>
        </w:tc>
        <w:tc>
          <w:tcPr>
            <w:tcW w:w="80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2016</w:t>
            </w:r>
          </w:p>
        </w:tc>
        <w:tc>
          <w:tcPr>
            <w:tcW w:w="1050" w:type="dxa"/>
            <w:tcBorders>
              <w:top w:val="single" w:sz="8" w:space="0" w:color="auto"/>
              <w:left w:val="nil"/>
              <w:bottom w:val="single" w:sz="8" w:space="0" w:color="auto"/>
              <w:right w:val="nil"/>
            </w:tcBorders>
            <w:shd w:val="clear" w:color="auto" w:fill="auto"/>
            <w:vAlign w:val="center"/>
            <w:hideMark/>
          </w:tcPr>
          <w:p w:rsidR="00240B6D" w:rsidRPr="00240B6D" w:rsidRDefault="00240B6D" w:rsidP="00240B6D">
            <w:pPr>
              <w:spacing w:line="240" w:lineRule="auto"/>
              <w:jc w:val="center"/>
              <w:rPr>
                <w:rFonts w:cs="Arial"/>
                <w:b/>
                <w:bCs/>
                <w:i/>
                <w:iCs/>
                <w:color w:val="000000"/>
                <w:sz w:val="16"/>
                <w:szCs w:val="16"/>
                <w:lang w:eastAsia="en-US"/>
              </w:rPr>
            </w:pPr>
            <w:r w:rsidRPr="00240B6D">
              <w:rPr>
                <w:rFonts w:cs="Arial"/>
                <w:b/>
                <w:bCs/>
                <w:i/>
                <w:iCs/>
                <w:color w:val="000000"/>
                <w:sz w:val="16"/>
                <w:szCs w:val="16"/>
                <w:lang w:eastAsia="en-US"/>
              </w:rPr>
              <w:t>Index 2016/2015</w:t>
            </w:r>
          </w:p>
        </w:tc>
      </w:tr>
      <w:tr w:rsidR="00240B6D" w:rsidRPr="00240B6D" w:rsidTr="00370B28">
        <w:trPr>
          <w:trHeight w:val="300"/>
        </w:trPr>
        <w:tc>
          <w:tcPr>
            <w:tcW w:w="299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Veřejné zdroje celkem</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282 166</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284 847</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288 564</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292 053</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291 572</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293 359</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300 210</w:t>
            </w:r>
          </w:p>
        </w:tc>
        <w:tc>
          <w:tcPr>
            <w:tcW w:w="1050"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102,3</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A5222D" w:rsidP="009D7138">
            <w:pPr>
              <w:spacing w:line="240" w:lineRule="auto"/>
              <w:ind w:firstLineChars="119" w:firstLine="190"/>
              <w:rPr>
                <w:rFonts w:cs="Arial"/>
                <w:sz w:val="16"/>
                <w:szCs w:val="16"/>
                <w:lang w:eastAsia="en-US"/>
              </w:rPr>
            </w:pPr>
            <w:r>
              <w:rPr>
                <w:rFonts w:cs="Arial"/>
                <w:sz w:val="16"/>
                <w:szCs w:val="16"/>
                <w:lang w:eastAsia="en-US"/>
              </w:rPr>
              <w:t>v</w:t>
            </w:r>
            <w:r w:rsidR="00240B6D" w:rsidRPr="00240B6D">
              <w:rPr>
                <w:rFonts w:cs="Arial"/>
                <w:sz w:val="16"/>
                <w:szCs w:val="16"/>
                <w:lang w:eastAsia="en-US"/>
              </w:rPr>
              <w:t xml:space="preserve">eřejné zdravotní pojištění </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231 889</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234 337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237 927</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238 354</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234 602</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234 460</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237 700</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101,4</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A5222D" w:rsidP="009D7138">
            <w:pPr>
              <w:spacing w:line="240" w:lineRule="auto"/>
              <w:ind w:firstLineChars="119" w:firstLine="190"/>
              <w:rPr>
                <w:rFonts w:cs="Arial"/>
                <w:sz w:val="16"/>
                <w:szCs w:val="16"/>
                <w:lang w:eastAsia="en-US"/>
              </w:rPr>
            </w:pPr>
            <w:r>
              <w:rPr>
                <w:rFonts w:cs="Arial"/>
                <w:sz w:val="16"/>
                <w:szCs w:val="16"/>
                <w:lang w:eastAsia="en-US"/>
              </w:rPr>
              <w:t>s</w:t>
            </w:r>
            <w:r w:rsidR="00240B6D" w:rsidRPr="00240B6D">
              <w:rPr>
                <w:rFonts w:cs="Arial"/>
                <w:sz w:val="16"/>
                <w:szCs w:val="16"/>
                <w:lang w:eastAsia="en-US"/>
              </w:rPr>
              <w:t>tátní rozpočet</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45 187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44 582</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44 638</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47 499</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50 721</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52 622</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55 895</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106,2</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A5222D" w:rsidP="009D7138">
            <w:pPr>
              <w:spacing w:line="240" w:lineRule="auto"/>
              <w:ind w:firstLineChars="119" w:firstLine="190"/>
              <w:rPr>
                <w:rFonts w:cs="Arial"/>
                <w:sz w:val="16"/>
                <w:szCs w:val="16"/>
                <w:lang w:eastAsia="en-US"/>
              </w:rPr>
            </w:pPr>
            <w:r>
              <w:rPr>
                <w:rFonts w:cs="Arial"/>
                <w:sz w:val="16"/>
                <w:szCs w:val="16"/>
                <w:lang w:eastAsia="en-US"/>
              </w:rPr>
              <w:t>k</w:t>
            </w:r>
            <w:r w:rsidR="00240B6D" w:rsidRPr="00240B6D">
              <w:rPr>
                <w:rFonts w:cs="Arial"/>
                <w:sz w:val="16"/>
                <w:szCs w:val="16"/>
                <w:lang w:eastAsia="en-US"/>
              </w:rPr>
              <w:t>rajské a obecní rozpočty</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5 091</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5 928</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5 998</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6 200</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6 250</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6 277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6 614</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105,4</w:t>
            </w:r>
          </w:p>
        </w:tc>
      </w:tr>
      <w:tr w:rsidR="00240B6D" w:rsidRPr="00240B6D" w:rsidTr="00370B28">
        <w:trPr>
          <w:trHeight w:val="300"/>
        </w:trPr>
        <w:tc>
          <w:tcPr>
            <w:tcW w:w="299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Soukromé zdroje celkem</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9 217</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9 205</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9 110</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9 202</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10 668</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9 322</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10 222</w:t>
            </w:r>
          </w:p>
        </w:tc>
        <w:tc>
          <w:tcPr>
            <w:tcW w:w="1050"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109,7</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A5222D" w:rsidP="009D7138">
            <w:pPr>
              <w:spacing w:line="240" w:lineRule="auto"/>
              <w:ind w:firstLineChars="119" w:firstLine="190"/>
              <w:rPr>
                <w:rFonts w:cs="Arial"/>
                <w:sz w:val="16"/>
                <w:szCs w:val="16"/>
                <w:lang w:eastAsia="en-US"/>
              </w:rPr>
            </w:pPr>
            <w:r>
              <w:rPr>
                <w:rFonts w:cs="Arial"/>
                <w:sz w:val="16"/>
                <w:szCs w:val="16"/>
                <w:lang w:eastAsia="en-US"/>
              </w:rPr>
              <w:t>s</w:t>
            </w:r>
            <w:r w:rsidR="00240B6D" w:rsidRPr="00240B6D">
              <w:rPr>
                <w:rFonts w:cs="Arial"/>
                <w:sz w:val="16"/>
                <w:szCs w:val="16"/>
                <w:lang w:eastAsia="en-US"/>
              </w:rPr>
              <w:t xml:space="preserve">oukromé zdravotní pojištění </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427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477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520</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475</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537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478</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484</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101,3</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A5222D" w:rsidP="009D7138">
            <w:pPr>
              <w:spacing w:line="240" w:lineRule="auto"/>
              <w:ind w:firstLineChars="119" w:firstLine="190"/>
              <w:rPr>
                <w:rFonts w:cs="Arial"/>
                <w:sz w:val="16"/>
                <w:szCs w:val="16"/>
                <w:lang w:eastAsia="en-US"/>
              </w:rPr>
            </w:pPr>
            <w:r>
              <w:rPr>
                <w:rFonts w:cs="Arial"/>
                <w:sz w:val="16"/>
                <w:szCs w:val="16"/>
                <w:lang w:eastAsia="en-US"/>
              </w:rPr>
              <w:t>n</w:t>
            </w:r>
            <w:r w:rsidR="00240B6D" w:rsidRPr="00240B6D">
              <w:rPr>
                <w:rFonts w:cs="Arial"/>
                <w:sz w:val="16"/>
                <w:szCs w:val="16"/>
                <w:lang w:eastAsia="en-US"/>
              </w:rPr>
              <w:t>eziskové</w:t>
            </w:r>
            <w:r w:rsidR="009D7138">
              <w:rPr>
                <w:rFonts w:cs="Arial"/>
                <w:sz w:val="16"/>
                <w:szCs w:val="16"/>
                <w:lang w:eastAsia="en-US"/>
              </w:rPr>
              <w:t xml:space="preserve"> </w:t>
            </w:r>
            <w:r w:rsidR="00240B6D" w:rsidRPr="00240B6D">
              <w:rPr>
                <w:rFonts w:cs="Arial"/>
                <w:sz w:val="16"/>
                <w:szCs w:val="16"/>
                <w:lang w:eastAsia="en-US"/>
              </w:rPr>
              <w:t>instituce</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7 888</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7 820</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7 719</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7 726</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7 757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7 929</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8 479</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106,9</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9D7138" w:rsidP="009D7138">
            <w:pPr>
              <w:spacing w:line="240" w:lineRule="auto"/>
              <w:ind w:firstLineChars="119" w:firstLine="190"/>
              <w:rPr>
                <w:rFonts w:cs="Arial"/>
                <w:sz w:val="16"/>
                <w:szCs w:val="16"/>
                <w:lang w:eastAsia="en-US"/>
              </w:rPr>
            </w:pPr>
            <w:r>
              <w:rPr>
                <w:rFonts w:cs="Arial"/>
                <w:sz w:val="16"/>
                <w:szCs w:val="16"/>
                <w:lang w:eastAsia="en-US"/>
              </w:rPr>
              <w:t>p</w:t>
            </w:r>
            <w:r w:rsidR="00240B6D" w:rsidRPr="00240B6D">
              <w:rPr>
                <w:rFonts w:cs="Arial"/>
                <w:sz w:val="16"/>
                <w:szCs w:val="16"/>
                <w:lang w:eastAsia="en-US"/>
              </w:rPr>
              <w:t>odniky</w:t>
            </w:r>
            <w:r>
              <w:rPr>
                <w:rFonts w:cs="Arial"/>
                <w:sz w:val="16"/>
                <w:szCs w:val="16"/>
                <w:lang w:eastAsia="en-US"/>
              </w:rPr>
              <w:t xml:space="preserve"> - závodní </w:t>
            </w:r>
            <w:r w:rsidR="00240B6D" w:rsidRPr="00240B6D">
              <w:rPr>
                <w:rFonts w:cs="Arial"/>
                <w:sz w:val="16"/>
                <w:szCs w:val="16"/>
                <w:lang w:eastAsia="en-US"/>
              </w:rPr>
              <w:t>preventivní péče</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901</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908</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871</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1 001</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2 374</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915</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1 259</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137,6</w:t>
            </w:r>
          </w:p>
        </w:tc>
      </w:tr>
      <w:tr w:rsidR="00240B6D" w:rsidRPr="00240B6D" w:rsidTr="00370B28">
        <w:trPr>
          <w:trHeight w:val="300"/>
        </w:trPr>
        <w:tc>
          <w:tcPr>
            <w:tcW w:w="299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Přímé platby domácností</w:t>
            </w:r>
            <w:r w:rsidR="009F4437">
              <w:rPr>
                <w:rFonts w:cs="Arial"/>
                <w:b/>
                <w:bCs/>
                <w:sz w:val="18"/>
                <w:szCs w:val="16"/>
                <w:vertAlign w:val="superscript"/>
                <w:lang w:eastAsia="en-US"/>
              </w:rPr>
              <w:t>1</w:t>
            </w:r>
            <w:r w:rsidRPr="00240B6D">
              <w:rPr>
                <w:rFonts w:cs="Arial"/>
                <w:b/>
                <w:bCs/>
                <w:sz w:val="18"/>
                <w:szCs w:val="16"/>
                <w:vertAlign w:val="superscript"/>
                <w:lang w:eastAsia="en-US"/>
              </w:rPr>
              <w:t>)</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42 705</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44 028</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44 239</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43 465</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46 490</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49 358</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51 215</w:t>
            </w:r>
          </w:p>
        </w:tc>
        <w:tc>
          <w:tcPr>
            <w:tcW w:w="1050"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103,8</w:t>
            </w:r>
          </w:p>
        </w:tc>
      </w:tr>
      <w:tr w:rsidR="00240B6D" w:rsidRPr="00240B6D" w:rsidTr="00370B28">
        <w:trPr>
          <w:trHeight w:val="300"/>
        </w:trPr>
        <w:tc>
          <w:tcPr>
            <w:tcW w:w="299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9D7138" w:rsidP="009D7138">
            <w:pPr>
              <w:spacing w:line="240" w:lineRule="auto"/>
              <w:rPr>
                <w:rFonts w:cs="Arial"/>
                <w:b/>
                <w:bCs/>
                <w:sz w:val="16"/>
                <w:szCs w:val="16"/>
                <w:lang w:eastAsia="en-US"/>
              </w:rPr>
            </w:pPr>
            <w:r>
              <w:rPr>
                <w:rFonts w:cs="Arial"/>
                <w:b/>
                <w:bCs/>
                <w:sz w:val="16"/>
                <w:szCs w:val="16"/>
                <w:lang w:eastAsia="en-US"/>
              </w:rPr>
              <w:t>Výdaje na z</w:t>
            </w:r>
            <w:r w:rsidR="00240B6D" w:rsidRPr="00240B6D">
              <w:rPr>
                <w:rFonts w:cs="Arial"/>
                <w:b/>
                <w:bCs/>
                <w:sz w:val="16"/>
                <w:szCs w:val="16"/>
                <w:lang w:eastAsia="en-US"/>
              </w:rPr>
              <w:t>dravotní péč</w:t>
            </w:r>
            <w:r>
              <w:rPr>
                <w:rFonts w:cs="Arial"/>
                <w:b/>
                <w:bCs/>
                <w:sz w:val="16"/>
                <w:szCs w:val="16"/>
                <w:lang w:eastAsia="en-US"/>
              </w:rPr>
              <w:t>i</w:t>
            </w:r>
            <w:r w:rsidR="00240B6D" w:rsidRPr="00240B6D">
              <w:rPr>
                <w:rFonts w:cs="Arial"/>
                <w:b/>
                <w:bCs/>
                <w:sz w:val="16"/>
                <w:szCs w:val="16"/>
                <w:lang w:eastAsia="en-US"/>
              </w:rPr>
              <w:t xml:space="preserve"> celkem</w:t>
            </w:r>
          </w:p>
        </w:tc>
        <w:tc>
          <w:tcPr>
            <w:tcW w:w="801"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334 088</w:t>
            </w:r>
          </w:p>
        </w:tc>
        <w:tc>
          <w:tcPr>
            <w:tcW w:w="80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338 080</w:t>
            </w:r>
          </w:p>
        </w:tc>
        <w:tc>
          <w:tcPr>
            <w:tcW w:w="80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341 913</w:t>
            </w:r>
          </w:p>
        </w:tc>
        <w:tc>
          <w:tcPr>
            <w:tcW w:w="801"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344 720</w:t>
            </w:r>
          </w:p>
        </w:tc>
        <w:tc>
          <w:tcPr>
            <w:tcW w:w="80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348 730</w:t>
            </w:r>
          </w:p>
        </w:tc>
        <w:tc>
          <w:tcPr>
            <w:tcW w:w="80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352 039</w:t>
            </w:r>
          </w:p>
        </w:tc>
        <w:tc>
          <w:tcPr>
            <w:tcW w:w="80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361 647</w:t>
            </w:r>
          </w:p>
        </w:tc>
        <w:tc>
          <w:tcPr>
            <w:tcW w:w="1050" w:type="dxa"/>
            <w:tcBorders>
              <w:top w:val="single" w:sz="8" w:space="0" w:color="auto"/>
              <w:left w:val="nil"/>
              <w:bottom w:val="single" w:sz="8" w:space="0" w:color="auto"/>
              <w:right w:val="nil"/>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102,7</w:t>
            </w:r>
          </w:p>
        </w:tc>
      </w:tr>
    </w:tbl>
    <w:p w:rsidR="00240B6D" w:rsidRPr="00240B6D" w:rsidRDefault="009F4437" w:rsidP="00240B6D">
      <w:pPr>
        <w:keepNext/>
        <w:spacing w:before="60" w:line="240" w:lineRule="auto"/>
        <w:jc w:val="both"/>
        <w:rPr>
          <w:sz w:val="16"/>
        </w:rPr>
      </w:pPr>
      <w:r>
        <w:rPr>
          <w:sz w:val="16"/>
        </w:rPr>
        <w:t>1</w:t>
      </w:r>
      <w:r w:rsidR="00240B6D" w:rsidRPr="00240B6D">
        <w:rPr>
          <w:sz w:val="16"/>
        </w:rPr>
        <w:t>) údaje za rok 2016 jsou předběžné</w:t>
      </w:r>
    </w:p>
    <w:bookmarkEnd w:id="4"/>
    <w:p w:rsidR="00240B6D" w:rsidRPr="00240B6D" w:rsidRDefault="00240B6D" w:rsidP="00240B6D">
      <w:pPr>
        <w:spacing w:before="120" w:line="240" w:lineRule="auto"/>
        <w:jc w:val="right"/>
        <w:rPr>
          <w:b/>
          <w:bCs/>
          <w:i/>
          <w:sz w:val="16"/>
          <w:szCs w:val="16"/>
        </w:rPr>
      </w:pPr>
      <w:r w:rsidRPr="00240B6D">
        <w:rPr>
          <w:b/>
          <w:bCs/>
          <w:i/>
          <w:sz w:val="16"/>
          <w:szCs w:val="16"/>
        </w:rPr>
        <w:t xml:space="preserve">Zdroj: ČSÚ 2018, Zdravotnické účty ČR 2010 - 2016 </w:t>
      </w:r>
    </w:p>
    <w:p w:rsidR="00240B6D" w:rsidRPr="009D7138" w:rsidRDefault="00240B6D" w:rsidP="00240B6D">
      <w:pPr>
        <w:spacing w:before="120"/>
        <w:jc w:val="both"/>
        <w:rPr>
          <w:bCs/>
          <w:i/>
          <w:szCs w:val="20"/>
        </w:rPr>
      </w:pPr>
      <w:r w:rsidRPr="00240B6D">
        <w:rPr>
          <w:bCs/>
          <w:szCs w:val="20"/>
        </w:rPr>
        <w:lastRenderedPageBreak/>
        <w:t xml:space="preserve">V podrobnějším členění v rámci výše uvedených konečných zdrojů financování měly v letech 2010 až 2016 největší podíl na celkových výdajích na zdravotní péči </w:t>
      </w:r>
      <w:r w:rsidRPr="009D7138">
        <w:rPr>
          <w:b/>
          <w:bCs/>
          <w:szCs w:val="20"/>
        </w:rPr>
        <w:t>platby hrazené zdravotními pojišťovnami z veřejného pojištění</w:t>
      </w:r>
      <w:r w:rsidRPr="00240B6D">
        <w:rPr>
          <w:bCs/>
          <w:szCs w:val="20"/>
        </w:rPr>
        <w:t xml:space="preserve"> (237,7 mld. Kč; 65,7 % podíl v roce 2016), následované </w:t>
      </w:r>
      <w:r w:rsidRPr="009D7138">
        <w:rPr>
          <w:b/>
          <w:bCs/>
          <w:szCs w:val="20"/>
        </w:rPr>
        <w:t>státním rozpočtem</w:t>
      </w:r>
      <w:r w:rsidRPr="00240B6D">
        <w:rPr>
          <w:bCs/>
          <w:szCs w:val="20"/>
        </w:rPr>
        <w:t xml:space="preserve"> (55,9 mld. Kč; 15,5 %) a </w:t>
      </w:r>
      <w:r w:rsidRPr="009D7138">
        <w:rPr>
          <w:b/>
          <w:bCs/>
          <w:szCs w:val="20"/>
        </w:rPr>
        <w:t xml:space="preserve">domácnostmi </w:t>
      </w:r>
      <w:r w:rsidRPr="00240B6D">
        <w:rPr>
          <w:bCs/>
          <w:szCs w:val="20"/>
        </w:rPr>
        <w:t>(51,2 mld. Kč; 14,</w:t>
      </w:r>
      <w:r w:rsidR="000F6E14">
        <w:rPr>
          <w:bCs/>
          <w:szCs w:val="20"/>
        </w:rPr>
        <w:t>2</w:t>
      </w:r>
      <w:r w:rsidRPr="00240B6D">
        <w:rPr>
          <w:bCs/>
          <w:szCs w:val="20"/>
        </w:rPr>
        <w:t xml:space="preserve"> %). </w:t>
      </w:r>
      <w:r w:rsidRPr="009D7138">
        <w:rPr>
          <w:bCs/>
          <w:i/>
          <w:szCs w:val="20"/>
        </w:rPr>
        <w:t>Podrobnější údaje za posledních pět let přináší následující graf 2.2.</w:t>
      </w:r>
    </w:p>
    <w:p w:rsidR="00240B6D" w:rsidRPr="00240B6D" w:rsidRDefault="00240B6D" w:rsidP="00240B6D">
      <w:pPr>
        <w:keepNext/>
        <w:spacing w:before="240" w:after="120" w:line="240" w:lineRule="auto"/>
        <w:jc w:val="both"/>
        <w:rPr>
          <w:b/>
          <w:bCs/>
          <w:sz w:val="18"/>
          <w:szCs w:val="18"/>
        </w:rPr>
      </w:pPr>
      <w:r w:rsidRPr="00240B6D">
        <w:rPr>
          <w:b/>
          <w:bCs/>
          <w:sz w:val="18"/>
          <w:szCs w:val="18"/>
        </w:rPr>
        <w:t>Graf č: 2.2 Výdaje na zdravotní péči v Česku podle hlavních zdrojů financování, 2012 – 2016 (mld. Kč; %)</w:t>
      </w:r>
    </w:p>
    <w:p w:rsidR="00240B6D" w:rsidRPr="00240B6D" w:rsidRDefault="00240B6D" w:rsidP="00240B6D">
      <w:pPr>
        <w:keepNext/>
        <w:tabs>
          <w:tab w:val="left" w:pos="142"/>
          <w:tab w:val="left" w:pos="5812"/>
        </w:tabs>
        <w:jc w:val="both"/>
        <w:rPr>
          <w:b/>
          <w:i/>
          <w:sz w:val="18"/>
        </w:rPr>
      </w:pPr>
      <w:r w:rsidRPr="00240B6D">
        <w:rPr>
          <w:b/>
          <w:i/>
          <w:sz w:val="18"/>
        </w:rPr>
        <w:tab/>
        <w:t xml:space="preserve">a) v mld. Kč </w:t>
      </w:r>
      <w:r w:rsidRPr="00240B6D">
        <w:rPr>
          <w:b/>
          <w:i/>
          <w:sz w:val="18"/>
        </w:rPr>
        <w:tab/>
        <w:t>b) struktura v %</w:t>
      </w:r>
    </w:p>
    <w:p w:rsidR="00240B6D" w:rsidRPr="00240B6D" w:rsidRDefault="009D2120" w:rsidP="009D2120">
      <w:pPr>
        <w:keepNext/>
        <w:jc w:val="both"/>
      </w:pPr>
      <w:r>
        <w:rPr>
          <w:noProof/>
        </w:rPr>
        <w:drawing>
          <wp:inline distT="0" distB="0" distL="0" distR="0" wp14:anchorId="6449A8FD" wp14:editId="01F276AB">
            <wp:extent cx="3600000" cy="25200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40B6D" w:rsidRPr="00240B6D">
        <w:rPr>
          <w:noProof/>
        </w:rPr>
        <w:drawing>
          <wp:inline distT="0" distB="0" distL="0" distR="0" wp14:anchorId="6CA8AA17" wp14:editId="1D9226EC">
            <wp:extent cx="2484000" cy="25200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0B6D" w:rsidRPr="00240B6D" w:rsidRDefault="000F6E14" w:rsidP="00240B6D">
      <w:pPr>
        <w:keepNext/>
        <w:spacing w:before="60" w:line="240" w:lineRule="auto"/>
        <w:jc w:val="both"/>
        <w:rPr>
          <w:sz w:val="16"/>
        </w:rPr>
      </w:pPr>
      <w:r>
        <w:rPr>
          <w:sz w:val="16"/>
        </w:rPr>
        <w:t>(</w:t>
      </w:r>
      <w:r w:rsidR="00240B6D" w:rsidRPr="00240B6D">
        <w:rPr>
          <w:sz w:val="16"/>
        </w:rPr>
        <w:t xml:space="preserve">1) zahrnují přímé výdaje na zdravotní péči ze státního rozpočtu ČR a z místních rozpočtů </w:t>
      </w:r>
    </w:p>
    <w:p w:rsidR="00240B6D" w:rsidRPr="00240B6D" w:rsidRDefault="000F6E14" w:rsidP="00240B6D">
      <w:pPr>
        <w:keepNext/>
        <w:spacing w:before="60" w:line="240" w:lineRule="auto"/>
        <w:jc w:val="both"/>
        <w:rPr>
          <w:sz w:val="16"/>
        </w:rPr>
      </w:pPr>
      <w:r>
        <w:rPr>
          <w:sz w:val="16"/>
        </w:rPr>
        <w:t>(</w:t>
      </w:r>
      <w:r w:rsidR="00240B6D" w:rsidRPr="00240B6D">
        <w:rPr>
          <w:sz w:val="16"/>
        </w:rPr>
        <w:t xml:space="preserve">2) zahrnují </w:t>
      </w:r>
      <w:r w:rsidR="00240B6D" w:rsidRPr="00240B6D">
        <w:rPr>
          <w:bCs/>
          <w:sz w:val="16"/>
          <w:szCs w:val="16"/>
        </w:rPr>
        <w:t>dobrovolné platby na zdravotní péči neziskových institucí, soukromé zdravotní pojištění a podnikov</w:t>
      </w:r>
      <w:r w:rsidR="009D2120">
        <w:rPr>
          <w:bCs/>
          <w:sz w:val="16"/>
          <w:szCs w:val="16"/>
        </w:rPr>
        <w:t>ou</w:t>
      </w:r>
      <w:r w:rsidR="00240B6D" w:rsidRPr="00240B6D">
        <w:rPr>
          <w:bCs/>
          <w:sz w:val="16"/>
          <w:szCs w:val="16"/>
        </w:rPr>
        <w:t xml:space="preserve"> preventivní péč</w:t>
      </w:r>
      <w:r w:rsidR="009D2120">
        <w:rPr>
          <w:bCs/>
          <w:sz w:val="16"/>
          <w:szCs w:val="16"/>
        </w:rPr>
        <w:t>i</w:t>
      </w:r>
    </w:p>
    <w:p w:rsidR="00240B6D" w:rsidRPr="00240B6D" w:rsidRDefault="00240B6D" w:rsidP="00240B6D">
      <w:pPr>
        <w:spacing w:before="120" w:line="240" w:lineRule="auto"/>
        <w:jc w:val="right"/>
        <w:rPr>
          <w:b/>
          <w:bCs/>
          <w:i/>
          <w:sz w:val="16"/>
          <w:szCs w:val="16"/>
        </w:rPr>
      </w:pPr>
      <w:r w:rsidRPr="00240B6D">
        <w:rPr>
          <w:b/>
          <w:bCs/>
          <w:i/>
          <w:sz w:val="16"/>
          <w:szCs w:val="16"/>
        </w:rPr>
        <w:t xml:space="preserve">Zdroj: ČSÚ 2018, Zdravotnické účty ČR 2010 - 2016 </w:t>
      </w:r>
    </w:p>
    <w:p w:rsidR="00240B6D" w:rsidRPr="00240B6D" w:rsidRDefault="00240B6D" w:rsidP="00240B6D">
      <w:pPr>
        <w:spacing w:before="240" w:after="120"/>
        <w:rPr>
          <w:rFonts w:eastAsia="MS Gothic"/>
          <w:b/>
          <w:i/>
        </w:rPr>
      </w:pPr>
      <w:r w:rsidRPr="00240B6D">
        <w:rPr>
          <w:rFonts w:eastAsia="MS Gothic"/>
          <w:b/>
          <w:i/>
        </w:rPr>
        <w:t>Podíl veřejných zdrojů na financování zdravotní péče je v Česku čtvrtý nejvyšší ze zemí EU</w:t>
      </w:r>
    </w:p>
    <w:p w:rsidR="00EF5416" w:rsidRDefault="00240B6D" w:rsidP="00240B6D">
      <w:pPr>
        <w:spacing w:before="120"/>
        <w:jc w:val="both"/>
        <w:rPr>
          <w:bCs/>
          <w:szCs w:val="20"/>
        </w:rPr>
      </w:pPr>
      <w:r w:rsidRPr="002E7C59">
        <w:rPr>
          <w:bCs/>
          <w:szCs w:val="20"/>
        </w:rPr>
        <w:t>České zdravotnictví je dlouhodobě financováno primárně z veřejných zdrojů</w:t>
      </w:r>
      <w:r w:rsidR="00D76ECF" w:rsidRPr="002E7C59">
        <w:rPr>
          <w:bCs/>
          <w:szCs w:val="20"/>
        </w:rPr>
        <w:t>, a to především z veřejného zdravotního pojištění. V</w:t>
      </w:r>
      <w:r w:rsidRPr="002E7C59">
        <w:rPr>
          <w:bCs/>
          <w:szCs w:val="20"/>
        </w:rPr>
        <w:t xml:space="preserve"> sledovaném období let 2010 až 2016 </w:t>
      </w:r>
      <w:r w:rsidR="00D76ECF" w:rsidRPr="002E7C59">
        <w:rPr>
          <w:bCs/>
          <w:szCs w:val="20"/>
        </w:rPr>
        <w:t xml:space="preserve">se </w:t>
      </w:r>
      <w:r w:rsidR="00D76ECF" w:rsidRPr="002E7C59">
        <w:rPr>
          <w:b/>
          <w:bCs/>
          <w:szCs w:val="20"/>
        </w:rPr>
        <w:t>veřejné zdroje</w:t>
      </w:r>
      <w:r w:rsidR="00D76ECF" w:rsidRPr="002E7C59">
        <w:rPr>
          <w:bCs/>
          <w:szCs w:val="20"/>
        </w:rPr>
        <w:t xml:space="preserve"> </w:t>
      </w:r>
      <w:r w:rsidRPr="002E7C59">
        <w:rPr>
          <w:bCs/>
          <w:szCs w:val="20"/>
        </w:rPr>
        <w:t>podílely z 83 až 85 % na financování na zdravotní péči v</w:t>
      </w:r>
      <w:r w:rsidR="00D76ECF" w:rsidRPr="002E7C59">
        <w:rPr>
          <w:bCs/>
          <w:szCs w:val="20"/>
        </w:rPr>
        <w:t> </w:t>
      </w:r>
      <w:r w:rsidRPr="002E7C59">
        <w:rPr>
          <w:bCs/>
          <w:szCs w:val="20"/>
        </w:rPr>
        <w:t>ČR</w:t>
      </w:r>
      <w:r w:rsidR="00D76ECF" w:rsidRPr="002E7C59">
        <w:rPr>
          <w:bCs/>
          <w:szCs w:val="20"/>
        </w:rPr>
        <w:t>.</w:t>
      </w:r>
      <w:r w:rsidRPr="002E7C59">
        <w:rPr>
          <w:bCs/>
          <w:szCs w:val="20"/>
        </w:rPr>
        <w:t xml:space="preserve"> Tento podíl </w:t>
      </w:r>
      <w:r w:rsidR="005E316C" w:rsidRPr="002E7C59">
        <w:rPr>
          <w:bCs/>
          <w:szCs w:val="20"/>
        </w:rPr>
        <w:t>byl v roce 2015</w:t>
      </w:r>
      <w:r w:rsidRPr="002E7C59">
        <w:rPr>
          <w:bCs/>
          <w:szCs w:val="20"/>
        </w:rPr>
        <w:t xml:space="preserve"> čtvrtý nejvyšší v rámci zemí EU. Obdobně vysoký podíl veřejných zdrojů na financování zdravotní péče jako v České republice je i v Dánsku</w:t>
      </w:r>
      <w:r w:rsidR="004236AB" w:rsidRPr="002E7C59">
        <w:rPr>
          <w:bCs/>
          <w:szCs w:val="20"/>
        </w:rPr>
        <w:t>,</w:t>
      </w:r>
      <w:r w:rsidRPr="002E7C59">
        <w:rPr>
          <w:bCs/>
          <w:szCs w:val="20"/>
        </w:rPr>
        <w:t xml:space="preserve"> Švédsku</w:t>
      </w:r>
      <w:r w:rsidR="004236AB" w:rsidRPr="002E7C59">
        <w:rPr>
          <w:bCs/>
          <w:szCs w:val="20"/>
        </w:rPr>
        <w:t xml:space="preserve"> nebo v sousedním Německu nebo na Slovensku</w:t>
      </w:r>
      <w:r w:rsidR="00CC2E9C" w:rsidRPr="002E7C59">
        <w:rPr>
          <w:bCs/>
          <w:szCs w:val="20"/>
        </w:rPr>
        <w:t>.</w:t>
      </w:r>
      <w:r w:rsidRPr="002E7C59">
        <w:rPr>
          <w:bCs/>
          <w:szCs w:val="20"/>
        </w:rPr>
        <w:t xml:space="preserve"> Naopak v</w:t>
      </w:r>
      <w:r w:rsidR="004236AB" w:rsidRPr="002E7C59">
        <w:rPr>
          <w:bCs/>
          <w:szCs w:val="20"/>
        </w:rPr>
        <w:t> např. v </w:t>
      </w:r>
      <w:r w:rsidRPr="002E7C59">
        <w:rPr>
          <w:bCs/>
          <w:szCs w:val="20"/>
        </w:rPr>
        <w:t>Polsku</w:t>
      </w:r>
      <w:r w:rsidR="004236AB" w:rsidRPr="002E7C59">
        <w:rPr>
          <w:bCs/>
          <w:szCs w:val="20"/>
        </w:rPr>
        <w:t xml:space="preserve"> nebo ve </w:t>
      </w:r>
      <w:r w:rsidRPr="002E7C59">
        <w:rPr>
          <w:bCs/>
          <w:szCs w:val="20"/>
        </w:rPr>
        <w:t>Slov</w:t>
      </w:r>
      <w:r w:rsidR="004236AB" w:rsidRPr="002E7C59">
        <w:rPr>
          <w:bCs/>
          <w:szCs w:val="20"/>
        </w:rPr>
        <w:t>i</w:t>
      </w:r>
      <w:r w:rsidRPr="002E7C59">
        <w:rPr>
          <w:bCs/>
          <w:szCs w:val="20"/>
        </w:rPr>
        <w:t>nsku se veřejné zdroje podílely na financování zdravotní péče přibližně ze 70 % a v Maďarsku ze dvou třetin.</w:t>
      </w:r>
    </w:p>
    <w:p w:rsidR="00240B6D" w:rsidRPr="005E316C" w:rsidRDefault="00EF5416" w:rsidP="00240B6D">
      <w:pPr>
        <w:spacing w:before="120"/>
        <w:jc w:val="both"/>
        <w:rPr>
          <w:bCs/>
          <w:i/>
          <w:szCs w:val="20"/>
        </w:rPr>
      </w:pPr>
      <w:r>
        <w:rPr>
          <w:bCs/>
          <w:szCs w:val="20"/>
        </w:rPr>
        <w:t>I když se j</w:t>
      </w:r>
      <w:r w:rsidRPr="00EF5416">
        <w:rPr>
          <w:bCs/>
          <w:szCs w:val="20"/>
        </w:rPr>
        <w:t xml:space="preserve">ednotlivé státy </w:t>
      </w:r>
      <w:r>
        <w:rPr>
          <w:bCs/>
          <w:szCs w:val="20"/>
        </w:rPr>
        <w:t xml:space="preserve">EU a OECD </w:t>
      </w:r>
      <w:r w:rsidRPr="00EF5416">
        <w:rPr>
          <w:bCs/>
          <w:szCs w:val="20"/>
        </w:rPr>
        <w:t xml:space="preserve">výrazně odlišují ve způsobu financování zdravotní péče, obecně lze říci, že ve všech sledovaných zemích převládá financování z veřejných zdrojů nad soukromými. </w:t>
      </w:r>
      <w:r>
        <w:rPr>
          <w:bCs/>
          <w:szCs w:val="20"/>
        </w:rPr>
        <w:t>Výjimkou jsou pouze Spojené státy</w:t>
      </w:r>
      <w:r w:rsidRPr="00EF5416">
        <w:rPr>
          <w:bCs/>
          <w:szCs w:val="20"/>
        </w:rPr>
        <w:t xml:space="preserve"> spolu s</w:t>
      </w:r>
      <w:r>
        <w:rPr>
          <w:bCs/>
          <w:szCs w:val="20"/>
        </w:rPr>
        <w:t> </w:t>
      </w:r>
      <w:r w:rsidRPr="00EF5416">
        <w:rPr>
          <w:bCs/>
          <w:szCs w:val="20"/>
        </w:rPr>
        <w:t>Mexikem</w:t>
      </w:r>
      <w:r>
        <w:rPr>
          <w:bCs/>
          <w:szCs w:val="20"/>
        </w:rPr>
        <w:t xml:space="preserve">, </w:t>
      </w:r>
      <w:r w:rsidRPr="00EF5416">
        <w:rPr>
          <w:bCs/>
          <w:szCs w:val="20"/>
        </w:rPr>
        <w:t xml:space="preserve">kde jsou výdaje z veřejných a soukromých zdrojů zhruba rovnoměrně rozděleny. </w:t>
      </w:r>
    </w:p>
    <w:p w:rsidR="00C6634F" w:rsidRPr="00240B6D" w:rsidRDefault="00C6634F" w:rsidP="00C6634F">
      <w:pPr>
        <w:keepNext/>
        <w:spacing w:before="120"/>
        <w:jc w:val="both"/>
        <w:rPr>
          <w:bCs/>
          <w:szCs w:val="20"/>
        </w:rPr>
      </w:pPr>
      <w:r w:rsidRPr="00240B6D">
        <w:rPr>
          <w:bCs/>
          <w:szCs w:val="20"/>
        </w:rPr>
        <w:t xml:space="preserve">V roce 2016 šlo z veřejných zdrojů na zdravotní péči v Česku </w:t>
      </w:r>
      <w:r w:rsidRPr="00C6634F">
        <w:rPr>
          <w:b/>
          <w:bCs/>
          <w:szCs w:val="20"/>
        </w:rPr>
        <w:t>celkem</w:t>
      </w:r>
      <w:r w:rsidRPr="00240B6D">
        <w:rPr>
          <w:bCs/>
          <w:szCs w:val="20"/>
        </w:rPr>
        <w:t xml:space="preserve"> 300,2 mld. Kč. Od roku 2010 včetně to bylo dohromady 2 033 miliard korun, z toho v posledních třech letech (2014 až 2016) 885 miliard. </w:t>
      </w:r>
      <w:r w:rsidRPr="003452B6">
        <w:rPr>
          <w:b/>
          <w:bCs/>
          <w:szCs w:val="20"/>
        </w:rPr>
        <w:t>Na jednoho obyvatele</w:t>
      </w:r>
      <w:r w:rsidRPr="00240B6D">
        <w:rPr>
          <w:bCs/>
          <w:szCs w:val="20"/>
        </w:rPr>
        <w:t xml:space="preserve"> šlo </w:t>
      </w:r>
      <w:r>
        <w:rPr>
          <w:bCs/>
          <w:szCs w:val="20"/>
        </w:rPr>
        <w:t xml:space="preserve">z veřejných zdrojů </w:t>
      </w:r>
      <w:r w:rsidRPr="00240B6D">
        <w:rPr>
          <w:bCs/>
          <w:szCs w:val="20"/>
        </w:rPr>
        <w:t>na zdravotní péči v</w:t>
      </w:r>
      <w:r>
        <w:rPr>
          <w:bCs/>
          <w:szCs w:val="20"/>
        </w:rPr>
        <w:t xml:space="preserve"> letech </w:t>
      </w:r>
      <w:r w:rsidRPr="00240B6D">
        <w:rPr>
          <w:bCs/>
          <w:szCs w:val="20"/>
        </w:rPr>
        <w:t xml:space="preserve">2010 až 2016 v průměru 27,6 tis. Kč ročně </w:t>
      </w:r>
      <w:r>
        <w:rPr>
          <w:bCs/>
          <w:szCs w:val="20"/>
        </w:rPr>
        <w:t xml:space="preserve">- </w:t>
      </w:r>
      <w:r w:rsidRPr="00240B6D">
        <w:rPr>
          <w:bCs/>
          <w:szCs w:val="20"/>
        </w:rPr>
        <w:t>v roce 2016 to bylo 28,4 tis.</w:t>
      </w:r>
      <w:r>
        <w:rPr>
          <w:bCs/>
          <w:szCs w:val="20"/>
        </w:rPr>
        <w:t xml:space="preserve"> Kč.</w:t>
      </w:r>
      <w:r w:rsidRPr="00240B6D">
        <w:rPr>
          <w:bCs/>
          <w:szCs w:val="20"/>
        </w:rPr>
        <w:t xml:space="preserve"> Ve vztahu k celkovým výdajům veřejných rozpočtu tvořily v roce 2016 výdaje na zdravotní péči v pojetí SHA 16 %.</w:t>
      </w:r>
    </w:p>
    <w:p w:rsidR="00BF26C4" w:rsidRDefault="00BF26C4" w:rsidP="00BF26C4">
      <w:pPr>
        <w:spacing w:before="120"/>
        <w:jc w:val="both"/>
        <w:rPr>
          <w:bCs/>
          <w:szCs w:val="20"/>
        </w:rPr>
      </w:pPr>
      <w:r w:rsidRPr="00240B6D">
        <w:rPr>
          <w:bCs/>
          <w:szCs w:val="20"/>
        </w:rPr>
        <w:t xml:space="preserve">V rámci veřejného financování zdravotní péče u nás jednoznačně převládá jeho financování prostřednictvím </w:t>
      </w:r>
      <w:r w:rsidRPr="00D76ECF">
        <w:rPr>
          <w:b/>
          <w:bCs/>
          <w:szCs w:val="20"/>
        </w:rPr>
        <w:t>plateb z veřejného zdravotního pojištění</w:t>
      </w:r>
      <w:r w:rsidRPr="00240B6D">
        <w:rPr>
          <w:bCs/>
          <w:szCs w:val="20"/>
        </w:rPr>
        <w:t>. Veřejné zdravotní pojišťovny se v roce 2016 podílely ze 79,2 % (237,7 mld. Kč) na financování zdravotní péče z veřejných zdrojů</w:t>
      </w:r>
      <w:r>
        <w:rPr>
          <w:bCs/>
          <w:szCs w:val="20"/>
        </w:rPr>
        <w:t>. V</w:t>
      </w:r>
      <w:r w:rsidRPr="00240B6D">
        <w:rPr>
          <w:bCs/>
          <w:szCs w:val="20"/>
        </w:rPr>
        <w:t> posledních letech podíl tohoto zdroje však klesá</w:t>
      </w:r>
      <w:r>
        <w:rPr>
          <w:bCs/>
          <w:szCs w:val="20"/>
        </w:rPr>
        <w:t xml:space="preserve">. </w:t>
      </w:r>
    </w:p>
    <w:p w:rsidR="00BF26C4" w:rsidRPr="00240B6D" w:rsidRDefault="00BF26C4" w:rsidP="00BF26C4">
      <w:pPr>
        <w:spacing w:before="120"/>
        <w:jc w:val="both"/>
        <w:rPr>
          <w:bCs/>
          <w:szCs w:val="17"/>
        </w:rPr>
      </w:pPr>
      <w:r w:rsidRPr="00240B6D">
        <w:rPr>
          <w:bCs/>
          <w:szCs w:val="20"/>
        </w:rPr>
        <w:t xml:space="preserve">Naopak od roku 2012 vzrostl podíl </w:t>
      </w:r>
      <w:r w:rsidRPr="00D76ECF">
        <w:rPr>
          <w:b/>
          <w:bCs/>
          <w:szCs w:val="20"/>
        </w:rPr>
        <w:t>státního rozpočtu</w:t>
      </w:r>
      <w:r w:rsidRPr="00240B6D">
        <w:rPr>
          <w:bCs/>
          <w:szCs w:val="20"/>
        </w:rPr>
        <w:t xml:space="preserve"> na financování zdravotní péče z veřejných zdrojů z 15,5 % (44,6 mld. Kč) na 18,6 % (55,9 mld. Kč) v roce 2016. </w:t>
      </w:r>
      <w:r w:rsidRPr="00D76ECF">
        <w:rPr>
          <w:b/>
          <w:bCs/>
          <w:szCs w:val="20"/>
        </w:rPr>
        <w:t>Místní (krajské a obecní) rozpočty</w:t>
      </w:r>
      <w:r w:rsidRPr="00240B6D">
        <w:rPr>
          <w:bCs/>
          <w:szCs w:val="20"/>
        </w:rPr>
        <w:t xml:space="preserve"> jsou v Česku pouze doplňkovým zdrojem financování zdravotní péče. </w:t>
      </w:r>
      <w:r w:rsidRPr="00240B6D">
        <w:rPr>
          <w:bCs/>
          <w:szCs w:val="17"/>
        </w:rPr>
        <w:t xml:space="preserve">Z 6,6 mld. Kč výdajů na zdravotní péči </w:t>
      </w:r>
      <w:r w:rsidRPr="00240B6D">
        <w:rPr>
          <w:bCs/>
          <w:szCs w:val="17"/>
        </w:rPr>
        <w:lastRenderedPageBreak/>
        <w:t>v roce 2016, která byla hrazena z krajských a obecních rozpočtů, polovina (3,3 mld. Kč) připadla na dopravu pacientů – záchrannou službu.</w:t>
      </w:r>
    </w:p>
    <w:p w:rsidR="00240B6D" w:rsidRPr="00240B6D" w:rsidRDefault="00240B6D" w:rsidP="00240B6D">
      <w:pPr>
        <w:keepNext/>
        <w:spacing w:before="240" w:after="120" w:line="240" w:lineRule="auto"/>
        <w:jc w:val="both"/>
        <w:rPr>
          <w:b/>
          <w:bCs/>
          <w:sz w:val="18"/>
          <w:szCs w:val="18"/>
        </w:rPr>
      </w:pPr>
      <w:r w:rsidRPr="00240B6D">
        <w:rPr>
          <w:b/>
          <w:bCs/>
          <w:sz w:val="18"/>
          <w:szCs w:val="18"/>
        </w:rPr>
        <w:t>Graf č: 2.3 Výdaje na zdravotní péči v Česku financované z veřejných zdrojů, 2012 – 2016 (mld. Kč; %)</w:t>
      </w:r>
    </w:p>
    <w:p w:rsidR="00240B6D" w:rsidRPr="00240B6D" w:rsidRDefault="00240B6D" w:rsidP="00240B6D">
      <w:pPr>
        <w:keepNext/>
        <w:tabs>
          <w:tab w:val="left" w:pos="142"/>
          <w:tab w:val="left" w:pos="5812"/>
        </w:tabs>
        <w:jc w:val="both"/>
        <w:rPr>
          <w:b/>
          <w:i/>
          <w:sz w:val="18"/>
        </w:rPr>
      </w:pPr>
      <w:r w:rsidRPr="00240B6D">
        <w:rPr>
          <w:b/>
          <w:i/>
          <w:sz w:val="18"/>
        </w:rPr>
        <w:tab/>
        <w:t xml:space="preserve">a) v mld. Kč </w:t>
      </w:r>
      <w:r w:rsidRPr="00240B6D">
        <w:rPr>
          <w:b/>
          <w:i/>
          <w:sz w:val="18"/>
        </w:rPr>
        <w:tab/>
        <w:t>b) struktura v %</w:t>
      </w:r>
    </w:p>
    <w:p w:rsidR="00240B6D" w:rsidRPr="00240B6D" w:rsidRDefault="00240B6D" w:rsidP="009D7138">
      <w:pPr>
        <w:keepNext/>
        <w:jc w:val="both"/>
        <w:rPr>
          <w:bCs/>
          <w:szCs w:val="20"/>
        </w:rPr>
      </w:pPr>
      <w:r w:rsidRPr="00240B6D">
        <w:rPr>
          <w:noProof/>
        </w:rPr>
        <w:drawing>
          <wp:inline distT="0" distB="0" distL="0" distR="0" wp14:anchorId="0AEBFB3D" wp14:editId="1A11FBEC">
            <wp:extent cx="3419475" cy="2520000"/>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240B6D">
        <w:rPr>
          <w:noProof/>
          <w:lang w:val="en-US" w:eastAsia="en-US"/>
        </w:rPr>
        <w:t xml:space="preserve"> </w:t>
      </w:r>
      <w:r w:rsidRPr="00240B6D">
        <w:rPr>
          <w:noProof/>
        </w:rPr>
        <w:drawing>
          <wp:inline distT="0" distB="0" distL="0" distR="0" wp14:anchorId="3EFA5F61" wp14:editId="2629F37E">
            <wp:extent cx="2628000" cy="252000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0B6D" w:rsidRPr="00240B6D" w:rsidRDefault="00240B6D" w:rsidP="00240B6D">
      <w:pPr>
        <w:spacing w:before="120" w:line="240" w:lineRule="auto"/>
        <w:jc w:val="right"/>
        <w:rPr>
          <w:b/>
          <w:bCs/>
          <w:i/>
          <w:sz w:val="16"/>
          <w:szCs w:val="16"/>
        </w:rPr>
      </w:pPr>
      <w:r w:rsidRPr="00240B6D">
        <w:rPr>
          <w:b/>
          <w:bCs/>
          <w:i/>
          <w:sz w:val="16"/>
          <w:szCs w:val="16"/>
        </w:rPr>
        <w:t xml:space="preserve">Zdroj: ČSÚ 2018, Zdravotnické účty ČR 2010 - 2016 </w:t>
      </w:r>
    </w:p>
    <w:p w:rsidR="00240B6D" w:rsidRPr="00240B6D" w:rsidRDefault="00240B6D" w:rsidP="00240B6D">
      <w:pPr>
        <w:spacing w:before="240" w:after="120"/>
        <w:rPr>
          <w:rFonts w:eastAsia="MS Gothic"/>
          <w:b/>
          <w:i/>
        </w:rPr>
      </w:pPr>
      <w:r w:rsidRPr="00240B6D">
        <w:rPr>
          <w:rFonts w:eastAsia="MS Gothic"/>
          <w:b/>
          <w:i/>
        </w:rPr>
        <w:t xml:space="preserve">Platby z povinného zdravotního pojištění se </w:t>
      </w:r>
      <w:r w:rsidR="009D2120">
        <w:rPr>
          <w:rFonts w:eastAsia="MS Gothic"/>
          <w:b/>
          <w:i/>
        </w:rPr>
        <w:t xml:space="preserve">v Česku </w:t>
      </w:r>
      <w:r w:rsidRPr="00240B6D">
        <w:rPr>
          <w:rFonts w:eastAsia="MS Gothic"/>
          <w:b/>
          <w:i/>
        </w:rPr>
        <w:t>podílejí 2/3 na financování zdravotní péče</w:t>
      </w:r>
    </w:p>
    <w:p w:rsidR="00240B6D" w:rsidRPr="009D2120" w:rsidRDefault="00240B6D" w:rsidP="00240B6D">
      <w:pPr>
        <w:keepNext/>
        <w:jc w:val="both"/>
        <w:rPr>
          <w:i/>
        </w:rPr>
      </w:pPr>
      <w:r w:rsidRPr="009D2120">
        <w:rPr>
          <w:i/>
        </w:rPr>
        <w:t xml:space="preserve">V České republice mají klíčové postavení z hlediska financování zdravotní péče </w:t>
      </w:r>
      <w:r w:rsidRPr="009D2120">
        <w:rPr>
          <w:b/>
          <w:i/>
        </w:rPr>
        <w:t>zdravotní pojišťovny</w:t>
      </w:r>
      <w:r w:rsidRPr="009D2120">
        <w:rPr>
          <w:i/>
        </w:rPr>
        <w:t>, jejichž příjmy plynou z veřejného zdravotního pojištění, kterého je povinně účastna každá osoba s trvalým pobytem na našem území. Hlavní zásadou veřejného zdravotního pojištění je solidarita a rovnost přístupu ke zdravotní péči. Veřejné zdravotní pojištění financuje veškerou zdravotní péči garantovanou zákonem č. 48/1997 Sb.</w:t>
      </w:r>
      <w:r w:rsidR="00BB0015" w:rsidRPr="009D2120">
        <w:rPr>
          <w:i/>
        </w:rPr>
        <w:t>,</w:t>
      </w:r>
      <w:r w:rsidRPr="009D2120">
        <w:rPr>
          <w:i/>
        </w:rPr>
        <w:t xml:space="preserve"> o veřejném zdravotním pojištění (v platném znění). </w:t>
      </w:r>
    </w:p>
    <w:p w:rsidR="00240B6D" w:rsidRPr="000353CA" w:rsidRDefault="003452B6" w:rsidP="00240B6D">
      <w:pPr>
        <w:spacing w:before="120"/>
        <w:jc w:val="both"/>
        <w:rPr>
          <w:bCs/>
          <w:i/>
          <w:szCs w:val="20"/>
        </w:rPr>
      </w:pPr>
      <w:r>
        <w:rPr>
          <w:bCs/>
          <w:szCs w:val="20"/>
        </w:rPr>
        <w:t>V</w:t>
      </w:r>
      <w:r w:rsidR="00240B6D" w:rsidRPr="00240B6D">
        <w:rPr>
          <w:bCs/>
          <w:szCs w:val="20"/>
        </w:rPr>
        <w:t>eřejné zdravotní pojišťovny se </w:t>
      </w:r>
      <w:r w:rsidR="009D2120">
        <w:rPr>
          <w:bCs/>
          <w:szCs w:val="20"/>
        </w:rPr>
        <w:t xml:space="preserve">v roce 2016 </w:t>
      </w:r>
      <w:r>
        <w:rPr>
          <w:bCs/>
          <w:szCs w:val="20"/>
        </w:rPr>
        <w:t>podíle</w:t>
      </w:r>
      <w:r w:rsidR="009D2120">
        <w:rPr>
          <w:bCs/>
          <w:szCs w:val="20"/>
        </w:rPr>
        <w:t xml:space="preserve">ly </w:t>
      </w:r>
      <w:r>
        <w:rPr>
          <w:bCs/>
          <w:szCs w:val="20"/>
        </w:rPr>
        <w:t xml:space="preserve">jí </w:t>
      </w:r>
      <w:r w:rsidR="00240B6D" w:rsidRPr="00240B6D">
        <w:rPr>
          <w:bCs/>
          <w:szCs w:val="20"/>
        </w:rPr>
        <w:t>podstatnou částí na krytí výdajů na zdravotní péči v České republice</w:t>
      </w:r>
      <w:r w:rsidR="00855FB6">
        <w:rPr>
          <w:bCs/>
          <w:szCs w:val="20"/>
        </w:rPr>
        <w:t xml:space="preserve">. V roce 2016 to bylo ze </w:t>
      </w:r>
      <w:r w:rsidR="00240B6D" w:rsidRPr="00240B6D">
        <w:rPr>
          <w:bCs/>
          <w:szCs w:val="20"/>
        </w:rPr>
        <w:t>dvou</w:t>
      </w:r>
      <w:r w:rsidR="00855FB6">
        <w:rPr>
          <w:bCs/>
          <w:szCs w:val="20"/>
        </w:rPr>
        <w:t xml:space="preserve"> </w:t>
      </w:r>
      <w:r w:rsidR="00240B6D" w:rsidRPr="00240B6D">
        <w:rPr>
          <w:bCs/>
          <w:szCs w:val="20"/>
        </w:rPr>
        <w:t>třetin</w:t>
      </w:r>
      <w:r w:rsidR="00855FB6">
        <w:rPr>
          <w:bCs/>
          <w:szCs w:val="20"/>
        </w:rPr>
        <w:t xml:space="preserve"> – v roce 2012 dokonce ze </w:t>
      </w:r>
      <w:r w:rsidR="00240B6D" w:rsidRPr="00240B6D">
        <w:rPr>
          <w:bCs/>
          <w:szCs w:val="20"/>
        </w:rPr>
        <w:t>70 %</w:t>
      </w:r>
      <w:r w:rsidR="00855FB6">
        <w:rPr>
          <w:bCs/>
          <w:szCs w:val="20"/>
        </w:rPr>
        <w:t>.</w:t>
      </w:r>
      <w:r w:rsidR="00240B6D" w:rsidRPr="00240B6D">
        <w:rPr>
          <w:bCs/>
          <w:szCs w:val="20"/>
        </w:rPr>
        <w:t xml:space="preserve"> V absolutním vyjádření šlo za posledních </w:t>
      </w:r>
      <w:r w:rsidR="00855FB6">
        <w:rPr>
          <w:bCs/>
          <w:szCs w:val="20"/>
        </w:rPr>
        <w:t xml:space="preserve">pět </w:t>
      </w:r>
      <w:r w:rsidR="00240B6D" w:rsidRPr="00240B6D">
        <w:rPr>
          <w:bCs/>
          <w:szCs w:val="20"/>
        </w:rPr>
        <w:t xml:space="preserve">let na zdravotní péči z veřejného </w:t>
      </w:r>
      <w:r w:rsidR="00855FB6">
        <w:rPr>
          <w:bCs/>
          <w:szCs w:val="20"/>
        </w:rPr>
        <w:t xml:space="preserve">zdravotního </w:t>
      </w:r>
      <w:r w:rsidR="00240B6D" w:rsidRPr="00240B6D">
        <w:rPr>
          <w:bCs/>
          <w:szCs w:val="20"/>
        </w:rPr>
        <w:t xml:space="preserve">pojištění nejvíce finančních prostředků v roce 2013 (238,4 mld. Kč) a nejméně pak v roce 2015 (234,5 mld. Kč). Lze tedy konstatovat, že financování zdravotní péče z toho zdroje je v posledních letech poměrně stabilní. V těchto částkách </w:t>
      </w:r>
      <w:r w:rsidR="00BB0015">
        <w:rPr>
          <w:bCs/>
          <w:szCs w:val="20"/>
        </w:rPr>
        <w:t>jsou</w:t>
      </w:r>
      <w:r w:rsidR="00BB0015" w:rsidRPr="00240B6D">
        <w:rPr>
          <w:bCs/>
          <w:szCs w:val="20"/>
        </w:rPr>
        <w:t xml:space="preserve"> </w:t>
      </w:r>
      <w:r w:rsidR="00240B6D" w:rsidRPr="00240B6D">
        <w:rPr>
          <w:bCs/>
          <w:szCs w:val="20"/>
        </w:rPr>
        <w:t>kromě peněz, které jdou přímo na zdravotní péči</w:t>
      </w:r>
      <w:r w:rsidR="00BB0015">
        <w:rPr>
          <w:bCs/>
          <w:szCs w:val="20"/>
        </w:rPr>
        <w:t>,</w:t>
      </w:r>
      <w:r w:rsidR="00240B6D" w:rsidRPr="00240B6D">
        <w:rPr>
          <w:bCs/>
          <w:szCs w:val="20"/>
        </w:rPr>
        <w:t xml:space="preserve"> zahrnuty i výdaje na programy preventivní péče </w:t>
      </w:r>
      <w:r>
        <w:rPr>
          <w:bCs/>
          <w:szCs w:val="20"/>
        </w:rPr>
        <w:t xml:space="preserve">a vlastní provoz </w:t>
      </w:r>
      <w:r w:rsidR="00240B6D" w:rsidRPr="00240B6D">
        <w:rPr>
          <w:bCs/>
          <w:szCs w:val="20"/>
        </w:rPr>
        <w:t>zdravotních pojišťoven</w:t>
      </w:r>
      <w:r>
        <w:rPr>
          <w:bCs/>
          <w:szCs w:val="20"/>
        </w:rPr>
        <w:t>.</w:t>
      </w:r>
      <w:r w:rsidR="00240B6D" w:rsidRPr="00240B6D">
        <w:rPr>
          <w:bCs/>
          <w:szCs w:val="20"/>
        </w:rPr>
        <w:t xml:space="preserve"> </w:t>
      </w:r>
      <w:r w:rsidR="00240B6D" w:rsidRPr="000353CA">
        <w:rPr>
          <w:bCs/>
          <w:i/>
          <w:szCs w:val="20"/>
        </w:rPr>
        <w:t>Podrobněji viz kapitola 3.1 této publikace.</w:t>
      </w:r>
    </w:p>
    <w:p w:rsidR="00240B6D" w:rsidRPr="00240B6D" w:rsidRDefault="00240B6D" w:rsidP="00240B6D">
      <w:pPr>
        <w:spacing w:before="240" w:after="120"/>
        <w:rPr>
          <w:rFonts w:eastAsia="MS Gothic"/>
          <w:b/>
          <w:i/>
        </w:rPr>
      </w:pPr>
      <w:r w:rsidRPr="00240B6D">
        <w:rPr>
          <w:rFonts w:eastAsia="MS Gothic"/>
          <w:b/>
          <w:i/>
        </w:rPr>
        <w:t xml:space="preserve">Výdaje státního rozpočtu na zdravotní péči </w:t>
      </w:r>
      <w:r w:rsidR="008D1923">
        <w:rPr>
          <w:rFonts w:eastAsia="MS Gothic"/>
          <w:b/>
          <w:i/>
        </w:rPr>
        <w:t xml:space="preserve">v roce 2016 </w:t>
      </w:r>
      <w:r w:rsidRPr="00240B6D">
        <w:rPr>
          <w:rFonts w:eastAsia="MS Gothic"/>
          <w:b/>
          <w:i/>
        </w:rPr>
        <w:t>meziročně stouply o více než 3 miliardy Kč</w:t>
      </w:r>
    </w:p>
    <w:p w:rsidR="00240B6D" w:rsidRPr="00240B6D" w:rsidRDefault="00240B6D" w:rsidP="00240B6D">
      <w:pPr>
        <w:spacing w:before="120" w:after="120"/>
        <w:jc w:val="both"/>
        <w:rPr>
          <w:bCs/>
          <w:szCs w:val="17"/>
        </w:rPr>
      </w:pPr>
      <w:r w:rsidRPr="00240B6D">
        <w:rPr>
          <w:bCs/>
          <w:szCs w:val="17"/>
        </w:rPr>
        <w:t xml:space="preserve">V roce 2016 šlo </w:t>
      </w:r>
      <w:r w:rsidR="008D1923">
        <w:rPr>
          <w:bCs/>
          <w:szCs w:val="17"/>
        </w:rPr>
        <w:t xml:space="preserve">přímo </w:t>
      </w:r>
      <w:r w:rsidRPr="00240B6D">
        <w:rPr>
          <w:bCs/>
          <w:szCs w:val="17"/>
        </w:rPr>
        <w:t xml:space="preserve">ze </w:t>
      </w:r>
      <w:r w:rsidRPr="00240B6D">
        <w:rPr>
          <w:b/>
          <w:bCs/>
          <w:szCs w:val="17"/>
        </w:rPr>
        <w:t>státního rozpočtu</w:t>
      </w:r>
      <w:r w:rsidRPr="00240B6D">
        <w:rPr>
          <w:bCs/>
          <w:szCs w:val="17"/>
        </w:rPr>
        <w:t xml:space="preserve"> na zdravotní péči celkem 55,9 mld. Kč</w:t>
      </w:r>
      <w:r w:rsidR="000353CA">
        <w:rPr>
          <w:rStyle w:val="Znakapoznpodarou"/>
          <w:bCs/>
          <w:szCs w:val="17"/>
        </w:rPr>
        <w:footnoteReference w:id="2"/>
      </w:r>
      <w:r w:rsidRPr="00240B6D">
        <w:rPr>
          <w:bCs/>
          <w:szCs w:val="17"/>
        </w:rPr>
        <w:t xml:space="preserve">, tj. o 3,3 mld. Kč (6,2 %) více </w:t>
      </w:r>
      <w:r w:rsidR="00855FB6">
        <w:rPr>
          <w:bCs/>
          <w:szCs w:val="17"/>
        </w:rPr>
        <w:t xml:space="preserve">finančních prostředků </w:t>
      </w:r>
      <w:r w:rsidRPr="00240B6D">
        <w:rPr>
          <w:bCs/>
          <w:szCs w:val="17"/>
        </w:rPr>
        <w:t>než v roce 2015. Od roku 2013 lze pozorovat poměrně výrazné meziroční nárůsty výdajů na zdravotní péči financovan</w:t>
      </w:r>
      <w:r w:rsidR="008D1923">
        <w:rPr>
          <w:bCs/>
          <w:szCs w:val="17"/>
        </w:rPr>
        <w:t>é</w:t>
      </w:r>
      <w:r w:rsidRPr="00240B6D">
        <w:rPr>
          <w:bCs/>
          <w:szCs w:val="17"/>
        </w:rPr>
        <w:t xml:space="preserve"> přímo ze státního rozpočtu. Jestliže v</w:t>
      </w:r>
      <w:r w:rsidR="008D1923">
        <w:rPr>
          <w:bCs/>
          <w:szCs w:val="17"/>
        </w:rPr>
        <w:t> letech 2010 až 2012 ze státního rozpočtu směřovalo každoročně do českého zdravotnic</w:t>
      </w:r>
      <w:r w:rsidR="00855FB6">
        <w:rPr>
          <w:bCs/>
          <w:szCs w:val="17"/>
        </w:rPr>
        <w:t xml:space="preserve">tví </w:t>
      </w:r>
      <w:r w:rsidR="008D1923">
        <w:rPr>
          <w:bCs/>
          <w:szCs w:val="17"/>
        </w:rPr>
        <w:t xml:space="preserve">cca 45 mld. Kč, </w:t>
      </w:r>
      <w:r w:rsidRPr="00240B6D">
        <w:rPr>
          <w:bCs/>
          <w:szCs w:val="17"/>
        </w:rPr>
        <w:t>tak v roce 2016 to bylo o</w:t>
      </w:r>
      <w:r w:rsidR="00F85872">
        <w:rPr>
          <w:bCs/>
          <w:szCs w:val="17"/>
        </w:rPr>
        <w:t> </w:t>
      </w:r>
      <w:r w:rsidRPr="00240B6D">
        <w:rPr>
          <w:bCs/>
          <w:szCs w:val="17"/>
        </w:rPr>
        <w:t xml:space="preserve">čtvrtinu (11 mld. Kč) více finančních prostředků. </w:t>
      </w:r>
      <w:r w:rsidR="008D1923" w:rsidRPr="00240B6D">
        <w:rPr>
          <w:bCs/>
          <w:szCs w:val="17"/>
        </w:rPr>
        <w:t xml:space="preserve">V roce 2016 </w:t>
      </w:r>
      <w:r w:rsidR="008D1923">
        <w:rPr>
          <w:bCs/>
          <w:szCs w:val="17"/>
        </w:rPr>
        <w:t xml:space="preserve">se </w:t>
      </w:r>
      <w:r w:rsidR="00855FB6">
        <w:rPr>
          <w:bCs/>
          <w:szCs w:val="17"/>
        </w:rPr>
        <w:t xml:space="preserve">státní rozpočet </w:t>
      </w:r>
      <w:r w:rsidR="008D1923">
        <w:rPr>
          <w:bCs/>
          <w:szCs w:val="17"/>
        </w:rPr>
        <w:t xml:space="preserve">podílel </w:t>
      </w:r>
      <w:r w:rsidR="008D1923" w:rsidRPr="00240B6D">
        <w:rPr>
          <w:bCs/>
          <w:szCs w:val="17"/>
        </w:rPr>
        <w:t>1</w:t>
      </w:r>
      <w:r w:rsidR="00855FB6">
        <w:rPr>
          <w:bCs/>
          <w:szCs w:val="17"/>
        </w:rPr>
        <w:t>5</w:t>
      </w:r>
      <w:r w:rsidR="008D1923" w:rsidRPr="00240B6D">
        <w:rPr>
          <w:bCs/>
          <w:szCs w:val="17"/>
        </w:rPr>
        <w:t>,</w:t>
      </w:r>
      <w:r w:rsidR="00855FB6">
        <w:rPr>
          <w:bCs/>
          <w:szCs w:val="17"/>
        </w:rPr>
        <w:t>5</w:t>
      </w:r>
      <w:r w:rsidR="008D1923" w:rsidRPr="00240B6D">
        <w:rPr>
          <w:bCs/>
          <w:szCs w:val="17"/>
        </w:rPr>
        <w:t xml:space="preserve"> %</w:t>
      </w:r>
      <w:r w:rsidR="008D1923">
        <w:rPr>
          <w:bCs/>
          <w:szCs w:val="17"/>
        </w:rPr>
        <w:t xml:space="preserve"> na financování </w:t>
      </w:r>
      <w:r w:rsidR="008D1923" w:rsidRPr="00240B6D">
        <w:rPr>
          <w:rFonts w:cs="Arial"/>
          <w:bCs/>
          <w:color w:val="000000"/>
          <w:szCs w:val="20"/>
        </w:rPr>
        <w:t>zdravotní péč</w:t>
      </w:r>
      <w:r w:rsidR="008D1923">
        <w:rPr>
          <w:rFonts w:cs="Arial"/>
          <w:bCs/>
          <w:color w:val="000000"/>
          <w:szCs w:val="20"/>
        </w:rPr>
        <w:t>e</w:t>
      </w:r>
      <w:r w:rsidR="008D1923" w:rsidRPr="00240B6D">
        <w:rPr>
          <w:rFonts w:cs="Arial"/>
          <w:bCs/>
          <w:color w:val="000000"/>
          <w:szCs w:val="20"/>
        </w:rPr>
        <w:t xml:space="preserve"> v České republice</w:t>
      </w:r>
      <w:r w:rsidR="008D1923" w:rsidRPr="00240B6D">
        <w:rPr>
          <w:rFonts w:cs="Arial"/>
          <w:b/>
          <w:bCs/>
          <w:color w:val="000000"/>
          <w:szCs w:val="20"/>
        </w:rPr>
        <w:t>.</w:t>
      </w:r>
    </w:p>
    <w:p w:rsidR="00240B6D" w:rsidRPr="00240B6D" w:rsidRDefault="00240B6D" w:rsidP="00157587">
      <w:pPr>
        <w:widowControl w:val="0"/>
        <w:spacing w:before="120" w:after="120"/>
        <w:jc w:val="both"/>
        <w:rPr>
          <w:bCs/>
          <w:szCs w:val="17"/>
        </w:rPr>
      </w:pPr>
      <w:r w:rsidRPr="00240B6D">
        <w:rPr>
          <w:bCs/>
          <w:szCs w:val="17"/>
        </w:rPr>
        <w:t>Za posledních pět let šlo ze státního rozpočtu na zdravotní péči celkem 251 mld. Kč. Pokud vztáhneme tyto prostředky k celkovému státnímu rozpočtu, tak zdravotní péče v pojetí SHA 2011 se v roce 2016 podílel</w:t>
      </w:r>
      <w:r w:rsidR="000353CA">
        <w:rPr>
          <w:bCs/>
          <w:szCs w:val="17"/>
        </w:rPr>
        <w:t>a</w:t>
      </w:r>
      <w:r w:rsidRPr="00240B6D">
        <w:rPr>
          <w:bCs/>
          <w:szCs w:val="17"/>
        </w:rPr>
        <w:t xml:space="preserve"> 4,0 % na celkových výdajích státního rozpočtu v porovnání s 3,8 % v roce předchozím.  </w:t>
      </w:r>
    </w:p>
    <w:p w:rsidR="00240B6D" w:rsidRPr="00240B6D" w:rsidRDefault="00240B6D" w:rsidP="000353CA">
      <w:pPr>
        <w:spacing w:before="240" w:after="120"/>
        <w:jc w:val="both"/>
        <w:rPr>
          <w:b/>
        </w:rPr>
      </w:pPr>
      <w:r w:rsidRPr="00240B6D">
        <w:rPr>
          <w:b/>
        </w:rPr>
        <w:lastRenderedPageBreak/>
        <w:t xml:space="preserve">Graf 2.4. Výdaje na zdravotní péči v Česku financované </w:t>
      </w:r>
      <w:r w:rsidR="000353CA">
        <w:rPr>
          <w:b/>
        </w:rPr>
        <w:t xml:space="preserve">přímo </w:t>
      </w:r>
      <w:r w:rsidRPr="00240B6D">
        <w:rPr>
          <w:b/>
        </w:rPr>
        <w:t xml:space="preserve">ze státního rozpočtu, 2012 – 2016 </w:t>
      </w:r>
    </w:p>
    <w:p w:rsidR="00240B6D" w:rsidRPr="00240B6D" w:rsidRDefault="00240B6D" w:rsidP="00240B6D">
      <w:pPr>
        <w:keepNext/>
        <w:tabs>
          <w:tab w:val="left" w:pos="142"/>
          <w:tab w:val="left" w:pos="5812"/>
        </w:tabs>
        <w:spacing w:before="120"/>
        <w:jc w:val="both"/>
        <w:rPr>
          <w:b/>
          <w:i/>
          <w:sz w:val="18"/>
        </w:rPr>
      </w:pPr>
      <w:r w:rsidRPr="00240B6D">
        <w:rPr>
          <w:b/>
          <w:i/>
          <w:sz w:val="18"/>
        </w:rPr>
        <w:tab/>
        <w:t xml:space="preserve">a) v mld. Kč </w:t>
      </w:r>
      <w:r w:rsidRPr="00240B6D">
        <w:rPr>
          <w:b/>
          <w:i/>
          <w:sz w:val="18"/>
        </w:rPr>
        <w:tab/>
        <w:t>b) struktura v %</w:t>
      </w:r>
    </w:p>
    <w:p w:rsidR="00240B6D" w:rsidRPr="00240B6D" w:rsidRDefault="00240B6D" w:rsidP="00240B6D">
      <w:pPr>
        <w:keepNext/>
        <w:jc w:val="both"/>
      </w:pPr>
      <w:r w:rsidRPr="00240B6D">
        <w:rPr>
          <w:noProof/>
        </w:rPr>
        <w:drawing>
          <wp:inline distT="0" distB="0" distL="0" distR="0" wp14:anchorId="326EE7CA" wp14:editId="63BF0101">
            <wp:extent cx="3600450" cy="252000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40B6D">
        <w:rPr>
          <w:noProof/>
          <w:lang w:val="en-US" w:eastAsia="en-US"/>
        </w:rPr>
        <w:t xml:space="preserve"> </w:t>
      </w:r>
      <w:r w:rsidRPr="00240B6D">
        <w:rPr>
          <w:noProof/>
        </w:rPr>
        <w:drawing>
          <wp:inline distT="0" distB="0" distL="0" distR="0" wp14:anchorId="31966E4A" wp14:editId="7311C813">
            <wp:extent cx="2447925" cy="25200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0B6D" w:rsidRPr="00240B6D" w:rsidRDefault="00BB0015" w:rsidP="00240B6D">
      <w:pPr>
        <w:keepNext/>
        <w:spacing w:before="60" w:line="240" w:lineRule="auto"/>
        <w:jc w:val="both"/>
        <w:rPr>
          <w:sz w:val="16"/>
        </w:rPr>
      </w:pPr>
      <w:r>
        <w:rPr>
          <w:sz w:val="16"/>
        </w:rPr>
        <w:t>(</w:t>
      </w:r>
      <w:r w:rsidR="00240B6D" w:rsidRPr="00240B6D">
        <w:rPr>
          <w:sz w:val="16"/>
        </w:rPr>
        <w:t xml:space="preserve">1) zahrnuje lůžkovou, denní a domácí dlouhodobou péči </w:t>
      </w:r>
    </w:p>
    <w:p w:rsidR="00240B6D" w:rsidRPr="00240B6D" w:rsidRDefault="00BB0015" w:rsidP="00240B6D">
      <w:pPr>
        <w:keepNext/>
        <w:spacing w:before="60" w:line="240" w:lineRule="auto"/>
        <w:jc w:val="both"/>
        <w:rPr>
          <w:sz w:val="16"/>
        </w:rPr>
      </w:pPr>
      <w:r>
        <w:rPr>
          <w:sz w:val="16"/>
        </w:rPr>
        <w:t>(</w:t>
      </w:r>
      <w:r w:rsidR="00240B6D" w:rsidRPr="00240B6D">
        <w:rPr>
          <w:sz w:val="16"/>
        </w:rPr>
        <w:t xml:space="preserve">2) zahrnuje příspěvek na péči, na mobilitu, na kompenzační pomůcky a sociální služby </w:t>
      </w:r>
    </w:p>
    <w:p w:rsidR="00240B6D" w:rsidRPr="00240B6D" w:rsidRDefault="00BB0015" w:rsidP="00240B6D">
      <w:pPr>
        <w:keepNext/>
        <w:spacing w:before="60" w:line="240" w:lineRule="auto"/>
        <w:jc w:val="both"/>
        <w:rPr>
          <w:sz w:val="16"/>
        </w:rPr>
      </w:pPr>
      <w:r>
        <w:rPr>
          <w:sz w:val="16"/>
        </w:rPr>
        <w:t>(</w:t>
      </w:r>
      <w:r w:rsidR="00240B6D" w:rsidRPr="00240B6D">
        <w:rPr>
          <w:sz w:val="16"/>
        </w:rPr>
        <w:t xml:space="preserve">3) zahrnuje lůžkovou a ambulantní akutní péči, dopravu pacientů, preventivní programy, řízení a správu systému zdravotnictví  </w:t>
      </w:r>
    </w:p>
    <w:p w:rsidR="00240B6D" w:rsidRPr="00240B6D" w:rsidRDefault="00240B6D" w:rsidP="00240B6D">
      <w:pPr>
        <w:spacing w:before="120" w:line="240" w:lineRule="auto"/>
        <w:jc w:val="right"/>
        <w:rPr>
          <w:b/>
          <w:bCs/>
          <w:i/>
          <w:sz w:val="16"/>
          <w:szCs w:val="16"/>
        </w:rPr>
      </w:pPr>
      <w:r w:rsidRPr="00240B6D">
        <w:rPr>
          <w:b/>
          <w:bCs/>
          <w:i/>
          <w:sz w:val="16"/>
          <w:szCs w:val="16"/>
        </w:rPr>
        <w:t xml:space="preserve">Zdroj: ČSÚ 2018, Zdravotnické účty ČR 2010 - 2016 </w:t>
      </w:r>
    </w:p>
    <w:p w:rsidR="00240B6D" w:rsidRPr="00C6634F" w:rsidRDefault="00240B6D" w:rsidP="000353CA">
      <w:pPr>
        <w:spacing w:before="120" w:after="120"/>
        <w:jc w:val="both"/>
        <w:rPr>
          <w:bCs/>
          <w:i/>
          <w:szCs w:val="17"/>
        </w:rPr>
      </w:pPr>
      <w:r w:rsidRPr="00C6634F">
        <w:rPr>
          <w:b/>
          <w:bCs/>
          <w:i/>
          <w:szCs w:val="17"/>
        </w:rPr>
        <w:t xml:space="preserve">Úloha státního rozpočtu </w:t>
      </w:r>
      <w:r w:rsidRPr="00C6634F">
        <w:rPr>
          <w:bCs/>
          <w:i/>
          <w:szCs w:val="17"/>
        </w:rPr>
        <w:t>v oblasti přímého financování zdravotní péče</w:t>
      </w:r>
      <w:r w:rsidRPr="00C6634F">
        <w:rPr>
          <w:b/>
          <w:bCs/>
          <w:i/>
          <w:szCs w:val="17"/>
        </w:rPr>
        <w:t xml:space="preserve"> </w:t>
      </w:r>
      <w:r w:rsidRPr="00C6634F">
        <w:rPr>
          <w:bCs/>
          <w:i/>
          <w:szCs w:val="17"/>
        </w:rPr>
        <w:t>spočívá především v podpoře zařízení dlouhodobé sociálně-zdravotní péče</w:t>
      </w:r>
      <w:r w:rsidRPr="00C6634F">
        <w:rPr>
          <w:b/>
          <w:bCs/>
          <w:i/>
          <w:szCs w:val="17"/>
        </w:rPr>
        <w:t xml:space="preserve"> </w:t>
      </w:r>
      <w:r w:rsidRPr="00C6634F">
        <w:rPr>
          <w:bCs/>
          <w:i/>
          <w:szCs w:val="17"/>
        </w:rPr>
        <w:t xml:space="preserve">(domovy pro seniory, domovy se zvláštním režimem, domovy pro zdravotně postižné a týdenní stacionáře) a poskytování peněžitých dávek pro osoby dlouhodobě nemocné či zdravotně postižené. Ze státního rozpočtu je navíc hrazena i správa rezortu zdravotnictví, tj. provoz Ministerstva zdravotnictví, Státního zdravotního ústavu, Státního ústavu pro kontrolu léčiv a Ústavu zdravotnických informací a statistiky. </w:t>
      </w:r>
    </w:p>
    <w:p w:rsidR="00240B6D" w:rsidRPr="00240B6D" w:rsidRDefault="00240B6D" w:rsidP="000353CA">
      <w:pPr>
        <w:spacing w:before="120" w:after="120"/>
        <w:jc w:val="both"/>
        <w:rPr>
          <w:bCs/>
          <w:szCs w:val="17"/>
        </w:rPr>
      </w:pPr>
      <w:r w:rsidRPr="00240B6D">
        <w:rPr>
          <w:bCs/>
          <w:szCs w:val="17"/>
        </w:rPr>
        <w:t xml:space="preserve">V roce 2016 šlo na </w:t>
      </w:r>
      <w:r w:rsidRPr="00213704">
        <w:rPr>
          <w:b/>
          <w:bCs/>
          <w:szCs w:val="17"/>
        </w:rPr>
        <w:t>dlouhodobou zdravotní</w:t>
      </w:r>
      <w:r w:rsidRPr="00240B6D">
        <w:rPr>
          <w:bCs/>
          <w:szCs w:val="17"/>
        </w:rPr>
        <w:t xml:space="preserve"> </w:t>
      </w:r>
      <w:r w:rsidRPr="00213704">
        <w:rPr>
          <w:b/>
          <w:bCs/>
          <w:szCs w:val="17"/>
        </w:rPr>
        <w:t xml:space="preserve">péči </w:t>
      </w:r>
      <w:r w:rsidRPr="00240B6D">
        <w:rPr>
          <w:bCs/>
          <w:szCs w:val="17"/>
        </w:rPr>
        <w:t xml:space="preserve">ze státního rozpočtu celkem 29,9 mld. Kč. </w:t>
      </w:r>
      <w:r w:rsidR="00C6634F">
        <w:rPr>
          <w:bCs/>
          <w:szCs w:val="17"/>
        </w:rPr>
        <w:t>Touto částkou se tak s</w:t>
      </w:r>
      <w:r w:rsidRPr="00240B6D">
        <w:rPr>
          <w:bCs/>
          <w:szCs w:val="17"/>
        </w:rPr>
        <w:t>tát prostřednictvím státního rozpočtu podíl</w:t>
      </w:r>
      <w:r w:rsidR="00C6634F">
        <w:rPr>
          <w:bCs/>
          <w:szCs w:val="17"/>
        </w:rPr>
        <w:t xml:space="preserve">el </w:t>
      </w:r>
      <w:r w:rsidRPr="00240B6D">
        <w:rPr>
          <w:bCs/>
          <w:szCs w:val="17"/>
        </w:rPr>
        <w:t>ze dvou třetin na financování této dlouhodobé zdravotní péče. Většina z těchto finančních prostředků (23,7 mld. Kč; 79 %) bylo v roce 2016 určeno na dlouhodobou lůžkovou zdravotní péči, na domácí dlouhodobou zdravotní péči směřovalo „jen“ 4,5 mld. Kč.</w:t>
      </w:r>
    </w:p>
    <w:p w:rsidR="00240B6D" w:rsidRPr="000353CA" w:rsidRDefault="00240B6D" w:rsidP="000353CA">
      <w:pPr>
        <w:spacing w:before="120" w:after="120"/>
        <w:jc w:val="both"/>
        <w:rPr>
          <w:bCs/>
          <w:i/>
          <w:szCs w:val="17"/>
        </w:rPr>
      </w:pPr>
      <w:r w:rsidRPr="00240B6D">
        <w:rPr>
          <w:bCs/>
          <w:szCs w:val="17"/>
        </w:rPr>
        <w:t xml:space="preserve">Na </w:t>
      </w:r>
      <w:r w:rsidRPr="00213704">
        <w:rPr>
          <w:b/>
          <w:bCs/>
          <w:szCs w:val="17"/>
        </w:rPr>
        <w:t>sociáln</w:t>
      </w:r>
      <w:r w:rsidR="00213704">
        <w:rPr>
          <w:b/>
          <w:bCs/>
          <w:szCs w:val="17"/>
        </w:rPr>
        <w:t>í</w:t>
      </w:r>
      <w:r w:rsidRPr="00213704">
        <w:rPr>
          <w:b/>
          <w:bCs/>
          <w:szCs w:val="17"/>
        </w:rPr>
        <w:t xml:space="preserve"> dlouhodobou péči</w:t>
      </w:r>
      <w:r w:rsidRPr="00240B6D">
        <w:rPr>
          <w:bCs/>
          <w:szCs w:val="17"/>
        </w:rPr>
        <w:t xml:space="preserve"> vynaložil stát v roce 2016 ze státního rozpočtu poprvé více jak 20 miliard korun (20,1 mld. Kč). Jde především o příspěvky na péči pro zdravotně postižené a seniory (16,2 mld. Kč) a</w:t>
      </w:r>
      <w:r w:rsidR="00C6634F">
        <w:rPr>
          <w:bCs/>
          <w:szCs w:val="17"/>
        </w:rPr>
        <w:t> </w:t>
      </w:r>
      <w:r w:rsidRPr="00240B6D">
        <w:rPr>
          <w:bCs/>
          <w:szCs w:val="17"/>
        </w:rPr>
        <w:t>příspěvky na mobilitu a na zvláštní kompenzační pomůcku pro zdravotně postižené (téměř 2 mld. Kč mld. Kč). Téměř dvě miliardy (1,9 mld. Kč) směřovalo v roce 2016 ze státního rozpočtu i na sociální služby související s dlouhodobou péčí. Jde především o financování chráněného bydlení či sociální rehabilitace a</w:t>
      </w:r>
      <w:r w:rsidR="00C6634F">
        <w:rPr>
          <w:bCs/>
          <w:szCs w:val="17"/>
        </w:rPr>
        <w:t> </w:t>
      </w:r>
      <w:r w:rsidRPr="00240B6D">
        <w:rPr>
          <w:bCs/>
          <w:szCs w:val="17"/>
        </w:rPr>
        <w:t xml:space="preserve">sociální akviziční služby pro osoby se zdravotním postižením. </w:t>
      </w:r>
      <w:r w:rsidRPr="000353CA">
        <w:rPr>
          <w:bCs/>
          <w:i/>
          <w:szCs w:val="17"/>
        </w:rPr>
        <w:t xml:space="preserve">Podrobněji se k otázce dlouhodobé sociálně-zdravotní péče vrátíme v kapitole 3.3. </w:t>
      </w:r>
    </w:p>
    <w:p w:rsidR="00240B6D" w:rsidRPr="00240B6D" w:rsidRDefault="00240B6D" w:rsidP="000353CA">
      <w:pPr>
        <w:spacing w:before="120" w:after="120"/>
        <w:jc w:val="both"/>
        <w:rPr>
          <w:bCs/>
          <w:szCs w:val="17"/>
        </w:rPr>
      </w:pPr>
      <w:r w:rsidRPr="00240B6D">
        <w:rPr>
          <w:bCs/>
          <w:szCs w:val="17"/>
        </w:rPr>
        <w:t xml:space="preserve">Mezi ostatní výdaje na zdravotní péči hrazené ze státního rozpočtu patří především </w:t>
      </w:r>
      <w:r w:rsidRPr="00213704">
        <w:rPr>
          <w:b/>
          <w:bCs/>
          <w:szCs w:val="17"/>
        </w:rPr>
        <w:t>preventivní zdravotní péče,</w:t>
      </w:r>
      <w:r w:rsidRPr="00240B6D">
        <w:rPr>
          <w:bCs/>
          <w:szCs w:val="17"/>
        </w:rPr>
        <w:t xml:space="preserve"> do které stát v roce 2016 investoval 1,3 mld. Kč</w:t>
      </w:r>
      <w:r w:rsidR="00BB0015">
        <w:rPr>
          <w:bCs/>
          <w:szCs w:val="17"/>
        </w:rPr>
        <w:t>,</w:t>
      </w:r>
      <w:r w:rsidRPr="00240B6D">
        <w:rPr>
          <w:bCs/>
          <w:szCs w:val="17"/>
        </w:rPr>
        <w:t xml:space="preserve"> a výše uvedené výdaje související se </w:t>
      </w:r>
      <w:r w:rsidRPr="00213704">
        <w:rPr>
          <w:b/>
          <w:bCs/>
          <w:szCs w:val="17"/>
        </w:rPr>
        <w:t>správou rezortu zdravotnictv</w:t>
      </w:r>
      <w:r w:rsidRPr="00240B6D">
        <w:rPr>
          <w:bCs/>
          <w:szCs w:val="17"/>
        </w:rPr>
        <w:t>í (2,1 mld. Kč ve stejném roce).</w:t>
      </w:r>
    </w:p>
    <w:p w:rsidR="00240B6D" w:rsidRPr="00213704" w:rsidRDefault="00240B6D" w:rsidP="000353CA">
      <w:pPr>
        <w:spacing w:before="120" w:after="120"/>
        <w:jc w:val="both"/>
        <w:rPr>
          <w:bCs/>
          <w:i/>
          <w:szCs w:val="17"/>
        </w:rPr>
      </w:pPr>
      <w:r w:rsidRPr="00213704">
        <w:rPr>
          <w:bCs/>
          <w:i/>
          <w:szCs w:val="17"/>
        </w:rPr>
        <w:t xml:space="preserve">Ze státního rozpočtu jsou rovněž hrazeny </w:t>
      </w:r>
      <w:r w:rsidRPr="00213704">
        <w:rPr>
          <w:b/>
          <w:bCs/>
          <w:i/>
          <w:szCs w:val="17"/>
        </w:rPr>
        <w:t>platby na zdravotní pojištění za nevýdělečně činné skupiny obyvatelstva</w:t>
      </w:r>
      <w:r w:rsidRPr="00213704">
        <w:rPr>
          <w:bCs/>
          <w:i/>
          <w:szCs w:val="17"/>
        </w:rPr>
        <w:t xml:space="preserve"> (děti do ukončení jejich povinné školní docházky, studenty do 26 let, osoby na mateřské a</w:t>
      </w:r>
      <w:r w:rsidR="00C6634F">
        <w:rPr>
          <w:bCs/>
          <w:i/>
          <w:szCs w:val="17"/>
        </w:rPr>
        <w:t> </w:t>
      </w:r>
      <w:r w:rsidRPr="00213704">
        <w:rPr>
          <w:bCs/>
          <w:i/>
          <w:szCs w:val="17"/>
        </w:rPr>
        <w:t>rodičovské dovolené, osoby, které pobírají některý z důchodů, uchazeče o zaměstnání, pokud jsou v</w:t>
      </w:r>
      <w:r w:rsidR="00C6634F">
        <w:rPr>
          <w:bCs/>
          <w:i/>
          <w:szCs w:val="17"/>
        </w:rPr>
        <w:t> </w:t>
      </w:r>
      <w:r w:rsidRPr="00213704">
        <w:rPr>
          <w:bCs/>
          <w:i/>
          <w:szCs w:val="17"/>
        </w:rPr>
        <w:t xml:space="preserve">evidenci úřadu práce atd.). Konečným zdrojem financování zdravotní péče (ať již lůžkové, ambulantní či jiné) o tyto osoby jsou většinou zdravotní pojišťovny, které jsou primárním příjemcem těchto finančních prostředků. </w:t>
      </w:r>
      <w:r w:rsidRPr="00C6634F">
        <w:rPr>
          <w:b/>
          <w:bCs/>
          <w:i/>
          <w:szCs w:val="17"/>
        </w:rPr>
        <w:t>Tyto prostředky jsou tedy dle metodiky SHA alokovány do zdrojů zdravotních pojišťoven, které s nimi dále hospodaří.</w:t>
      </w:r>
      <w:r w:rsidRPr="00213704">
        <w:rPr>
          <w:bCs/>
          <w:i/>
          <w:szCs w:val="17"/>
        </w:rPr>
        <w:t xml:space="preserve"> </w:t>
      </w:r>
      <w:r w:rsidRPr="00213704">
        <w:rPr>
          <w:i/>
        </w:rPr>
        <w:t xml:space="preserve">Platba pojistného od státu se </w:t>
      </w:r>
      <w:r w:rsidR="00C6634F">
        <w:rPr>
          <w:i/>
        </w:rPr>
        <w:t xml:space="preserve">v roce 2016 </w:t>
      </w:r>
      <w:r w:rsidRPr="00213704">
        <w:rPr>
          <w:i/>
        </w:rPr>
        <w:t>v porovnání s rokem 2015 zvýšila o</w:t>
      </w:r>
      <w:r w:rsidR="00C6634F">
        <w:rPr>
          <w:i/>
        </w:rPr>
        <w:t> </w:t>
      </w:r>
      <w:r w:rsidRPr="00213704">
        <w:rPr>
          <w:i/>
        </w:rPr>
        <w:t>25 Kč na stávajících 870 Kč za osobu a měsíc. Z všeobecné pokladní správy šlo celkem za rok 2016 na tuto platbu 62,3 mld. Kč, v roce 2015 to bylo 60,9 mld. Kč.</w:t>
      </w:r>
    </w:p>
    <w:p w:rsidR="00240B6D" w:rsidRPr="00240B6D" w:rsidRDefault="00240B6D" w:rsidP="007C740E">
      <w:pPr>
        <w:spacing w:before="240" w:after="120"/>
        <w:ind w:right="-1"/>
        <w:rPr>
          <w:rFonts w:eastAsia="MS Gothic"/>
          <w:b/>
          <w:i/>
        </w:rPr>
      </w:pPr>
      <w:r w:rsidRPr="00240B6D">
        <w:rPr>
          <w:rFonts w:eastAsia="MS Gothic"/>
          <w:b/>
          <w:i/>
        </w:rPr>
        <w:lastRenderedPageBreak/>
        <w:t xml:space="preserve">České domácnosti zaplatily za zdravotní péči v roce 2016 </w:t>
      </w:r>
      <w:r w:rsidR="00591143">
        <w:rPr>
          <w:rFonts w:eastAsia="MS Gothic"/>
          <w:b/>
          <w:i/>
        </w:rPr>
        <w:t xml:space="preserve">poprvé </w:t>
      </w:r>
      <w:r w:rsidRPr="00240B6D">
        <w:rPr>
          <w:rFonts w:eastAsia="MS Gothic"/>
          <w:b/>
          <w:i/>
        </w:rPr>
        <w:t>více než 50 m</w:t>
      </w:r>
      <w:r w:rsidR="007C740E">
        <w:rPr>
          <w:rFonts w:eastAsia="MS Gothic"/>
          <w:b/>
          <w:i/>
        </w:rPr>
        <w:t>iliard korun</w:t>
      </w:r>
    </w:p>
    <w:p w:rsidR="00240B6D" w:rsidRPr="00240B6D" w:rsidRDefault="00240B6D" w:rsidP="00240B6D">
      <w:pPr>
        <w:spacing w:before="120"/>
        <w:jc w:val="both"/>
        <w:rPr>
          <w:bCs/>
          <w:szCs w:val="20"/>
        </w:rPr>
      </w:pPr>
      <w:r w:rsidRPr="00240B6D">
        <w:rPr>
          <w:bCs/>
          <w:szCs w:val="20"/>
        </w:rPr>
        <w:t xml:space="preserve">V posledních třech letech roste v Česku nepatrně podíl financování zdravotní péče ze </w:t>
      </w:r>
      <w:r w:rsidRPr="00213704">
        <w:rPr>
          <w:b/>
          <w:bCs/>
          <w:szCs w:val="20"/>
        </w:rPr>
        <w:t>soukromých zdrojů</w:t>
      </w:r>
      <w:r w:rsidRPr="00240B6D">
        <w:rPr>
          <w:bCs/>
          <w:szCs w:val="20"/>
        </w:rPr>
        <w:t xml:space="preserve">, a to z 15,3 % (52,7 mld. Kč) v roce 2013 na 17,0 % (61,4 mld. Kč) v roce 2016. Nejvýznamnější položkou v rámci těchto soukromých zdrojů tvoří </w:t>
      </w:r>
      <w:r w:rsidRPr="00591143">
        <w:rPr>
          <w:b/>
          <w:bCs/>
          <w:szCs w:val="20"/>
        </w:rPr>
        <w:t>přímé platby a spoluúčast domácností (pacientů)</w:t>
      </w:r>
      <w:r w:rsidRPr="00240B6D">
        <w:rPr>
          <w:bCs/>
          <w:szCs w:val="20"/>
        </w:rPr>
        <w:t xml:space="preserve"> za poskytnutou zdravotní péči včetně výdajů za léky a ostatní zdravotní materiál.  </w:t>
      </w:r>
    </w:p>
    <w:p w:rsidR="00240B6D" w:rsidRPr="00240B6D" w:rsidRDefault="00240B6D" w:rsidP="00240B6D">
      <w:pPr>
        <w:keepNext/>
        <w:spacing w:before="240" w:after="120" w:line="240" w:lineRule="auto"/>
        <w:jc w:val="both"/>
        <w:rPr>
          <w:b/>
          <w:bCs/>
          <w:sz w:val="18"/>
          <w:szCs w:val="18"/>
        </w:rPr>
      </w:pPr>
      <w:r w:rsidRPr="00240B6D">
        <w:rPr>
          <w:b/>
          <w:bCs/>
          <w:sz w:val="18"/>
          <w:szCs w:val="18"/>
        </w:rPr>
        <w:t>Graf č: 2.5 Výdaje na zdravotní péči v Česku financované ze soukromých zdrojů, 2012 – 2016 (mld. Kč; %)</w:t>
      </w:r>
    </w:p>
    <w:p w:rsidR="00240B6D" w:rsidRPr="00240B6D" w:rsidRDefault="00240B6D" w:rsidP="00240B6D">
      <w:pPr>
        <w:keepNext/>
        <w:tabs>
          <w:tab w:val="left" w:pos="142"/>
          <w:tab w:val="left" w:pos="5812"/>
        </w:tabs>
        <w:jc w:val="both"/>
        <w:rPr>
          <w:b/>
          <w:i/>
          <w:sz w:val="18"/>
        </w:rPr>
      </w:pPr>
      <w:r w:rsidRPr="00240B6D">
        <w:rPr>
          <w:b/>
          <w:i/>
          <w:sz w:val="18"/>
        </w:rPr>
        <w:tab/>
        <w:t xml:space="preserve">a) v mld. Kč </w:t>
      </w:r>
      <w:r w:rsidRPr="00240B6D">
        <w:rPr>
          <w:b/>
          <w:i/>
          <w:sz w:val="18"/>
        </w:rPr>
        <w:tab/>
        <w:t>b) struktura v %</w:t>
      </w:r>
    </w:p>
    <w:p w:rsidR="00240B6D" w:rsidRPr="00240B6D" w:rsidRDefault="00240B6D" w:rsidP="00591143">
      <w:pPr>
        <w:keepNext/>
        <w:jc w:val="both"/>
        <w:rPr>
          <w:bCs/>
          <w:szCs w:val="20"/>
        </w:rPr>
      </w:pPr>
      <w:r w:rsidRPr="00240B6D">
        <w:rPr>
          <w:noProof/>
        </w:rPr>
        <w:drawing>
          <wp:inline distT="0" distB="0" distL="0" distR="0" wp14:anchorId="0C356DC7" wp14:editId="78C11BEB">
            <wp:extent cx="3420000" cy="25200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40B6D">
        <w:rPr>
          <w:noProof/>
          <w:lang w:val="en-US" w:eastAsia="en-US"/>
        </w:rPr>
        <w:t xml:space="preserve"> </w:t>
      </w:r>
      <w:r w:rsidRPr="00240B6D">
        <w:rPr>
          <w:noProof/>
        </w:rPr>
        <w:drawing>
          <wp:inline distT="0" distB="0" distL="0" distR="0" wp14:anchorId="23590228" wp14:editId="28B46EB5">
            <wp:extent cx="2664000" cy="25200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40B6D">
        <w:rPr>
          <w:noProof/>
          <w:lang w:val="en-US" w:eastAsia="en-US"/>
        </w:rPr>
        <w:t xml:space="preserve"> </w:t>
      </w:r>
    </w:p>
    <w:p w:rsidR="00240B6D" w:rsidRPr="00240B6D" w:rsidRDefault="00240B6D" w:rsidP="007572C9">
      <w:pPr>
        <w:spacing w:before="120" w:after="240" w:line="240" w:lineRule="auto"/>
        <w:jc w:val="right"/>
        <w:rPr>
          <w:b/>
          <w:bCs/>
          <w:i/>
          <w:sz w:val="16"/>
          <w:szCs w:val="16"/>
        </w:rPr>
      </w:pPr>
      <w:r w:rsidRPr="00240B6D">
        <w:rPr>
          <w:b/>
          <w:bCs/>
          <w:i/>
          <w:sz w:val="16"/>
          <w:szCs w:val="16"/>
        </w:rPr>
        <w:t xml:space="preserve">Zdroj: ČSÚ 2018, Zdravotnické účty ČR 2010 - 2016 </w:t>
      </w:r>
    </w:p>
    <w:p w:rsidR="00CC2E9C" w:rsidRPr="002E7C59" w:rsidRDefault="00240B6D" w:rsidP="00240B6D">
      <w:pPr>
        <w:spacing w:before="120" w:after="120"/>
        <w:jc w:val="both"/>
        <w:rPr>
          <w:bCs/>
          <w:szCs w:val="17"/>
        </w:rPr>
      </w:pPr>
      <w:r w:rsidRPr="002E7C59">
        <w:rPr>
          <w:bCs/>
          <w:szCs w:val="17"/>
        </w:rPr>
        <w:t xml:space="preserve">Skupina </w:t>
      </w:r>
      <w:r w:rsidRPr="002E7C59">
        <w:rPr>
          <w:b/>
          <w:bCs/>
          <w:szCs w:val="17"/>
        </w:rPr>
        <w:t>dobrovolných plateb</w:t>
      </w:r>
      <w:r w:rsidRPr="002E7C59">
        <w:rPr>
          <w:bCs/>
          <w:szCs w:val="17"/>
        </w:rPr>
        <w:t xml:space="preserve"> na zdravotní péči, přes vysokou dynamiku růstu, představuje spíše doplňkový finanční zdroj. Na celkových výdajích na zdravotní péči v ČR se tyto soukromé zdroje</w:t>
      </w:r>
      <w:r w:rsidRPr="002E7C59">
        <w:rPr>
          <w:b/>
          <w:bCs/>
          <w:szCs w:val="17"/>
        </w:rPr>
        <w:t xml:space="preserve"> </w:t>
      </w:r>
      <w:r w:rsidRPr="002E7C59">
        <w:rPr>
          <w:bCs/>
          <w:szCs w:val="17"/>
        </w:rPr>
        <w:t>(bez přímých výdajů domácností) v roce 2016 podílely necelými 3 % (10,2 mld. Kč) a na celkových soukromých zdrojích pak 1</w:t>
      </w:r>
      <w:r w:rsidR="002E7C59" w:rsidRPr="002E7C59">
        <w:rPr>
          <w:bCs/>
          <w:szCs w:val="17"/>
        </w:rPr>
        <w:t>6,6</w:t>
      </w:r>
      <w:r w:rsidRPr="002E7C59">
        <w:rPr>
          <w:bCs/>
          <w:szCs w:val="17"/>
        </w:rPr>
        <w:t> %. Tato skupina zahrnuje různorodé finanční zdroje.</w:t>
      </w:r>
      <w:r w:rsidR="00591143" w:rsidRPr="002E7C59">
        <w:rPr>
          <w:bCs/>
          <w:szCs w:val="17"/>
        </w:rPr>
        <w:t xml:space="preserve"> </w:t>
      </w:r>
    </w:p>
    <w:p w:rsidR="00591143" w:rsidRPr="002E7C59" w:rsidRDefault="00CC2E9C" w:rsidP="00240B6D">
      <w:pPr>
        <w:spacing w:before="120" w:after="120"/>
        <w:jc w:val="both"/>
        <w:rPr>
          <w:bCs/>
          <w:szCs w:val="17"/>
        </w:rPr>
      </w:pPr>
      <w:r w:rsidRPr="002E7C59">
        <w:rPr>
          <w:b/>
          <w:bCs/>
          <w:szCs w:val="17"/>
        </w:rPr>
        <w:t>S</w:t>
      </w:r>
      <w:r w:rsidR="00240B6D" w:rsidRPr="002E7C59">
        <w:rPr>
          <w:b/>
          <w:bCs/>
          <w:szCs w:val="17"/>
        </w:rPr>
        <w:t>oukromé zdravotní pojišťovny</w:t>
      </w:r>
      <w:r w:rsidR="00240B6D" w:rsidRPr="002E7C59">
        <w:rPr>
          <w:bCs/>
          <w:szCs w:val="17"/>
        </w:rPr>
        <w:t xml:space="preserve"> jsou </w:t>
      </w:r>
      <w:r w:rsidR="00213704" w:rsidRPr="002E7C59">
        <w:rPr>
          <w:bCs/>
          <w:szCs w:val="17"/>
        </w:rPr>
        <w:t xml:space="preserve">v Česku </w:t>
      </w:r>
      <w:r w:rsidR="00240B6D" w:rsidRPr="002E7C59">
        <w:rPr>
          <w:bCs/>
          <w:szCs w:val="17"/>
        </w:rPr>
        <w:t xml:space="preserve">založeny </w:t>
      </w:r>
      <w:r w:rsidR="00591143" w:rsidRPr="002E7C59">
        <w:rPr>
          <w:bCs/>
          <w:szCs w:val="17"/>
        </w:rPr>
        <w:t xml:space="preserve">pouze </w:t>
      </w:r>
      <w:r w:rsidR="00240B6D" w:rsidRPr="002E7C59">
        <w:rPr>
          <w:bCs/>
          <w:szCs w:val="17"/>
        </w:rPr>
        <w:t>na principu cestovního pojištění</w:t>
      </w:r>
      <w:r w:rsidR="00591143" w:rsidRPr="002E7C59">
        <w:rPr>
          <w:bCs/>
          <w:szCs w:val="17"/>
        </w:rPr>
        <w:t xml:space="preserve">. Na rozdíl od některých jiných </w:t>
      </w:r>
      <w:r w:rsidRPr="002E7C59">
        <w:rPr>
          <w:bCs/>
          <w:szCs w:val="17"/>
        </w:rPr>
        <w:t xml:space="preserve">evropských </w:t>
      </w:r>
      <w:r w:rsidR="00591143" w:rsidRPr="002E7C59">
        <w:rPr>
          <w:bCs/>
          <w:szCs w:val="17"/>
        </w:rPr>
        <w:t xml:space="preserve">států např. Slovinska, Francie </w:t>
      </w:r>
      <w:r w:rsidRPr="002E7C59">
        <w:rPr>
          <w:bCs/>
          <w:szCs w:val="17"/>
        </w:rPr>
        <w:t>či</w:t>
      </w:r>
      <w:r w:rsidR="00591143" w:rsidRPr="002E7C59">
        <w:rPr>
          <w:bCs/>
          <w:szCs w:val="17"/>
        </w:rPr>
        <w:t xml:space="preserve"> Irska, ve kterých j</w:t>
      </w:r>
      <w:r w:rsidRPr="002E7C59">
        <w:rPr>
          <w:bCs/>
          <w:szCs w:val="17"/>
        </w:rPr>
        <w:t>e</w:t>
      </w:r>
      <w:r w:rsidR="00591143" w:rsidRPr="002E7C59">
        <w:rPr>
          <w:bCs/>
          <w:szCs w:val="17"/>
        </w:rPr>
        <w:t xml:space="preserve"> </w:t>
      </w:r>
      <w:r w:rsidRPr="002E7C59">
        <w:rPr>
          <w:bCs/>
          <w:szCs w:val="17"/>
        </w:rPr>
        <w:t xml:space="preserve">podíl </w:t>
      </w:r>
      <w:r w:rsidR="00591143" w:rsidRPr="002E7C59">
        <w:rPr>
          <w:bCs/>
          <w:szCs w:val="17"/>
        </w:rPr>
        <w:t>výdaj</w:t>
      </w:r>
      <w:r w:rsidRPr="002E7C59">
        <w:rPr>
          <w:bCs/>
          <w:szCs w:val="17"/>
        </w:rPr>
        <w:t>ů</w:t>
      </w:r>
      <w:r w:rsidR="00591143" w:rsidRPr="002E7C59">
        <w:rPr>
          <w:bCs/>
          <w:szCs w:val="17"/>
        </w:rPr>
        <w:t xml:space="preserve"> na zdravotní péči financovan</w:t>
      </w:r>
      <w:r w:rsidRPr="002E7C59">
        <w:rPr>
          <w:bCs/>
          <w:szCs w:val="17"/>
        </w:rPr>
        <w:t>ý</w:t>
      </w:r>
      <w:r w:rsidR="00591143" w:rsidRPr="002E7C59">
        <w:rPr>
          <w:bCs/>
          <w:szCs w:val="17"/>
        </w:rPr>
        <w:t xml:space="preserve"> </w:t>
      </w:r>
      <w:r w:rsidR="00591143" w:rsidRPr="002E7C59">
        <w:rPr>
          <w:b/>
          <w:bCs/>
          <w:szCs w:val="17"/>
        </w:rPr>
        <w:t>ze soukromého pojištění</w:t>
      </w:r>
      <w:r w:rsidR="00591143" w:rsidRPr="002E7C59">
        <w:rPr>
          <w:bCs/>
          <w:szCs w:val="17"/>
        </w:rPr>
        <w:t xml:space="preserve"> </w:t>
      </w:r>
      <w:r w:rsidRPr="002E7C59">
        <w:rPr>
          <w:bCs/>
          <w:szCs w:val="17"/>
        </w:rPr>
        <w:t xml:space="preserve">přibližně </w:t>
      </w:r>
      <w:r w:rsidR="00591143" w:rsidRPr="002E7C59">
        <w:rPr>
          <w:bCs/>
          <w:szCs w:val="17"/>
        </w:rPr>
        <w:t xml:space="preserve">15 </w:t>
      </w:r>
      <w:r w:rsidRPr="002E7C59">
        <w:rPr>
          <w:bCs/>
          <w:szCs w:val="17"/>
        </w:rPr>
        <w:t>%</w:t>
      </w:r>
      <w:r w:rsidR="00591143" w:rsidRPr="002E7C59">
        <w:rPr>
          <w:bCs/>
          <w:szCs w:val="17"/>
        </w:rPr>
        <w:t xml:space="preserve">, </w:t>
      </w:r>
      <w:r w:rsidRPr="002E7C59">
        <w:rPr>
          <w:bCs/>
          <w:szCs w:val="17"/>
        </w:rPr>
        <w:t xml:space="preserve">i z výše uvedeného, </w:t>
      </w:r>
      <w:r w:rsidR="00591143" w:rsidRPr="002E7C59">
        <w:rPr>
          <w:bCs/>
          <w:szCs w:val="17"/>
        </w:rPr>
        <w:t xml:space="preserve">v Česku dosahuje jeho podíl </w:t>
      </w:r>
      <w:r w:rsidRPr="002E7C59">
        <w:rPr>
          <w:bCs/>
          <w:szCs w:val="17"/>
        </w:rPr>
        <w:t>jen 0,</w:t>
      </w:r>
      <w:r w:rsidR="00591143" w:rsidRPr="002E7C59">
        <w:rPr>
          <w:bCs/>
          <w:szCs w:val="17"/>
        </w:rPr>
        <w:t>1 %.</w:t>
      </w:r>
      <w:r w:rsidR="00240B6D" w:rsidRPr="002E7C59">
        <w:rPr>
          <w:bCs/>
          <w:szCs w:val="17"/>
        </w:rPr>
        <w:t xml:space="preserve"> </w:t>
      </w:r>
    </w:p>
    <w:p w:rsidR="00213704" w:rsidRDefault="00591143" w:rsidP="00240B6D">
      <w:pPr>
        <w:spacing w:before="120" w:after="120"/>
        <w:jc w:val="both"/>
        <w:rPr>
          <w:bCs/>
          <w:szCs w:val="17"/>
        </w:rPr>
      </w:pPr>
      <w:r w:rsidRPr="002E7C59">
        <w:rPr>
          <w:b/>
          <w:bCs/>
          <w:szCs w:val="17"/>
        </w:rPr>
        <w:t>N</w:t>
      </w:r>
      <w:r w:rsidR="00240B6D" w:rsidRPr="002E7C59">
        <w:rPr>
          <w:b/>
          <w:bCs/>
          <w:szCs w:val="17"/>
        </w:rPr>
        <w:t>eziskové instituce</w:t>
      </w:r>
      <w:r w:rsidR="00240B6D" w:rsidRPr="002E7C59">
        <w:rPr>
          <w:bCs/>
          <w:szCs w:val="17"/>
        </w:rPr>
        <w:t xml:space="preserve"> (např. Červený kříž) jsou </w:t>
      </w:r>
      <w:r w:rsidRPr="002E7C59">
        <w:rPr>
          <w:bCs/>
          <w:szCs w:val="17"/>
        </w:rPr>
        <w:t xml:space="preserve">v Česku </w:t>
      </w:r>
      <w:r w:rsidR="00240B6D" w:rsidRPr="002E7C59">
        <w:rPr>
          <w:bCs/>
          <w:szCs w:val="17"/>
        </w:rPr>
        <w:t>orientovány zejména charitativně</w:t>
      </w:r>
      <w:r w:rsidRPr="002E7C59">
        <w:rPr>
          <w:bCs/>
          <w:szCs w:val="17"/>
        </w:rPr>
        <w:t xml:space="preserve"> a jejich podíl na financování zdravotní péče je poměrně vysoký – v roce 2015 s 2,</w:t>
      </w:r>
      <w:r w:rsidR="002E7C59" w:rsidRPr="002E7C59">
        <w:rPr>
          <w:bCs/>
          <w:szCs w:val="17"/>
        </w:rPr>
        <w:t>3</w:t>
      </w:r>
      <w:r w:rsidRPr="002E7C59">
        <w:rPr>
          <w:bCs/>
          <w:szCs w:val="17"/>
        </w:rPr>
        <w:t>% podílem na financování zdravotní péče jsme byly v rámci zemí EU na prvním místě v tomto poměrovém ukazateli.</w:t>
      </w:r>
      <w:r w:rsidR="00240B6D" w:rsidRPr="002E7C59">
        <w:rPr>
          <w:bCs/>
          <w:szCs w:val="17"/>
        </w:rPr>
        <w:t xml:space="preserve"> Pro </w:t>
      </w:r>
      <w:r w:rsidR="00240B6D" w:rsidRPr="002E7C59">
        <w:rPr>
          <w:b/>
          <w:bCs/>
          <w:szCs w:val="17"/>
        </w:rPr>
        <w:t>podnikovou sféru</w:t>
      </w:r>
      <w:r w:rsidR="00240B6D" w:rsidRPr="002E7C59">
        <w:rPr>
          <w:bCs/>
          <w:szCs w:val="17"/>
        </w:rPr>
        <w:t xml:space="preserve"> je účast na financování zdravotní péče, zejména péče preventivní, spíše vedlejší, i když (z pohledu právních norem) nutnou aktivitou.</w:t>
      </w:r>
      <w:r w:rsidR="00240B6D" w:rsidRPr="00240B6D">
        <w:rPr>
          <w:bCs/>
          <w:szCs w:val="17"/>
        </w:rPr>
        <w:t xml:space="preserve"> </w:t>
      </w:r>
    </w:p>
    <w:p w:rsidR="00240B6D" w:rsidRPr="00A5222D" w:rsidRDefault="00240B6D" w:rsidP="00240B6D">
      <w:pPr>
        <w:spacing w:before="120" w:after="120"/>
        <w:jc w:val="both"/>
        <w:rPr>
          <w:bCs/>
          <w:i/>
          <w:szCs w:val="17"/>
        </w:rPr>
      </w:pPr>
      <w:r w:rsidRPr="00240B6D">
        <w:rPr>
          <w:bCs/>
          <w:szCs w:val="17"/>
        </w:rPr>
        <w:t xml:space="preserve">V případě výdajů </w:t>
      </w:r>
      <w:r w:rsidRPr="00240B6D">
        <w:rPr>
          <w:b/>
          <w:bCs/>
          <w:szCs w:val="17"/>
        </w:rPr>
        <w:t>domácností</w:t>
      </w:r>
      <w:r w:rsidRPr="00240B6D">
        <w:rPr>
          <w:bCs/>
          <w:szCs w:val="17"/>
        </w:rPr>
        <w:t xml:space="preserve"> přicházejí v úvahu přímé platby či spoluúčast na úhradách zdravotní péče. V převážné většině případů si domácnosti platí ambulantně užívané léky (ať už se jedná o doplatky u předepsaných léčiv či platby plných cen u volně prodejných léků) a terapeutické pomůcky. Významný podíl výdajů domácností představují též platby za nadstandardní služby a materiál. Další</w:t>
      </w:r>
      <w:r w:rsidR="00157587">
        <w:rPr>
          <w:bCs/>
          <w:szCs w:val="17"/>
        </w:rPr>
        <w:t>,</w:t>
      </w:r>
      <w:r w:rsidRPr="00240B6D">
        <w:rPr>
          <w:bCs/>
          <w:szCs w:val="17"/>
        </w:rPr>
        <w:t xml:space="preserve"> byť méně významné</w:t>
      </w:r>
      <w:r w:rsidR="00157587">
        <w:rPr>
          <w:bCs/>
          <w:szCs w:val="17"/>
        </w:rPr>
        <w:t>,</w:t>
      </w:r>
      <w:r w:rsidRPr="00240B6D">
        <w:rPr>
          <w:bCs/>
          <w:szCs w:val="17"/>
        </w:rPr>
        <w:t xml:space="preserve"> jsou platby za lázeňské pobyty, nadstandardně vybavené pokoje v nemocnicích a platby za různá potvrzení</w:t>
      </w:r>
      <w:r w:rsidR="00157587">
        <w:rPr>
          <w:bCs/>
          <w:szCs w:val="17"/>
        </w:rPr>
        <w:t xml:space="preserve"> např. </w:t>
      </w:r>
      <w:r w:rsidRPr="00240B6D">
        <w:rPr>
          <w:bCs/>
          <w:szCs w:val="17"/>
        </w:rPr>
        <w:t>u praktických lékařů. Od roku 2008 také přibyly regulační poplatky za ošetření u lékařů, za recepty v lékárnách, návštěvu pohotovosti nebo za hospitalizaci v nemocnicích a ostatních lůžkových zařízeních. V průběhu svojí existence prošly regulační poplatky různými změnami a postupně byly tři z nich zrušeny. Od ledna 2015 hradí pacienti pouze regulační poplatek za pohotovostní služby</w:t>
      </w:r>
      <w:r w:rsidR="00A5222D">
        <w:rPr>
          <w:bCs/>
          <w:szCs w:val="17"/>
        </w:rPr>
        <w:t xml:space="preserve">. </w:t>
      </w:r>
      <w:r w:rsidR="00A5222D" w:rsidRPr="00A5222D">
        <w:rPr>
          <w:bCs/>
          <w:i/>
          <w:szCs w:val="17"/>
        </w:rPr>
        <w:t>P</w:t>
      </w:r>
      <w:r w:rsidRPr="00A5222D">
        <w:rPr>
          <w:bCs/>
          <w:i/>
          <w:szCs w:val="17"/>
        </w:rPr>
        <w:t>odrobněj</w:t>
      </w:r>
      <w:r w:rsidR="00A5222D" w:rsidRPr="00A5222D">
        <w:rPr>
          <w:bCs/>
          <w:i/>
          <w:szCs w:val="17"/>
        </w:rPr>
        <w:t>ší informace jsou k dispozici v k</w:t>
      </w:r>
      <w:r w:rsidRPr="00A5222D">
        <w:rPr>
          <w:bCs/>
          <w:i/>
          <w:szCs w:val="17"/>
        </w:rPr>
        <w:t>apitol</w:t>
      </w:r>
      <w:r w:rsidR="00A5222D" w:rsidRPr="00A5222D">
        <w:rPr>
          <w:bCs/>
          <w:i/>
          <w:szCs w:val="17"/>
        </w:rPr>
        <w:t>e</w:t>
      </w:r>
      <w:r w:rsidRPr="00A5222D">
        <w:rPr>
          <w:bCs/>
          <w:i/>
          <w:szCs w:val="17"/>
        </w:rPr>
        <w:t xml:space="preserve"> 3.2 Výdaje domácností na zdravotní péči.</w:t>
      </w:r>
    </w:p>
    <w:p w:rsidR="001319EB" w:rsidRPr="00240B6D" w:rsidRDefault="001319EB" w:rsidP="007572C9">
      <w:pPr>
        <w:keepNext/>
        <w:keepLines/>
        <w:pageBreakBefore/>
        <w:spacing w:before="360" w:after="120"/>
        <w:outlineLvl w:val="1"/>
        <w:rPr>
          <w:rFonts w:eastAsia="MS Gothic"/>
          <w:b/>
          <w:bCs/>
          <w:color w:val="BC091B"/>
          <w:sz w:val="28"/>
          <w:szCs w:val="26"/>
        </w:rPr>
      </w:pPr>
      <w:bookmarkStart w:id="5" w:name="_Toc481748787"/>
      <w:bookmarkStart w:id="6" w:name="_Toc130184754"/>
      <w:bookmarkStart w:id="7" w:name="_Toc256065138"/>
      <w:bookmarkEnd w:id="1"/>
      <w:bookmarkEnd w:id="2"/>
      <w:r w:rsidRPr="00240B6D">
        <w:rPr>
          <w:rFonts w:eastAsia="MS Gothic"/>
          <w:b/>
          <w:bCs/>
          <w:color w:val="BC091B"/>
          <w:sz w:val="28"/>
          <w:szCs w:val="26"/>
        </w:rPr>
        <w:lastRenderedPageBreak/>
        <w:t>2.3 Výdaje na zdravotnictví podle druhů péče</w:t>
      </w:r>
      <w:bookmarkEnd w:id="5"/>
      <w:r w:rsidRPr="00240B6D">
        <w:rPr>
          <w:rFonts w:eastAsia="MS Gothic"/>
          <w:b/>
          <w:bCs/>
          <w:color w:val="BC091B"/>
          <w:sz w:val="28"/>
          <w:szCs w:val="26"/>
        </w:rPr>
        <w:t xml:space="preserve"> </w:t>
      </w:r>
      <w:bookmarkEnd w:id="6"/>
      <w:bookmarkEnd w:id="7"/>
    </w:p>
    <w:p w:rsidR="00696417" w:rsidRDefault="00240B6D" w:rsidP="00213704">
      <w:pPr>
        <w:spacing w:before="120"/>
        <w:jc w:val="both"/>
        <w:rPr>
          <w:rFonts w:cs="Arial"/>
          <w:szCs w:val="20"/>
        </w:rPr>
      </w:pPr>
      <w:r w:rsidRPr="00240B6D">
        <w:rPr>
          <w:rFonts w:cs="Arial"/>
          <w:szCs w:val="20"/>
        </w:rPr>
        <w:t xml:space="preserve">Druhý významný pohled na problematiku zdravotní péče souvisí s druhem péče, která je poskytována. Zdravotní péče může být spotřebovávána dvěma způsoby: individuálně nebo kolektivně. Vzhledem ke skutečnosti, že zdravotní stav je vlastností jednotlivců, většina spotřeby zdravotních služeb se vztahuje k soukromé spotřebě. </w:t>
      </w:r>
    </w:p>
    <w:p w:rsidR="008E41B4" w:rsidRDefault="00240B6D" w:rsidP="00213704">
      <w:pPr>
        <w:spacing w:before="120"/>
        <w:jc w:val="both"/>
        <w:rPr>
          <w:rFonts w:cs="Arial"/>
          <w:szCs w:val="20"/>
        </w:rPr>
      </w:pPr>
      <w:r w:rsidRPr="00696417">
        <w:rPr>
          <w:rFonts w:cs="Arial"/>
          <w:b/>
          <w:szCs w:val="20"/>
        </w:rPr>
        <w:t>Individuální</w:t>
      </w:r>
      <w:r w:rsidRPr="00696417">
        <w:rPr>
          <w:rFonts w:cs="Arial"/>
          <w:szCs w:val="20"/>
        </w:rPr>
        <w:t xml:space="preserve"> spotřeba obsahuje standardní kroky léčebného procesu – stanovení diagnózy, formace léčebného plánu, předepsání léku či terapie, diagnostiku a lékařské hodnocení, provedení léčby a hodnocení výsledků. Osobní zdravotní péče zahrnuje léčebnou, rehabilitační, dlouhodobou zdravotní péči a také podpůrné služby (laboratoře, zobrazovací metody a dopravu pacientů) a v neposlední řadě léky a</w:t>
      </w:r>
      <w:r w:rsidR="007C740E">
        <w:rPr>
          <w:rFonts w:cs="Arial"/>
          <w:szCs w:val="20"/>
        </w:rPr>
        <w:t> </w:t>
      </w:r>
      <w:r w:rsidRPr="00696417">
        <w:rPr>
          <w:rFonts w:cs="Arial"/>
          <w:szCs w:val="20"/>
        </w:rPr>
        <w:t>terapeutické pomůcky.</w:t>
      </w:r>
      <w:r w:rsidRPr="00240B6D">
        <w:rPr>
          <w:rFonts w:cs="Arial"/>
          <w:szCs w:val="20"/>
        </w:rPr>
        <w:t xml:space="preserve"> </w:t>
      </w:r>
      <w:r w:rsidR="008E41B4" w:rsidRPr="00240B6D">
        <w:rPr>
          <w:rFonts w:eastAsia="Calibri" w:cs="Arial"/>
          <w:szCs w:val="20"/>
          <w:lang w:eastAsia="en-US"/>
        </w:rPr>
        <w:t xml:space="preserve">Výdaje na individuální spotřebu pokrývají </w:t>
      </w:r>
      <w:r w:rsidR="008E41B4">
        <w:rPr>
          <w:rFonts w:eastAsia="Calibri" w:cs="Arial"/>
          <w:szCs w:val="20"/>
          <w:lang w:eastAsia="en-US"/>
        </w:rPr>
        <w:t xml:space="preserve">v Česku </w:t>
      </w:r>
      <w:r w:rsidR="008E41B4" w:rsidRPr="00240B6D">
        <w:rPr>
          <w:rFonts w:eastAsia="Calibri" w:cs="Arial"/>
          <w:szCs w:val="20"/>
          <w:lang w:eastAsia="en-US"/>
        </w:rPr>
        <w:t>dlouhodobě 89</w:t>
      </w:r>
      <w:r w:rsidR="008E41B4">
        <w:rPr>
          <w:rFonts w:eastAsia="Calibri" w:cs="Arial"/>
          <w:szCs w:val="20"/>
          <w:lang w:eastAsia="en-US"/>
        </w:rPr>
        <w:t> </w:t>
      </w:r>
      <w:r w:rsidR="008E41B4" w:rsidRPr="00240B6D">
        <w:rPr>
          <w:rFonts w:eastAsia="Calibri" w:cs="Arial"/>
          <w:szCs w:val="20"/>
          <w:lang w:eastAsia="en-US"/>
        </w:rPr>
        <w:t>% celkových výdajů na zdravotní péči</w:t>
      </w:r>
    </w:p>
    <w:p w:rsidR="00240B6D" w:rsidRPr="00240B6D" w:rsidRDefault="00240B6D" w:rsidP="0026319A">
      <w:pPr>
        <w:keepNext/>
        <w:spacing w:before="240" w:after="120" w:line="240" w:lineRule="auto"/>
        <w:jc w:val="both"/>
        <w:rPr>
          <w:b/>
          <w:bCs/>
          <w:sz w:val="18"/>
          <w:szCs w:val="18"/>
        </w:rPr>
      </w:pPr>
      <w:r w:rsidRPr="00240B6D">
        <w:rPr>
          <w:b/>
          <w:bCs/>
          <w:sz w:val="18"/>
          <w:szCs w:val="18"/>
        </w:rPr>
        <w:t>Tabulka č. 2.2 Výdaje na zdravotnictví v Česku podle druhů péče, 2010 - 2016 (mil. Kč)</w:t>
      </w:r>
    </w:p>
    <w:tbl>
      <w:tblPr>
        <w:tblW w:w="9670" w:type="dxa"/>
        <w:tblInd w:w="93" w:type="dxa"/>
        <w:tblLook w:val="04A0" w:firstRow="1" w:lastRow="0" w:firstColumn="1" w:lastColumn="0" w:noHBand="0" w:noVBand="1"/>
      </w:tblPr>
      <w:tblGrid>
        <w:gridCol w:w="2778"/>
        <w:gridCol w:w="844"/>
        <w:gridCol w:w="845"/>
        <w:gridCol w:w="846"/>
        <w:gridCol w:w="846"/>
        <w:gridCol w:w="846"/>
        <w:gridCol w:w="846"/>
        <w:gridCol w:w="846"/>
        <w:gridCol w:w="973"/>
      </w:tblGrid>
      <w:tr w:rsidR="00240B6D" w:rsidRPr="00240B6D" w:rsidTr="008E41B4">
        <w:trPr>
          <w:trHeight w:val="305"/>
        </w:trPr>
        <w:tc>
          <w:tcPr>
            <w:tcW w:w="2778"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sz w:val="16"/>
                <w:szCs w:val="16"/>
                <w:lang w:eastAsia="en-US"/>
              </w:rPr>
            </w:pPr>
            <w:r w:rsidRPr="00240B6D">
              <w:rPr>
                <w:rFonts w:cs="Arial"/>
                <w:sz w:val="16"/>
                <w:szCs w:val="16"/>
                <w:lang w:eastAsia="en-US"/>
              </w:rPr>
              <w:t>Ukazatel</w:t>
            </w:r>
          </w:p>
        </w:tc>
        <w:tc>
          <w:tcPr>
            <w:tcW w:w="844"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2010</w:t>
            </w:r>
          </w:p>
        </w:tc>
        <w:tc>
          <w:tcPr>
            <w:tcW w:w="84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2011</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2012</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2013</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2014</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2015</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2016</w:t>
            </w:r>
          </w:p>
        </w:tc>
        <w:tc>
          <w:tcPr>
            <w:tcW w:w="973" w:type="dxa"/>
            <w:tcBorders>
              <w:top w:val="single" w:sz="8" w:space="0" w:color="auto"/>
              <w:left w:val="nil"/>
              <w:bottom w:val="single" w:sz="8" w:space="0" w:color="auto"/>
              <w:right w:val="nil"/>
            </w:tcBorders>
            <w:shd w:val="clear" w:color="auto" w:fill="auto"/>
            <w:vAlign w:val="center"/>
            <w:hideMark/>
          </w:tcPr>
          <w:p w:rsidR="00240B6D" w:rsidRPr="00240B6D" w:rsidRDefault="00240B6D" w:rsidP="00240B6D">
            <w:pPr>
              <w:spacing w:line="240" w:lineRule="auto"/>
              <w:jc w:val="center"/>
              <w:rPr>
                <w:rFonts w:cs="Arial"/>
                <w:b/>
                <w:bCs/>
                <w:i/>
                <w:iCs/>
                <w:color w:val="000000"/>
                <w:sz w:val="16"/>
                <w:szCs w:val="16"/>
                <w:lang w:eastAsia="en-US"/>
              </w:rPr>
            </w:pPr>
            <w:r w:rsidRPr="00240B6D">
              <w:rPr>
                <w:rFonts w:cs="Arial"/>
                <w:b/>
                <w:bCs/>
                <w:i/>
                <w:iCs/>
                <w:color w:val="000000"/>
                <w:sz w:val="16"/>
                <w:szCs w:val="16"/>
                <w:lang w:eastAsia="en-US"/>
              </w:rPr>
              <w:t>Index 2016/2015</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Léčebná péče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137 302</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137 826</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137 987</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140 948</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137 311</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141 600</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142 437</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100,6</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lůžková </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55 948</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55 740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54 422</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53 489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52 473</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51 431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50 938</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99,0</w:t>
            </w:r>
          </w:p>
        </w:tc>
      </w:tr>
      <w:tr w:rsidR="00370B28"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370B28" w:rsidRPr="00240B6D" w:rsidRDefault="00370B28" w:rsidP="00370B28">
            <w:pPr>
              <w:spacing w:line="240" w:lineRule="auto"/>
              <w:ind w:firstLineChars="100" w:firstLine="160"/>
              <w:rPr>
                <w:rFonts w:cs="Arial"/>
                <w:sz w:val="16"/>
                <w:szCs w:val="16"/>
                <w:lang w:eastAsia="en-US"/>
              </w:rPr>
            </w:pPr>
            <w:r>
              <w:rPr>
                <w:rFonts w:cs="Arial"/>
                <w:sz w:val="16"/>
                <w:szCs w:val="16"/>
                <w:lang w:eastAsia="en-US"/>
              </w:rPr>
              <w:t>a</w:t>
            </w:r>
            <w:r w:rsidRPr="00240B6D">
              <w:rPr>
                <w:rFonts w:cs="Arial"/>
                <w:sz w:val="16"/>
                <w:szCs w:val="16"/>
                <w:lang w:eastAsia="en-US"/>
              </w:rPr>
              <w:t>mbulantní</w:t>
            </w:r>
            <w:r>
              <w:rPr>
                <w:rFonts w:cs="Arial"/>
                <w:sz w:val="16"/>
                <w:szCs w:val="16"/>
                <w:lang w:eastAsia="en-US"/>
              </w:rPr>
              <w:t xml:space="preserve"> (bez stomatologické)</w:t>
            </w:r>
          </w:p>
        </w:tc>
        <w:tc>
          <w:tcPr>
            <w:tcW w:w="844"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59 101</w:t>
            </w:r>
          </w:p>
        </w:tc>
        <w:tc>
          <w:tcPr>
            <w:tcW w:w="845"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59 364</w:t>
            </w:r>
          </w:p>
        </w:tc>
        <w:tc>
          <w:tcPr>
            <w:tcW w:w="846"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61 826</w:t>
            </w:r>
          </w:p>
        </w:tc>
        <w:tc>
          <w:tcPr>
            <w:tcW w:w="846"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65 040</w:t>
            </w:r>
          </w:p>
        </w:tc>
        <w:tc>
          <w:tcPr>
            <w:tcW w:w="846"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61 609</w:t>
            </w:r>
          </w:p>
        </w:tc>
        <w:tc>
          <w:tcPr>
            <w:tcW w:w="846"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66 461</w:t>
            </w:r>
          </w:p>
        </w:tc>
        <w:tc>
          <w:tcPr>
            <w:tcW w:w="846"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67 361</w:t>
            </w:r>
          </w:p>
        </w:tc>
        <w:tc>
          <w:tcPr>
            <w:tcW w:w="973" w:type="dxa"/>
            <w:tcBorders>
              <w:top w:val="nil"/>
              <w:left w:val="nil"/>
              <w:bottom w:val="nil"/>
              <w:right w:val="nil"/>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101,4</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stomatologická</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16 829</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17 402</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16 378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16 900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17 491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17 781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18 230</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102,5</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A5222D" w:rsidP="00A5222D">
            <w:pPr>
              <w:spacing w:line="240" w:lineRule="auto"/>
              <w:ind w:firstLineChars="100" w:firstLine="160"/>
              <w:rPr>
                <w:rFonts w:cs="Arial"/>
                <w:sz w:val="16"/>
                <w:szCs w:val="16"/>
                <w:lang w:eastAsia="en-US"/>
              </w:rPr>
            </w:pPr>
            <w:r>
              <w:rPr>
                <w:rFonts w:cs="Arial"/>
                <w:sz w:val="16"/>
                <w:szCs w:val="16"/>
                <w:lang w:eastAsia="en-US"/>
              </w:rPr>
              <w:t>d</w:t>
            </w:r>
            <w:r w:rsidR="00240B6D" w:rsidRPr="00240B6D">
              <w:rPr>
                <w:rFonts w:cs="Arial"/>
                <w:sz w:val="16"/>
                <w:szCs w:val="16"/>
                <w:lang w:eastAsia="en-US"/>
              </w:rPr>
              <w:t>enní</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5 238</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5 137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5 185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5 333</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5 561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5 735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5 720</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99,7</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A5222D" w:rsidP="00A5222D">
            <w:pPr>
              <w:spacing w:line="240" w:lineRule="auto"/>
              <w:ind w:firstLineChars="100" w:firstLine="160"/>
              <w:rPr>
                <w:rFonts w:cs="Arial"/>
                <w:sz w:val="16"/>
                <w:szCs w:val="16"/>
                <w:lang w:eastAsia="en-US"/>
              </w:rPr>
            </w:pPr>
            <w:r>
              <w:rPr>
                <w:rFonts w:cs="Arial"/>
                <w:sz w:val="16"/>
                <w:szCs w:val="16"/>
                <w:lang w:eastAsia="en-US"/>
              </w:rPr>
              <w:t>d</w:t>
            </w:r>
            <w:r w:rsidR="00240B6D" w:rsidRPr="00240B6D">
              <w:rPr>
                <w:rFonts w:cs="Arial"/>
                <w:sz w:val="16"/>
                <w:szCs w:val="16"/>
                <w:lang w:eastAsia="en-US"/>
              </w:rPr>
              <w:t>omácí</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186</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183</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192</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187</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97,7</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Rehabilitační péče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12 808</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13 696</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13 652</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13 753</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13 738</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14 764</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15 018</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101,7</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A5222D" w:rsidP="00A5222D">
            <w:pPr>
              <w:spacing w:line="240" w:lineRule="auto"/>
              <w:ind w:firstLineChars="100" w:firstLine="160"/>
              <w:rPr>
                <w:rFonts w:cs="Arial"/>
                <w:sz w:val="16"/>
                <w:szCs w:val="16"/>
                <w:lang w:eastAsia="en-US"/>
              </w:rPr>
            </w:pPr>
            <w:r>
              <w:rPr>
                <w:rFonts w:cs="Arial"/>
                <w:sz w:val="16"/>
                <w:szCs w:val="16"/>
                <w:lang w:eastAsia="en-US"/>
              </w:rPr>
              <w:t>l</w:t>
            </w:r>
            <w:r w:rsidR="00240B6D" w:rsidRPr="00240B6D">
              <w:rPr>
                <w:rFonts w:cs="Arial"/>
                <w:sz w:val="16"/>
                <w:szCs w:val="16"/>
                <w:lang w:eastAsia="en-US"/>
              </w:rPr>
              <w:t>ůžková</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5 886</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6 485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6 266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6 255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6 407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6 911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7 483</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108,3</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ambulantní </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6 922</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7 211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7 386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7 498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7 331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7 853</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7 535</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95,9</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Dlouhodobá péče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52 761</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53 055</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53 007</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55 837</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62 113</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61 018</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65 264</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107,0</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A5222D" w:rsidP="00A5222D">
            <w:pPr>
              <w:spacing w:line="240" w:lineRule="auto"/>
              <w:ind w:firstLineChars="100" w:firstLine="160"/>
              <w:rPr>
                <w:rFonts w:cs="Arial"/>
                <w:sz w:val="16"/>
                <w:szCs w:val="16"/>
                <w:lang w:eastAsia="en-US"/>
              </w:rPr>
            </w:pPr>
            <w:r>
              <w:rPr>
                <w:rFonts w:cs="Arial"/>
                <w:sz w:val="16"/>
                <w:szCs w:val="16"/>
                <w:lang w:eastAsia="en-US"/>
              </w:rPr>
              <w:t>z</w:t>
            </w:r>
            <w:r w:rsidR="00240B6D" w:rsidRPr="00240B6D">
              <w:rPr>
                <w:rFonts w:cs="Arial"/>
                <w:sz w:val="16"/>
                <w:szCs w:val="16"/>
                <w:lang w:eastAsia="en-US"/>
              </w:rPr>
              <w:t>dravotní</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35 762</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37 005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37 081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38 596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44 035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42 407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45 116</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106,4</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A5222D" w:rsidP="00A5222D">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ociální</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16 999</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16 050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15 926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17 241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18 078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18 611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20 148</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108,3</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Doplňkové služby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37 039</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37 525</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38 213</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38 469</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38 883</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40 020</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41 081</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102,7</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laboratorní služby</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19 917</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20 149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21 001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21 215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21 454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22 037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22 527</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102,2</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zobrazovací metody</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9 729</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9 855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9 861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10 044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10 490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10 484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10 698</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102,0</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doprava pacientů</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7 393</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7 521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7 351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7 210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6 939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7 499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7 856</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104,8</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Léčiva a zdrav. </w:t>
            </w:r>
            <w:proofErr w:type="gramStart"/>
            <w:r w:rsidRPr="00240B6D">
              <w:rPr>
                <w:rFonts w:cs="Arial"/>
                <w:b/>
                <w:bCs/>
                <w:sz w:val="16"/>
                <w:szCs w:val="16"/>
                <w:lang w:eastAsia="en-US"/>
              </w:rPr>
              <w:t>výrobky</w:t>
            </w:r>
            <w:proofErr w:type="gramEnd"/>
            <w:r w:rsidRPr="00240B6D">
              <w:rPr>
                <w:rFonts w:cs="Arial"/>
                <w:b/>
                <w:bCs/>
                <w:sz w:val="16"/>
                <w:szCs w:val="16"/>
                <w:lang w:eastAsia="en-US"/>
              </w:rPr>
              <w:t xml:space="preserve">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66 231</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67 626</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70 676</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66 784</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67 021</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67 831</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69 285</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102,1</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léčiva a zdravotnický materiál (1)</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57 091</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58 298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61 390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56 221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56 957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58 061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59 365</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102,2</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terapeutické pomůcky</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9 141</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9 329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9 286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10 563</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10 064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9 770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9 921</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101,5</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Preventivní péče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9 990</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10 364</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10 595</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10 765</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11 433</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9 027</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9 739</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107,9</w:t>
            </w:r>
          </w:p>
        </w:tc>
      </w:tr>
      <w:tr w:rsidR="00240B6D" w:rsidRPr="00240B6D" w:rsidTr="00240B6D">
        <w:trPr>
          <w:trHeight w:val="397"/>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programy pro sledování  </w:t>
            </w:r>
          </w:p>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zdravotního stavu</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6 541</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6 881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6 900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7 034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7 561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5 455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6 121</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112,2</w:t>
            </w:r>
          </w:p>
        </w:tc>
      </w:tr>
      <w:tr w:rsidR="00240B6D" w:rsidRPr="00240B6D" w:rsidTr="00240B6D">
        <w:trPr>
          <w:trHeight w:val="397"/>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programy pro včasné </w:t>
            </w:r>
          </w:p>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odhalení nemocí</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1 573</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1 554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1 586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1 644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1 659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1 637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1 746</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106,6</w:t>
            </w:r>
          </w:p>
        </w:tc>
      </w:tr>
      <w:tr w:rsidR="00240B6D" w:rsidRPr="00240B6D" w:rsidTr="00240B6D">
        <w:trPr>
          <w:trHeight w:val="397"/>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imunizační </w:t>
            </w:r>
          </w:p>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programy</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1 389</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1 432</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1 484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1 458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1 576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1 267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1 172</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92,5</w:t>
            </w:r>
          </w:p>
        </w:tc>
      </w:tr>
      <w:tr w:rsidR="00240B6D" w:rsidRPr="00240B6D" w:rsidTr="00240B6D">
        <w:trPr>
          <w:trHeight w:val="397"/>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informační a poradenské </w:t>
            </w:r>
          </w:p>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programy</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487</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497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626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629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637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668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700</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104,8</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Správa systému zdravotní péče</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8 649</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8 758</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8 634</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9 005</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9 040</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8 536</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8 583</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100,6</w:t>
            </w:r>
          </w:p>
        </w:tc>
      </w:tr>
      <w:tr w:rsidR="00240B6D" w:rsidRPr="00240B6D" w:rsidTr="00370B28">
        <w:trPr>
          <w:trHeight w:val="300"/>
        </w:trPr>
        <w:tc>
          <w:tcPr>
            <w:tcW w:w="2778"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A5222D">
            <w:pPr>
              <w:spacing w:line="240" w:lineRule="auto"/>
              <w:rPr>
                <w:rFonts w:cs="Arial"/>
                <w:bCs/>
                <w:i/>
                <w:iCs/>
                <w:sz w:val="16"/>
                <w:szCs w:val="16"/>
                <w:lang w:eastAsia="en-US"/>
              </w:rPr>
            </w:pPr>
            <w:r w:rsidRPr="00240B6D">
              <w:rPr>
                <w:rFonts w:cs="Arial"/>
                <w:bCs/>
                <w:i/>
                <w:iCs/>
                <w:sz w:val="16"/>
                <w:szCs w:val="16"/>
                <w:lang w:eastAsia="en-US"/>
              </w:rPr>
              <w:t xml:space="preserve">  </w:t>
            </w:r>
            <w:r w:rsidR="00A5222D">
              <w:rPr>
                <w:rFonts w:cs="Arial"/>
                <w:bCs/>
                <w:i/>
                <w:iCs/>
                <w:sz w:val="16"/>
                <w:szCs w:val="16"/>
                <w:lang w:eastAsia="en-US"/>
              </w:rPr>
              <w:t>o</w:t>
            </w:r>
            <w:r w:rsidRPr="00240B6D">
              <w:rPr>
                <w:rFonts w:cs="Arial"/>
                <w:bCs/>
                <w:i/>
                <w:iCs/>
                <w:sz w:val="16"/>
                <w:szCs w:val="16"/>
                <w:lang w:eastAsia="en-US"/>
              </w:rPr>
              <w:t>statní či nespecifikováno (2)</w:t>
            </w:r>
          </w:p>
        </w:tc>
        <w:tc>
          <w:tcPr>
            <w:tcW w:w="844"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9 307</w:t>
            </w:r>
          </w:p>
        </w:tc>
        <w:tc>
          <w:tcPr>
            <w:tcW w:w="845"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9 232</w:t>
            </w:r>
          </w:p>
        </w:tc>
        <w:tc>
          <w:tcPr>
            <w:tcW w:w="84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9 149</w:t>
            </w:r>
          </w:p>
        </w:tc>
        <w:tc>
          <w:tcPr>
            <w:tcW w:w="84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9 159</w:t>
            </w:r>
          </w:p>
        </w:tc>
        <w:tc>
          <w:tcPr>
            <w:tcW w:w="84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9 192</w:t>
            </w:r>
          </w:p>
        </w:tc>
        <w:tc>
          <w:tcPr>
            <w:tcW w:w="84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9 245</w:t>
            </w:r>
          </w:p>
        </w:tc>
        <w:tc>
          <w:tcPr>
            <w:tcW w:w="84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10 240</w:t>
            </w:r>
          </w:p>
        </w:tc>
        <w:tc>
          <w:tcPr>
            <w:tcW w:w="973" w:type="dxa"/>
            <w:tcBorders>
              <w:top w:val="nil"/>
              <w:left w:val="nil"/>
              <w:bottom w:val="single" w:sz="8" w:space="0" w:color="auto"/>
              <w:right w:val="nil"/>
            </w:tcBorders>
            <w:shd w:val="clear" w:color="auto" w:fill="auto"/>
            <w:noWrap/>
            <w:vAlign w:val="bottom"/>
            <w:hideMark/>
          </w:tcPr>
          <w:p w:rsidR="00240B6D" w:rsidRPr="00240B6D" w:rsidRDefault="00240B6D" w:rsidP="00240B6D">
            <w:pPr>
              <w:spacing w:line="240" w:lineRule="auto"/>
              <w:jc w:val="right"/>
              <w:rPr>
                <w:rFonts w:cs="Arial"/>
                <w:bCs/>
                <w:i/>
                <w:iCs/>
                <w:color w:val="000000"/>
                <w:sz w:val="16"/>
                <w:szCs w:val="16"/>
                <w:lang w:eastAsia="en-US"/>
              </w:rPr>
            </w:pPr>
            <w:r w:rsidRPr="00240B6D">
              <w:rPr>
                <w:rFonts w:cs="Arial"/>
                <w:bCs/>
                <w:i/>
                <w:iCs/>
                <w:color w:val="000000"/>
                <w:sz w:val="16"/>
                <w:szCs w:val="16"/>
                <w:lang w:eastAsia="en-US"/>
              </w:rPr>
              <w:t>110,8</w:t>
            </w:r>
          </w:p>
        </w:tc>
      </w:tr>
      <w:tr w:rsidR="00240B6D" w:rsidRPr="00240B6D" w:rsidTr="00A52B44">
        <w:trPr>
          <w:trHeight w:val="300"/>
        </w:trPr>
        <w:tc>
          <w:tcPr>
            <w:tcW w:w="2778"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Zdravotní péče celkem</w:t>
            </w:r>
          </w:p>
        </w:tc>
        <w:tc>
          <w:tcPr>
            <w:tcW w:w="844"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334 088</w:t>
            </w:r>
          </w:p>
        </w:tc>
        <w:tc>
          <w:tcPr>
            <w:tcW w:w="84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338 080</w:t>
            </w:r>
          </w:p>
        </w:tc>
        <w:tc>
          <w:tcPr>
            <w:tcW w:w="84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341 913</w:t>
            </w:r>
          </w:p>
        </w:tc>
        <w:tc>
          <w:tcPr>
            <w:tcW w:w="84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344 720</w:t>
            </w:r>
          </w:p>
        </w:tc>
        <w:tc>
          <w:tcPr>
            <w:tcW w:w="84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348 730</w:t>
            </w:r>
          </w:p>
        </w:tc>
        <w:tc>
          <w:tcPr>
            <w:tcW w:w="84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352 039</w:t>
            </w:r>
          </w:p>
        </w:tc>
        <w:tc>
          <w:tcPr>
            <w:tcW w:w="84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361 647</w:t>
            </w:r>
          </w:p>
        </w:tc>
        <w:tc>
          <w:tcPr>
            <w:tcW w:w="973" w:type="dxa"/>
            <w:tcBorders>
              <w:top w:val="nil"/>
              <w:left w:val="nil"/>
              <w:bottom w:val="single" w:sz="8" w:space="0" w:color="auto"/>
              <w:right w:val="nil"/>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102,7</w:t>
            </w:r>
          </w:p>
        </w:tc>
      </w:tr>
    </w:tbl>
    <w:p w:rsidR="00240B6D" w:rsidRPr="00240B6D" w:rsidRDefault="00240B6D" w:rsidP="00240B6D">
      <w:pPr>
        <w:keepNext/>
        <w:spacing w:before="40" w:line="240" w:lineRule="auto"/>
        <w:jc w:val="both"/>
        <w:rPr>
          <w:bCs/>
          <w:sz w:val="16"/>
          <w:szCs w:val="16"/>
        </w:rPr>
      </w:pPr>
      <w:r w:rsidRPr="00240B6D">
        <w:rPr>
          <w:bCs/>
          <w:sz w:val="16"/>
          <w:szCs w:val="16"/>
        </w:rPr>
        <w:t>(1) zahrnují léky na předpis, volně prodejné léky a další zboží krátkodobé spotřeby např. obvazy, elastické kompresivní punčochy, inkontinenční pomůcky atd</w:t>
      </w:r>
      <w:r w:rsidR="00696417">
        <w:rPr>
          <w:bCs/>
          <w:sz w:val="16"/>
          <w:szCs w:val="16"/>
        </w:rPr>
        <w:t xml:space="preserve">. </w:t>
      </w:r>
      <w:r w:rsidR="00696417" w:rsidRPr="001D189A">
        <w:rPr>
          <w:b/>
          <w:bCs/>
          <w:sz w:val="16"/>
          <w:szCs w:val="16"/>
        </w:rPr>
        <w:t>Nezahrnuje</w:t>
      </w:r>
      <w:r w:rsidR="00696417">
        <w:rPr>
          <w:bCs/>
          <w:sz w:val="16"/>
          <w:szCs w:val="16"/>
        </w:rPr>
        <w:t>, dle manuálu SHA,</w:t>
      </w:r>
      <w:r w:rsidR="00696417" w:rsidRPr="00696417">
        <w:rPr>
          <w:bCs/>
          <w:sz w:val="16"/>
          <w:szCs w:val="16"/>
        </w:rPr>
        <w:t xml:space="preserve"> </w:t>
      </w:r>
      <w:r w:rsidR="00696417">
        <w:rPr>
          <w:bCs/>
          <w:sz w:val="16"/>
          <w:szCs w:val="16"/>
        </w:rPr>
        <w:t xml:space="preserve">výdaje na léky </w:t>
      </w:r>
      <w:r w:rsidR="00696417" w:rsidRPr="006374C2">
        <w:rPr>
          <w:b/>
          <w:bCs/>
          <w:sz w:val="16"/>
          <w:szCs w:val="16"/>
        </w:rPr>
        <w:t>spotřebované přímo</w:t>
      </w:r>
      <w:r w:rsidR="00696417">
        <w:rPr>
          <w:bCs/>
          <w:sz w:val="16"/>
          <w:szCs w:val="16"/>
        </w:rPr>
        <w:t xml:space="preserve"> ve zdravotnických zařízeních. </w:t>
      </w:r>
    </w:p>
    <w:p w:rsidR="00240B6D" w:rsidRPr="00240B6D" w:rsidRDefault="00240B6D" w:rsidP="00240B6D">
      <w:pPr>
        <w:keepNext/>
        <w:spacing w:before="40" w:line="240" w:lineRule="auto"/>
        <w:jc w:val="both"/>
        <w:rPr>
          <w:bCs/>
          <w:sz w:val="16"/>
          <w:szCs w:val="16"/>
        </w:rPr>
      </w:pPr>
      <w:r w:rsidRPr="00240B6D">
        <w:rPr>
          <w:bCs/>
          <w:sz w:val="16"/>
          <w:szCs w:val="16"/>
        </w:rPr>
        <w:t xml:space="preserve">(2) zahrnuje programy na podporu zdraví v širším pohledu např. kontrolu a zavádění nových předpisů na ochranu pitné vody, potravin, bezpečnostní opatření spojená s nakládání s odpady, znečistění půdy a také </w:t>
      </w:r>
      <w:r w:rsidR="008E41B4">
        <w:rPr>
          <w:bCs/>
          <w:sz w:val="16"/>
          <w:szCs w:val="16"/>
        </w:rPr>
        <w:t xml:space="preserve">nespecifikované </w:t>
      </w:r>
      <w:r w:rsidRPr="00240B6D">
        <w:rPr>
          <w:bCs/>
          <w:sz w:val="16"/>
          <w:szCs w:val="16"/>
        </w:rPr>
        <w:t xml:space="preserve">druhy zdravotní péče </w:t>
      </w:r>
    </w:p>
    <w:p w:rsidR="00240B6D" w:rsidRPr="00240B6D" w:rsidRDefault="00240B6D" w:rsidP="0026319A">
      <w:pPr>
        <w:spacing w:before="120" w:line="240" w:lineRule="auto"/>
        <w:ind w:right="-425"/>
        <w:rPr>
          <w:b/>
          <w:bCs/>
          <w:i/>
          <w:sz w:val="16"/>
          <w:szCs w:val="16"/>
        </w:rPr>
      </w:pPr>
      <w:r w:rsidRPr="00240B6D">
        <w:rPr>
          <w:b/>
          <w:bCs/>
          <w:i/>
          <w:sz w:val="16"/>
          <w:szCs w:val="16"/>
        </w:rPr>
        <w:t xml:space="preserve">                                                                                                                                 Zdroj: ČSÚ 2018, Zdravotnické účty ČR 2010 - 2016</w:t>
      </w:r>
    </w:p>
    <w:p w:rsidR="0026319A" w:rsidRDefault="0026319A" w:rsidP="0026319A">
      <w:pPr>
        <w:spacing w:before="120"/>
        <w:jc w:val="both"/>
        <w:rPr>
          <w:rFonts w:eastAsia="Calibri" w:cs="Arial"/>
          <w:szCs w:val="20"/>
          <w:lang w:eastAsia="en-US"/>
        </w:rPr>
      </w:pPr>
      <w:r w:rsidRPr="00240B6D">
        <w:rPr>
          <w:rFonts w:cs="Arial"/>
          <w:szCs w:val="20"/>
        </w:rPr>
        <w:lastRenderedPageBreak/>
        <w:t xml:space="preserve">Do pojmu zdravotní péče podle metodiky SHA patří také služby, které jsou zaměřeny na zlepšení celkového zdravotního stavu populace či efektivity systému zdravotnictví. </w:t>
      </w:r>
      <w:r w:rsidRPr="00240B6D">
        <w:rPr>
          <w:rFonts w:eastAsia="Calibri" w:cs="Arial"/>
          <w:b/>
          <w:szCs w:val="20"/>
          <w:lang w:eastAsia="en-US"/>
        </w:rPr>
        <w:t>Kolektivní</w:t>
      </w:r>
      <w:r w:rsidRPr="00240B6D">
        <w:rPr>
          <w:rFonts w:eastAsia="Calibri" w:cs="Arial"/>
          <w:szCs w:val="20"/>
          <w:lang w:eastAsia="en-US"/>
        </w:rPr>
        <w:t xml:space="preserve"> služby jsou zacíleny na celou populaci (nebo části populace) a mají zlepšit celkové zdravotní standardy nebo efektivitu a výkonnost systému zdravotnictví, To se týká zejména některých preventivních služeb a provádění a finanční správy zdravotnických programů. </w:t>
      </w:r>
    </w:p>
    <w:p w:rsidR="00240B6D" w:rsidRPr="00240B6D" w:rsidRDefault="00240B6D" w:rsidP="00240B6D">
      <w:pPr>
        <w:widowControl w:val="0"/>
        <w:spacing w:before="120" w:after="120"/>
        <w:rPr>
          <w:b/>
          <w:i/>
        </w:rPr>
      </w:pPr>
      <w:r w:rsidRPr="00240B6D">
        <w:rPr>
          <w:b/>
          <w:i/>
        </w:rPr>
        <w:t xml:space="preserve">Léčebná péče tvoří dvě pětiny z celkových výdajů na zdravotní péči </w:t>
      </w:r>
    </w:p>
    <w:p w:rsidR="00A5222D" w:rsidRDefault="00240B6D" w:rsidP="00240B6D">
      <w:pPr>
        <w:spacing w:before="120"/>
        <w:jc w:val="both"/>
        <w:rPr>
          <w:bCs/>
          <w:szCs w:val="20"/>
        </w:rPr>
      </w:pPr>
      <w:r w:rsidRPr="00240B6D">
        <w:rPr>
          <w:bCs/>
          <w:szCs w:val="20"/>
        </w:rPr>
        <w:t xml:space="preserve">Z hlediska </w:t>
      </w:r>
      <w:r w:rsidR="00A5222D">
        <w:rPr>
          <w:bCs/>
          <w:szCs w:val="20"/>
        </w:rPr>
        <w:t xml:space="preserve">výše </w:t>
      </w:r>
      <w:r w:rsidRPr="00240B6D">
        <w:rPr>
          <w:bCs/>
          <w:szCs w:val="20"/>
        </w:rPr>
        <w:t xml:space="preserve">běžných (neinvestičních) výdajů na zdravotní péči v Česku, je dlouhodobě na prvním místě </w:t>
      </w:r>
      <w:r w:rsidRPr="00A5222D">
        <w:rPr>
          <w:b/>
          <w:bCs/>
          <w:szCs w:val="20"/>
        </w:rPr>
        <w:t>péče léčebná</w:t>
      </w:r>
      <w:r w:rsidR="00A5222D">
        <w:rPr>
          <w:bCs/>
          <w:szCs w:val="20"/>
        </w:rPr>
        <w:t xml:space="preserve">. V letech 2010 až 2016 na léčebnou péči v průměru směřovalo </w:t>
      </w:r>
      <w:r w:rsidRPr="00240B6D">
        <w:rPr>
          <w:bCs/>
          <w:szCs w:val="20"/>
        </w:rPr>
        <w:t xml:space="preserve">40 % </w:t>
      </w:r>
      <w:r w:rsidR="00A5222D">
        <w:rPr>
          <w:bCs/>
          <w:szCs w:val="20"/>
        </w:rPr>
        <w:t xml:space="preserve">z finančních prostředků určených na celkovou zdravotní péči. Tento podíl se v čase </w:t>
      </w:r>
      <w:r w:rsidRPr="00240B6D">
        <w:rPr>
          <w:bCs/>
          <w:szCs w:val="20"/>
        </w:rPr>
        <w:t xml:space="preserve">téměř nemění. </w:t>
      </w:r>
    </w:p>
    <w:p w:rsidR="00A5222D" w:rsidRPr="00240B6D" w:rsidRDefault="00A5222D" w:rsidP="00A5222D">
      <w:pPr>
        <w:spacing w:before="240" w:line="240" w:lineRule="auto"/>
        <w:rPr>
          <w:b/>
          <w:sz w:val="18"/>
          <w:szCs w:val="18"/>
        </w:rPr>
      </w:pPr>
      <w:r w:rsidRPr="00240B6D">
        <w:rPr>
          <w:b/>
          <w:sz w:val="18"/>
          <w:szCs w:val="18"/>
        </w:rPr>
        <w:t>Graf č. 2.6 Výdaje na zdravotní péči v Česku podle vybraných druhů péče; 2010-2016</w:t>
      </w:r>
    </w:p>
    <w:p w:rsidR="00A5222D" w:rsidRPr="00240B6D" w:rsidRDefault="00A5222D" w:rsidP="00A5222D">
      <w:pPr>
        <w:keepNext/>
        <w:numPr>
          <w:ilvl w:val="0"/>
          <w:numId w:val="27"/>
        </w:numPr>
        <w:spacing w:before="120" w:after="120" w:line="240" w:lineRule="auto"/>
        <w:jc w:val="both"/>
        <w:rPr>
          <w:b/>
          <w:bCs/>
          <w:sz w:val="18"/>
          <w:szCs w:val="18"/>
        </w:rPr>
      </w:pPr>
      <w:r w:rsidRPr="00240B6D">
        <w:rPr>
          <w:b/>
          <w:bCs/>
          <w:sz w:val="18"/>
          <w:szCs w:val="18"/>
        </w:rPr>
        <w:t>v mld. Kč</w:t>
      </w:r>
    </w:p>
    <w:p w:rsidR="00A5222D" w:rsidRPr="00240B6D" w:rsidRDefault="00A5222D" w:rsidP="003D5919">
      <w:pPr>
        <w:spacing w:line="240" w:lineRule="auto"/>
        <w:rPr>
          <w:b/>
          <w:bCs/>
          <w:sz w:val="18"/>
          <w:szCs w:val="18"/>
        </w:rPr>
      </w:pPr>
      <w:r w:rsidRPr="00240B6D">
        <w:rPr>
          <w:noProof/>
        </w:rPr>
        <w:drawing>
          <wp:inline distT="0" distB="0" distL="0" distR="0">
            <wp:extent cx="6084000" cy="28800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222D" w:rsidRPr="00240B6D" w:rsidRDefault="00A5222D" w:rsidP="00A5222D">
      <w:pPr>
        <w:keepNext/>
        <w:numPr>
          <w:ilvl w:val="0"/>
          <w:numId w:val="27"/>
        </w:numPr>
        <w:spacing w:before="120" w:after="120" w:line="240" w:lineRule="auto"/>
        <w:contextualSpacing/>
        <w:rPr>
          <w:rFonts w:cs="Arial"/>
          <w:b/>
          <w:color w:val="000000"/>
          <w:sz w:val="18"/>
          <w:szCs w:val="18"/>
        </w:rPr>
      </w:pPr>
      <w:r w:rsidRPr="00240B6D">
        <w:rPr>
          <w:rFonts w:cs="Arial"/>
          <w:b/>
          <w:color w:val="000000"/>
          <w:sz w:val="18"/>
          <w:szCs w:val="18"/>
        </w:rPr>
        <w:t>struktura (%)</w:t>
      </w:r>
    </w:p>
    <w:p w:rsidR="00A5222D" w:rsidRPr="00240B6D" w:rsidRDefault="00A5222D" w:rsidP="00A5222D">
      <w:pPr>
        <w:spacing w:before="40" w:line="240" w:lineRule="auto"/>
        <w:rPr>
          <w:b/>
          <w:bCs/>
          <w:sz w:val="18"/>
          <w:szCs w:val="18"/>
        </w:rPr>
      </w:pPr>
    </w:p>
    <w:p w:rsidR="00A5222D" w:rsidRPr="00240B6D" w:rsidRDefault="00A5222D" w:rsidP="00A5222D">
      <w:pPr>
        <w:keepNext/>
        <w:spacing w:line="240" w:lineRule="auto"/>
        <w:rPr>
          <w:bCs/>
          <w:i/>
          <w:sz w:val="16"/>
          <w:szCs w:val="16"/>
        </w:rPr>
      </w:pPr>
      <w:r w:rsidRPr="00240B6D">
        <w:rPr>
          <w:noProof/>
        </w:rPr>
        <w:drawing>
          <wp:inline distT="0" distB="0" distL="0" distR="0">
            <wp:extent cx="6084000" cy="18000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74C2" w:rsidRDefault="006374C2" w:rsidP="00A5222D">
      <w:pPr>
        <w:keepNext/>
        <w:spacing w:line="240" w:lineRule="auto"/>
        <w:rPr>
          <w:bCs/>
          <w:sz w:val="16"/>
          <w:szCs w:val="16"/>
        </w:rPr>
      </w:pPr>
      <w:r w:rsidRPr="00240B6D">
        <w:rPr>
          <w:bCs/>
          <w:sz w:val="16"/>
          <w:szCs w:val="16"/>
        </w:rPr>
        <w:t>1) zahrnují léky na předpis, volně prodejné léky a další zboží krátkodobé spotřeby např. obvazy, elastické kompresivní punčochy, inkontinenční pomůcky atd</w:t>
      </w:r>
      <w:r>
        <w:rPr>
          <w:bCs/>
          <w:sz w:val="16"/>
          <w:szCs w:val="16"/>
        </w:rPr>
        <w:t xml:space="preserve">. </w:t>
      </w:r>
      <w:r w:rsidRPr="001D189A">
        <w:rPr>
          <w:b/>
          <w:bCs/>
          <w:sz w:val="16"/>
          <w:szCs w:val="16"/>
        </w:rPr>
        <w:t>Nezahrnuje</w:t>
      </w:r>
      <w:r>
        <w:rPr>
          <w:bCs/>
          <w:sz w:val="16"/>
          <w:szCs w:val="16"/>
        </w:rPr>
        <w:t>, dle manuálu SHA,</w:t>
      </w:r>
      <w:r w:rsidRPr="00696417">
        <w:rPr>
          <w:bCs/>
          <w:sz w:val="16"/>
          <w:szCs w:val="16"/>
        </w:rPr>
        <w:t xml:space="preserve"> </w:t>
      </w:r>
      <w:r>
        <w:rPr>
          <w:bCs/>
          <w:sz w:val="16"/>
          <w:szCs w:val="16"/>
        </w:rPr>
        <w:t xml:space="preserve">výdaje na léky </w:t>
      </w:r>
      <w:r w:rsidRPr="006374C2">
        <w:rPr>
          <w:b/>
          <w:bCs/>
          <w:sz w:val="16"/>
          <w:szCs w:val="16"/>
        </w:rPr>
        <w:t>spotřebované přímo ve zdravotnických zařízeních</w:t>
      </w:r>
      <w:r>
        <w:rPr>
          <w:bCs/>
          <w:sz w:val="16"/>
          <w:szCs w:val="16"/>
        </w:rPr>
        <w:t>.</w:t>
      </w:r>
    </w:p>
    <w:p w:rsidR="00A5222D" w:rsidRPr="00A5222D" w:rsidRDefault="00A5222D" w:rsidP="00A5222D">
      <w:pPr>
        <w:keepNext/>
        <w:spacing w:line="240" w:lineRule="auto"/>
        <w:rPr>
          <w:bCs/>
          <w:sz w:val="16"/>
          <w:szCs w:val="16"/>
        </w:rPr>
      </w:pPr>
      <w:r w:rsidRPr="00A5222D">
        <w:rPr>
          <w:bCs/>
          <w:sz w:val="16"/>
          <w:szCs w:val="16"/>
        </w:rPr>
        <w:t>(</w:t>
      </w:r>
      <w:r w:rsidR="006374C2">
        <w:rPr>
          <w:bCs/>
          <w:sz w:val="16"/>
          <w:szCs w:val="16"/>
        </w:rPr>
        <w:t>2</w:t>
      </w:r>
      <w:r w:rsidRPr="00A5222D">
        <w:rPr>
          <w:bCs/>
          <w:sz w:val="16"/>
          <w:szCs w:val="16"/>
        </w:rPr>
        <w:t>)</w:t>
      </w:r>
      <w:r w:rsidRPr="00A5222D">
        <w:rPr>
          <w:rFonts w:eastAsia="Calibri" w:cs="Arial"/>
          <w:sz w:val="16"/>
          <w:szCs w:val="16"/>
          <w:lang w:eastAsia="en-US"/>
        </w:rPr>
        <w:t xml:space="preserve"> zahrnují, zpracování zákonů a norem, vydávání licencí, dohled nad poskytovateli zdravotní péče, správu vládní politiky apod.</w:t>
      </w:r>
    </w:p>
    <w:p w:rsidR="00A5222D" w:rsidRDefault="00A5222D" w:rsidP="00A5222D">
      <w:pPr>
        <w:keepNext/>
        <w:spacing w:line="240" w:lineRule="auto"/>
        <w:rPr>
          <w:bCs/>
          <w:sz w:val="16"/>
          <w:szCs w:val="16"/>
        </w:rPr>
      </w:pPr>
      <w:r w:rsidRPr="00A5222D">
        <w:rPr>
          <w:bCs/>
          <w:sz w:val="16"/>
          <w:szCs w:val="16"/>
        </w:rPr>
        <w:t>(</w:t>
      </w:r>
      <w:r w:rsidR="006374C2">
        <w:rPr>
          <w:bCs/>
          <w:sz w:val="16"/>
          <w:szCs w:val="16"/>
        </w:rPr>
        <w:t>3</w:t>
      </w:r>
      <w:r w:rsidRPr="00A5222D">
        <w:rPr>
          <w:bCs/>
          <w:sz w:val="16"/>
          <w:szCs w:val="16"/>
        </w:rPr>
        <w:t>) zahrnují programy na podporu zdraví v širším pohledu např. kontrolu a zavádění nových předpisů na ochranu pitné vody, potravin, bezpečnostní opatření spojená s nakládání s odpady, znečistění půdy a také ostatní blíže nespecifikované druhy zdravotní péče</w:t>
      </w:r>
    </w:p>
    <w:p w:rsidR="006374C2" w:rsidRPr="00A5222D" w:rsidRDefault="006374C2" w:rsidP="00A5222D">
      <w:pPr>
        <w:keepNext/>
        <w:spacing w:line="240" w:lineRule="auto"/>
        <w:rPr>
          <w:bCs/>
          <w:sz w:val="16"/>
          <w:szCs w:val="16"/>
        </w:rPr>
      </w:pPr>
      <w:r>
        <w:rPr>
          <w:bCs/>
          <w:sz w:val="16"/>
          <w:szCs w:val="16"/>
        </w:rPr>
        <w:t>ZP – zdravotní péče</w:t>
      </w:r>
    </w:p>
    <w:p w:rsidR="00A5222D" w:rsidRPr="00240B6D" w:rsidRDefault="00A5222D" w:rsidP="009E3D07">
      <w:pPr>
        <w:spacing w:before="120" w:after="240" w:line="240" w:lineRule="auto"/>
        <w:jc w:val="right"/>
        <w:rPr>
          <w:b/>
          <w:bCs/>
          <w:i/>
          <w:sz w:val="16"/>
          <w:szCs w:val="16"/>
        </w:rPr>
      </w:pPr>
      <w:r w:rsidRPr="00240B6D">
        <w:rPr>
          <w:b/>
          <w:bCs/>
          <w:i/>
          <w:sz w:val="16"/>
          <w:szCs w:val="16"/>
        </w:rPr>
        <w:t xml:space="preserve">Zdroj: ČSÚ 2018, Zdravotnické účty ČR 2010 - 2016 </w:t>
      </w:r>
    </w:p>
    <w:p w:rsidR="00A5222D" w:rsidRDefault="00240B6D" w:rsidP="00240B6D">
      <w:pPr>
        <w:spacing w:before="120"/>
        <w:jc w:val="both"/>
        <w:rPr>
          <w:bCs/>
          <w:szCs w:val="20"/>
        </w:rPr>
      </w:pPr>
      <w:r w:rsidRPr="00240B6D">
        <w:rPr>
          <w:bCs/>
          <w:szCs w:val="20"/>
        </w:rPr>
        <w:t>V</w:t>
      </w:r>
      <w:r w:rsidR="00A5222D">
        <w:rPr>
          <w:bCs/>
          <w:szCs w:val="20"/>
        </w:rPr>
        <w:t> posledních letech r</w:t>
      </w:r>
      <w:r w:rsidRPr="00240B6D">
        <w:rPr>
          <w:bCs/>
          <w:szCs w:val="20"/>
        </w:rPr>
        <w:t xml:space="preserve">oste význam </w:t>
      </w:r>
      <w:r w:rsidRPr="00A5222D">
        <w:rPr>
          <w:b/>
          <w:bCs/>
          <w:szCs w:val="20"/>
        </w:rPr>
        <w:t>dlouhodobé péče</w:t>
      </w:r>
      <w:r w:rsidRPr="00240B6D">
        <w:rPr>
          <w:bCs/>
          <w:szCs w:val="20"/>
        </w:rPr>
        <w:t xml:space="preserve"> s již téměř pětinovým podílem (18 %) na celkov</w:t>
      </w:r>
      <w:r w:rsidR="006374C2">
        <w:rPr>
          <w:bCs/>
          <w:szCs w:val="20"/>
        </w:rPr>
        <w:t xml:space="preserve">ých výdajích vynaložených na </w:t>
      </w:r>
      <w:r w:rsidRPr="00240B6D">
        <w:rPr>
          <w:bCs/>
          <w:szCs w:val="20"/>
        </w:rPr>
        <w:t xml:space="preserve">zdravotní péči </w:t>
      </w:r>
      <w:r w:rsidR="006374C2">
        <w:rPr>
          <w:bCs/>
          <w:szCs w:val="20"/>
        </w:rPr>
        <w:t xml:space="preserve">v Česku </w:t>
      </w:r>
      <w:r w:rsidRPr="00240B6D">
        <w:rPr>
          <w:bCs/>
          <w:szCs w:val="20"/>
        </w:rPr>
        <w:t xml:space="preserve">v roce 2016 – průměr za roky 2010 až 2016 dosáhl 16,6 %. V rámci dlouhodobé péče jde </w:t>
      </w:r>
      <w:r w:rsidR="006374C2">
        <w:rPr>
          <w:bCs/>
          <w:szCs w:val="20"/>
        </w:rPr>
        <w:t>nej</w:t>
      </w:r>
      <w:r w:rsidRPr="00240B6D">
        <w:rPr>
          <w:bCs/>
          <w:szCs w:val="20"/>
        </w:rPr>
        <w:t xml:space="preserve">více finančních prostředků </w:t>
      </w:r>
      <w:r w:rsidRPr="006374C2">
        <w:rPr>
          <w:bCs/>
          <w:szCs w:val="20"/>
        </w:rPr>
        <w:t>do dlouhodob</w:t>
      </w:r>
      <w:r w:rsidR="00A5222D" w:rsidRPr="006374C2">
        <w:rPr>
          <w:bCs/>
          <w:szCs w:val="20"/>
        </w:rPr>
        <w:t>é</w:t>
      </w:r>
      <w:r w:rsidRPr="006374C2">
        <w:rPr>
          <w:bCs/>
          <w:szCs w:val="20"/>
        </w:rPr>
        <w:t xml:space="preserve"> zdravotní péče – </w:t>
      </w:r>
      <w:r w:rsidRPr="006374C2">
        <w:rPr>
          <w:bCs/>
          <w:szCs w:val="20"/>
        </w:rPr>
        <w:lastRenderedPageBreak/>
        <w:t>45,1</w:t>
      </w:r>
      <w:r w:rsidR="00F85872">
        <w:rPr>
          <w:bCs/>
          <w:szCs w:val="20"/>
        </w:rPr>
        <w:t> </w:t>
      </w:r>
      <w:r w:rsidRPr="006374C2">
        <w:rPr>
          <w:bCs/>
          <w:szCs w:val="20"/>
        </w:rPr>
        <w:t xml:space="preserve">mld. Kč (12,5 %) v roce 2016. V čase však roste </w:t>
      </w:r>
      <w:r w:rsidR="00A5222D" w:rsidRPr="006374C2">
        <w:rPr>
          <w:bCs/>
          <w:szCs w:val="20"/>
        </w:rPr>
        <w:t xml:space="preserve">především </w:t>
      </w:r>
      <w:r w:rsidRPr="006374C2">
        <w:rPr>
          <w:bCs/>
          <w:szCs w:val="20"/>
        </w:rPr>
        <w:t>význam dlouhodobé sociální péče,</w:t>
      </w:r>
      <w:r w:rsidRPr="00240B6D">
        <w:rPr>
          <w:bCs/>
          <w:szCs w:val="20"/>
        </w:rPr>
        <w:t xml:space="preserve"> kam ve stejném roce směřovalo 20,2 mld. Kč (5,6 %). </w:t>
      </w:r>
    </w:p>
    <w:p w:rsidR="00240B6D" w:rsidRPr="00240B6D" w:rsidRDefault="00240B6D" w:rsidP="00240B6D">
      <w:pPr>
        <w:spacing w:before="120"/>
        <w:jc w:val="both"/>
        <w:rPr>
          <w:bCs/>
          <w:szCs w:val="20"/>
        </w:rPr>
      </w:pPr>
      <w:r w:rsidRPr="00A5222D">
        <w:rPr>
          <w:b/>
          <w:bCs/>
          <w:szCs w:val="20"/>
        </w:rPr>
        <w:t xml:space="preserve">Rehabilitační </w:t>
      </w:r>
      <w:r w:rsidRPr="00A5222D">
        <w:rPr>
          <w:bCs/>
          <w:szCs w:val="20"/>
        </w:rPr>
        <w:t>a především</w:t>
      </w:r>
      <w:r w:rsidRPr="00A5222D">
        <w:rPr>
          <w:b/>
          <w:bCs/>
          <w:szCs w:val="20"/>
        </w:rPr>
        <w:t xml:space="preserve"> preventivní péče</w:t>
      </w:r>
      <w:r w:rsidRPr="00240B6D">
        <w:rPr>
          <w:bCs/>
          <w:szCs w:val="20"/>
        </w:rPr>
        <w:t xml:space="preserve"> tvořila v Česku v letech 2010 až 2016 </w:t>
      </w:r>
      <w:r w:rsidR="00A5222D">
        <w:rPr>
          <w:bCs/>
          <w:szCs w:val="20"/>
        </w:rPr>
        <w:t xml:space="preserve">v průměru </w:t>
      </w:r>
      <w:r w:rsidRPr="00240B6D">
        <w:rPr>
          <w:bCs/>
          <w:szCs w:val="20"/>
        </w:rPr>
        <w:t xml:space="preserve">jen 7% podíl na celkových výdajích na zdravotní péči. V roce 2016 šlo na rehabilitační péči 15,0 mld. Kč (4,2 %) a na preventivní péči 9,7 mld. Kč (2,7 %). </w:t>
      </w:r>
    </w:p>
    <w:p w:rsidR="00240B6D" w:rsidRPr="00240B6D" w:rsidRDefault="00240B6D" w:rsidP="00240B6D">
      <w:pPr>
        <w:spacing w:before="120"/>
        <w:jc w:val="both"/>
        <w:rPr>
          <w:bCs/>
          <w:szCs w:val="20"/>
        </w:rPr>
      </w:pPr>
      <w:r w:rsidRPr="00A5222D">
        <w:rPr>
          <w:bCs/>
          <w:szCs w:val="20"/>
        </w:rPr>
        <w:t xml:space="preserve">Pětina výdajů na zdravotní péči v letech 2010 - 2016 byla vynaložena na </w:t>
      </w:r>
      <w:r w:rsidRPr="00A5222D">
        <w:rPr>
          <w:b/>
          <w:bCs/>
          <w:szCs w:val="20"/>
        </w:rPr>
        <w:t>léčiva</w:t>
      </w:r>
      <w:r w:rsidRPr="00A5222D">
        <w:rPr>
          <w:b/>
          <w:bCs/>
          <w:szCs w:val="20"/>
          <w:vertAlign w:val="superscript"/>
        </w:rPr>
        <w:footnoteReference w:id="3"/>
      </w:r>
      <w:r w:rsidRPr="00A5222D">
        <w:rPr>
          <w:b/>
          <w:bCs/>
          <w:szCs w:val="20"/>
        </w:rPr>
        <w:t>, zdravotnický materiál a</w:t>
      </w:r>
      <w:r w:rsidR="007C740E">
        <w:rPr>
          <w:b/>
          <w:bCs/>
          <w:szCs w:val="20"/>
        </w:rPr>
        <w:t> </w:t>
      </w:r>
      <w:r w:rsidRPr="00A5222D">
        <w:rPr>
          <w:b/>
          <w:bCs/>
          <w:szCs w:val="20"/>
        </w:rPr>
        <w:t>terapeutické výrobky</w:t>
      </w:r>
      <w:r w:rsidRPr="00A5222D">
        <w:rPr>
          <w:bCs/>
          <w:szCs w:val="20"/>
        </w:rPr>
        <w:t xml:space="preserve"> – v roce 2016 to bylo 19,2 %. Přibližně jedna desetina (11 %) z finančních prostředků určených na zdravotní péči v Česku v celém sledovaném období směřovalo na </w:t>
      </w:r>
      <w:r w:rsidRPr="00A5222D">
        <w:rPr>
          <w:b/>
          <w:bCs/>
          <w:szCs w:val="20"/>
        </w:rPr>
        <w:t xml:space="preserve">laboratorní služby, zobrazovací metody a dopravu pacientů (doplňkové služby). </w:t>
      </w:r>
      <w:r w:rsidRPr="00A5222D">
        <w:rPr>
          <w:bCs/>
          <w:szCs w:val="20"/>
        </w:rPr>
        <w:t>Necelých deset (8,6) miliard (2,4</w:t>
      </w:r>
      <w:r w:rsidR="00F85872">
        <w:rPr>
          <w:bCs/>
          <w:szCs w:val="20"/>
        </w:rPr>
        <w:t> </w:t>
      </w:r>
      <w:r w:rsidRPr="00A5222D">
        <w:rPr>
          <w:bCs/>
          <w:szCs w:val="20"/>
        </w:rPr>
        <w:t xml:space="preserve">%) v roce 2016 směřovalo na </w:t>
      </w:r>
      <w:r w:rsidRPr="00A5222D">
        <w:rPr>
          <w:b/>
          <w:bCs/>
          <w:szCs w:val="20"/>
        </w:rPr>
        <w:t>správu systému zdravotní péče</w:t>
      </w:r>
      <w:r w:rsidR="00A5222D" w:rsidRPr="00A5222D">
        <w:rPr>
          <w:b/>
          <w:bCs/>
          <w:szCs w:val="20"/>
        </w:rPr>
        <w:t>.</w:t>
      </w:r>
      <w:r w:rsidR="00A5222D">
        <w:rPr>
          <w:b/>
          <w:bCs/>
          <w:szCs w:val="20"/>
        </w:rPr>
        <w:t xml:space="preserve"> </w:t>
      </w:r>
    </w:p>
    <w:p w:rsidR="00240B6D" w:rsidRPr="00240B6D" w:rsidRDefault="006374C2" w:rsidP="00A5222D">
      <w:pPr>
        <w:widowControl w:val="0"/>
        <w:spacing w:before="240" w:after="120"/>
        <w:rPr>
          <w:b/>
          <w:i/>
        </w:rPr>
      </w:pPr>
      <w:r>
        <w:rPr>
          <w:b/>
          <w:i/>
        </w:rPr>
        <w:t xml:space="preserve">Výdaje na lůžkovou léčebnou péči </w:t>
      </w:r>
      <w:r w:rsidR="00520DCA">
        <w:rPr>
          <w:b/>
          <w:i/>
        </w:rPr>
        <w:t xml:space="preserve">mezi roky </w:t>
      </w:r>
      <w:r>
        <w:rPr>
          <w:b/>
          <w:i/>
        </w:rPr>
        <w:t xml:space="preserve">2010 </w:t>
      </w:r>
      <w:r w:rsidR="00520DCA">
        <w:rPr>
          <w:b/>
          <w:i/>
        </w:rPr>
        <w:t xml:space="preserve">až 2016 </w:t>
      </w:r>
      <w:r>
        <w:rPr>
          <w:b/>
          <w:i/>
        </w:rPr>
        <w:t xml:space="preserve">klesly o </w:t>
      </w:r>
      <w:r w:rsidR="00520DCA">
        <w:rPr>
          <w:b/>
          <w:i/>
        </w:rPr>
        <w:t xml:space="preserve">téměř desetinu - </w:t>
      </w:r>
      <w:r>
        <w:rPr>
          <w:b/>
          <w:i/>
        </w:rPr>
        <w:t xml:space="preserve">5 </w:t>
      </w:r>
      <w:r w:rsidR="00520DCA">
        <w:rPr>
          <w:b/>
          <w:i/>
        </w:rPr>
        <w:t>mld. Kč</w:t>
      </w:r>
      <w:r w:rsidR="00240B6D" w:rsidRPr="00240B6D">
        <w:rPr>
          <w:b/>
          <w:i/>
        </w:rPr>
        <w:t xml:space="preserve"> </w:t>
      </w:r>
    </w:p>
    <w:p w:rsidR="00240B6D" w:rsidRPr="00A5222D" w:rsidRDefault="00240B6D" w:rsidP="00240B6D">
      <w:pPr>
        <w:spacing w:before="120"/>
        <w:jc w:val="both"/>
        <w:rPr>
          <w:bCs/>
          <w:i/>
          <w:szCs w:val="17"/>
        </w:rPr>
      </w:pPr>
      <w:r w:rsidRPr="00240B6D">
        <w:rPr>
          <w:bCs/>
          <w:szCs w:val="17"/>
        </w:rPr>
        <w:t xml:space="preserve">V roce 2016 dosáhly v Česku výdaje na </w:t>
      </w:r>
      <w:r w:rsidRPr="00520DCA">
        <w:rPr>
          <w:b/>
          <w:bCs/>
          <w:szCs w:val="17"/>
        </w:rPr>
        <w:t>léčebnou péči celkem</w:t>
      </w:r>
      <w:r w:rsidRPr="00240B6D">
        <w:rPr>
          <w:bCs/>
          <w:szCs w:val="17"/>
        </w:rPr>
        <w:t xml:space="preserve"> 142,4 mld. Kč. Meziročně výdaje na léčebnou péči vzrostly o 0,6 % (0,8 mld. Kč). Léčebná péče je v Česku z 85 % financovaná z veřejného zdravotního pojištění. Přibližně z desetiny (11,8 %; 16,9 mld. Kč v roce 2016) si pak na léčebnou péči přispívají sami pacienti, a to nejčastěji na péči stomatologickou (9,6 mld. Kč). </w:t>
      </w:r>
      <w:r w:rsidRPr="00A5222D">
        <w:rPr>
          <w:bCs/>
          <w:i/>
          <w:szCs w:val="17"/>
        </w:rPr>
        <w:t xml:space="preserve">Podrobněji viz kapitola </w:t>
      </w:r>
      <w:proofErr w:type="gramStart"/>
      <w:r w:rsidRPr="00A5222D">
        <w:rPr>
          <w:bCs/>
          <w:i/>
          <w:szCs w:val="17"/>
        </w:rPr>
        <w:t>č.3.2</w:t>
      </w:r>
      <w:proofErr w:type="gramEnd"/>
      <w:r w:rsidRPr="00A5222D">
        <w:rPr>
          <w:bCs/>
          <w:i/>
          <w:szCs w:val="17"/>
        </w:rPr>
        <w:t xml:space="preserve"> Výdaje domácností na zdravotní péči.  </w:t>
      </w:r>
    </w:p>
    <w:p w:rsidR="00240B6D" w:rsidRPr="00520DCA" w:rsidRDefault="00240B6D" w:rsidP="00240B6D">
      <w:pPr>
        <w:spacing w:before="120"/>
        <w:jc w:val="both"/>
        <w:rPr>
          <w:i/>
          <w:szCs w:val="17"/>
        </w:rPr>
      </w:pPr>
      <w:r w:rsidRPr="00240B6D">
        <w:rPr>
          <w:szCs w:val="17"/>
        </w:rPr>
        <w:t xml:space="preserve">Z hlediska typu léčebné péče, v roce 2016 stále více jak třetinu (35,8 %) tvořila </w:t>
      </w:r>
      <w:r w:rsidRPr="00A5222D">
        <w:rPr>
          <w:b/>
          <w:szCs w:val="17"/>
        </w:rPr>
        <w:t>péče lůžková</w:t>
      </w:r>
      <w:r w:rsidRPr="00240B6D">
        <w:rPr>
          <w:szCs w:val="17"/>
        </w:rPr>
        <w:t xml:space="preserve"> poskytovaná v nemocnicích. Výdaje na tuto </w:t>
      </w:r>
      <w:r w:rsidRPr="00240B6D">
        <w:rPr>
          <w:b/>
          <w:szCs w:val="17"/>
        </w:rPr>
        <w:t>péči</w:t>
      </w:r>
      <w:r w:rsidRPr="00240B6D">
        <w:rPr>
          <w:szCs w:val="17"/>
        </w:rPr>
        <w:t xml:space="preserve"> však od roku 2010, kdy představovaly 41 % celkové léčebné péče, postupně klesají, a </w:t>
      </w:r>
      <w:r w:rsidR="00A5222D">
        <w:rPr>
          <w:szCs w:val="17"/>
        </w:rPr>
        <w:t xml:space="preserve">to </w:t>
      </w:r>
      <w:r w:rsidRPr="00240B6D">
        <w:rPr>
          <w:szCs w:val="17"/>
        </w:rPr>
        <w:t xml:space="preserve">z 55,9 mld. Kč v roce 2010 na 50,9 mld. Kč v roce 2016. </w:t>
      </w:r>
      <w:r w:rsidRPr="00BC2F06">
        <w:rPr>
          <w:i/>
          <w:szCs w:val="17"/>
        </w:rPr>
        <w:t>To částečně dokreslují i čísla o počtu případů hospitalizace v nemocnicích a počtu ošetřovacích dnů</w:t>
      </w:r>
      <w:r w:rsidR="003D5919" w:rsidRPr="00BC2F06">
        <w:rPr>
          <w:i/>
          <w:szCs w:val="17"/>
        </w:rPr>
        <w:t>, které souvisí i s úsporami prostřednictvím redukce počtu lůžek akutní péče v nemocnicích a v menší míře i ostatních lůžkových zařízeních.</w:t>
      </w:r>
      <w:r w:rsidRPr="00BC2F06">
        <w:rPr>
          <w:i/>
          <w:szCs w:val="17"/>
        </w:rPr>
        <w:t xml:space="preserve"> Např. v porovnání s rokem 2010, kdy dosáhl počet ošetřovacích dnů v nemocnicích 15,2 miliónů, klesl jejich počet během následujících šesti let o</w:t>
      </w:r>
      <w:r w:rsidR="007C740E" w:rsidRPr="00BC2F06">
        <w:rPr>
          <w:i/>
          <w:szCs w:val="17"/>
        </w:rPr>
        <w:t> </w:t>
      </w:r>
      <w:r w:rsidRPr="00BC2F06">
        <w:rPr>
          <w:i/>
          <w:szCs w:val="17"/>
        </w:rPr>
        <w:t xml:space="preserve">více jak milión na 13,8 milióny ošetřovacích dnů v roce 2016. Ve stejné období se snížila </w:t>
      </w:r>
      <w:r w:rsidR="00A5222D" w:rsidRPr="00BC2F06">
        <w:rPr>
          <w:i/>
          <w:szCs w:val="17"/>
        </w:rPr>
        <w:t xml:space="preserve">i </w:t>
      </w:r>
      <w:r w:rsidRPr="00BC2F06">
        <w:rPr>
          <w:i/>
          <w:szCs w:val="17"/>
        </w:rPr>
        <w:t>průměrná ošetřovací doba v nemocnicích z 6,8 dne v roce 2010 na 6,6</w:t>
      </w:r>
      <w:r w:rsidR="00F85872" w:rsidRPr="00BC2F06">
        <w:rPr>
          <w:i/>
          <w:szCs w:val="17"/>
        </w:rPr>
        <w:t> </w:t>
      </w:r>
      <w:r w:rsidRPr="00BC2F06">
        <w:rPr>
          <w:i/>
          <w:szCs w:val="17"/>
        </w:rPr>
        <w:t>dne v roce 2016.</w:t>
      </w:r>
      <w:r w:rsidRPr="00520DCA">
        <w:rPr>
          <w:i/>
          <w:szCs w:val="17"/>
        </w:rPr>
        <w:t xml:space="preserve"> </w:t>
      </w:r>
    </w:p>
    <w:p w:rsidR="00A5222D" w:rsidRPr="00240B6D" w:rsidRDefault="00A5222D" w:rsidP="005F2EE2">
      <w:pPr>
        <w:spacing w:before="240" w:after="120"/>
        <w:jc w:val="both"/>
        <w:rPr>
          <w:b/>
          <w:bCs/>
          <w:sz w:val="18"/>
          <w:szCs w:val="18"/>
        </w:rPr>
      </w:pPr>
      <w:r w:rsidRPr="00240B6D">
        <w:rPr>
          <w:b/>
          <w:bCs/>
          <w:sz w:val="18"/>
          <w:szCs w:val="18"/>
        </w:rPr>
        <w:t>Graf č: 2.7 Výdaje na léčebnou péči v Česku podle jejího typu, 2014 – 2016</w:t>
      </w:r>
    </w:p>
    <w:p w:rsidR="00A5222D" w:rsidRPr="00240B6D" w:rsidRDefault="00A5222D" w:rsidP="00A5222D">
      <w:pPr>
        <w:keepNext/>
        <w:tabs>
          <w:tab w:val="left" w:pos="142"/>
          <w:tab w:val="left" w:pos="5812"/>
        </w:tabs>
        <w:jc w:val="both"/>
        <w:rPr>
          <w:b/>
          <w:i/>
          <w:sz w:val="18"/>
        </w:rPr>
      </w:pPr>
      <w:r w:rsidRPr="00240B6D">
        <w:rPr>
          <w:b/>
          <w:i/>
          <w:sz w:val="18"/>
        </w:rPr>
        <w:tab/>
        <w:t xml:space="preserve">a) v mld. Kč </w:t>
      </w:r>
      <w:r w:rsidRPr="00240B6D">
        <w:rPr>
          <w:b/>
          <w:i/>
          <w:sz w:val="18"/>
        </w:rPr>
        <w:tab/>
        <w:t>b) struktura v %</w:t>
      </w:r>
    </w:p>
    <w:p w:rsidR="00A5222D" w:rsidRPr="00240B6D" w:rsidRDefault="00A5222D" w:rsidP="009A76CB">
      <w:pPr>
        <w:keepNext/>
        <w:tabs>
          <w:tab w:val="left" w:pos="142"/>
          <w:tab w:val="left" w:pos="5812"/>
        </w:tabs>
        <w:jc w:val="both"/>
        <w:rPr>
          <w:b/>
          <w:i/>
          <w:sz w:val="18"/>
        </w:rPr>
      </w:pPr>
      <w:r w:rsidRPr="00240B6D">
        <w:rPr>
          <w:noProof/>
        </w:rPr>
        <w:drawing>
          <wp:inline distT="0" distB="0" distL="0" distR="0" wp14:anchorId="6A5990E6" wp14:editId="0918B6AD">
            <wp:extent cx="3420000" cy="2700000"/>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40B6D">
        <w:rPr>
          <w:noProof/>
          <w:lang w:val="en-US" w:eastAsia="en-US"/>
        </w:rPr>
        <w:t xml:space="preserve"> </w:t>
      </w:r>
      <w:r w:rsidRPr="00240B6D">
        <w:rPr>
          <w:noProof/>
        </w:rPr>
        <w:drawing>
          <wp:inline distT="0" distB="0" distL="0" distR="0">
            <wp:extent cx="2664000" cy="270000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222D" w:rsidRPr="00240B6D" w:rsidRDefault="00A5222D" w:rsidP="003D5919">
      <w:pPr>
        <w:keepNext/>
        <w:jc w:val="both"/>
        <w:rPr>
          <w:bCs/>
          <w:sz w:val="16"/>
          <w:szCs w:val="16"/>
        </w:rPr>
      </w:pPr>
      <w:r w:rsidRPr="00BC2F06">
        <w:rPr>
          <w:bCs/>
          <w:sz w:val="16"/>
          <w:szCs w:val="16"/>
        </w:rPr>
        <w:t xml:space="preserve">(1) zahrnuje </w:t>
      </w:r>
      <w:r w:rsidR="009A76CB" w:rsidRPr="00BC2F06">
        <w:rPr>
          <w:bCs/>
          <w:sz w:val="16"/>
          <w:szCs w:val="16"/>
        </w:rPr>
        <w:t xml:space="preserve">jak </w:t>
      </w:r>
      <w:r w:rsidR="003D5919" w:rsidRPr="00BC2F06">
        <w:rPr>
          <w:bCs/>
          <w:sz w:val="16"/>
          <w:szCs w:val="16"/>
        </w:rPr>
        <w:t xml:space="preserve">všeobecnou </w:t>
      </w:r>
      <w:r w:rsidR="009A76CB" w:rsidRPr="00BC2F06">
        <w:rPr>
          <w:bCs/>
          <w:sz w:val="16"/>
          <w:szCs w:val="16"/>
        </w:rPr>
        <w:t xml:space="preserve">ambulantní péči poskytovanou nejčastěji praktickými lékaři pro děti a dospělé, tak i </w:t>
      </w:r>
      <w:r w:rsidRPr="00BC2F06">
        <w:rPr>
          <w:bCs/>
          <w:sz w:val="16"/>
          <w:szCs w:val="16"/>
        </w:rPr>
        <w:t xml:space="preserve">specializovanou </w:t>
      </w:r>
      <w:r w:rsidR="009A76CB" w:rsidRPr="00BC2F06">
        <w:rPr>
          <w:bCs/>
          <w:sz w:val="16"/>
          <w:szCs w:val="16"/>
        </w:rPr>
        <w:t xml:space="preserve">(bez stomatologické) </w:t>
      </w:r>
      <w:r w:rsidRPr="00BC2F06">
        <w:rPr>
          <w:bCs/>
          <w:sz w:val="16"/>
          <w:szCs w:val="16"/>
        </w:rPr>
        <w:t>ambulantní péči</w:t>
      </w:r>
      <w:r w:rsidR="009A76CB" w:rsidRPr="00BC2F06">
        <w:rPr>
          <w:bCs/>
          <w:sz w:val="16"/>
          <w:szCs w:val="16"/>
        </w:rPr>
        <w:t xml:space="preserve"> poskytovanou nejčastěji specialisty v nemocnicích nebo samostatných ordinacích lékaře</w:t>
      </w:r>
      <w:r w:rsidR="006374C2">
        <w:rPr>
          <w:bCs/>
          <w:sz w:val="16"/>
          <w:szCs w:val="16"/>
        </w:rPr>
        <w:t xml:space="preserve"> </w:t>
      </w:r>
    </w:p>
    <w:p w:rsidR="00A5222D" w:rsidRPr="00240B6D" w:rsidRDefault="00A5222D" w:rsidP="00A5222D">
      <w:pPr>
        <w:spacing w:before="120" w:line="240" w:lineRule="auto"/>
        <w:jc w:val="right"/>
        <w:rPr>
          <w:b/>
          <w:bCs/>
          <w:i/>
          <w:sz w:val="16"/>
          <w:szCs w:val="16"/>
        </w:rPr>
      </w:pPr>
      <w:r w:rsidRPr="00240B6D">
        <w:rPr>
          <w:b/>
          <w:bCs/>
          <w:i/>
          <w:sz w:val="16"/>
          <w:szCs w:val="16"/>
        </w:rPr>
        <w:t xml:space="preserve">Zdroj: ČSÚ 2018, Zdravotnické účty ČR 2010 - 2016 </w:t>
      </w:r>
    </w:p>
    <w:p w:rsidR="009D15E0" w:rsidRPr="00240B6D" w:rsidRDefault="007C740E" w:rsidP="009D15E0">
      <w:pPr>
        <w:widowControl w:val="0"/>
        <w:spacing w:before="240" w:after="120"/>
        <w:rPr>
          <w:b/>
          <w:i/>
        </w:rPr>
      </w:pPr>
      <w:r>
        <w:rPr>
          <w:b/>
          <w:i/>
        </w:rPr>
        <w:lastRenderedPageBreak/>
        <w:t>Domácnosti se podílejí z více jak poloviny na hrazení své stomatologické péče</w:t>
      </w:r>
      <w:r w:rsidR="009D15E0" w:rsidRPr="00240B6D">
        <w:rPr>
          <w:b/>
          <w:i/>
        </w:rPr>
        <w:t xml:space="preserve"> </w:t>
      </w:r>
    </w:p>
    <w:p w:rsidR="00240B6D" w:rsidRPr="009A76CB" w:rsidRDefault="00240B6D" w:rsidP="005F2EE2">
      <w:pPr>
        <w:spacing w:before="120"/>
        <w:jc w:val="both"/>
        <w:rPr>
          <w:i/>
          <w:szCs w:val="17"/>
        </w:rPr>
      </w:pPr>
      <w:r w:rsidRPr="00240B6D">
        <w:rPr>
          <w:szCs w:val="17"/>
        </w:rPr>
        <w:t xml:space="preserve">Naopak výdaje na </w:t>
      </w:r>
      <w:r w:rsidRPr="005F2EE2">
        <w:rPr>
          <w:b/>
          <w:szCs w:val="17"/>
        </w:rPr>
        <w:t>ambulantní péči</w:t>
      </w:r>
      <w:r w:rsidRPr="00240B6D">
        <w:rPr>
          <w:szCs w:val="17"/>
        </w:rPr>
        <w:t>, jak na specializovanou</w:t>
      </w:r>
      <w:r w:rsidR="003D5919">
        <w:rPr>
          <w:szCs w:val="17"/>
        </w:rPr>
        <w:t xml:space="preserve"> (bez stomatologické)</w:t>
      </w:r>
      <w:r w:rsidRPr="00240B6D">
        <w:rPr>
          <w:szCs w:val="17"/>
        </w:rPr>
        <w:t>, tak všeobecnou</w:t>
      </w:r>
      <w:r w:rsidR="005F2EE2">
        <w:rPr>
          <w:szCs w:val="17"/>
        </w:rPr>
        <w:t xml:space="preserve"> -</w:t>
      </w:r>
      <w:r w:rsidRPr="00240B6D">
        <w:rPr>
          <w:szCs w:val="17"/>
        </w:rPr>
        <w:t xml:space="preserve"> především v posledních dvou letech </w:t>
      </w:r>
      <w:r w:rsidR="005F2EE2">
        <w:rPr>
          <w:szCs w:val="17"/>
        </w:rPr>
        <w:t xml:space="preserve">- </w:t>
      </w:r>
      <w:r w:rsidRPr="00240B6D">
        <w:rPr>
          <w:szCs w:val="17"/>
        </w:rPr>
        <w:t xml:space="preserve">rostou. V roce 2016 dosáhl objem finančních prostředků určených na specializovanou ambulantní péči 45,4 mld. Kč a na všeobecnou ambulantní péči 22,0 mld. Kč. </w:t>
      </w:r>
      <w:r w:rsidRPr="009A76CB">
        <w:rPr>
          <w:i/>
          <w:szCs w:val="17"/>
        </w:rPr>
        <w:t xml:space="preserve">Jestliže specializovaná ambulantní péče je poskytována především v nemocnicích, tak všeobecná v samostatných ordinacích lékaře </w:t>
      </w:r>
      <w:r w:rsidR="005F2EE2" w:rsidRPr="009A76CB">
        <w:rPr>
          <w:i/>
          <w:szCs w:val="17"/>
        </w:rPr>
        <w:t xml:space="preserve">- </w:t>
      </w:r>
      <w:r w:rsidRPr="009A76CB">
        <w:rPr>
          <w:i/>
          <w:szCs w:val="17"/>
        </w:rPr>
        <w:t xml:space="preserve">např. </w:t>
      </w:r>
      <w:r w:rsidR="005F2EE2" w:rsidRPr="009A76CB">
        <w:rPr>
          <w:i/>
          <w:szCs w:val="17"/>
        </w:rPr>
        <w:t xml:space="preserve">na </w:t>
      </w:r>
      <w:r w:rsidRPr="009A76CB">
        <w:rPr>
          <w:i/>
          <w:szCs w:val="17"/>
        </w:rPr>
        <w:t>pracovišt</w:t>
      </w:r>
      <w:r w:rsidR="005F2EE2" w:rsidRPr="009A76CB">
        <w:rPr>
          <w:i/>
          <w:szCs w:val="17"/>
        </w:rPr>
        <w:t>ích</w:t>
      </w:r>
      <w:r w:rsidRPr="009A76CB">
        <w:rPr>
          <w:i/>
          <w:szCs w:val="17"/>
        </w:rPr>
        <w:t xml:space="preserve"> praktického lékaře pro dospělé, pro děti a dorost, pracovišt</w:t>
      </w:r>
      <w:r w:rsidR="005F2EE2" w:rsidRPr="009A76CB">
        <w:rPr>
          <w:i/>
          <w:szCs w:val="17"/>
        </w:rPr>
        <w:t>ích</w:t>
      </w:r>
      <w:r w:rsidRPr="009A76CB">
        <w:rPr>
          <w:i/>
          <w:szCs w:val="17"/>
        </w:rPr>
        <w:t xml:space="preserve"> lékařské pohotovostní služby</w:t>
      </w:r>
      <w:r w:rsidR="005F2EE2" w:rsidRPr="009A76CB">
        <w:rPr>
          <w:i/>
          <w:szCs w:val="17"/>
        </w:rPr>
        <w:t xml:space="preserve"> atd.</w:t>
      </w:r>
    </w:p>
    <w:p w:rsidR="009E3D07" w:rsidRPr="009D15E0" w:rsidRDefault="009E3D07" w:rsidP="005F2EE2">
      <w:pPr>
        <w:spacing w:before="120"/>
        <w:jc w:val="both"/>
        <w:rPr>
          <w:i/>
          <w:szCs w:val="20"/>
        </w:rPr>
      </w:pPr>
      <w:r w:rsidRPr="009E3D07">
        <w:rPr>
          <w:szCs w:val="20"/>
        </w:rPr>
        <w:t xml:space="preserve">Výdaje na </w:t>
      </w:r>
      <w:r w:rsidRPr="009E3D07">
        <w:rPr>
          <w:b/>
          <w:szCs w:val="20"/>
        </w:rPr>
        <w:t>denní léčebnou péči</w:t>
      </w:r>
      <w:r w:rsidRPr="009E3D07">
        <w:rPr>
          <w:szCs w:val="20"/>
        </w:rPr>
        <w:t xml:space="preserve"> se v období 2010 - 2016 pohybují stabilně nad hranicí 5 miliard Kč</w:t>
      </w:r>
      <w:r>
        <w:rPr>
          <w:szCs w:val="20"/>
        </w:rPr>
        <w:t xml:space="preserve">, s tím, že v roce </w:t>
      </w:r>
      <w:r w:rsidR="003D5919">
        <w:rPr>
          <w:szCs w:val="20"/>
        </w:rPr>
        <w:t xml:space="preserve">2016 </w:t>
      </w:r>
      <w:r>
        <w:rPr>
          <w:szCs w:val="20"/>
        </w:rPr>
        <w:t>šlo o částku 5,7 mld. Kč</w:t>
      </w:r>
      <w:r w:rsidRPr="009E3D07">
        <w:rPr>
          <w:szCs w:val="20"/>
        </w:rPr>
        <w:t xml:space="preserve">. </w:t>
      </w:r>
      <w:r w:rsidRPr="009D15E0">
        <w:rPr>
          <w:i/>
          <w:szCs w:val="20"/>
        </w:rPr>
        <w:t>To však zatím plně neodpovídá současné snaze o zkrácení doby hospitalizace na nezbytné minimum a provádění některých zákroků, jejichž povaha to umožňuje</w:t>
      </w:r>
      <w:r w:rsidR="009A76CB" w:rsidRPr="009D15E0">
        <w:rPr>
          <w:i/>
          <w:szCs w:val="20"/>
        </w:rPr>
        <w:t>, ambulantně či prostřednictvím denní léčebné péče.</w:t>
      </w:r>
      <w:r w:rsidRPr="009D15E0">
        <w:rPr>
          <w:i/>
          <w:szCs w:val="20"/>
        </w:rPr>
        <w:t xml:space="preserve"> V současné době lze poskytovat jednodenní péči v šesti smluvních odbornostech: chirurgie (včetně dětské, úrazové a cévní chirurgie), plastická chirurgie (zahrnuje i</w:t>
      </w:r>
      <w:r w:rsidR="007C740E">
        <w:rPr>
          <w:i/>
          <w:szCs w:val="20"/>
        </w:rPr>
        <w:t> </w:t>
      </w:r>
      <w:r w:rsidRPr="009D15E0">
        <w:rPr>
          <w:i/>
          <w:szCs w:val="20"/>
        </w:rPr>
        <w:t>popáleniny), gynekologie, urologie, ortopedie a ORL. Péče je poskytována vždy plánovaně, v žádném případě se nejedná o akutní péči. Obecně je při výběru výkonů vhodných k jednodenní péči na lůžku kladen důraz na minimálně invazivní výkony.</w:t>
      </w:r>
    </w:p>
    <w:p w:rsidR="00240B6D" w:rsidRPr="00240B6D" w:rsidRDefault="00240B6D" w:rsidP="005F2EE2">
      <w:pPr>
        <w:spacing w:before="120"/>
        <w:jc w:val="both"/>
        <w:rPr>
          <w:szCs w:val="20"/>
        </w:rPr>
      </w:pPr>
      <w:r w:rsidRPr="00240B6D">
        <w:rPr>
          <w:szCs w:val="20"/>
        </w:rPr>
        <w:t xml:space="preserve">Od roku 2012 roste objem výdajů na </w:t>
      </w:r>
      <w:r w:rsidRPr="005F2EE2">
        <w:rPr>
          <w:b/>
          <w:szCs w:val="20"/>
        </w:rPr>
        <w:t>stomatologickou péči</w:t>
      </w:r>
      <w:r w:rsidRPr="00240B6D">
        <w:rPr>
          <w:szCs w:val="20"/>
        </w:rPr>
        <w:t xml:space="preserve">, kterou si z velké části hradí domácnosti samy. V roce 2016 šlo </w:t>
      </w:r>
      <w:r w:rsidR="005F2EE2">
        <w:rPr>
          <w:szCs w:val="20"/>
        </w:rPr>
        <w:t xml:space="preserve">na </w:t>
      </w:r>
      <w:r w:rsidRPr="00240B6D">
        <w:rPr>
          <w:szCs w:val="20"/>
        </w:rPr>
        <w:t xml:space="preserve">ambulantní stomatologickou péči celkem 18,2 mld. Kč, z nichž si </w:t>
      </w:r>
      <w:r w:rsidRPr="009D15E0">
        <w:rPr>
          <w:b/>
          <w:szCs w:val="20"/>
        </w:rPr>
        <w:t>domácnosti hradily</w:t>
      </w:r>
      <w:r w:rsidRPr="00240B6D">
        <w:rPr>
          <w:szCs w:val="20"/>
        </w:rPr>
        <w:t xml:space="preserve"> </w:t>
      </w:r>
      <w:r w:rsidR="005F2EE2">
        <w:rPr>
          <w:szCs w:val="20"/>
        </w:rPr>
        <w:t xml:space="preserve">více jak polovinu (52,9 %; </w:t>
      </w:r>
      <w:r w:rsidRPr="00240B6D">
        <w:rPr>
          <w:szCs w:val="20"/>
        </w:rPr>
        <w:t xml:space="preserve">9,6 mld. Kč). V porovnání s rokem 2012, kdy podíl domácností na financování zubařské péče činil 41,5 %, tak vzrostly jejich výdaje na tuto péči o 2,8 mld. Kč (41,9 %).  </w:t>
      </w:r>
    </w:p>
    <w:p w:rsidR="00240B6D" w:rsidRPr="00240B6D" w:rsidRDefault="00240B6D" w:rsidP="005F2EE2">
      <w:pPr>
        <w:spacing w:before="240"/>
        <w:jc w:val="both"/>
        <w:rPr>
          <w:b/>
          <w:i/>
          <w:szCs w:val="20"/>
        </w:rPr>
      </w:pPr>
      <w:r w:rsidRPr="00240B6D">
        <w:rPr>
          <w:b/>
          <w:i/>
          <w:szCs w:val="20"/>
        </w:rPr>
        <w:t xml:space="preserve">Výdaje na lůžkovou rehabilitační péči vzrostly </w:t>
      </w:r>
      <w:r w:rsidR="007C740E">
        <w:rPr>
          <w:b/>
          <w:i/>
          <w:szCs w:val="20"/>
        </w:rPr>
        <w:t xml:space="preserve">mezi </w:t>
      </w:r>
      <w:r w:rsidRPr="00240B6D">
        <w:rPr>
          <w:b/>
          <w:i/>
          <w:szCs w:val="20"/>
        </w:rPr>
        <w:t>rok</w:t>
      </w:r>
      <w:r w:rsidR="007C740E">
        <w:rPr>
          <w:b/>
          <w:i/>
          <w:szCs w:val="20"/>
        </w:rPr>
        <w:t>y</w:t>
      </w:r>
      <w:r w:rsidRPr="00240B6D">
        <w:rPr>
          <w:b/>
          <w:i/>
          <w:szCs w:val="20"/>
        </w:rPr>
        <w:t xml:space="preserve"> 2010</w:t>
      </w:r>
      <w:r w:rsidR="007C740E">
        <w:rPr>
          <w:b/>
          <w:i/>
          <w:szCs w:val="20"/>
        </w:rPr>
        <w:t xml:space="preserve"> a 2016</w:t>
      </w:r>
      <w:r w:rsidRPr="00240B6D">
        <w:rPr>
          <w:b/>
          <w:i/>
          <w:szCs w:val="20"/>
        </w:rPr>
        <w:t xml:space="preserve"> o čtvrtinu</w:t>
      </w:r>
    </w:p>
    <w:p w:rsidR="00240B6D" w:rsidRPr="007C740E" w:rsidRDefault="00240B6D" w:rsidP="00240B6D">
      <w:pPr>
        <w:spacing w:before="120"/>
        <w:jc w:val="both"/>
        <w:rPr>
          <w:i/>
          <w:szCs w:val="17"/>
        </w:rPr>
      </w:pPr>
      <w:r w:rsidRPr="00240B6D">
        <w:rPr>
          <w:szCs w:val="17"/>
        </w:rPr>
        <w:t xml:space="preserve">Výdaje za </w:t>
      </w:r>
      <w:r w:rsidRPr="00240B6D">
        <w:rPr>
          <w:b/>
          <w:szCs w:val="17"/>
        </w:rPr>
        <w:t>rehabilitační péči</w:t>
      </w:r>
      <w:r w:rsidRPr="00240B6D">
        <w:rPr>
          <w:szCs w:val="17"/>
        </w:rPr>
        <w:t xml:space="preserve"> se v roce 2016 z poloviny týkal</w:t>
      </w:r>
      <w:r w:rsidR="00527720">
        <w:rPr>
          <w:szCs w:val="17"/>
        </w:rPr>
        <w:t>y</w:t>
      </w:r>
      <w:r w:rsidRPr="00240B6D">
        <w:rPr>
          <w:szCs w:val="17"/>
        </w:rPr>
        <w:t xml:space="preserve"> léčby lůžkové, kam spadá především </w:t>
      </w:r>
      <w:r w:rsidRPr="00240B6D">
        <w:rPr>
          <w:b/>
          <w:szCs w:val="17"/>
        </w:rPr>
        <w:t>lázeňská</w:t>
      </w:r>
      <w:r w:rsidR="005F2EE2">
        <w:rPr>
          <w:b/>
          <w:szCs w:val="17"/>
        </w:rPr>
        <w:t xml:space="preserve"> péče</w:t>
      </w:r>
      <w:r w:rsidRPr="00240B6D">
        <w:rPr>
          <w:szCs w:val="17"/>
        </w:rPr>
        <w:t>. Na lůžkovou rehabilitační péči bylo v roce 2016 celkem vydáno 7,5 mld. Kč, tj. meziročně o</w:t>
      </w:r>
      <w:r w:rsidR="00F85872">
        <w:rPr>
          <w:szCs w:val="17"/>
        </w:rPr>
        <w:t> </w:t>
      </w:r>
      <w:r w:rsidRPr="00240B6D">
        <w:rPr>
          <w:szCs w:val="17"/>
        </w:rPr>
        <w:t xml:space="preserve">572 mil. Kč (8,3 %) více finančních prostředků. </w:t>
      </w:r>
      <w:r w:rsidRPr="007C740E">
        <w:rPr>
          <w:i/>
          <w:szCs w:val="17"/>
        </w:rPr>
        <w:t xml:space="preserve">Pravidla pro úhradu lázeňské péče ze zdravotního pojištění se změnila v říjnu 2012 a tato změna se projevila naplno v roce 2013, kdy poklesl počet přijatých pacientů pro komplexní lázeňskou péči na náklad zdravotního pojištění z 80,4 tisíc v roce 2012 na 59,6 tisíc v roce 2013 – pro zajímavost v roce 2010 byla takových pacientů 107 tisíc.  Vyhláška zkrátila u dospělých pacientů zdravotními </w:t>
      </w:r>
      <w:r w:rsidRPr="007C740E">
        <w:rPr>
          <w:rFonts w:cs="Arial"/>
          <w:i/>
          <w:szCs w:val="20"/>
        </w:rPr>
        <w:t>pojišťovnami plně hrazené pobyty ze čtyř týdnů na tři, upravila indikační seznam a u některých diagnóz odstranila možnost opakování hrazeného pobytu. K opětovnému zvýšení výdajů došlo až v roce 2014, kdy od dubna začali lékaři předepisovat poukazy podle nových pravidel a mírný nárůst pokračoval i</w:t>
      </w:r>
      <w:r w:rsidR="00F85872">
        <w:rPr>
          <w:rFonts w:cs="Arial"/>
          <w:i/>
          <w:szCs w:val="20"/>
        </w:rPr>
        <w:t> </w:t>
      </w:r>
      <w:r w:rsidRPr="007C740E">
        <w:rPr>
          <w:rFonts w:cs="Arial"/>
          <w:i/>
          <w:szCs w:val="20"/>
        </w:rPr>
        <w:t>v</w:t>
      </w:r>
      <w:r w:rsidR="00FD730E" w:rsidRPr="007C740E">
        <w:rPr>
          <w:rFonts w:cs="Arial"/>
          <w:i/>
          <w:szCs w:val="20"/>
        </w:rPr>
        <w:t> následujících dvou letech</w:t>
      </w:r>
      <w:r w:rsidRPr="007C740E">
        <w:rPr>
          <w:rFonts w:cs="Arial"/>
          <w:i/>
          <w:szCs w:val="20"/>
        </w:rPr>
        <w:t xml:space="preserve">. </w:t>
      </w:r>
    </w:p>
    <w:p w:rsidR="0016731E" w:rsidRPr="00240B6D" w:rsidRDefault="00240B6D" w:rsidP="0016731E">
      <w:pPr>
        <w:spacing w:before="120"/>
        <w:jc w:val="both"/>
        <w:rPr>
          <w:rFonts w:cs="Arial"/>
          <w:szCs w:val="20"/>
        </w:rPr>
      </w:pPr>
      <w:r w:rsidRPr="00CC14C1">
        <w:rPr>
          <w:rFonts w:cs="Arial"/>
          <w:szCs w:val="20"/>
        </w:rPr>
        <w:t xml:space="preserve">Podle údajů zdravotních pojišťoven vzrostly </w:t>
      </w:r>
      <w:r w:rsidR="00FD730E" w:rsidRPr="00CC14C1">
        <w:rPr>
          <w:rFonts w:cs="Arial"/>
          <w:szCs w:val="20"/>
        </w:rPr>
        <w:t xml:space="preserve">v roce 2016 </w:t>
      </w:r>
      <w:r w:rsidRPr="00CC14C1">
        <w:rPr>
          <w:rFonts w:cs="Arial"/>
          <w:szCs w:val="20"/>
        </w:rPr>
        <w:t xml:space="preserve">meziročně o jednu čtvrtinu výdaje na </w:t>
      </w:r>
      <w:r w:rsidRPr="00CC14C1">
        <w:rPr>
          <w:rFonts w:cs="Arial"/>
          <w:b/>
          <w:szCs w:val="20"/>
        </w:rPr>
        <w:t>komplexní lázeňskou léčbu pacientů</w:t>
      </w:r>
      <w:r w:rsidRPr="00CC14C1">
        <w:rPr>
          <w:rFonts w:cs="Arial"/>
          <w:szCs w:val="20"/>
        </w:rPr>
        <w:t xml:space="preserve"> (z 2,4 mld. Kč v roce 2015 na 3,1 mld. Kč v roce 2016)</w:t>
      </w:r>
      <w:r w:rsidR="007C740E">
        <w:rPr>
          <w:rFonts w:cs="Arial"/>
          <w:szCs w:val="20"/>
        </w:rPr>
        <w:t>, která je</w:t>
      </w:r>
      <w:r w:rsidR="00FD730E" w:rsidRPr="00CC14C1">
        <w:rPr>
          <w:rFonts w:cs="Arial"/>
          <w:szCs w:val="20"/>
        </w:rPr>
        <w:t xml:space="preserve"> plně hrazen</w:t>
      </w:r>
      <w:r w:rsidR="007C740E">
        <w:rPr>
          <w:rFonts w:cs="Arial"/>
          <w:szCs w:val="20"/>
        </w:rPr>
        <w:t>a</w:t>
      </w:r>
      <w:r w:rsidR="00FD730E" w:rsidRPr="00CC14C1">
        <w:rPr>
          <w:rFonts w:cs="Arial"/>
          <w:szCs w:val="20"/>
        </w:rPr>
        <w:t xml:space="preserve"> ze zdravotního pojištění</w:t>
      </w:r>
      <w:r w:rsidR="0016731E" w:rsidRPr="00CC14C1">
        <w:rPr>
          <w:rFonts w:cs="Arial"/>
          <w:szCs w:val="20"/>
        </w:rPr>
        <w:t>. Lázeňská péče se ovšem nehradí jen ze zdravotního pojištění, ale velkou měrou si na ni přispívají i pacienti sami. V roce 2016 šlo z jejich kapes na lůžkovou rehabilitační péči celkem 2,7 mld. Kč, tj. 36 % z celkových výdajů na tuto péči.</w:t>
      </w:r>
    </w:p>
    <w:p w:rsidR="009E3D07" w:rsidRPr="00F1671D" w:rsidRDefault="009E3D07" w:rsidP="009E3D07">
      <w:pPr>
        <w:spacing w:before="120"/>
        <w:jc w:val="both"/>
        <w:rPr>
          <w:rFonts w:cs="Arial"/>
          <w:szCs w:val="20"/>
        </w:rPr>
      </w:pPr>
      <w:r w:rsidRPr="00F1671D">
        <w:rPr>
          <w:rFonts w:cs="Arial"/>
          <w:szCs w:val="20"/>
        </w:rPr>
        <w:t xml:space="preserve">Druhá polovina výdajů na rehabilitační péči připadá na její </w:t>
      </w:r>
      <w:r w:rsidRPr="009E3D07">
        <w:rPr>
          <w:rFonts w:cs="Arial"/>
          <w:b/>
          <w:szCs w:val="20"/>
        </w:rPr>
        <w:t>ambulantní formu</w:t>
      </w:r>
      <w:r w:rsidRPr="00F1671D">
        <w:rPr>
          <w:rFonts w:cs="Arial"/>
          <w:szCs w:val="20"/>
        </w:rPr>
        <w:t>, kdy pacienti docházejí na procedury do rehabilitačních zařízení popř. do lázní bez možnosti ubytování</w:t>
      </w:r>
      <w:r>
        <w:rPr>
          <w:rFonts w:cs="Arial"/>
          <w:szCs w:val="20"/>
        </w:rPr>
        <w:t xml:space="preserve">. </w:t>
      </w:r>
      <w:r w:rsidRPr="00F1671D">
        <w:rPr>
          <w:rFonts w:cs="Arial"/>
          <w:szCs w:val="20"/>
        </w:rPr>
        <w:t>Na rozdíl od lůžkové rehabilitační péče, byl zde zaznamenán 4,1% meziroční pokles v jejím financování. Tento pokles se však netýkal části, která je financovaná domácnostmi, které za tuto péči poprvé utratily více jak miliardu korun – 1 006 mil. Kč v roce 2016 v porovnání s 626 mil. Kč v roce 2010.</w:t>
      </w:r>
    </w:p>
    <w:p w:rsidR="00240B6D" w:rsidRPr="00240B6D" w:rsidRDefault="00240B6D" w:rsidP="00240B6D">
      <w:pPr>
        <w:spacing w:before="120"/>
        <w:jc w:val="both"/>
        <w:rPr>
          <w:rFonts w:cs="Arial"/>
          <w:b/>
          <w:i/>
          <w:szCs w:val="20"/>
        </w:rPr>
      </w:pPr>
      <w:r w:rsidRPr="002B4648">
        <w:rPr>
          <w:rFonts w:cs="Arial"/>
          <w:b/>
          <w:i/>
          <w:szCs w:val="20"/>
        </w:rPr>
        <w:t>Zdravotní pojišťovny zaplatily v roce 2016 za screeningová vyšetření a diagnostické testy 1,5 mld. Kč</w:t>
      </w:r>
    </w:p>
    <w:p w:rsidR="00240B6D" w:rsidRPr="00B85CB1" w:rsidRDefault="00240B6D" w:rsidP="0016731E">
      <w:pPr>
        <w:spacing w:before="120"/>
        <w:jc w:val="both"/>
        <w:rPr>
          <w:rFonts w:cs="Arial"/>
          <w:i/>
          <w:szCs w:val="20"/>
        </w:rPr>
      </w:pPr>
      <w:r w:rsidRPr="00B85CB1">
        <w:rPr>
          <w:rFonts w:cs="Arial"/>
          <w:i/>
          <w:szCs w:val="20"/>
        </w:rPr>
        <w:t>Cílem</w:t>
      </w:r>
      <w:r w:rsidRPr="00B85CB1">
        <w:rPr>
          <w:rFonts w:cs="Arial"/>
          <w:b/>
          <w:i/>
          <w:szCs w:val="20"/>
        </w:rPr>
        <w:t xml:space="preserve"> preventivní péče </w:t>
      </w:r>
      <w:r w:rsidRPr="00B85CB1">
        <w:rPr>
          <w:rFonts w:cs="Arial"/>
          <w:i/>
          <w:szCs w:val="20"/>
        </w:rPr>
        <w:t>je celkově dobrý zdravotní stav obyvatel a nebývá proto zaměřena na konkrétní onemocnění. Preventivní programy jsou více zaměřeny na ty skupiny obyvatel, které jsou považovány za ohrožené (děti, senioři, těhotné ženy) případně na určité zdravotní oblasti (např. zubní a všeobecné preventivní prohlídky). V rámci těchto programů je zvyšována informovanost a vzdělanost obyvatel v oblasti zdravotní péče. Lidé jsou seznamováni s metodami a postupy, které jim umožňují převzít aktivní roli v ochraně jejich vlastního zdraví.</w:t>
      </w:r>
      <w:r w:rsidRPr="00B85CB1">
        <w:rPr>
          <w:i/>
        </w:rPr>
        <w:t xml:space="preserve"> </w:t>
      </w:r>
    </w:p>
    <w:p w:rsidR="0016731E" w:rsidRDefault="00240B6D" w:rsidP="0016731E">
      <w:pPr>
        <w:spacing w:before="120"/>
        <w:jc w:val="both"/>
        <w:rPr>
          <w:rFonts w:cs="Arial"/>
          <w:szCs w:val="20"/>
        </w:rPr>
      </w:pPr>
      <w:r w:rsidRPr="00240B6D">
        <w:rPr>
          <w:rFonts w:cs="Arial"/>
          <w:szCs w:val="20"/>
        </w:rPr>
        <w:lastRenderedPageBreak/>
        <w:t xml:space="preserve">Významné místo v preventivní péči mají </w:t>
      </w:r>
      <w:r w:rsidRPr="0016731E">
        <w:rPr>
          <w:rFonts w:cs="Arial"/>
          <w:b/>
          <w:szCs w:val="20"/>
        </w:rPr>
        <w:t>imunizační programy</w:t>
      </w:r>
      <w:r w:rsidRPr="00240B6D">
        <w:rPr>
          <w:rFonts w:cs="Arial"/>
          <w:szCs w:val="20"/>
        </w:rPr>
        <w:t xml:space="preserve">. Výčet povinných očkování a nepovinných očkování hrazených z veřejného pojištění se mění a s ním i výdaje na preventivní péči. Stejně tak nabídka dalších očkování, mimo jiné i pro cestování do tropických oblastí a další, se během doby vyvíjí. </w:t>
      </w:r>
      <w:r w:rsidR="00B85CB1">
        <w:rPr>
          <w:rFonts w:cs="Arial"/>
          <w:szCs w:val="20"/>
        </w:rPr>
        <w:t>V roce 2016 bylo v </w:t>
      </w:r>
      <w:r w:rsidR="00F12246">
        <w:rPr>
          <w:rFonts w:cs="Arial"/>
          <w:szCs w:val="20"/>
        </w:rPr>
        <w:t>Č</w:t>
      </w:r>
      <w:r w:rsidR="00B85CB1">
        <w:rPr>
          <w:rFonts w:cs="Arial"/>
          <w:szCs w:val="20"/>
        </w:rPr>
        <w:t>esku na tyto imunizační programy vynaloženo celkem 1,2 mld. Kč, tj. nejméně od roku 2010.</w:t>
      </w:r>
      <w:r w:rsidR="00F12246">
        <w:rPr>
          <w:rFonts w:cs="Arial"/>
          <w:szCs w:val="20"/>
        </w:rPr>
        <w:t xml:space="preserve"> Většina těchto výdajů (96 % v roce 2016) je hrazena přímo ze státního rozpočtu.</w:t>
      </w:r>
    </w:p>
    <w:p w:rsidR="00240B6D" w:rsidRPr="00240B6D" w:rsidRDefault="00240B6D" w:rsidP="0016731E">
      <w:pPr>
        <w:spacing w:before="120"/>
        <w:jc w:val="both"/>
        <w:rPr>
          <w:rFonts w:cs="Arial"/>
          <w:szCs w:val="20"/>
        </w:rPr>
      </w:pPr>
      <w:r w:rsidRPr="00240B6D">
        <w:rPr>
          <w:rFonts w:cs="Arial"/>
          <w:szCs w:val="20"/>
        </w:rPr>
        <w:t xml:space="preserve">Výdajově nejvýznamnější položkou preventivní péče jsou </w:t>
      </w:r>
      <w:r w:rsidRPr="00B85CB1">
        <w:rPr>
          <w:rFonts w:cs="Arial"/>
          <w:b/>
          <w:szCs w:val="20"/>
        </w:rPr>
        <w:t>programy pro sledování zdravotního stavu obyvatelstva</w:t>
      </w:r>
      <w:r w:rsidRPr="00240B6D">
        <w:rPr>
          <w:rFonts w:cs="Arial"/>
          <w:szCs w:val="20"/>
        </w:rPr>
        <w:t xml:space="preserve"> zahrnující </w:t>
      </w:r>
      <w:r w:rsidRPr="00B85CB1">
        <w:rPr>
          <w:rFonts w:cs="Arial"/>
          <w:szCs w:val="20"/>
        </w:rPr>
        <w:t>aktivní monitoring</w:t>
      </w:r>
      <w:r w:rsidRPr="00240B6D">
        <w:rPr>
          <w:rFonts w:cs="Arial"/>
          <w:szCs w:val="20"/>
        </w:rPr>
        <w:t xml:space="preserve"> celkového zdravotního stavu i jeho dílčích aspektů. Preventivní programy z této skupiny se zaměřují </w:t>
      </w:r>
      <w:r w:rsidRPr="00240B6D">
        <w:rPr>
          <w:rFonts w:eastAsia="Calibri" w:cs="Arial"/>
          <w:szCs w:val="20"/>
        </w:rPr>
        <w:t xml:space="preserve">na určitá období života jako je těhotenství (předporodní a poporodní péči), růst a vývoj dítěte, skupiny stárnoucích lidí nebo na zubní a všeobecné preventivní prohlídky, na které bylo </w:t>
      </w:r>
      <w:r w:rsidR="00B85CB1">
        <w:rPr>
          <w:rFonts w:eastAsia="Calibri" w:cs="Arial"/>
          <w:szCs w:val="20"/>
        </w:rPr>
        <w:t xml:space="preserve">v roce 2016 </w:t>
      </w:r>
      <w:r w:rsidRPr="00240B6D">
        <w:rPr>
          <w:rFonts w:cs="Arial"/>
          <w:szCs w:val="20"/>
        </w:rPr>
        <w:t>vydáno</w:t>
      </w:r>
      <w:r w:rsidRPr="00240B6D">
        <w:rPr>
          <w:rFonts w:eastAsia="Calibri" w:cs="Arial"/>
          <w:szCs w:val="20"/>
        </w:rPr>
        <w:t xml:space="preserve"> </w:t>
      </w:r>
      <w:r w:rsidR="00F12246">
        <w:rPr>
          <w:rFonts w:eastAsia="Calibri" w:cs="Arial"/>
          <w:szCs w:val="20"/>
        </w:rPr>
        <w:t xml:space="preserve">celkem </w:t>
      </w:r>
      <w:r w:rsidRPr="00240B6D">
        <w:rPr>
          <w:rFonts w:eastAsia="Calibri" w:cs="Arial"/>
          <w:szCs w:val="20"/>
        </w:rPr>
        <w:t xml:space="preserve">6,1 mld. Kč. </w:t>
      </w:r>
      <w:r w:rsidR="00F12246">
        <w:rPr>
          <w:rFonts w:eastAsia="Calibri" w:cs="Arial"/>
          <w:szCs w:val="20"/>
        </w:rPr>
        <w:t>Tato část preventivní péče je z 80 % (údaj za rok 2016) hrazena z veřejného zdravotního pojištění a zbytek připadá na podnikové zdroje v rámci závodní preventivní péče o jejich zaměstnance.</w:t>
      </w:r>
    </w:p>
    <w:p w:rsidR="009E3D07" w:rsidRPr="00240B6D" w:rsidRDefault="009E3D07" w:rsidP="009E3D07">
      <w:pPr>
        <w:spacing w:before="120"/>
        <w:jc w:val="both"/>
        <w:rPr>
          <w:rFonts w:cs="Arial"/>
          <w:szCs w:val="20"/>
        </w:rPr>
      </w:pPr>
      <w:r w:rsidRPr="00F1671D">
        <w:rPr>
          <w:rFonts w:cs="Arial"/>
          <w:szCs w:val="20"/>
        </w:rPr>
        <w:t xml:space="preserve">Další skupinou výdajů preventivní péče jsou </w:t>
      </w:r>
      <w:r w:rsidRPr="00F1671D">
        <w:rPr>
          <w:rFonts w:cs="Arial"/>
          <w:b/>
          <w:szCs w:val="20"/>
        </w:rPr>
        <w:t>programy pro včasné odhalení nemocí</w:t>
      </w:r>
      <w:r w:rsidRPr="00F1671D">
        <w:rPr>
          <w:rFonts w:cs="Arial"/>
          <w:szCs w:val="20"/>
        </w:rPr>
        <w:t xml:space="preserve"> zahrnující různé typy </w:t>
      </w:r>
      <w:proofErr w:type="spellStart"/>
      <w:r w:rsidRPr="00F1671D">
        <w:rPr>
          <w:rFonts w:cs="Arial"/>
          <w:szCs w:val="20"/>
        </w:rPr>
        <w:t>screeningů</w:t>
      </w:r>
      <w:proofErr w:type="spellEnd"/>
      <w:r w:rsidRPr="00F1671D">
        <w:rPr>
          <w:rFonts w:cs="Arial"/>
          <w:szCs w:val="20"/>
        </w:rPr>
        <w:t xml:space="preserve">, diagnostické testy a lékařské prohlídky. </w:t>
      </w:r>
      <w:r w:rsidRPr="00F1671D">
        <w:rPr>
          <w:szCs w:val="20"/>
        </w:rPr>
        <w:t xml:space="preserve">Zdravotní pojišťovny hradí některá preventivní vyšetření např. </w:t>
      </w:r>
      <w:proofErr w:type="spellStart"/>
      <w:r w:rsidRPr="00F1671D">
        <w:rPr>
          <w:szCs w:val="20"/>
        </w:rPr>
        <w:t>screening</w:t>
      </w:r>
      <w:proofErr w:type="spellEnd"/>
      <w:r w:rsidRPr="00F1671D">
        <w:rPr>
          <w:szCs w:val="20"/>
        </w:rPr>
        <w:t xml:space="preserve">, zhoubných nádorů, </w:t>
      </w:r>
      <w:proofErr w:type="spellStart"/>
      <w:r w:rsidRPr="00F1671D">
        <w:rPr>
          <w:rFonts w:cs="Arial"/>
          <w:szCs w:val="20"/>
        </w:rPr>
        <w:t>screening</w:t>
      </w:r>
      <w:proofErr w:type="spellEnd"/>
      <w:r w:rsidRPr="00F1671D">
        <w:rPr>
          <w:rFonts w:cs="Arial"/>
          <w:szCs w:val="20"/>
        </w:rPr>
        <w:t xml:space="preserve"> sluchu u novorozenců nebo preventivní prohlídky ze základního fondu veřejného zdravotního pojištění.</w:t>
      </w:r>
      <w:r w:rsidR="00F12246">
        <w:rPr>
          <w:rFonts w:cs="Arial"/>
          <w:szCs w:val="20"/>
        </w:rPr>
        <w:t xml:space="preserve"> V roce 2016 bylo na tato preventivní vyšetření z veřejného zdravotního pojištění vynaloženo 1,5 mld. Kč. Ze státního a místních rozpočtů šlo na tuto péči dalších 269 mil. Kč.</w:t>
      </w:r>
    </w:p>
    <w:p w:rsidR="00240B6D" w:rsidRPr="00240B6D" w:rsidRDefault="00240B6D" w:rsidP="0016731E">
      <w:pPr>
        <w:spacing w:before="240"/>
        <w:jc w:val="both"/>
        <w:rPr>
          <w:b/>
          <w:i/>
          <w:szCs w:val="20"/>
        </w:rPr>
      </w:pPr>
      <w:r w:rsidRPr="00240B6D">
        <w:rPr>
          <w:b/>
          <w:i/>
          <w:szCs w:val="20"/>
        </w:rPr>
        <w:t>Meziroční výdaje na dlouhodobou lůžkovou péči se zvýšily o 7 % a dosáhly částky 37,1 mld. Kč</w:t>
      </w:r>
    </w:p>
    <w:p w:rsidR="00A074EF" w:rsidRDefault="00240B6D" w:rsidP="00A074EF">
      <w:pPr>
        <w:keepNext/>
        <w:spacing w:before="120"/>
        <w:jc w:val="both"/>
        <w:rPr>
          <w:szCs w:val="17"/>
        </w:rPr>
      </w:pPr>
      <w:r w:rsidRPr="00240B6D">
        <w:rPr>
          <w:szCs w:val="17"/>
        </w:rPr>
        <w:t xml:space="preserve">Potřeba </w:t>
      </w:r>
      <w:r w:rsidRPr="00240B6D">
        <w:rPr>
          <w:b/>
          <w:szCs w:val="17"/>
        </w:rPr>
        <w:t xml:space="preserve">dlouhodobé </w:t>
      </w:r>
      <w:r w:rsidR="00A074EF">
        <w:rPr>
          <w:b/>
          <w:szCs w:val="17"/>
        </w:rPr>
        <w:t xml:space="preserve">zdravotní </w:t>
      </w:r>
      <w:r w:rsidRPr="00240B6D">
        <w:rPr>
          <w:b/>
          <w:szCs w:val="17"/>
        </w:rPr>
        <w:t>péče</w:t>
      </w:r>
      <w:r w:rsidRPr="00240B6D">
        <w:rPr>
          <w:szCs w:val="17"/>
        </w:rPr>
        <w:t xml:space="preserve"> s ohledem na stárnutí populace </w:t>
      </w:r>
      <w:r w:rsidR="00A074EF">
        <w:rPr>
          <w:szCs w:val="17"/>
        </w:rPr>
        <w:t xml:space="preserve">každoročně </w:t>
      </w:r>
      <w:r w:rsidRPr="00240B6D">
        <w:rPr>
          <w:szCs w:val="17"/>
        </w:rPr>
        <w:t>narůst</w:t>
      </w:r>
      <w:r w:rsidR="00A074EF">
        <w:rPr>
          <w:szCs w:val="17"/>
        </w:rPr>
        <w:t>á</w:t>
      </w:r>
      <w:r w:rsidRPr="00240B6D">
        <w:rPr>
          <w:szCs w:val="17"/>
        </w:rPr>
        <w:t xml:space="preserve"> a s tím souvisí </w:t>
      </w:r>
      <w:r w:rsidR="00A074EF">
        <w:rPr>
          <w:szCs w:val="17"/>
        </w:rPr>
        <w:t>i</w:t>
      </w:r>
      <w:r w:rsidR="00F85872">
        <w:rPr>
          <w:szCs w:val="17"/>
        </w:rPr>
        <w:t> </w:t>
      </w:r>
      <w:r w:rsidRPr="00240B6D">
        <w:rPr>
          <w:szCs w:val="17"/>
        </w:rPr>
        <w:t xml:space="preserve">pozvolné zvyšování výdajů </w:t>
      </w:r>
      <w:r w:rsidR="00A074EF">
        <w:rPr>
          <w:szCs w:val="17"/>
        </w:rPr>
        <w:t>na tuto péči</w:t>
      </w:r>
      <w:r w:rsidRPr="00240B6D">
        <w:rPr>
          <w:szCs w:val="17"/>
        </w:rPr>
        <w:t xml:space="preserve">. </w:t>
      </w:r>
      <w:r w:rsidR="00A074EF" w:rsidRPr="00240B6D">
        <w:rPr>
          <w:szCs w:val="17"/>
        </w:rPr>
        <w:t>V období 2010 – 201</w:t>
      </w:r>
      <w:r w:rsidR="00A074EF">
        <w:rPr>
          <w:szCs w:val="17"/>
        </w:rPr>
        <w:t>6</w:t>
      </w:r>
      <w:r w:rsidR="00A074EF" w:rsidRPr="00240B6D">
        <w:rPr>
          <w:szCs w:val="17"/>
        </w:rPr>
        <w:t xml:space="preserve"> se </w:t>
      </w:r>
      <w:r w:rsidR="00A074EF">
        <w:rPr>
          <w:szCs w:val="17"/>
        </w:rPr>
        <w:t xml:space="preserve">celkové výdaje na dlouhodobou zdravotní péči </w:t>
      </w:r>
      <w:r w:rsidR="00A074EF" w:rsidRPr="00240B6D">
        <w:rPr>
          <w:szCs w:val="17"/>
        </w:rPr>
        <w:t>zvýšily o čtvrtinu</w:t>
      </w:r>
      <w:r w:rsidR="00A074EF">
        <w:rPr>
          <w:szCs w:val="17"/>
        </w:rPr>
        <w:t xml:space="preserve"> – v absolutním vyjádření šlo o nárůst o téměř 10 mld. Kč z 35,8 mld. Kč v roce 2010 na 45,1 mld. Kč v roce 2016.</w:t>
      </w:r>
      <w:r w:rsidR="00A074EF" w:rsidRPr="00240B6D">
        <w:rPr>
          <w:szCs w:val="17"/>
        </w:rPr>
        <w:t xml:space="preserve"> </w:t>
      </w:r>
      <w:r w:rsidR="00A074EF" w:rsidRPr="00A074EF">
        <w:rPr>
          <w:szCs w:val="17"/>
        </w:rPr>
        <w:t>Výdaje na</w:t>
      </w:r>
      <w:r w:rsidR="00A074EF" w:rsidRPr="00240B6D">
        <w:rPr>
          <w:b/>
          <w:szCs w:val="17"/>
        </w:rPr>
        <w:t xml:space="preserve"> dlouhodobou lůžkovou péči</w:t>
      </w:r>
      <w:r w:rsidR="00A074EF" w:rsidRPr="00240B6D">
        <w:rPr>
          <w:szCs w:val="17"/>
        </w:rPr>
        <w:t xml:space="preserve"> představují 82 % z celkových výdajů na dlouhodobou </w:t>
      </w:r>
      <w:r w:rsidR="00A074EF">
        <w:rPr>
          <w:szCs w:val="17"/>
        </w:rPr>
        <w:t xml:space="preserve">zdravotní </w:t>
      </w:r>
      <w:r w:rsidR="00A074EF" w:rsidRPr="00240B6D">
        <w:rPr>
          <w:szCs w:val="17"/>
        </w:rPr>
        <w:t>péči</w:t>
      </w:r>
      <w:r w:rsidR="00A074EF">
        <w:rPr>
          <w:szCs w:val="17"/>
        </w:rPr>
        <w:t xml:space="preserve">. Meziročně tyto výdaje vzrostly o 6,6 % (2,3 mld. Kč) na 37,1 mld. Kč v roce 2016. </w:t>
      </w:r>
      <w:r w:rsidR="00A074EF" w:rsidRPr="00240B6D">
        <w:rPr>
          <w:szCs w:val="20"/>
        </w:rPr>
        <w:t xml:space="preserve">Výdaje na dlouhodobou domácí </w:t>
      </w:r>
      <w:r w:rsidR="00A074EF">
        <w:rPr>
          <w:szCs w:val="20"/>
        </w:rPr>
        <w:t xml:space="preserve">zdravotní </w:t>
      </w:r>
      <w:r w:rsidR="00A074EF" w:rsidRPr="00240B6D">
        <w:rPr>
          <w:szCs w:val="20"/>
        </w:rPr>
        <w:t>péči se od roku 2010 zvýšily téměř o</w:t>
      </w:r>
      <w:r w:rsidR="00F85872">
        <w:rPr>
          <w:szCs w:val="20"/>
        </w:rPr>
        <w:t> </w:t>
      </w:r>
      <w:r w:rsidR="00A074EF" w:rsidRPr="00240B6D">
        <w:rPr>
          <w:szCs w:val="20"/>
        </w:rPr>
        <w:t>jednu třetinu.</w:t>
      </w:r>
    </w:p>
    <w:p w:rsidR="00240B6D" w:rsidRPr="00A074EF" w:rsidRDefault="00240B6D" w:rsidP="00240B6D">
      <w:pPr>
        <w:keepNext/>
        <w:spacing w:before="120"/>
        <w:jc w:val="both"/>
        <w:rPr>
          <w:i/>
          <w:szCs w:val="17"/>
        </w:rPr>
      </w:pPr>
      <w:r w:rsidRPr="00240B6D">
        <w:rPr>
          <w:b/>
          <w:szCs w:val="20"/>
        </w:rPr>
        <w:t>Dlouhodobá d</w:t>
      </w:r>
      <w:r w:rsidRPr="00240B6D">
        <w:rPr>
          <w:b/>
          <w:bCs/>
          <w:szCs w:val="20"/>
        </w:rPr>
        <w:t>omácí péče</w:t>
      </w:r>
      <w:r w:rsidRPr="00240B6D">
        <w:rPr>
          <w:szCs w:val="20"/>
        </w:rPr>
        <w:t xml:space="preserve"> je určena chronicky nemocným klientům, jejichž zdravotní i duševní stav si vyžaduje dlouhodobou a pravidelnou domácí péči kvalifikovaného personálu. V souvislosti se změnou metodiky SHA 2011 se podařilo rozšířit zdroje dat a tím se zaměřit také na výdaje za denní dlouhodobou péči, která byla sledována v minulosti pouze okrajově. </w:t>
      </w:r>
      <w:r w:rsidRPr="00240B6D">
        <w:rPr>
          <w:b/>
          <w:szCs w:val="20"/>
        </w:rPr>
        <w:t>Denní dlouhodobá</w:t>
      </w:r>
      <w:r w:rsidRPr="00240B6D">
        <w:rPr>
          <w:szCs w:val="20"/>
        </w:rPr>
        <w:t xml:space="preserve"> péče, která zahrnuje především denní stacionáře a centra odlehčovacích služeb, ovšem tvoří pouze velmi malou část výdajů na zdravotní péči. </w:t>
      </w:r>
      <w:r w:rsidRPr="00A074EF">
        <w:rPr>
          <w:i/>
          <w:szCs w:val="17"/>
        </w:rPr>
        <w:t xml:space="preserve">Podrobněji se budeme věnovat </w:t>
      </w:r>
      <w:r w:rsidRPr="00A074EF">
        <w:rPr>
          <w:b/>
          <w:i/>
          <w:szCs w:val="17"/>
        </w:rPr>
        <w:t>dlouhodobé zdravotní a sociální péči</w:t>
      </w:r>
      <w:r w:rsidRPr="00A074EF">
        <w:rPr>
          <w:i/>
          <w:szCs w:val="17"/>
        </w:rPr>
        <w:t xml:space="preserve"> v samostatné kapitole č. 3.3.</w:t>
      </w:r>
    </w:p>
    <w:p w:rsidR="00240B6D" w:rsidRPr="00240B6D" w:rsidRDefault="00240B6D" w:rsidP="00005868">
      <w:pPr>
        <w:pageBreakBefore/>
        <w:spacing w:before="120"/>
        <w:jc w:val="both"/>
        <w:rPr>
          <w:b/>
          <w:i/>
          <w:szCs w:val="20"/>
        </w:rPr>
      </w:pPr>
      <w:r w:rsidRPr="00240B6D">
        <w:rPr>
          <w:b/>
          <w:i/>
          <w:szCs w:val="20"/>
        </w:rPr>
        <w:lastRenderedPageBreak/>
        <w:t>Výdaje domácností na volně prodejné léky překročily v roce 2016 hranici 13 mld. Kč</w:t>
      </w:r>
    </w:p>
    <w:p w:rsidR="00CA5A12" w:rsidRDefault="00240B6D" w:rsidP="00240B6D">
      <w:pPr>
        <w:widowControl w:val="0"/>
        <w:spacing w:before="120"/>
        <w:jc w:val="both"/>
        <w:rPr>
          <w:i/>
        </w:rPr>
      </w:pPr>
      <w:r w:rsidRPr="00240B6D">
        <w:rPr>
          <w:b/>
        </w:rPr>
        <w:t>Léčiva a ostatní zdravotnické výrobky</w:t>
      </w:r>
      <w:r w:rsidRPr="00240B6D">
        <w:t xml:space="preserve"> se v roce 2016 podílely  na celkových běžných výdajích na zdravotní péči 19,2 %</w:t>
      </w:r>
      <w:r w:rsidR="00CA5A12">
        <w:t>, v absolutním vyjádření šlo 69,3 mld. Kč</w:t>
      </w:r>
      <w:r w:rsidRPr="00240B6D">
        <w:t xml:space="preserve">. </w:t>
      </w:r>
      <w:r w:rsidRPr="00F12246">
        <w:rPr>
          <w:i/>
        </w:rPr>
        <w:t xml:space="preserve">Výdaje za léčiva a ostatní zdravotnický materiál dle mezinárodní metodiky </w:t>
      </w:r>
      <w:r w:rsidR="00F12246">
        <w:rPr>
          <w:i/>
        </w:rPr>
        <w:t xml:space="preserve">SHA 2011 </w:t>
      </w:r>
      <w:r w:rsidRPr="00F12246">
        <w:rPr>
          <w:i/>
        </w:rPr>
        <w:t xml:space="preserve">neobsahují výdaje za léky spotřebované přímo ve zdravotnických zařízeních. Pokud bychom do této položky zařadili i výdaje za tyto léky – podrobněji viz samostatná kapitola </w:t>
      </w:r>
      <w:proofErr w:type="gramStart"/>
      <w:r w:rsidRPr="00F12246">
        <w:rPr>
          <w:i/>
        </w:rPr>
        <w:t>č.3.4</w:t>
      </w:r>
      <w:proofErr w:type="gramEnd"/>
      <w:r w:rsidRPr="00F12246">
        <w:rPr>
          <w:i/>
        </w:rPr>
        <w:t xml:space="preserve"> – pak by podíl léčiv a ostatních zdravotnických výrobků na celkových výdajích na zdravotní péči v Česku dosáhl </w:t>
      </w:r>
      <w:r w:rsidR="00CA5A12" w:rsidRPr="00F12246">
        <w:rPr>
          <w:i/>
        </w:rPr>
        <w:t xml:space="preserve">v roce 2016 </w:t>
      </w:r>
      <w:r w:rsidRPr="00F12246">
        <w:rPr>
          <w:i/>
        </w:rPr>
        <w:t xml:space="preserve">jedné čtvrtiny (92,3 mld. Kč). </w:t>
      </w:r>
    </w:p>
    <w:p w:rsidR="002B4648" w:rsidRPr="00240B6D" w:rsidRDefault="002B4648" w:rsidP="002B4648">
      <w:pPr>
        <w:widowControl w:val="0"/>
        <w:spacing w:before="120"/>
        <w:jc w:val="both"/>
      </w:pPr>
      <w:r w:rsidRPr="00A91F5C">
        <w:rPr>
          <w:b/>
        </w:rPr>
        <w:t>Léčiva a zdravotnický materiál</w:t>
      </w:r>
      <w:r w:rsidRPr="00240B6D">
        <w:t xml:space="preserve"> (léky</w:t>
      </w:r>
      <w:r>
        <w:t xml:space="preserve">, </w:t>
      </w:r>
      <w:r w:rsidRPr="00240B6D">
        <w:t>dezinfekce, obvazy, náplasti, teploměry atd.) tvoří dlouhodobě až 86 % výdajů této skupiny</w:t>
      </w:r>
      <w:r>
        <w:t xml:space="preserve">. </w:t>
      </w:r>
      <w:r w:rsidRPr="00A91F5C">
        <w:rPr>
          <w:i/>
        </w:rPr>
        <w:t>Při započtení i výše uvedených léků spotřebovaných přímo ve zdravotnických zařízeních dokonce téměř 90 %.</w:t>
      </w:r>
      <w:r w:rsidRPr="00240B6D">
        <w:t xml:space="preserve"> Meziročně se výdaje v uvedené skupině léčiv zvýšily v roce 2016 o 2,2 % (v</w:t>
      </w:r>
      <w:r>
        <w:t> </w:t>
      </w:r>
      <w:r w:rsidRPr="00240B6D">
        <w:t xml:space="preserve">absolutních hodnotách o 1,3 mld. Kč), což je dáno zejména zvýšením výdajů za volně prodejné léky, které hradí domácnosti, a to o 5,5 %. </w:t>
      </w:r>
      <w:r w:rsidRPr="00A91F5C">
        <w:rPr>
          <w:i/>
        </w:rPr>
        <w:t>Při započtení léků spotřebovaných přímo ve zdravotnických zařízeních, výdaje za léčiva meziročně vzrostla o 3,0 % (2,4 mld. Kč).</w:t>
      </w:r>
      <w:r w:rsidRPr="00240B6D">
        <w:t xml:space="preserve"> </w:t>
      </w:r>
    </w:p>
    <w:p w:rsidR="00CA5A12" w:rsidRPr="00240B6D" w:rsidRDefault="00CA5A12" w:rsidP="00A91F5C">
      <w:pPr>
        <w:keepNext/>
        <w:spacing w:before="240" w:after="240" w:line="240" w:lineRule="auto"/>
        <w:jc w:val="both"/>
        <w:rPr>
          <w:b/>
          <w:bCs/>
          <w:sz w:val="18"/>
          <w:szCs w:val="18"/>
        </w:rPr>
      </w:pPr>
      <w:r w:rsidRPr="00240B6D">
        <w:rPr>
          <w:b/>
          <w:bCs/>
          <w:sz w:val="18"/>
          <w:szCs w:val="18"/>
        </w:rPr>
        <w:t xml:space="preserve">Graf č: 2.8 Výdaje na léčiva a ostatní zdravotnické výrobky v Česku, </w:t>
      </w:r>
      <w:r w:rsidR="00527720">
        <w:rPr>
          <w:b/>
          <w:bCs/>
          <w:sz w:val="18"/>
          <w:szCs w:val="18"/>
        </w:rPr>
        <w:t>2012</w:t>
      </w:r>
      <w:r w:rsidR="00527720" w:rsidRPr="00240B6D">
        <w:rPr>
          <w:b/>
          <w:bCs/>
          <w:sz w:val="18"/>
          <w:szCs w:val="18"/>
        </w:rPr>
        <w:t xml:space="preserve"> </w:t>
      </w:r>
      <w:r w:rsidRPr="00240B6D">
        <w:rPr>
          <w:b/>
          <w:bCs/>
          <w:sz w:val="18"/>
          <w:szCs w:val="18"/>
        </w:rPr>
        <w:t>– 2016</w:t>
      </w:r>
    </w:p>
    <w:p w:rsidR="00CA5A12" w:rsidRPr="00240B6D" w:rsidRDefault="00CA5A12" w:rsidP="00A91F5C">
      <w:pPr>
        <w:keepNext/>
        <w:tabs>
          <w:tab w:val="left" w:pos="142"/>
          <w:tab w:val="left" w:pos="5812"/>
        </w:tabs>
        <w:spacing w:before="120"/>
        <w:jc w:val="both"/>
        <w:rPr>
          <w:b/>
          <w:i/>
          <w:sz w:val="18"/>
        </w:rPr>
      </w:pPr>
      <w:r w:rsidRPr="00240B6D">
        <w:rPr>
          <w:b/>
          <w:i/>
          <w:sz w:val="18"/>
        </w:rPr>
        <w:tab/>
        <w:t xml:space="preserve">a) v mld. Kč </w:t>
      </w:r>
      <w:r w:rsidRPr="00240B6D">
        <w:rPr>
          <w:b/>
          <w:i/>
          <w:sz w:val="18"/>
        </w:rPr>
        <w:tab/>
        <w:t>b) struktura v %</w:t>
      </w:r>
    </w:p>
    <w:p w:rsidR="00CA5A12" w:rsidRPr="00240B6D" w:rsidRDefault="00CA5A12" w:rsidP="00E97C6C">
      <w:pPr>
        <w:keepNext/>
        <w:tabs>
          <w:tab w:val="left" w:pos="142"/>
          <w:tab w:val="left" w:pos="5812"/>
        </w:tabs>
        <w:jc w:val="both"/>
        <w:rPr>
          <w:b/>
          <w:i/>
          <w:sz w:val="18"/>
        </w:rPr>
      </w:pPr>
      <w:r w:rsidRPr="00240B6D">
        <w:rPr>
          <w:noProof/>
        </w:rPr>
        <w:drawing>
          <wp:inline distT="0" distB="0" distL="0" distR="0">
            <wp:extent cx="3420000" cy="2880000"/>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40B6D">
        <w:rPr>
          <w:noProof/>
          <w:lang w:val="en-US" w:eastAsia="en-US"/>
        </w:rPr>
        <w:t xml:space="preserve"> </w:t>
      </w:r>
      <w:r w:rsidRPr="00240B6D">
        <w:rPr>
          <w:noProof/>
        </w:rPr>
        <w:drawing>
          <wp:inline distT="0" distB="0" distL="0" distR="0">
            <wp:extent cx="2664000" cy="2880000"/>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4648" w:rsidRDefault="00CA5A12" w:rsidP="00CA5A12">
      <w:pPr>
        <w:keepNext/>
        <w:spacing w:line="240" w:lineRule="auto"/>
        <w:jc w:val="both"/>
        <w:rPr>
          <w:rFonts w:cs="Arial"/>
          <w:sz w:val="16"/>
          <w:szCs w:val="16"/>
        </w:rPr>
      </w:pPr>
      <w:r w:rsidRPr="00240B6D">
        <w:rPr>
          <w:rFonts w:cs="Arial"/>
          <w:bCs/>
          <w:sz w:val="16"/>
          <w:szCs w:val="16"/>
        </w:rPr>
        <w:t xml:space="preserve">(1) zahrnují spotřebu léků např. v </w:t>
      </w:r>
      <w:r w:rsidRPr="00240B6D">
        <w:rPr>
          <w:rFonts w:cs="Arial"/>
          <w:sz w:val="16"/>
          <w:szCs w:val="16"/>
        </w:rPr>
        <w:t>nemocnicích, zařízeních pro dlouhodobě nemocné a hospicového typu, lázeňských léčebnách, poliklinikách</w:t>
      </w:r>
    </w:p>
    <w:p w:rsidR="00005868" w:rsidRPr="002B4648" w:rsidRDefault="00005868" w:rsidP="00CA5A12">
      <w:pPr>
        <w:keepNext/>
        <w:spacing w:line="240" w:lineRule="auto"/>
        <w:jc w:val="both"/>
        <w:rPr>
          <w:rFonts w:cs="Arial"/>
          <w:sz w:val="16"/>
          <w:szCs w:val="16"/>
        </w:rPr>
      </w:pPr>
      <w:r>
        <w:rPr>
          <w:rFonts w:cs="Arial"/>
          <w:sz w:val="16"/>
          <w:szCs w:val="16"/>
        </w:rPr>
        <w:t>ZZ – zdravotnická zařízení</w:t>
      </w:r>
    </w:p>
    <w:p w:rsidR="00CA5A12" w:rsidRPr="00240B6D" w:rsidRDefault="00CA5A12" w:rsidP="00CA5A12">
      <w:pPr>
        <w:spacing w:before="120" w:after="240" w:line="240" w:lineRule="auto"/>
        <w:jc w:val="right"/>
        <w:rPr>
          <w:b/>
          <w:bCs/>
          <w:i/>
          <w:sz w:val="16"/>
          <w:szCs w:val="16"/>
        </w:rPr>
      </w:pPr>
      <w:r w:rsidRPr="00240B6D">
        <w:rPr>
          <w:b/>
          <w:bCs/>
          <w:i/>
          <w:sz w:val="16"/>
          <w:szCs w:val="16"/>
        </w:rPr>
        <w:t xml:space="preserve">Zdroj: ČSÚ 2018, Zdravotnické účty ČR 2010 - 2016 </w:t>
      </w:r>
    </w:p>
    <w:p w:rsidR="00240B6D" w:rsidRPr="00240B6D" w:rsidRDefault="002B4648" w:rsidP="00240B6D">
      <w:pPr>
        <w:widowControl w:val="0"/>
        <w:spacing w:before="120"/>
        <w:jc w:val="both"/>
      </w:pPr>
      <w:r>
        <w:rPr>
          <w:b/>
        </w:rPr>
        <w:t>V</w:t>
      </w:r>
      <w:r w:rsidR="00240B6D" w:rsidRPr="00240B6D">
        <w:rPr>
          <w:b/>
        </w:rPr>
        <w:t>ýdaje na</w:t>
      </w:r>
      <w:r w:rsidR="00240B6D" w:rsidRPr="00240B6D">
        <w:t xml:space="preserve"> </w:t>
      </w:r>
      <w:r w:rsidR="00240B6D" w:rsidRPr="00240B6D">
        <w:rPr>
          <w:b/>
        </w:rPr>
        <w:t>terapeutické pomůcky</w:t>
      </w:r>
      <w:r w:rsidR="00240B6D" w:rsidRPr="00240B6D">
        <w:t xml:space="preserve"> (brýle, naslouchadla, berle, invalidní vozíky, apod.)</w:t>
      </w:r>
      <w:r>
        <w:t xml:space="preserve"> se podílely 14 % na celkových výdajích na léčiva a ostatní zdravotnický materiál a výrobky </w:t>
      </w:r>
      <w:r w:rsidRPr="002B4648">
        <w:rPr>
          <w:i/>
        </w:rPr>
        <w:t>– při započtení i výdajů za léky přímo spotřebované ve zdravotnických zařízeních by byl tento podíl cca 11 %.</w:t>
      </w:r>
      <w:r w:rsidR="00240B6D" w:rsidRPr="00240B6D">
        <w:t xml:space="preserve"> Za </w:t>
      </w:r>
      <w:r w:rsidR="00240B6D" w:rsidRPr="002B4648">
        <w:rPr>
          <w:b/>
        </w:rPr>
        <w:t>dioptrické brýle, kontaktní čočky a ostatní výrobky oční optiky</w:t>
      </w:r>
      <w:r w:rsidR="00240B6D" w:rsidRPr="00240B6D">
        <w:t xml:space="preserve"> utratí pacienti každoročně v průměru 4 mld. Kč, z čehož 92 % těchto výdajů hradí domácnosti a zbývajících 8 % zdravotní pojišťovny. </w:t>
      </w:r>
    </w:p>
    <w:p w:rsidR="00240B6D" w:rsidRPr="00240B6D" w:rsidRDefault="00240B6D" w:rsidP="00240B6D">
      <w:pPr>
        <w:keepNext/>
        <w:spacing w:before="240" w:after="120"/>
        <w:jc w:val="both"/>
        <w:rPr>
          <w:bCs/>
          <w:szCs w:val="20"/>
        </w:rPr>
      </w:pPr>
      <w:r w:rsidRPr="00240B6D">
        <w:rPr>
          <w:bCs/>
          <w:szCs w:val="20"/>
        </w:rPr>
        <w:t xml:space="preserve">V letech 2010 až 2016 rostly výdaje na </w:t>
      </w:r>
      <w:r w:rsidRPr="00A91F5C">
        <w:rPr>
          <w:b/>
          <w:bCs/>
          <w:szCs w:val="20"/>
        </w:rPr>
        <w:t>léčiva a ostatní zdravotnické výrobky</w:t>
      </w:r>
      <w:r w:rsidRPr="00240B6D">
        <w:rPr>
          <w:bCs/>
          <w:szCs w:val="20"/>
        </w:rPr>
        <w:t xml:space="preserve"> v Česku v průměru v běžných cenách o 0,75 % ročně. Od roku 2010 včetně bylo za tyto položky </w:t>
      </w:r>
      <w:r w:rsidR="00A91F5C">
        <w:rPr>
          <w:bCs/>
          <w:szCs w:val="20"/>
        </w:rPr>
        <w:t xml:space="preserve">vynaloženo </w:t>
      </w:r>
      <w:r w:rsidRPr="00240B6D">
        <w:rPr>
          <w:bCs/>
          <w:szCs w:val="20"/>
        </w:rPr>
        <w:t xml:space="preserve">celkem téměř půl biliónu korun (475,5 mld. Kč), z toho v posledních třech letech (2014 až 2016) to bylo 204,1 miliard. Průměrné výdaje na léčiva a zdravotnické výrobky zdravotní péči vztažené na jednoho obyvatele dosáhly v roce 2016 částky 6 558 Kč. </w:t>
      </w:r>
      <w:r w:rsidRPr="00A91F5C">
        <w:rPr>
          <w:bCs/>
          <w:i/>
          <w:szCs w:val="20"/>
        </w:rPr>
        <w:t>Pokud bychom do této částky započetly i výdaje za léky spotřebované přímo ve zdravotnických zařízeních, pak by šlo o částku 8 773 Kč.</w:t>
      </w:r>
      <w:r w:rsidRPr="00240B6D">
        <w:rPr>
          <w:bCs/>
          <w:szCs w:val="20"/>
        </w:rPr>
        <w:t xml:space="preserve"> </w:t>
      </w:r>
    </w:p>
    <w:p w:rsidR="00005868" w:rsidRDefault="00005868" w:rsidP="00005868">
      <w:pPr>
        <w:widowControl w:val="0"/>
        <w:spacing w:before="120"/>
        <w:jc w:val="both"/>
        <w:rPr>
          <w:b/>
          <w:i/>
          <w:szCs w:val="20"/>
        </w:rPr>
      </w:pPr>
    </w:p>
    <w:p w:rsidR="00240B6D" w:rsidRPr="00240B6D" w:rsidRDefault="00240B6D" w:rsidP="00005868">
      <w:pPr>
        <w:widowControl w:val="0"/>
        <w:spacing w:before="120"/>
        <w:jc w:val="both"/>
        <w:rPr>
          <w:b/>
          <w:i/>
          <w:szCs w:val="20"/>
        </w:rPr>
      </w:pPr>
      <w:r w:rsidRPr="00240B6D">
        <w:rPr>
          <w:b/>
          <w:i/>
          <w:szCs w:val="20"/>
        </w:rPr>
        <w:lastRenderedPageBreak/>
        <w:t>Přeprava pacientů hrazená z veřejného zdravotního pojištění stála téměř 4 mld. Kč</w:t>
      </w:r>
    </w:p>
    <w:p w:rsidR="00240B6D" w:rsidRPr="00240B6D" w:rsidRDefault="00240B6D" w:rsidP="002B4648">
      <w:pPr>
        <w:widowControl w:val="0"/>
        <w:spacing w:before="120"/>
        <w:jc w:val="both"/>
        <w:rPr>
          <w:szCs w:val="20"/>
        </w:rPr>
      </w:pPr>
      <w:r w:rsidRPr="00240B6D">
        <w:rPr>
          <w:b/>
          <w:szCs w:val="20"/>
        </w:rPr>
        <w:t>Doplňkové služby</w:t>
      </w:r>
      <w:r w:rsidRPr="00240B6D">
        <w:rPr>
          <w:szCs w:val="20"/>
        </w:rPr>
        <w:t xml:space="preserve"> tvoří dlouhodobě 11 % celkových výdajů na zdravotnictví. Více než polovinu výdajů (22,5 mld. Kč v roce 2016) z této kategorie představují výdaje na </w:t>
      </w:r>
      <w:r w:rsidRPr="00240B6D">
        <w:rPr>
          <w:b/>
          <w:szCs w:val="20"/>
        </w:rPr>
        <w:t>laboratorní vyšetření</w:t>
      </w:r>
      <w:r w:rsidRPr="00240B6D">
        <w:rPr>
          <w:szCs w:val="20"/>
        </w:rPr>
        <w:t xml:space="preserve">. Výdaje za </w:t>
      </w:r>
      <w:r w:rsidRPr="00240B6D">
        <w:rPr>
          <w:b/>
          <w:szCs w:val="20"/>
        </w:rPr>
        <w:t>zobrazovací metody</w:t>
      </w:r>
      <w:r w:rsidRPr="00240B6D">
        <w:rPr>
          <w:szCs w:val="20"/>
        </w:rPr>
        <w:t xml:space="preserve"> dosáhly ve stejném roce hodnoty 10,7 mld. Kč. Výdaje na</w:t>
      </w:r>
      <w:r w:rsidRPr="00240B6D">
        <w:rPr>
          <w:b/>
          <w:szCs w:val="20"/>
        </w:rPr>
        <w:t xml:space="preserve"> dopravu pacientů</w:t>
      </w:r>
      <w:r w:rsidRPr="00240B6D">
        <w:rPr>
          <w:szCs w:val="20"/>
        </w:rPr>
        <w:t xml:space="preserve"> se po mírném propadu v roce 2014 </w:t>
      </w:r>
      <w:r w:rsidR="003D5919">
        <w:rPr>
          <w:szCs w:val="20"/>
        </w:rPr>
        <w:t xml:space="preserve">v následujícím roce </w:t>
      </w:r>
      <w:r w:rsidRPr="00240B6D">
        <w:rPr>
          <w:szCs w:val="20"/>
        </w:rPr>
        <w:t>zvýšily o 8 % a zaujaly téměř pětinu výdajů ze skupiny doplňkových služeb, přičemž největší podíl na těchto výdajích má pochopitelně zdravotnická záchranná služba (ZZS). Podle metodiky SHA se však výdaje na ZZS nerozlišují zvlášť, ale jsou spojeny s celkovými výdaji na dopravu.</w:t>
      </w:r>
    </w:p>
    <w:p w:rsidR="00240B6D" w:rsidRPr="00240B6D" w:rsidRDefault="00240B6D" w:rsidP="00240B6D">
      <w:pPr>
        <w:keepNext/>
        <w:spacing w:before="120"/>
        <w:jc w:val="both"/>
      </w:pPr>
      <w:r w:rsidRPr="00240B6D">
        <w:t xml:space="preserve">Kromě dopravy pacientů, která je z poloviny hrazena přímo ze státního rozpočtu či místních rozpočtů, jsou výše uvedená laboratorní vyšetření a zobrazovací metody jsou plně hrazeny z veřejného pojištění.  </w:t>
      </w:r>
    </w:p>
    <w:p w:rsidR="00240B6D" w:rsidRPr="00240B6D" w:rsidRDefault="00240B6D" w:rsidP="00240B6D">
      <w:pPr>
        <w:keepNext/>
        <w:spacing w:before="240" w:after="120" w:line="240" w:lineRule="auto"/>
        <w:jc w:val="both"/>
        <w:rPr>
          <w:b/>
          <w:bCs/>
          <w:sz w:val="18"/>
          <w:szCs w:val="18"/>
        </w:rPr>
      </w:pPr>
      <w:r w:rsidRPr="00240B6D">
        <w:rPr>
          <w:b/>
          <w:bCs/>
          <w:sz w:val="18"/>
          <w:szCs w:val="18"/>
        </w:rPr>
        <w:t>Graf č: 2.9 Výdaje na doplňkové služby v oblasti zdravotní péče v Česku, 2012 - 2016</w:t>
      </w:r>
    </w:p>
    <w:p w:rsidR="00240B6D" w:rsidRPr="00240B6D" w:rsidRDefault="00240B6D" w:rsidP="00240B6D">
      <w:pPr>
        <w:keepNext/>
        <w:tabs>
          <w:tab w:val="left" w:pos="142"/>
          <w:tab w:val="left" w:pos="5812"/>
        </w:tabs>
        <w:jc w:val="both"/>
        <w:rPr>
          <w:b/>
          <w:i/>
          <w:sz w:val="18"/>
        </w:rPr>
      </w:pPr>
      <w:r w:rsidRPr="00240B6D">
        <w:rPr>
          <w:b/>
          <w:i/>
          <w:sz w:val="18"/>
        </w:rPr>
        <w:tab/>
        <w:t xml:space="preserve">a) v mld. Kč </w:t>
      </w:r>
      <w:r w:rsidRPr="00240B6D">
        <w:rPr>
          <w:b/>
          <w:i/>
          <w:sz w:val="18"/>
        </w:rPr>
        <w:tab/>
        <w:t>b) struktura v %</w:t>
      </w:r>
    </w:p>
    <w:p w:rsidR="00240B6D" w:rsidRPr="00240B6D" w:rsidRDefault="00240B6D" w:rsidP="00005868">
      <w:pPr>
        <w:keepNext/>
        <w:tabs>
          <w:tab w:val="left" w:pos="142"/>
          <w:tab w:val="left" w:pos="5812"/>
        </w:tabs>
        <w:jc w:val="both"/>
        <w:rPr>
          <w:b/>
          <w:i/>
          <w:sz w:val="18"/>
        </w:rPr>
      </w:pPr>
      <w:r w:rsidRPr="00240B6D">
        <w:rPr>
          <w:noProof/>
        </w:rPr>
        <w:drawing>
          <wp:inline distT="0" distB="0" distL="0" distR="0">
            <wp:extent cx="3600000" cy="288000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240B6D">
        <w:rPr>
          <w:noProof/>
          <w:lang w:val="en-US" w:eastAsia="en-US"/>
        </w:rPr>
        <w:t xml:space="preserve"> </w:t>
      </w:r>
      <w:r w:rsidRPr="00240B6D">
        <w:rPr>
          <w:noProof/>
        </w:rPr>
        <w:drawing>
          <wp:inline distT="0" distB="0" distL="0" distR="0">
            <wp:extent cx="2484000" cy="288000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40B6D">
        <w:rPr>
          <w:noProof/>
          <w:lang w:val="en-US" w:eastAsia="en-US"/>
        </w:rPr>
        <w:t xml:space="preserve"> </w:t>
      </w:r>
    </w:p>
    <w:p w:rsidR="00240B6D" w:rsidRPr="00240B6D" w:rsidRDefault="00240B6D" w:rsidP="00240B6D">
      <w:pPr>
        <w:keepNext/>
        <w:spacing w:line="240" w:lineRule="auto"/>
        <w:jc w:val="both"/>
        <w:rPr>
          <w:sz w:val="16"/>
          <w:szCs w:val="16"/>
        </w:rPr>
      </w:pPr>
      <w:r w:rsidRPr="00240B6D">
        <w:rPr>
          <w:bCs/>
          <w:i/>
          <w:sz w:val="16"/>
          <w:szCs w:val="16"/>
        </w:rPr>
        <w:t xml:space="preserve"> </w:t>
      </w:r>
      <w:r w:rsidRPr="00240B6D">
        <w:rPr>
          <w:bCs/>
          <w:sz w:val="16"/>
          <w:szCs w:val="16"/>
        </w:rPr>
        <w:t>(1)</w:t>
      </w:r>
      <w:r w:rsidRPr="00240B6D">
        <w:rPr>
          <w:sz w:val="16"/>
          <w:szCs w:val="16"/>
        </w:rPr>
        <w:t xml:space="preserve"> laboratorní vyšetření zahrnují především testy z klinické biochemie a mikrobiologie, testy krevní srážlivosti, genetiky, ale také </w:t>
      </w:r>
    </w:p>
    <w:p w:rsidR="00240B6D" w:rsidRPr="00240B6D" w:rsidRDefault="00240B6D" w:rsidP="00240B6D">
      <w:pPr>
        <w:keepNext/>
        <w:spacing w:line="240" w:lineRule="auto"/>
        <w:jc w:val="both"/>
        <w:rPr>
          <w:bCs/>
          <w:i/>
          <w:sz w:val="16"/>
          <w:szCs w:val="16"/>
        </w:rPr>
      </w:pPr>
      <w:r w:rsidRPr="00240B6D">
        <w:rPr>
          <w:sz w:val="16"/>
          <w:szCs w:val="16"/>
        </w:rPr>
        <w:t xml:space="preserve">  z cytologie, která je nezbytnou součástí gynekologických prohlídek</w:t>
      </w:r>
    </w:p>
    <w:p w:rsidR="00240B6D" w:rsidRPr="00240B6D" w:rsidRDefault="00240B6D" w:rsidP="00240B6D">
      <w:pPr>
        <w:keepNext/>
        <w:spacing w:line="240" w:lineRule="auto"/>
        <w:jc w:val="both"/>
        <w:rPr>
          <w:sz w:val="16"/>
          <w:szCs w:val="16"/>
        </w:rPr>
      </w:pPr>
      <w:r w:rsidRPr="00240B6D">
        <w:rPr>
          <w:bCs/>
          <w:sz w:val="16"/>
          <w:szCs w:val="16"/>
        </w:rPr>
        <w:t xml:space="preserve"> (2) do </w:t>
      </w:r>
      <w:r w:rsidRPr="00240B6D">
        <w:rPr>
          <w:sz w:val="16"/>
          <w:szCs w:val="16"/>
        </w:rPr>
        <w:t xml:space="preserve">kategorie zobrazovací metody patří např. klasické, ale i kontrastní RTG snímkování, ultrazvuková diagnostika, vyšetření pomocí </w:t>
      </w:r>
    </w:p>
    <w:p w:rsidR="00240B6D" w:rsidRPr="00240B6D" w:rsidRDefault="00240B6D" w:rsidP="00240B6D">
      <w:pPr>
        <w:keepNext/>
        <w:spacing w:line="240" w:lineRule="auto"/>
        <w:jc w:val="both"/>
        <w:rPr>
          <w:bCs/>
          <w:i/>
          <w:sz w:val="16"/>
          <w:szCs w:val="16"/>
        </w:rPr>
      </w:pPr>
      <w:r w:rsidRPr="00240B6D">
        <w:rPr>
          <w:sz w:val="16"/>
          <w:szCs w:val="16"/>
        </w:rPr>
        <w:t xml:space="preserve"> počítačové tomografie (CT), zobrazování magnetickou rezonancí</w:t>
      </w:r>
    </w:p>
    <w:p w:rsidR="00240B6D" w:rsidRPr="00240B6D" w:rsidRDefault="00240B6D" w:rsidP="00240B6D">
      <w:pPr>
        <w:spacing w:before="120" w:line="240" w:lineRule="auto"/>
        <w:jc w:val="right"/>
        <w:rPr>
          <w:b/>
          <w:bCs/>
          <w:i/>
          <w:sz w:val="16"/>
          <w:szCs w:val="16"/>
        </w:rPr>
      </w:pPr>
      <w:r w:rsidRPr="00240B6D">
        <w:rPr>
          <w:b/>
          <w:bCs/>
          <w:i/>
          <w:sz w:val="16"/>
          <w:szCs w:val="16"/>
        </w:rPr>
        <w:t xml:space="preserve">Zdroj: ČSÚ 2018, Zdravotnické účty ČR 2010 - 2016 </w:t>
      </w:r>
    </w:p>
    <w:p w:rsidR="00240B6D" w:rsidRPr="00240B6D" w:rsidRDefault="00240B6D" w:rsidP="005151FB">
      <w:pPr>
        <w:keepNext/>
        <w:keepLines/>
        <w:pageBreakBefore/>
        <w:spacing w:before="120" w:after="120"/>
        <w:outlineLvl w:val="1"/>
        <w:rPr>
          <w:rFonts w:eastAsia="MS Gothic"/>
          <w:b/>
          <w:bCs/>
          <w:color w:val="BC091B"/>
          <w:sz w:val="28"/>
          <w:szCs w:val="17"/>
        </w:rPr>
      </w:pPr>
      <w:bookmarkStart w:id="8" w:name="_Toc481748788"/>
      <w:r w:rsidRPr="00240B6D">
        <w:rPr>
          <w:rFonts w:eastAsia="MS Gothic"/>
          <w:b/>
          <w:bCs/>
          <w:color w:val="BC091B"/>
          <w:sz w:val="28"/>
          <w:szCs w:val="26"/>
        </w:rPr>
        <w:lastRenderedPageBreak/>
        <w:t>2.4 Výdaje na zdravotní péči podle typu poskytovatele</w:t>
      </w:r>
      <w:bookmarkEnd w:id="8"/>
    </w:p>
    <w:p w:rsidR="00240B6D" w:rsidRPr="00240B6D" w:rsidRDefault="00240B6D" w:rsidP="00005868">
      <w:pPr>
        <w:keepNext/>
        <w:spacing w:before="120"/>
        <w:jc w:val="both"/>
      </w:pPr>
      <w:r w:rsidRPr="00240B6D">
        <w:t xml:space="preserve">Konečně třetí pohled na problematiku zdravotní péče nám dává odpověď na otázku, kdo ji poskytuje. Rozhodující je proto typ poskytovatele přiřazený nositeli právní subjektivity, který automaticky přejímají i všechna začleněná zařízení bez vlastní právní subjektivity. </w:t>
      </w:r>
      <w:r w:rsidRPr="00005868">
        <w:rPr>
          <w:i/>
        </w:rPr>
        <w:t>Bude-li například lékárna, specializovaná ambulance nebo léčebna dlouhodobě nemocných zařazena v rámci širšího subjektu nemocnice, pak se veškeré výdaje na toto zařízení objeví ve výdajích nemocnice. Podle druhu péče pak poznáme, za jakou péči byly peníze vydány, což v případě lékárny v nemocnici mohou být například léky na předpis, u ambulance ambulantní léčebná péče a u léčebny dlouhodobě nemocných dlouhodobá lůžková péče.</w:t>
      </w:r>
      <w:r w:rsidRPr="00240B6D">
        <w:t xml:space="preserve"> </w:t>
      </w:r>
    </w:p>
    <w:p w:rsidR="00005868" w:rsidRPr="00005868" w:rsidRDefault="00005868" w:rsidP="00005868">
      <w:pPr>
        <w:keepNext/>
        <w:spacing w:before="120"/>
        <w:jc w:val="both"/>
        <w:rPr>
          <w:i/>
        </w:rPr>
      </w:pPr>
      <w:r w:rsidRPr="00005868">
        <w:rPr>
          <w:i/>
        </w:rPr>
        <w:t>V České republice existuje Národní registr poskytovatelů zdravotních služeb (NRPZS), který poskytuje kompletní přehled o všech poskytovatelích zdravotních služeb, bez ohledu na jejich zřizovatele. Poskytuje údaje o profilu a rozsahu péče poskytované jednotlivými zdravotnickými zařízeními, obsahuje kontaktní údaje na daná zdravotnická zařízení a další podrobnější informace. Správcem a provozovatelem registru je Ústav zdravotnických informací a statistiky ČR (ÚZIS).</w:t>
      </w:r>
    </w:p>
    <w:p w:rsidR="00240B6D" w:rsidRPr="00240B6D" w:rsidRDefault="00240B6D" w:rsidP="00240B6D">
      <w:pPr>
        <w:keepNext/>
        <w:spacing w:line="240" w:lineRule="auto"/>
        <w:jc w:val="both"/>
        <w:rPr>
          <w:b/>
          <w:bCs/>
          <w:sz w:val="2"/>
          <w:szCs w:val="18"/>
        </w:rPr>
      </w:pPr>
    </w:p>
    <w:p w:rsidR="00240B6D" w:rsidRPr="00240B6D" w:rsidRDefault="00240B6D" w:rsidP="00005868">
      <w:pPr>
        <w:keepNext/>
        <w:spacing w:before="240" w:after="120"/>
        <w:jc w:val="both"/>
        <w:rPr>
          <w:b/>
          <w:bCs/>
          <w:sz w:val="18"/>
          <w:szCs w:val="18"/>
        </w:rPr>
      </w:pPr>
      <w:r w:rsidRPr="00240B6D">
        <w:rPr>
          <w:b/>
          <w:bCs/>
          <w:sz w:val="18"/>
          <w:szCs w:val="18"/>
        </w:rPr>
        <w:t>Tabulka č. 2.3 Výdaje na zdravotní péči v Česku podle typu poskytovatele (mil. Kč)</w:t>
      </w:r>
    </w:p>
    <w:tbl>
      <w:tblPr>
        <w:tblW w:w="9633" w:type="dxa"/>
        <w:tblInd w:w="93" w:type="dxa"/>
        <w:tblLayout w:type="fixed"/>
        <w:tblLook w:val="04A0" w:firstRow="1" w:lastRow="0" w:firstColumn="1" w:lastColumn="0" w:noHBand="0" w:noVBand="1"/>
      </w:tblPr>
      <w:tblGrid>
        <w:gridCol w:w="3206"/>
        <w:gridCol w:w="805"/>
        <w:gridCol w:w="805"/>
        <w:gridCol w:w="805"/>
        <w:gridCol w:w="805"/>
        <w:gridCol w:w="805"/>
        <w:gridCol w:w="805"/>
        <w:gridCol w:w="805"/>
        <w:gridCol w:w="792"/>
      </w:tblGrid>
      <w:tr w:rsidR="00240B6D" w:rsidRPr="00240B6D" w:rsidTr="00240B6D">
        <w:trPr>
          <w:trHeight w:val="530"/>
        </w:trPr>
        <w:tc>
          <w:tcPr>
            <w:tcW w:w="320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sz w:val="16"/>
                <w:szCs w:val="16"/>
                <w:lang w:eastAsia="en-US"/>
              </w:rPr>
            </w:pPr>
            <w:r w:rsidRPr="00240B6D">
              <w:rPr>
                <w:rFonts w:cs="Arial"/>
                <w:sz w:val="16"/>
                <w:szCs w:val="16"/>
                <w:lang w:eastAsia="en-US"/>
              </w:rPr>
              <w:t>Ukazatel</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2010</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2011</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2012</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2013</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2014</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2015</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2016</w:t>
            </w:r>
          </w:p>
        </w:tc>
        <w:tc>
          <w:tcPr>
            <w:tcW w:w="792" w:type="dxa"/>
            <w:tcBorders>
              <w:top w:val="single" w:sz="8" w:space="0" w:color="auto"/>
              <w:left w:val="nil"/>
              <w:bottom w:val="single" w:sz="8" w:space="0" w:color="auto"/>
              <w:right w:val="nil"/>
            </w:tcBorders>
            <w:shd w:val="clear" w:color="auto" w:fill="auto"/>
            <w:vAlign w:val="center"/>
            <w:hideMark/>
          </w:tcPr>
          <w:p w:rsidR="00240B6D" w:rsidRPr="00240B6D" w:rsidRDefault="00240B6D" w:rsidP="00240B6D">
            <w:pPr>
              <w:spacing w:line="240" w:lineRule="auto"/>
              <w:jc w:val="center"/>
              <w:rPr>
                <w:rFonts w:cs="Arial"/>
                <w:b/>
                <w:bCs/>
                <w:i/>
                <w:iCs/>
                <w:color w:val="000000"/>
                <w:sz w:val="16"/>
                <w:szCs w:val="16"/>
                <w:lang w:eastAsia="en-US"/>
              </w:rPr>
            </w:pPr>
            <w:r w:rsidRPr="00240B6D">
              <w:rPr>
                <w:rFonts w:cs="Arial"/>
                <w:b/>
                <w:bCs/>
                <w:i/>
                <w:iCs/>
                <w:color w:val="000000"/>
                <w:sz w:val="16"/>
                <w:szCs w:val="16"/>
                <w:lang w:eastAsia="en-US"/>
              </w:rPr>
              <w:t>Index 16/15</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Nemocnice</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133 211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133 567</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134 498</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136 679</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136 872</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137 195</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138 935</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101,3</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v</w:t>
            </w:r>
            <w:r w:rsidR="00240B6D" w:rsidRPr="00240B6D">
              <w:rPr>
                <w:rFonts w:cs="Arial"/>
                <w:sz w:val="16"/>
                <w:szCs w:val="16"/>
                <w:lang w:eastAsia="en-US"/>
              </w:rPr>
              <w:t>šeobecné nemocnice</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114 664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117 190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116 896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119 020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118 723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122 520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122 602</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100,1</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pecializované nemocnice</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18 547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16 377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17 602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17 659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18 149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14 676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16 333</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111,3</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Lůžková zařízení dlouhodobé péče (1)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20 756</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20 944</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21 037</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21 895</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22 574</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24 426</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26 014</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106,5</w:t>
            </w:r>
          </w:p>
        </w:tc>
      </w:tr>
      <w:tr w:rsidR="00240B6D" w:rsidRPr="00240B6D" w:rsidTr="00240B6D">
        <w:trPr>
          <w:trHeight w:val="397"/>
        </w:trPr>
        <w:tc>
          <w:tcPr>
            <w:tcW w:w="3206" w:type="dxa"/>
            <w:tcBorders>
              <w:top w:val="nil"/>
              <w:left w:val="nil"/>
              <w:bottom w:val="nil"/>
              <w:right w:val="single" w:sz="4" w:space="0" w:color="auto"/>
            </w:tcBorders>
            <w:shd w:val="clear" w:color="auto" w:fill="auto"/>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z</w:t>
            </w:r>
            <w:r w:rsidR="00240B6D" w:rsidRPr="00240B6D">
              <w:rPr>
                <w:rFonts w:cs="Arial"/>
                <w:sz w:val="16"/>
                <w:szCs w:val="16"/>
                <w:lang w:eastAsia="en-US"/>
              </w:rPr>
              <w:t xml:space="preserve">ařízení ošetřovatelské </w:t>
            </w:r>
            <w:r w:rsidR="00240B6D" w:rsidRPr="00240B6D">
              <w:rPr>
                <w:rFonts w:cs="Arial"/>
                <w:sz w:val="16"/>
                <w:szCs w:val="16"/>
                <w:lang w:eastAsia="en-US"/>
              </w:rPr>
              <w:br/>
              <w:t xml:space="preserve">   </w:t>
            </w:r>
            <w:r>
              <w:rPr>
                <w:rFonts w:cs="Arial"/>
                <w:sz w:val="16"/>
                <w:szCs w:val="16"/>
                <w:lang w:eastAsia="en-US"/>
              </w:rPr>
              <w:t xml:space="preserve"> </w:t>
            </w:r>
            <w:r w:rsidR="00240B6D" w:rsidRPr="00240B6D">
              <w:rPr>
                <w:rFonts w:cs="Arial"/>
                <w:sz w:val="16"/>
                <w:szCs w:val="16"/>
                <w:lang w:eastAsia="en-US"/>
              </w:rPr>
              <w:t>dlouhodobé péče</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11 521</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11 662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11 569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11 928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11 890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12 896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13 773</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106,8</w:t>
            </w:r>
          </w:p>
        </w:tc>
      </w:tr>
      <w:tr w:rsidR="00240B6D" w:rsidRPr="00240B6D" w:rsidTr="00240B6D">
        <w:trPr>
          <w:trHeight w:val="397"/>
        </w:trPr>
        <w:tc>
          <w:tcPr>
            <w:tcW w:w="3206" w:type="dxa"/>
            <w:tcBorders>
              <w:top w:val="nil"/>
              <w:left w:val="nil"/>
              <w:bottom w:val="nil"/>
              <w:right w:val="single" w:sz="4" w:space="0" w:color="auto"/>
            </w:tcBorders>
            <w:shd w:val="clear" w:color="auto" w:fill="auto"/>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l</w:t>
            </w:r>
            <w:r w:rsidR="00240B6D" w:rsidRPr="00240B6D">
              <w:rPr>
                <w:rFonts w:cs="Arial"/>
                <w:sz w:val="16"/>
                <w:szCs w:val="16"/>
                <w:lang w:eastAsia="en-US"/>
              </w:rPr>
              <w:t xml:space="preserve">éčebny pro mentálně postižené, </w:t>
            </w:r>
            <w:r w:rsidR="00240B6D" w:rsidRPr="00240B6D">
              <w:rPr>
                <w:rFonts w:cs="Arial"/>
                <w:sz w:val="16"/>
                <w:szCs w:val="16"/>
                <w:lang w:eastAsia="en-US"/>
              </w:rPr>
              <w:br/>
              <w:t xml:space="preserve">    psychiatrické a závislé     </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8 005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8 183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8 294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8 883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9 695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10 606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11 648</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109,8</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Zařízení ambulantní péče</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66 878</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69 798</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68 801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71 780</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71 988</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72 856</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74 342</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102,0</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amostatné ordinace lékaře</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37 679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37 915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37 764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39 236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38 481</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40 159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41 153</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102,5</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amostatné ordinace zubních lékařů</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16 674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17 169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16 143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16 704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17 447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17 495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18 030</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103,1</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a</w:t>
            </w:r>
            <w:r w:rsidR="00240B6D" w:rsidRPr="00240B6D">
              <w:rPr>
                <w:rFonts w:cs="Arial"/>
                <w:sz w:val="16"/>
                <w:szCs w:val="16"/>
                <w:lang w:eastAsia="en-US"/>
              </w:rPr>
              <w:t>mbulantní centra a ostatní zařízení (2)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12 525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14 714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14 894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15 840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16 060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15 202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15 159</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99,7</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Ostatní přímí poskytovatelé ZP</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20 167</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19 913</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20 039</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21 485</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23 970</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23 525</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25 587</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108,8</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d</w:t>
            </w:r>
            <w:r w:rsidR="00240B6D" w:rsidRPr="00240B6D">
              <w:rPr>
                <w:rFonts w:cs="Arial"/>
                <w:sz w:val="16"/>
                <w:szCs w:val="16"/>
                <w:lang w:eastAsia="en-US"/>
              </w:rPr>
              <w:t>omácnosti (3)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13 788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13 362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13 620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14 593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15 207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15 991</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17 393</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108,8</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o</w:t>
            </w:r>
            <w:r w:rsidR="00240B6D" w:rsidRPr="00240B6D">
              <w:rPr>
                <w:rFonts w:cs="Arial"/>
                <w:sz w:val="16"/>
                <w:szCs w:val="16"/>
                <w:lang w:eastAsia="en-US"/>
              </w:rPr>
              <w:t>statní (4)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6 379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6 551</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6 419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6 893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8 763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7 534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8 194</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108,8</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Poskytovatelé doplňkových služeb</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11 116</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11 019</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11 381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11 051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11 240</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11 960</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12 989</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108,6</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d</w:t>
            </w:r>
            <w:r w:rsidR="00240B6D" w:rsidRPr="00240B6D">
              <w:rPr>
                <w:rFonts w:cs="Arial"/>
                <w:sz w:val="16"/>
                <w:szCs w:val="16"/>
                <w:lang w:eastAsia="en-US"/>
              </w:rPr>
              <w:t>oprava pacientů a záchranná služba</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6 670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6 789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6 738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6 438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6 558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7 093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7 660</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108,0</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l</w:t>
            </w:r>
            <w:r w:rsidR="00240B6D" w:rsidRPr="00240B6D">
              <w:rPr>
                <w:rFonts w:cs="Arial"/>
                <w:sz w:val="16"/>
                <w:szCs w:val="16"/>
                <w:lang w:eastAsia="en-US"/>
              </w:rPr>
              <w:t>aboratoře</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4 446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4 229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4 643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4 613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4 682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4 867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5 329</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109,5</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Lékárny a ostatní prodejci zdrav. </w:t>
            </w:r>
            <w:proofErr w:type="gramStart"/>
            <w:r w:rsidRPr="00240B6D">
              <w:rPr>
                <w:rFonts w:cs="Arial"/>
                <w:b/>
                <w:bCs/>
                <w:sz w:val="16"/>
                <w:szCs w:val="16"/>
                <w:lang w:eastAsia="en-US"/>
              </w:rPr>
              <w:t>zboží</w:t>
            </w:r>
            <w:proofErr w:type="gramEnd"/>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60 738</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62 654</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63 684</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59 653</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55 541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56 592</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58 179</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102,8</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l</w:t>
            </w:r>
            <w:r w:rsidR="00240B6D" w:rsidRPr="00240B6D">
              <w:rPr>
                <w:rFonts w:cs="Arial"/>
                <w:sz w:val="16"/>
                <w:szCs w:val="16"/>
                <w:lang w:eastAsia="en-US"/>
              </w:rPr>
              <w:t>ékárny</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51 469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54 193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55 468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50 258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47 159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48 684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49 725</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102,1</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proofErr w:type="spellStart"/>
            <w:r>
              <w:rPr>
                <w:rFonts w:cs="Arial"/>
                <w:sz w:val="16"/>
                <w:szCs w:val="16"/>
                <w:lang w:eastAsia="en-US"/>
              </w:rPr>
              <w:t>o</w:t>
            </w:r>
            <w:r w:rsidR="00240B6D" w:rsidRPr="00240B6D">
              <w:rPr>
                <w:rFonts w:cs="Arial"/>
                <w:sz w:val="16"/>
                <w:szCs w:val="16"/>
                <w:lang w:eastAsia="en-US"/>
              </w:rPr>
              <w:t>st</w:t>
            </w:r>
            <w:proofErr w:type="spellEnd"/>
            <w:r w:rsidR="00240B6D" w:rsidRPr="00240B6D">
              <w:rPr>
                <w:rFonts w:cs="Arial"/>
                <w:sz w:val="16"/>
                <w:szCs w:val="16"/>
                <w:lang w:eastAsia="en-US"/>
              </w:rPr>
              <w:t xml:space="preserve">. </w:t>
            </w:r>
            <w:proofErr w:type="gramStart"/>
            <w:r w:rsidR="00240B6D" w:rsidRPr="00240B6D">
              <w:rPr>
                <w:rFonts w:cs="Arial"/>
                <w:sz w:val="16"/>
                <w:szCs w:val="16"/>
                <w:lang w:eastAsia="en-US"/>
              </w:rPr>
              <w:t>prodejci</w:t>
            </w:r>
            <w:proofErr w:type="gramEnd"/>
            <w:r w:rsidR="00240B6D" w:rsidRPr="00240B6D">
              <w:rPr>
                <w:rFonts w:cs="Arial"/>
                <w:sz w:val="16"/>
                <w:szCs w:val="16"/>
                <w:lang w:eastAsia="en-US"/>
              </w:rPr>
              <w:t xml:space="preserve"> zdravotnického zboží (5)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9 268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8 462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8 216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9 395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8 382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7 908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8 454</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106,9</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Správa systému zdravotní péče</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10 794</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11 019</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10 539</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11 292</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11 311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10 845</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11 067</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102,0</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tátní správa</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4 046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4 075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3 767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4 192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4 263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4 355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4 581</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105,2</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práva zdravotních pojišťoven</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6 748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6 943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6 772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7 100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7 048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6 490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6 486</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99,9</w:t>
            </w:r>
          </w:p>
        </w:tc>
      </w:tr>
      <w:tr w:rsidR="00240B6D" w:rsidRPr="00240B6D" w:rsidTr="00635FC7">
        <w:trPr>
          <w:trHeight w:val="255"/>
        </w:trPr>
        <w:tc>
          <w:tcPr>
            <w:tcW w:w="320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rPr>
                <w:rFonts w:cs="Arial"/>
                <w:b/>
                <w:bCs/>
                <w:i/>
                <w:iCs/>
                <w:sz w:val="16"/>
                <w:szCs w:val="16"/>
                <w:lang w:eastAsia="en-US"/>
              </w:rPr>
            </w:pPr>
            <w:r w:rsidRPr="00240B6D">
              <w:rPr>
                <w:rFonts w:cs="Arial"/>
                <w:b/>
                <w:bCs/>
                <w:i/>
                <w:iCs/>
                <w:sz w:val="16"/>
                <w:szCs w:val="16"/>
                <w:lang w:eastAsia="en-US"/>
              </w:rPr>
              <w:t xml:space="preserve"> ostatní nebo nerozlišeno (6)</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10 429</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9 166</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11 933</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10 885</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15 234</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14 639</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14 535</w:t>
            </w:r>
          </w:p>
        </w:tc>
        <w:tc>
          <w:tcPr>
            <w:tcW w:w="792" w:type="dxa"/>
            <w:tcBorders>
              <w:top w:val="nil"/>
              <w:left w:val="nil"/>
              <w:bottom w:val="single" w:sz="8" w:space="0" w:color="auto"/>
              <w:right w:val="nil"/>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99,3</w:t>
            </w:r>
          </w:p>
        </w:tc>
      </w:tr>
      <w:tr w:rsidR="00240B6D" w:rsidRPr="00240B6D" w:rsidTr="00A52B44">
        <w:trPr>
          <w:trHeight w:val="255"/>
        </w:trPr>
        <w:tc>
          <w:tcPr>
            <w:tcW w:w="320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Poskytovatelé zdravotní péče celkem</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334 088</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338 080</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341 913</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344 720</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348 730</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352 039</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361 647</w:t>
            </w:r>
          </w:p>
        </w:tc>
        <w:tc>
          <w:tcPr>
            <w:tcW w:w="792" w:type="dxa"/>
            <w:tcBorders>
              <w:top w:val="nil"/>
              <w:left w:val="nil"/>
              <w:bottom w:val="single" w:sz="8" w:space="0" w:color="auto"/>
              <w:right w:val="nil"/>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102,7</w:t>
            </w:r>
          </w:p>
        </w:tc>
      </w:tr>
    </w:tbl>
    <w:p w:rsidR="00240B6D" w:rsidRPr="00240B6D" w:rsidRDefault="00240B6D" w:rsidP="00240B6D">
      <w:pPr>
        <w:keepNext/>
        <w:spacing w:line="240" w:lineRule="auto"/>
        <w:jc w:val="both"/>
        <w:rPr>
          <w:sz w:val="16"/>
          <w:szCs w:val="18"/>
        </w:rPr>
      </w:pPr>
      <w:r w:rsidRPr="00240B6D">
        <w:rPr>
          <w:sz w:val="16"/>
          <w:szCs w:val="18"/>
        </w:rPr>
        <w:t>(1) zahrnují mj. domovy pro seniory s ošetřovatelskou péčí, léčebny pro dlouhodobě nemocné, zařízení hospicového typu</w:t>
      </w:r>
    </w:p>
    <w:p w:rsidR="00240B6D" w:rsidRPr="00240B6D" w:rsidRDefault="00240B6D" w:rsidP="00240B6D">
      <w:pPr>
        <w:keepNext/>
        <w:spacing w:line="240" w:lineRule="auto"/>
        <w:jc w:val="both"/>
        <w:rPr>
          <w:sz w:val="16"/>
          <w:szCs w:val="18"/>
        </w:rPr>
      </w:pPr>
      <w:r w:rsidRPr="00240B6D">
        <w:rPr>
          <w:sz w:val="16"/>
          <w:szCs w:val="18"/>
        </w:rPr>
        <w:t xml:space="preserve">(2) zahrnují ambulance </w:t>
      </w:r>
      <w:proofErr w:type="spellStart"/>
      <w:r w:rsidRPr="00240B6D">
        <w:rPr>
          <w:sz w:val="16"/>
          <w:szCs w:val="18"/>
        </w:rPr>
        <w:t>nelékařů</w:t>
      </w:r>
      <w:proofErr w:type="spellEnd"/>
      <w:r w:rsidRPr="00240B6D">
        <w:rPr>
          <w:sz w:val="16"/>
          <w:szCs w:val="18"/>
        </w:rPr>
        <w:t xml:space="preserve"> – </w:t>
      </w:r>
      <w:r w:rsidR="005151FB">
        <w:rPr>
          <w:sz w:val="16"/>
          <w:szCs w:val="18"/>
        </w:rPr>
        <w:t xml:space="preserve">např. </w:t>
      </w:r>
      <w:r w:rsidRPr="00240B6D">
        <w:rPr>
          <w:sz w:val="16"/>
          <w:szCs w:val="18"/>
        </w:rPr>
        <w:t>psycholog, ergoterapeut, ambulantní chirurgická centra, zařízení asistované reprodukce</w:t>
      </w:r>
    </w:p>
    <w:p w:rsidR="00240B6D" w:rsidRPr="00240B6D" w:rsidRDefault="00240B6D" w:rsidP="00240B6D">
      <w:pPr>
        <w:keepNext/>
        <w:spacing w:line="240" w:lineRule="auto"/>
        <w:jc w:val="both"/>
        <w:rPr>
          <w:sz w:val="16"/>
          <w:szCs w:val="18"/>
        </w:rPr>
      </w:pPr>
      <w:r w:rsidRPr="00240B6D">
        <w:rPr>
          <w:sz w:val="16"/>
          <w:szCs w:val="18"/>
        </w:rPr>
        <w:t>(3) ve skupině domácnosti jako poskytovatelé zdravotní péče je zahrnuto ošetřovné a příspěvek na péči zajišťovanou osobou blízkou</w:t>
      </w:r>
    </w:p>
    <w:p w:rsidR="00240B6D" w:rsidRPr="00240B6D" w:rsidRDefault="00240B6D" w:rsidP="00240B6D">
      <w:pPr>
        <w:keepNext/>
        <w:spacing w:line="240" w:lineRule="auto"/>
        <w:jc w:val="both"/>
        <w:rPr>
          <w:sz w:val="16"/>
          <w:szCs w:val="18"/>
        </w:rPr>
      </w:pPr>
      <w:r w:rsidRPr="00240B6D">
        <w:rPr>
          <w:sz w:val="16"/>
          <w:szCs w:val="18"/>
        </w:rPr>
        <w:t>(4) zahrnuje poskytovatele, kteří poskytují zdravotní péči jako sekundární produkt své činnosti např. závodní preventivní péče, školní péče, lékařskou péči v zařízeních vězeňské služby</w:t>
      </w:r>
    </w:p>
    <w:p w:rsidR="00240B6D" w:rsidRPr="00240B6D" w:rsidRDefault="00240B6D" w:rsidP="00240B6D">
      <w:pPr>
        <w:keepNext/>
        <w:spacing w:line="240" w:lineRule="auto"/>
        <w:jc w:val="both"/>
        <w:rPr>
          <w:sz w:val="16"/>
          <w:szCs w:val="18"/>
        </w:rPr>
      </w:pPr>
      <w:r w:rsidRPr="00BC2F06">
        <w:rPr>
          <w:sz w:val="16"/>
          <w:szCs w:val="18"/>
        </w:rPr>
        <w:t>(5) e-</w:t>
      </w:r>
      <w:proofErr w:type="spellStart"/>
      <w:r w:rsidRPr="00BC2F06">
        <w:rPr>
          <w:sz w:val="16"/>
          <w:szCs w:val="18"/>
        </w:rPr>
        <w:t>shopy</w:t>
      </w:r>
      <w:proofErr w:type="spellEnd"/>
      <w:r w:rsidRPr="00BC2F06">
        <w:rPr>
          <w:sz w:val="16"/>
          <w:szCs w:val="18"/>
        </w:rPr>
        <w:t xml:space="preserve"> se zaměřením na prodej léků, zdravotnického materiálu a terapeutických pomůcek</w:t>
      </w:r>
    </w:p>
    <w:p w:rsidR="00005868" w:rsidRDefault="00240B6D" w:rsidP="00240B6D">
      <w:pPr>
        <w:keepNext/>
        <w:spacing w:line="240" w:lineRule="auto"/>
        <w:jc w:val="both"/>
        <w:rPr>
          <w:sz w:val="16"/>
          <w:szCs w:val="18"/>
        </w:rPr>
      </w:pPr>
      <w:r w:rsidRPr="00240B6D">
        <w:rPr>
          <w:sz w:val="16"/>
          <w:szCs w:val="18"/>
        </w:rPr>
        <w:t xml:space="preserve">(6) poskytovatelé preventivní péče a také </w:t>
      </w:r>
      <w:r w:rsidR="00635FC7">
        <w:rPr>
          <w:sz w:val="16"/>
          <w:szCs w:val="18"/>
        </w:rPr>
        <w:t xml:space="preserve">blíže </w:t>
      </w:r>
      <w:r w:rsidRPr="00240B6D">
        <w:rPr>
          <w:sz w:val="16"/>
          <w:szCs w:val="18"/>
        </w:rPr>
        <w:t>ne</w:t>
      </w:r>
      <w:r w:rsidR="00635FC7">
        <w:rPr>
          <w:sz w:val="16"/>
          <w:szCs w:val="18"/>
        </w:rPr>
        <w:t xml:space="preserve">určené či nespecifikované </w:t>
      </w:r>
      <w:r w:rsidRPr="00240B6D">
        <w:rPr>
          <w:sz w:val="16"/>
          <w:szCs w:val="18"/>
        </w:rPr>
        <w:t>typy poskytovatelů</w:t>
      </w:r>
    </w:p>
    <w:p w:rsidR="00240B6D" w:rsidRPr="00005868" w:rsidRDefault="00005868" w:rsidP="00240B6D">
      <w:pPr>
        <w:keepNext/>
        <w:spacing w:line="240" w:lineRule="auto"/>
        <w:jc w:val="both"/>
        <w:rPr>
          <w:b/>
          <w:bCs/>
          <w:i/>
          <w:sz w:val="16"/>
          <w:szCs w:val="16"/>
        </w:rPr>
      </w:pPr>
      <w:r>
        <w:rPr>
          <w:sz w:val="16"/>
        </w:rPr>
        <w:t xml:space="preserve">ZP – zdravotní péče </w:t>
      </w:r>
    </w:p>
    <w:p w:rsidR="00240B6D" w:rsidRPr="00240B6D" w:rsidRDefault="00240B6D" w:rsidP="005151FB">
      <w:pPr>
        <w:spacing w:line="240" w:lineRule="auto"/>
        <w:jc w:val="right"/>
        <w:rPr>
          <w:b/>
          <w:bCs/>
          <w:i/>
          <w:sz w:val="16"/>
          <w:szCs w:val="16"/>
        </w:rPr>
      </w:pPr>
      <w:r w:rsidRPr="00240B6D">
        <w:rPr>
          <w:b/>
          <w:bCs/>
          <w:i/>
          <w:sz w:val="16"/>
          <w:szCs w:val="16"/>
        </w:rPr>
        <w:t xml:space="preserve">Zdroj: ČSÚ 2018, Zdravotnické účty ČR 2010 - 2016 </w:t>
      </w:r>
    </w:p>
    <w:p w:rsidR="00240B6D" w:rsidRPr="00240B6D" w:rsidRDefault="00240B6D" w:rsidP="005151FB">
      <w:pPr>
        <w:widowControl w:val="0"/>
        <w:spacing w:before="240" w:after="120"/>
        <w:jc w:val="both"/>
        <w:rPr>
          <w:b/>
          <w:bCs/>
          <w:i/>
          <w:szCs w:val="17"/>
        </w:rPr>
      </w:pPr>
      <w:r w:rsidRPr="00240B6D">
        <w:rPr>
          <w:b/>
          <w:bCs/>
          <w:i/>
          <w:szCs w:val="17"/>
        </w:rPr>
        <w:t>Od roku 2010 se zvýšily výdaje nemocnic o téměř 6 miliard Kč (o 4,3 %)</w:t>
      </w:r>
    </w:p>
    <w:p w:rsidR="00240B6D" w:rsidRPr="00240B6D" w:rsidRDefault="00240B6D" w:rsidP="005151FB">
      <w:pPr>
        <w:widowControl w:val="0"/>
        <w:spacing w:before="120"/>
        <w:jc w:val="both"/>
        <w:rPr>
          <w:szCs w:val="20"/>
        </w:rPr>
      </w:pPr>
      <w:r w:rsidRPr="00240B6D">
        <w:rPr>
          <w:szCs w:val="20"/>
        </w:rPr>
        <w:t xml:space="preserve">V Česku od roku 2010 téměř dvě pětiny (38,4 % v roce 2016) finančních prostředků ve zdravotnictví směřuje </w:t>
      </w:r>
      <w:r w:rsidRPr="00240B6D">
        <w:rPr>
          <w:szCs w:val="20"/>
        </w:rPr>
        <w:lastRenderedPageBreak/>
        <w:t xml:space="preserve">do </w:t>
      </w:r>
      <w:r w:rsidRPr="00240B6D">
        <w:rPr>
          <w:b/>
          <w:szCs w:val="20"/>
        </w:rPr>
        <w:t>nemocnic</w:t>
      </w:r>
      <w:r w:rsidRPr="00240B6D">
        <w:rPr>
          <w:szCs w:val="20"/>
        </w:rPr>
        <w:t xml:space="preserve">. V roce 2016 z toho 88 % připadalo na </w:t>
      </w:r>
      <w:r w:rsidRPr="00746E1B">
        <w:rPr>
          <w:b/>
          <w:szCs w:val="20"/>
        </w:rPr>
        <w:t>všeobecné nemocnice</w:t>
      </w:r>
      <w:r w:rsidRPr="00240B6D">
        <w:rPr>
          <w:szCs w:val="20"/>
        </w:rPr>
        <w:t xml:space="preserve"> a zbývajících 12 % výdajů na zdravotní péči náleželo </w:t>
      </w:r>
      <w:r w:rsidRPr="00746E1B">
        <w:rPr>
          <w:b/>
          <w:szCs w:val="20"/>
        </w:rPr>
        <w:t>specializovaným nemocnicím</w:t>
      </w:r>
      <w:r w:rsidRPr="00240B6D">
        <w:rPr>
          <w:szCs w:val="20"/>
        </w:rPr>
        <w:t>, kam podle mezinárodní metodologie SHA 2011 patří např. psychiatrické nemocnice, zařízení následné péče, rehabilitační nemocnice a nemocnice léčebně rehabilitační péče včetně lázní.</w:t>
      </w:r>
    </w:p>
    <w:p w:rsidR="00240B6D" w:rsidRPr="00240B6D" w:rsidRDefault="00240B6D" w:rsidP="00635FC7">
      <w:pPr>
        <w:spacing w:before="120"/>
        <w:jc w:val="both"/>
        <w:rPr>
          <w:szCs w:val="20"/>
        </w:rPr>
      </w:pPr>
      <w:r w:rsidRPr="00240B6D">
        <w:rPr>
          <w:szCs w:val="20"/>
        </w:rPr>
        <w:t xml:space="preserve">V pořadí za nimi následovaly výdaje v </w:t>
      </w:r>
      <w:r w:rsidRPr="00240B6D">
        <w:rPr>
          <w:b/>
          <w:szCs w:val="20"/>
        </w:rPr>
        <w:t>zařízeních ambulantní péče</w:t>
      </w:r>
      <w:r w:rsidRPr="00240B6D">
        <w:rPr>
          <w:szCs w:val="20"/>
        </w:rPr>
        <w:t xml:space="preserve"> (v roce 2016 dosahovaly jedné pětiny celkových výdajů). V této skupině  poskytovatelů připadalo 55 % výdajů na </w:t>
      </w:r>
      <w:r w:rsidRPr="00E65D1A">
        <w:rPr>
          <w:b/>
          <w:szCs w:val="20"/>
        </w:rPr>
        <w:t>samostatné</w:t>
      </w:r>
      <w:r w:rsidRPr="00240B6D">
        <w:rPr>
          <w:szCs w:val="20"/>
        </w:rPr>
        <w:t xml:space="preserve"> </w:t>
      </w:r>
      <w:r w:rsidRPr="00240B6D">
        <w:rPr>
          <w:b/>
          <w:szCs w:val="20"/>
        </w:rPr>
        <w:t>ordinace lékařů</w:t>
      </w:r>
      <w:r w:rsidRPr="00240B6D">
        <w:rPr>
          <w:szCs w:val="20"/>
        </w:rPr>
        <w:t xml:space="preserve"> a 24 % na </w:t>
      </w:r>
      <w:r w:rsidRPr="00240B6D">
        <w:rPr>
          <w:b/>
          <w:szCs w:val="20"/>
        </w:rPr>
        <w:t>ordinace stomatologů</w:t>
      </w:r>
      <w:r w:rsidRPr="00240B6D">
        <w:rPr>
          <w:szCs w:val="20"/>
        </w:rPr>
        <w:t xml:space="preserve">. </w:t>
      </w:r>
    </w:p>
    <w:p w:rsidR="00635FC7" w:rsidRPr="00240B6D" w:rsidRDefault="00635FC7" w:rsidP="00635FC7">
      <w:pPr>
        <w:spacing w:before="240" w:line="240" w:lineRule="auto"/>
        <w:rPr>
          <w:b/>
          <w:bCs/>
          <w:noProof/>
          <w:sz w:val="18"/>
          <w:szCs w:val="18"/>
        </w:rPr>
      </w:pPr>
      <w:r w:rsidRPr="00240B6D">
        <w:rPr>
          <w:b/>
          <w:bCs/>
          <w:noProof/>
          <w:sz w:val="18"/>
          <w:szCs w:val="18"/>
        </w:rPr>
        <w:t xml:space="preserve">Graf 2.10 Výdaje na zdravotní péči v Česku podle poskytovatelů, </w:t>
      </w:r>
      <w:r w:rsidR="00527720">
        <w:rPr>
          <w:b/>
          <w:bCs/>
          <w:noProof/>
          <w:sz w:val="18"/>
          <w:szCs w:val="18"/>
        </w:rPr>
        <w:t xml:space="preserve">2014 – 2016 </w:t>
      </w:r>
    </w:p>
    <w:p w:rsidR="00635FC7" w:rsidRPr="00240B6D" w:rsidRDefault="00635FC7" w:rsidP="00635FC7">
      <w:pPr>
        <w:keepNext/>
        <w:tabs>
          <w:tab w:val="left" w:pos="142"/>
          <w:tab w:val="left" w:pos="5812"/>
        </w:tabs>
        <w:spacing w:before="120"/>
        <w:jc w:val="both"/>
        <w:rPr>
          <w:b/>
          <w:i/>
          <w:sz w:val="18"/>
        </w:rPr>
      </w:pPr>
      <w:r w:rsidRPr="00240B6D">
        <w:rPr>
          <w:b/>
          <w:i/>
          <w:sz w:val="18"/>
        </w:rPr>
        <w:tab/>
        <w:t xml:space="preserve">a) v mld. Kč </w:t>
      </w:r>
      <w:r w:rsidRPr="00240B6D">
        <w:rPr>
          <w:b/>
          <w:i/>
          <w:sz w:val="18"/>
        </w:rPr>
        <w:tab/>
        <w:t>b) struktura v %</w:t>
      </w:r>
    </w:p>
    <w:p w:rsidR="00635FC7" w:rsidRPr="00240B6D" w:rsidRDefault="00635FC7" w:rsidP="005151FB">
      <w:pPr>
        <w:keepNext/>
        <w:jc w:val="both"/>
      </w:pPr>
      <w:r w:rsidRPr="00240B6D">
        <w:rPr>
          <w:noProof/>
        </w:rPr>
        <w:drawing>
          <wp:inline distT="0" distB="0" distL="0" distR="0">
            <wp:extent cx="3564000" cy="252000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40B6D">
        <w:rPr>
          <w:noProof/>
          <w:lang w:val="en-US" w:eastAsia="en-US"/>
        </w:rPr>
        <w:t xml:space="preserve"> </w:t>
      </w:r>
      <w:r w:rsidRPr="00240B6D">
        <w:rPr>
          <w:noProof/>
        </w:rPr>
        <w:drawing>
          <wp:inline distT="0" distB="0" distL="0" distR="0">
            <wp:extent cx="2520000" cy="2520000"/>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40B6D">
        <w:rPr>
          <w:noProof/>
          <w:lang w:val="en-US" w:eastAsia="en-US"/>
        </w:rPr>
        <w:t xml:space="preserve">   </w:t>
      </w:r>
    </w:p>
    <w:p w:rsidR="00635FC7" w:rsidRPr="00240B6D" w:rsidRDefault="00527720" w:rsidP="00F0328F">
      <w:pPr>
        <w:keepNext/>
        <w:spacing w:line="240" w:lineRule="auto"/>
        <w:jc w:val="both"/>
        <w:rPr>
          <w:sz w:val="16"/>
        </w:rPr>
      </w:pPr>
      <w:r>
        <w:rPr>
          <w:sz w:val="16"/>
        </w:rPr>
        <w:t>(</w:t>
      </w:r>
      <w:r w:rsidR="00635FC7" w:rsidRPr="00240B6D">
        <w:rPr>
          <w:sz w:val="16"/>
        </w:rPr>
        <w:t>1) zahrnují např. domovy pro seniory, domovy se zvláštním režimem, týdenní stacionáře, léčebny pro psychiatrické a závislé pacienty</w:t>
      </w:r>
    </w:p>
    <w:p w:rsidR="00635FC7" w:rsidRPr="00240B6D" w:rsidRDefault="00527720" w:rsidP="00F0328F">
      <w:pPr>
        <w:keepNext/>
        <w:spacing w:line="240" w:lineRule="auto"/>
        <w:jc w:val="both"/>
        <w:rPr>
          <w:sz w:val="16"/>
        </w:rPr>
      </w:pPr>
      <w:r>
        <w:rPr>
          <w:sz w:val="16"/>
        </w:rPr>
        <w:t>(</w:t>
      </w:r>
      <w:r w:rsidR="00635FC7" w:rsidRPr="00240B6D">
        <w:rPr>
          <w:sz w:val="16"/>
        </w:rPr>
        <w:t>2) zahrnují domácnosti, zařízení pro seniory bez ošetřovatelské péče, poskytovatele závodní preventivní péče apod.</w:t>
      </w:r>
    </w:p>
    <w:p w:rsidR="00005868" w:rsidRPr="00240B6D" w:rsidRDefault="00527720" w:rsidP="00F0328F">
      <w:pPr>
        <w:keepNext/>
        <w:spacing w:line="240" w:lineRule="auto"/>
        <w:jc w:val="both"/>
        <w:rPr>
          <w:b/>
          <w:bCs/>
          <w:i/>
          <w:sz w:val="16"/>
          <w:szCs w:val="16"/>
        </w:rPr>
      </w:pPr>
      <w:r>
        <w:rPr>
          <w:sz w:val="16"/>
        </w:rPr>
        <w:t>(</w:t>
      </w:r>
      <w:r w:rsidR="00635FC7" w:rsidRPr="00240B6D">
        <w:rPr>
          <w:sz w:val="16"/>
        </w:rPr>
        <w:t>3) zahrnují dopravu pacientů včetně záchranné služby a laboratoře</w:t>
      </w:r>
      <w:r w:rsidR="0044625F">
        <w:rPr>
          <w:sz w:val="16"/>
        </w:rPr>
        <w:t xml:space="preserve">; </w:t>
      </w:r>
      <w:r w:rsidR="00005868">
        <w:rPr>
          <w:sz w:val="16"/>
        </w:rPr>
        <w:t xml:space="preserve">ZP – zdravotní péče </w:t>
      </w:r>
    </w:p>
    <w:p w:rsidR="00635FC7" w:rsidRPr="00240B6D" w:rsidRDefault="00635FC7" w:rsidP="00F0328F">
      <w:pPr>
        <w:spacing w:line="240" w:lineRule="auto"/>
        <w:jc w:val="right"/>
        <w:rPr>
          <w:b/>
          <w:bCs/>
          <w:i/>
          <w:sz w:val="16"/>
          <w:szCs w:val="16"/>
        </w:rPr>
      </w:pPr>
      <w:r w:rsidRPr="00240B6D">
        <w:rPr>
          <w:b/>
          <w:bCs/>
          <w:i/>
          <w:sz w:val="16"/>
          <w:szCs w:val="16"/>
        </w:rPr>
        <w:tab/>
      </w:r>
      <w:r w:rsidRPr="00240B6D">
        <w:rPr>
          <w:b/>
          <w:bCs/>
          <w:i/>
          <w:sz w:val="16"/>
          <w:szCs w:val="16"/>
        </w:rPr>
        <w:tab/>
        <w:t xml:space="preserve">Zdroj: ČSÚ 2018, Zdravotnické účty ČR 2010 - 2016 </w:t>
      </w:r>
    </w:p>
    <w:p w:rsidR="00240B6D" w:rsidRPr="00240B6D" w:rsidRDefault="00240B6D" w:rsidP="00635FC7">
      <w:pPr>
        <w:spacing w:before="120"/>
        <w:jc w:val="both"/>
        <w:rPr>
          <w:szCs w:val="20"/>
        </w:rPr>
      </w:pPr>
      <w:r w:rsidRPr="00240B6D">
        <w:rPr>
          <w:szCs w:val="20"/>
        </w:rPr>
        <w:t xml:space="preserve">Kategorie poskytovatelů </w:t>
      </w:r>
      <w:r w:rsidRPr="00E65D1A">
        <w:rPr>
          <w:b/>
          <w:i/>
          <w:szCs w:val="20"/>
        </w:rPr>
        <w:t xml:space="preserve">lékárny a </w:t>
      </w:r>
      <w:r w:rsidR="00E65D1A">
        <w:rPr>
          <w:b/>
          <w:i/>
          <w:szCs w:val="20"/>
        </w:rPr>
        <w:t xml:space="preserve">ostatní prodejci zdravotnického zboží </w:t>
      </w:r>
      <w:r w:rsidRPr="00240B6D">
        <w:rPr>
          <w:szCs w:val="20"/>
        </w:rPr>
        <w:t xml:space="preserve">zahrnuje specializované provozovny, které se zaměřují na </w:t>
      </w:r>
      <w:r w:rsidRPr="00E65D1A">
        <w:rPr>
          <w:b/>
          <w:i/>
          <w:szCs w:val="20"/>
        </w:rPr>
        <w:t>maloobchodní prodej</w:t>
      </w:r>
      <w:r w:rsidRPr="00240B6D">
        <w:rPr>
          <w:szCs w:val="20"/>
        </w:rPr>
        <w:t xml:space="preserve"> farmaceutických výrobků nebo zdravotnických prostředků a lékařských nástrojů jako jsou optické brýle, naslouchátka, ortopedické a protetické pomůcky. Rovněž zahrnují montáž a opravy v kombinaci s prodejem </w:t>
      </w:r>
      <w:r w:rsidR="00E65D1A">
        <w:rPr>
          <w:szCs w:val="20"/>
        </w:rPr>
        <w:t xml:space="preserve">těchto </w:t>
      </w:r>
      <w:r w:rsidRPr="00240B6D">
        <w:rPr>
          <w:szCs w:val="20"/>
        </w:rPr>
        <w:t>výrobků. Po</w:t>
      </w:r>
      <w:r w:rsidR="00E65D1A">
        <w:rPr>
          <w:szCs w:val="20"/>
        </w:rPr>
        <w:t xml:space="preserve">kud jde o </w:t>
      </w:r>
      <w:r w:rsidR="00E65D1A" w:rsidRPr="0017751B">
        <w:rPr>
          <w:b/>
          <w:szCs w:val="20"/>
        </w:rPr>
        <w:t>samostatné lékárny</w:t>
      </w:r>
      <w:r w:rsidR="00E65D1A">
        <w:rPr>
          <w:szCs w:val="20"/>
        </w:rPr>
        <w:t xml:space="preserve">, které se v roce 2016 podílely z 86  na této kategorii, došlo po poklesu jejich příjmů </w:t>
      </w:r>
      <w:r w:rsidRPr="00240B6D">
        <w:rPr>
          <w:szCs w:val="20"/>
        </w:rPr>
        <w:t xml:space="preserve">v letech 2013 </w:t>
      </w:r>
      <w:r w:rsidR="00635FC7">
        <w:rPr>
          <w:szCs w:val="20"/>
        </w:rPr>
        <w:t>a</w:t>
      </w:r>
      <w:r w:rsidR="0017751B">
        <w:rPr>
          <w:szCs w:val="20"/>
        </w:rPr>
        <w:t> </w:t>
      </w:r>
      <w:r w:rsidRPr="00240B6D">
        <w:rPr>
          <w:szCs w:val="20"/>
        </w:rPr>
        <w:t>2014</w:t>
      </w:r>
      <w:r w:rsidR="00E65D1A">
        <w:rPr>
          <w:szCs w:val="20"/>
        </w:rPr>
        <w:t xml:space="preserve"> z 55,5 mld. Kč v roce 2012 na 47,2 mld. Kč v roce 2014</w:t>
      </w:r>
      <w:r w:rsidRPr="00240B6D">
        <w:rPr>
          <w:szCs w:val="20"/>
        </w:rPr>
        <w:t xml:space="preserve"> </w:t>
      </w:r>
      <w:r w:rsidR="00E65D1A">
        <w:rPr>
          <w:szCs w:val="20"/>
        </w:rPr>
        <w:t>k</w:t>
      </w:r>
      <w:r w:rsidR="0017751B">
        <w:rPr>
          <w:szCs w:val="20"/>
        </w:rPr>
        <w:t xml:space="preserve"> mírnému navýšení v posledních dvou letech </w:t>
      </w:r>
      <w:r w:rsidRPr="00240B6D">
        <w:rPr>
          <w:szCs w:val="20"/>
        </w:rPr>
        <w:t>na 49,7 mld. Kč v roce 2016.</w:t>
      </w:r>
    </w:p>
    <w:p w:rsidR="0017751B" w:rsidRDefault="00240B6D" w:rsidP="00635FC7">
      <w:pPr>
        <w:spacing w:before="120"/>
        <w:jc w:val="both"/>
        <w:rPr>
          <w:szCs w:val="20"/>
        </w:rPr>
      </w:pPr>
      <w:r w:rsidRPr="00240B6D">
        <w:rPr>
          <w:szCs w:val="20"/>
        </w:rPr>
        <w:t xml:space="preserve">Výdaje v </w:t>
      </w:r>
      <w:r w:rsidRPr="00240B6D">
        <w:rPr>
          <w:b/>
          <w:szCs w:val="20"/>
        </w:rPr>
        <w:t>zařízeních dlouhodobé péče</w:t>
      </w:r>
      <w:r w:rsidRPr="00240B6D">
        <w:rPr>
          <w:szCs w:val="20"/>
        </w:rPr>
        <w:t xml:space="preserve"> se v roce 2016 pohybovaly na úrovni 26 mld. Kč, což je 7</w:t>
      </w:r>
      <w:r w:rsidR="0017751B">
        <w:rPr>
          <w:szCs w:val="20"/>
        </w:rPr>
        <w:t> </w:t>
      </w:r>
      <w:r w:rsidRPr="00240B6D">
        <w:rPr>
          <w:szCs w:val="20"/>
        </w:rPr>
        <w:t>% z celkových nákladů na zdravotní péči. V porovnání s rokem 2010 se jejich výdaje zvýšily o jednu čtvrtinu</w:t>
      </w:r>
      <w:r w:rsidR="0017751B">
        <w:rPr>
          <w:szCs w:val="20"/>
        </w:rPr>
        <w:t>, tj. v absolutním vyjádření o 5,2 mld. Kč</w:t>
      </w:r>
      <w:r w:rsidRPr="00240B6D">
        <w:rPr>
          <w:szCs w:val="20"/>
        </w:rPr>
        <w:t xml:space="preserve">. </w:t>
      </w:r>
    </w:p>
    <w:p w:rsidR="00240B6D" w:rsidRPr="005151FB" w:rsidRDefault="00240B6D" w:rsidP="00635FC7">
      <w:pPr>
        <w:spacing w:before="120"/>
        <w:jc w:val="both"/>
        <w:rPr>
          <w:i/>
          <w:szCs w:val="20"/>
        </w:rPr>
      </w:pPr>
      <w:r w:rsidRPr="00240B6D">
        <w:rPr>
          <w:szCs w:val="20"/>
        </w:rPr>
        <w:t xml:space="preserve">Mezi roky 2015 a 2016 rostly </w:t>
      </w:r>
      <w:r w:rsidR="0017751B">
        <w:rPr>
          <w:szCs w:val="20"/>
        </w:rPr>
        <w:t>procentuálně v rámci této kategorie nejrychleji (</w:t>
      </w:r>
      <w:r w:rsidRPr="00240B6D">
        <w:rPr>
          <w:szCs w:val="20"/>
        </w:rPr>
        <w:t>o 10</w:t>
      </w:r>
      <w:r w:rsidR="0017751B">
        <w:rPr>
          <w:szCs w:val="20"/>
        </w:rPr>
        <w:t> </w:t>
      </w:r>
      <w:r w:rsidRPr="00240B6D">
        <w:rPr>
          <w:szCs w:val="20"/>
        </w:rPr>
        <w:t>%</w:t>
      </w:r>
      <w:r w:rsidR="0017751B">
        <w:rPr>
          <w:szCs w:val="20"/>
        </w:rPr>
        <w:t>)</w:t>
      </w:r>
      <w:r w:rsidRPr="00240B6D">
        <w:rPr>
          <w:szCs w:val="20"/>
        </w:rPr>
        <w:t xml:space="preserve"> výdaje </w:t>
      </w:r>
      <w:r w:rsidRPr="0017751B">
        <w:rPr>
          <w:b/>
          <w:szCs w:val="20"/>
        </w:rPr>
        <w:t>v</w:t>
      </w:r>
      <w:r w:rsidR="0017751B" w:rsidRPr="0017751B">
        <w:rPr>
          <w:b/>
          <w:szCs w:val="20"/>
        </w:rPr>
        <w:t xml:space="preserve"> </w:t>
      </w:r>
      <w:r w:rsidRPr="0017751B">
        <w:rPr>
          <w:b/>
          <w:szCs w:val="20"/>
        </w:rPr>
        <w:t>léčebn</w:t>
      </w:r>
      <w:r w:rsidR="0017751B" w:rsidRPr="0017751B">
        <w:rPr>
          <w:b/>
          <w:szCs w:val="20"/>
        </w:rPr>
        <w:t>ách</w:t>
      </w:r>
      <w:r w:rsidRPr="0017751B">
        <w:rPr>
          <w:b/>
          <w:szCs w:val="20"/>
        </w:rPr>
        <w:t xml:space="preserve"> pro mentálně postižené a psychiatrické pacienty</w:t>
      </w:r>
      <w:r w:rsidRPr="00240B6D">
        <w:rPr>
          <w:szCs w:val="20"/>
        </w:rPr>
        <w:t xml:space="preserve">. </w:t>
      </w:r>
      <w:r w:rsidR="0017751B" w:rsidRPr="0017751B">
        <w:rPr>
          <w:b/>
          <w:szCs w:val="20"/>
        </w:rPr>
        <w:t>L</w:t>
      </w:r>
      <w:r w:rsidRPr="0017751B">
        <w:rPr>
          <w:b/>
          <w:szCs w:val="20"/>
        </w:rPr>
        <w:t>ůžkov</w:t>
      </w:r>
      <w:r w:rsidR="0017751B" w:rsidRPr="0017751B">
        <w:rPr>
          <w:b/>
          <w:szCs w:val="20"/>
        </w:rPr>
        <w:t>á</w:t>
      </w:r>
      <w:r w:rsidRPr="0017751B">
        <w:rPr>
          <w:b/>
          <w:szCs w:val="20"/>
        </w:rPr>
        <w:t xml:space="preserve"> zařízení dlouhodobé péče</w:t>
      </w:r>
      <w:r w:rsidRPr="00240B6D">
        <w:rPr>
          <w:szCs w:val="20"/>
        </w:rPr>
        <w:t xml:space="preserve"> zahrnují</w:t>
      </w:r>
      <w:r w:rsidR="0017751B">
        <w:rPr>
          <w:szCs w:val="20"/>
        </w:rPr>
        <w:t>cí</w:t>
      </w:r>
      <w:r w:rsidRPr="00240B6D">
        <w:rPr>
          <w:szCs w:val="20"/>
        </w:rPr>
        <w:t xml:space="preserve"> domovy pro seniory, jejichž hlavním finančním zdrojem je státní rozpočet (87 %)</w:t>
      </w:r>
      <w:r w:rsidR="0017751B">
        <w:rPr>
          <w:szCs w:val="20"/>
        </w:rPr>
        <w:t>, se v roce 2016 podílely z 53 % (13,8 mld. Kč) na výše uvedených zařízeních dlouhodobé péče. Meziročně zde výdaje na zdravotní péči vzrostly o 6,8 % (877 mil. Kč).</w:t>
      </w:r>
      <w:r w:rsidRPr="00240B6D">
        <w:rPr>
          <w:szCs w:val="20"/>
        </w:rPr>
        <w:t xml:space="preserve"> </w:t>
      </w:r>
      <w:r w:rsidR="005151FB" w:rsidRPr="00BC2F06">
        <w:rPr>
          <w:i/>
          <w:szCs w:val="20"/>
        </w:rPr>
        <w:t>V roce 2016 bylo</w:t>
      </w:r>
      <w:r w:rsidR="005151FB" w:rsidRPr="00BC2F06">
        <w:rPr>
          <w:szCs w:val="20"/>
        </w:rPr>
        <w:t xml:space="preserve"> </w:t>
      </w:r>
      <w:r w:rsidRPr="00BC2F06">
        <w:rPr>
          <w:i/>
          <w:szCs w:val="20"/>
        </w:rPr>
        <w:t xml:space="preserve">v České republice </w:t>
      </w:r>
      <w:r w:rsidR="00BC2F06" w:rsidRPr="00BC2F06">
        <w:rPr>
          <w:i/>
          <w:szCs w:val="20"/>
        </w:rPr>
        <w:t>514</w:t>
      </w:r>
      <w:r w:rsidRPr="00BC2F06">
        <w:rPr>
          <w:i/>
          <w:szCs w:val="20"/>
        </w:rPr>
        <w:t xml:space="preserve"> lůžkových zařízení pro seniory s kapacitou 37 247 lůžek.</w:t>
      </w:r>
    </w:p>
    <w:p w:rsidR="00240B6D" w:rsidRPr="00240B6D" w:rsidRDefault="00240B6D" w:rsidP="00D03353">
      <w:pPr>
        <w:widowControl w:val="0"/>
        <w:spacing w:before="120"/>
        <w:jc w:val="both"/>
        <w:rPr>
          <w:szCs w:val="20"/>
        </w:rPr>
      </w:pPr>
      <w:r w:rsidRPr="00240B6D">
        <w:rPr>
          <w:b/>
          <w:szCs w:val="20"/>
        </w:rPr>
        <w:t>Domácnosti jako poskytovatelé zdravotní péče</w:t>
      </w:r>
      <w:r w:rsidRPr="00240B6D">
        <w:rPr>
          <w:szCs w:val="20"/>
        </w:rPr>
        <w:t xml:space="preserve"> zahrnují výdaje na péči zajišťovanou osobou blízkou v souvislosti s pobíráním ošetřovného</w:t>
      </w:r>
      <w:r w:rsidRPr="00240B6D" w:rsidDel="003E7082">
        <w:rPr>
          <w:szCs w:val="20"/>
        </w:rPr>
        <w:t xml:space="preserve"> </w:t>
      </w:r>
      <w:r w:rsidRPr="00240B6D">
        <w:rPr>
          <w:szCs w:val="20"/>
        </w:rPr>
        <w:t>a příspěvku na péči (blíže viz metodická příloha). Meziroční zvýšení výdajů domácností o 8,8 % souvisí především se zvýšením výdajů ze státního rozpočtu na příspěvky na péči, které dosáhly v roce 2016 částky 16,2 mld. Kč. Výdaje na ošetřovné se v posledních dvou letech pohybují okolo 1,1 mld. Kč.</w:t>
      </w:r>
    </w:p>
    <w:p w:rsidR="00240B6D" w:rsidRPr="00635FC7" w:rsidRDefault="00240B6D" w:rsidP="005151FB">
      <w:pPr>
        <w:widowControl w:val="0"/>
        <w:spacing w:before="120"/>
        <w:jc w:val="both"/>
        <w:rPr>
          <w:i/>
          <w:szCs w:val="20"/>
        </w:rPr>
      </w:pPr>
      <w:r w:rsidRPr="00635FC7">
        <w:rPr>
          <w:i/>
          <w:szCs w:val="20"/>
        </w:rPr>
        <w:t xml:space="preserve">Na ošetřovné má nárok zaměstnanec, který nemůže pracovat z důvodu, že musí ošetřovat nemocného </w:t>
      </w:r>
      <w:r w:rsidRPr="00635FC7">
        <w:rPr>
          <w:i/>
          <w:szCs w:val="20"/>
        </w:rPr>
        <w:lastRenderedPageBreak/>
        <w:t>člena domácnosti, nebo pečovat o zdravé dítě mladší 10 let z důvodů, že školské nebo dětské zařízení bylo uzavřeno z důvodu nepředvídané události, dítěti byla nařízena karanténa, nebo osoba, která jinak o dítě pečuje, sama onemocněla.</w:t>
      </w:r>
      <w:r w:rsidR="00F0328F">
        <w:rPr>
          <w:i/>
          <w:szCs w:val="20"/>
        </w:rPr>
        <w:t xml:space="preserve"> </w:t>
      </w:r>
      <w:r w:rsidRPr="00635FC7">
        <w:rPr>
          <w:i/>
          <w:szCs w:val="20"/>
        </w:rPr>
        <w:t xml:space="preserve">Podpůrčí doba u ošetřovného počíná prvním kalendářním dnem potřeby ošetřování a činí nejdéle 9 kalendářních </w:t>
      </w:r>
      <w:r w:rsidRPr="00931794">
        <w:rPr>
          <w:i/>
          <w:szCs w:val="20"/>
        </w:rPr>
        <w:t>dnů</w:t>
      </w:r>
      <w:r w:rsidR="005151FB" w:rsidRPr="00931794">
        <w:rPr>
          <w:i/>
          <w:szCs w:val="20"/>
        </w:rPr>
        <w:t>.</w:t>
      </w:r>
    </w:p>
    <w:p w:rsidR="00240B6D" w:rsidRPr="00240B6D" w:rsidRDefault="00240B6D" w:rsidP="00635FC7">
      <w:pPr>
        <w:spacing w:before="120"/>
        <w:jc w:val="both"/>
        <w:rPr>
          <w:szCs w:val="20"/>
        </w:rPr>
      </w:pPr>
      <w:r w:rsidRPr="00240B6D">
        <w:rPr>
          <w:b/>
          <w:szCs w:val="20"/>
        </w:rPr>
        <w:t>Ostatní odvětví</w:t>
      </w:r>
      <w:r w:rsidRPr="00240B6D">
        <w:rPr>
          <w:szCs w:val="20"/>
        </w:rPr>
        <w:t xml:space="preserve"> jako poskytovatelé zdravotní péče</w:t>
      </w:r>
      <w:r w:rsidRPr="00240B6D" w:rsidDel="003E7082">
        <w:rPr>
          <w:szCs w:val="20"/>
        </w:rPr>
        <w:t xml:space="preserve"> </w:t>
      </w:r>
      <w:r w:rsidRPr="00240B6D">
        <w:rPr>
          <w:szCs w:val="20"/>
        </w:rPr>
        <w:t>(8,1 mld. Kč</w:t>
      </w:r>
      <w:r w:rsidR="00635FC7">
        <w:rPr>
          <w:szCs w:val="20"/>
        </w:rPr>
        <w:t xml:space="preserve"> za rok 2016</w:t>
      </w:r>
      <w:r w:rsidRPr="00240B6D">
        <w:rPr>
          <w:szCs w:val="20"/>
        </w:rPr>
        <w:t>) zahrnují širokou škálu poskytovatelů zdravotní péče např. závodní preventivní péči, zařízení pro seniory bez ošetřovatelské péče, poskytovatele domácí péče zaměřené na sebeobsluhu a soběstačnost klienta, školy s pracovníky v oblasti zdravotnictví apod.</w:t>
      </w:r>
    </w:p>
    <w:p w:rsidR="00240B6D" w:rsidRPr="00240B6D" w:rsidRDefault="00240B6D" w:rsidP="00635FC7">
      <w:pPr>
        <w:spacing w:before="120"/>
        <w:jc w:val="both"/>
        <w:rPr>
          <w:szCs w:val="20"/>
        </w:rPr>
      </w:pPr>
      <w:r w:rsidRPr="00240B6D">
        <w:rPr>
          <w:szCs w:val="20"/>
        </w:rPr>
        <w:t>Výdaje poskytovatelů</w:t>
      </w:r>
      <w:r w:rsidRPr="00240B6D">
        <w:rPr>
          <w:b/>
          <w:szCs w:val="20"/>
        </w:rPr>
        <w:t xml:space="preserve"> dopravních služeb</w:t>
      </w:r>
      <w:r w:rsidRPr="00240B6D">
        <w:rPr>
          <w:szCs w:val="20"/>
        </w:rPr>
        <w:t xml:space="preserve"> pro pacienty přesáhly poprvé od roku 2010 částku 7,5 mld. Kč, což je nárůst o 15 %. Podobný vývoj mají i výdaje</w:t>
      </w:r>
      <w:r w:rsidRPr="00240B6D">
        <w:rPr>
          <w:b/>
          <w:szCs w:val="20"/>
        </w:rPr>
        <w:t xml:space="preserve"> zdravotnických laboratoří, </w:t>
      </w:r>
      <w:r w:rsidRPr="00240B6D">
        <w:rPr>
          <w:szCs w:val="20"/>
        </w:rPr>
        <w:t xml:space="preserve">které dosáhly výše 5,4 mld. Kč, což je nejvíce od roku 2010. </w:t>
      </w:r>
    </w:p>
    <w:p w:rsidR="00240B6D" w:rsidRPr="00240B6D" w:rsidRDefault="00240B6D" w:rsidP="00635FC7">
      <w:pPr>
        <w:spacing w:before="120"/>
        <w:jc w:val="both"/>
        <w:rPr>
          <w:rFonts w:cs="Arial"/>
          <w:szCs w:val="20"/>
        </w:rPr>
      </w:pPr>
      <w:r w:rsidRPr="00240B6D">
        <w:rPr>
          <w:b/>
          <w:szCs w:val="20"/>
        </w:rPr>
        <w:t>Správa systému zdravotní péče</w:t>
      </w:r>
      <w:r w:rsidRPr="00240B6D">
        <w:rPr>
          <w:szCs w:val="20"/>
        </w:rPr>
        <w:t xml:space="preserve"> zahrnuje vládní instituce, které </w:t>
      </w:r>
      <w:r w:rsidRPr="00240B6D">
        <w:rPr>
          <w:rFonts w:cs="Arial"/>
          <w:szCs w:val="20"/>
        </w:rPr>
        <w:t>naplňují v rámci své činnosti množství strategických dokumentů z oblasti zdravotnictví, normy pro lékaře a ostatní zdravotnický personál a</w:t>
      </w:r>
      <w:r w:rsidR="00F85872">
        <w:rPr>
          <w:rFonts w:cs="Arial"/>
          <w:szCs w:val="20"/>
        </w:rPr>
        <w:t> </w:t>
      </w:r>
      <w:r w:rsidRPr="00240B6D">
        <w:rPr>
          <w:rFonts w:cs="Arial"/>
          <w:szCs w:val="20"/>
        </w:rPr>
        <w:t>přidělování licencí poskytovatelům zdravotní péče (např. Ministerstvo zdravotnictví, Ústav zdravotnických informací a statistik</w:t>
      </w:r>
      <w:r w:rsidR="00E23CFF">
        <w:rPr>
          <w:rFonts w:cs="Arial"/>
          <w:szCs w:val="20"/>
        </w:rPr>
        <w:t>y</w:t>
      </w:r>
      <w:r w:rsidRPr="00240B6D">
        <w:rPr>
          <w:rFonts w:cs="Arial"/>
          <w:szCs w:val="20"/>
        </w:rPr>
        <w:t xml:space="preserve">) a v neposlední řadě zdravotní pojišťovny veřejného zdravotního pojištění. Výdaje na zdravotní péči z hlediska tohoto typu poskytovatelů se dlouhodobě pohybují </w:t>
      </w:r>
      <w:r w:rsidR="005151FB">
        <w:rPr>
          <w:rFonts w:cs="Arial"/>
          <w:szCs w:val="20"/>
        </w:rPr>
        <w:t>mírně přes</w:t>
      </w:r>
      <w:r w:rsidRPr="00240B6D">
        <w:rPr>
          <w:rFonts w:cs="Arial"/>
          <w:szCs w:val="20"/>
        </w:rPr>
        <w:t xml:space="preserve"> 10 mld. Kč.</w:t>
      </w:r>
    </w:p>
    <w:p w:rsidR="00240B6D" w:rsidRPr="00240B6D" w:rsidRDefault="00240B6D" w:rsidP="00FD0F42">
      <w:pPr>
        <w:spacing w:before="240"/>
        <w:jc w:val="both"/>
        <w:rPr>
          <w:b/>
          <w:i/>
          <w:szCs w:val="20"/>
        </w:rPr>
      </w:pPr>
      <w:r w:rsidRPr="00240B6D">
        <w:rPr>
          <w:b/>
          <w:i/>
          <w:szCs w:val="20"/>
        </w:rPr>
        <w:t>Za ambulantní a denní péči zaplatily nemocnice více než čtvrtinu svých celkových nákladů</w:t>
      </w:r>
    </w:p>
    <w:p w:rsidR="00240B6D" w:rsidRPr="00240B6D" w:rsidRDefault="00240B6D" w:rsidP="00240B6D">
      <w:pPr>
        <w:autoSpaceDE w:val="0"/>
        <w:autoSpaceDN w:val="0"/>
        <w:adjustRightInd w:val="0"/>
        <w:spacing w:before="120"/>
        <w:jc w:val="both"/>
        <w:rPr>
          <w:szCs w:val="20"/>
        </w:rPr>
      </w:pPr>
      <w:r w:rsidRPr="00240B6D">
        <w:rPr>
          <w:szCs w:val="20"/>
        </w:rPr>
        <w:t>Většina z finančních prostředků (nejsou zde zahrnuty investiční výdaje na pořízení přístrojového vybavení financovaného ze státního rozpočtu) je v</w:t>
      </w:r>
      <w:r w:rsidR="00A57446">
        <w:rPr>
          <w:szCs w:val="20"/>
        </w:rPr>
        <w:t xml:space="preserve">e všeobecných </w:t>
      </w:r>
      <w:r w:rsidRPr="00240B6D">
        <w:rPr>
          <w:szCs w:val="20"/>
        </w:rPr>
        <w:t xml:space="preserve">nemocnicích vynaložena stále na </w:t>
      </w:r>
      <w:r w:rsidRPr="00240B6D">
        <w:rPr>
          <w:b/>
          <w:szCs w:val="20"/>
        </w:rPr>
        <w:t>lůžkovou léčebnou péči</w:t>
      </w:r>
      <w:r w:rsidRPr="00240B6D">
        <w:rPr>
          <w:szCs w:val="20"/>
        </w:rPr>
        <w:t xml:space="preserve">. V roce 2016 na ni šlo 49,2 mld. Kč, tj. 40,1 %. Před dvěma roky to bylo 50,5 mld. Kč (42,5 %). </w:t>
      </w:r>
      <w:r w:rsidR="00A57446">
        <w:rPr>
          <w:szCs w:val="20"/>
        </w:rPr>
        <w:t>V</w:t>
      </w:r>
      <w:r w:rsidRPr="00240B6D">
        <w:rPr>
          <w:szCs w:val="20"/>
        </w:rPr>
        <w:t xml:space="preserve"> posledních dvou letech roste význam denní a ambulantní léčebné péče. </w:t>
      </w:r>
      <w:r w:rsidR="00746E1B">
        <w:rPr>
          <w:szCs w:val="20"/>
        </w:rPr>
        <w:t>V roce 2016 v</w:t>
      </w:r>
      <w:r w:rsidRPr="00240B6D">
        <w:rPr>
          <w:szCs w:val="20"/>
        </w:rPr>
        <w:t xml:space="preserve">ýdaje </w:t>
      </w:r>
      <w:r w:rsidR="00A57446">
        <w:rPr>
          <w:szCs w:val="20"/>
        </w:rPr>
        <w:t xml:space="preserve">všeobecných </w:t>
      </w:r>
      <w:r w:rsidRPr="00240B6D">
        <w:rPr>
          <w:szCs w:val="20"/>
        </w:rPr>
        <w:t xml:space="preserve">nemocnic na ambulantní a denní péči dosáhly </w:t>
      </w:r>
      <w:r w:rsidR="00746E1B">
        <w:rPr>
          <w:szCs w:val="20"/>
        </w:rPr>
        <w:t xml:space="preserve">hodnoty </w:t>
      </w:r>
      <w:r w:rsidRPr="00240B6D">
        <w:rPr>
          <w:szCs w:val="20"/>
        </w:rPr>
        <w:t xml:space="preserve">32,5 mld. Kč, což je 26,5 % z celkových výdajů </w:t>
      </w:r>
      <w:r w:rsidR="00746E1B">
        <w:rPr>
          <w:szCs w:val="20"/>
        </w:rPr>
        <w:t>těchto nemocnic.</w:t>
      </w:r>
    </w:p>
    <w:p w:rsidR="00240B6D" w:rsidRPr="00240B6D" w:rsidRDefault="00240B6D" w:rsidP="00240B6D">
      <w:pPr>
        <w:keepNext/>
        <w:spacing w:before="240" w:after="120" w:line="240" w:lineRule="auto"/>
        <w:jc w:val="both"/>
        <w:rPr>
          <w:b/>
          <w:bCs/>
          <w:sz w:val="18"/>
          <w:szCs w:val="18"/>
        </w:rPr>
      </w:pPr>
      <w:r w:rsidRPr="00BC2F06">
        <w:rPr>
          <w:b/>
          <w:bCs/>
          <w:sz w:val="18"/>
          <w:szCs w:val="18"/>
        </w:rPr>
        <w:t>Graf č: 2.11 Výdaje na zdravotní péči ve všeobecných nemocnicích v Česku, 2014 – 2016</w:t>
      </w:r>
    </w:p>
    <w:p w:rsidR="00240B6D" w:rsidRPr="00240B6D" w:rsidRDefault="00240B6D" w:rsidP="00240B6D">
      <w:pPr>
        <w:keepNext/>
        <w:tabs>
          <w:tab w:val="left" w:pos="142"/>
          <w:tab w:val="left" w:pos="5812"/>
        </w:tabs>
        <w:rPr>
          <w:b/>
          <w:i/>
          <w:sz w:val="18"/>
        </w:rPr>
      </w:pPr>
      <w:r w:rsidRPr="00240B6D">
        <w:rPr>
          <w:b/>
          <w:i/>
          <w:sz w:val="18"/>
        </w:rPr>
        <w:tab/>
        <w:t xml:space="preserve">a) v mld. Kč </w:t>
      </w:r>
      <w:r w:rsidRPr="00240B6D">
        <w:rPr>
          <w:b/>
          <w:i/>
          <w:sz w:val="18"/>
        </w:rPr>
        <w:tab/>
        <w:t>b) struktura v %</w:t>
      </w:r>
      <w:r w:rsidRPr="00240B6D">
        <w:rPr>
          <w:noProof/>
          <w:lang w:val="en-US" w:eastAsia="en-US"/>
        </w:rPr>
        <w:t xml:space="preserve"> </w:t>
      </w:r>
    </w:p>
    <w:p w:rsidR="00240B6D" w:rsidRPr="00240B6D" w:rsidRDefault="00746E1B" w:rsidP="00931794">
      <w:pPr>
        <w:spacing w:before="120" w:line="240" w:lineRule="auto"/>
        <w:jc w:val="right"/>
        <w:rPr>
          <w:b/>
          <w:bCs/>
          <w:i/>
          <w:sz w:val="16"/>
          <w:szCs w:val="16"/>
        </w:rPr>
      </w:pPr>
      <w:r>
        <w:rPr>
          <w:noProof/>
        </w:rPr>
        <w:drawing>
          <wp:inline distT="0" distB="0" distL="0" distR="0" wp14:anchorId="6E9325F0" wp14:editId="1E2356EF">
            <wp:extent cx="3599815" cy="2879725"/>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46E1B">
        <w:rPr>
          <w:noProof/>
          <w:lang w:val="en-US" w:eastAsia="en-US"/>
        </w:rPr>
        <w:t xml:space="preserve"> </w:t>
      </w:r>
      <w:r>
        <w:rPr>
          <w:noProof/>
        </w:rPr>
        <w:drawing>
          <wp:inline distT="0" distB="0" distL="0" distR="0" wp14:anchorId="482A9606" wp14:editId="24CA3687">
            <wp:extent cx="2267585" cy="2879725"/>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240B6D" w:rsidRPr="00240B6D">
        <w:rPr>
          <w:b/>
          <w:bCs/>
          <w:i/>
          <w:sz w:val="16"/>
          <w:szCs w:val="16"/>
        </w:rPr>
        <w:t xml:space="preserve">Zdroj: ČSÚ 2018, Zdravotnické účty ČR 2010 - 2016 </w:t>
      </w:r>
    </w:p>
    <w:p w:rsidR="00240B6D" w:rsidRPr="00F0328F" w:rsidRDefault="00240B6D" w:rsidP="00240B6D">
      <w:pPr>
        <w:autoSpaceDE w:val="0"/>
        <w:autoSpaceDN w:val="0"/>
        <w:adjustRightInd w:val="0"/>
        <w:spacing w:before="120"/>
        <w:jc w:val="both"/>
        <w:rPr>
          <w:rFonts w:eastAsia="Calibri" w:cs="Arial"/>
          <w:i/>
          <w:szCs w:val="20"/>
        </w:rPr>
      </w:pPr>
      <w:r w:rsidRPr="00F0328F">
        <w:rPr>
          <w:rFonts w:eastAsia="Calibri" w:cs="Arial"/>
          <w:i/>
          <w:szCs w:val="20"/>
        </w:rPr>
        <w:t>Podle sdělení Ústavu zdravotnických informací a statistik byla koncem roku 2016 síť zdravotnických zařízení ústavní péče složena ze 189 nemocnic (akutní a následné péče) s celkovým počtem 60 221 lůžek a 126 odborných léčebných ústavů (včetně ozdravoven a hospiců, bez lázeňských léčeben) s celkem 17 753 lůžky.</w:t>
      </w:r>
      <w:r w:rsidRPr="00F0328F">
        <w:rPr>
          <w:rFonts w:cs="Arial"/>
          <w:i/>
          <w:szCs w:val="20"/>
        </w:rPr>
        <w:t xml:space="preserve"> </w:t>
      </w:r>
      <w:bookmarkStart w:id="9" w:name="_GoBack"/>
      <w:bookmarkEnd w:id="9"/>
    </w:p>
    <w:sectPr w:rsidR="00240B6D" w:rsidRPr="00F0328F" w:rsidSect="001E6DAF">
      <w:headerReference w:type="even" r:id="rId30"/>
      <w:headerReference w:type="default" r:id="rId31"/>
      <w:footerReference w:type="even" r:id="rId32"/>
      <w:footerReference w:type="default" r:id="rId33"/>
      <w:pgSz w:w="11906" w:h="16838" w:code="9"/>
      <w:pgMar w:top="1134" w:right="1134" w:bottom="1418" w:left="1134" w:header="680" w:footer="680"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EF3" w:rsidRDefault="00293EF3" w:rsidP="00E71A58">
      <w:r>
        <w:separator/>
      </w:r>
    </w:p>
  </w:endnote>
  <w:endnote w:type="continuationSeparator" w:id="0">
    <w:p w:rsidR="00293EF3" w:rsidRDefault="00293EF3"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072" w:rsidRDefault="00216072" w:rsidP="003A6B38">
    <w:pPr>
      <w:pStyle w:val="Zpat"/>
      <w:tabs>
        <w:tab w:val="clear" w:pos="4536"/>
        <w:tab w:val="clear" w:pos="9072"/>
        <w:tab w:val="center" w:pos="4820"/>
        <w:tab w:val="right" w:pos="9639"/>
      </w:tabs>
    </w:pPr>
    <w:r>
      <w:rPr>
        <w:noProof/>
        <w:lang w:eastAsia="cs-CZ"/>
      </w:rPr>
      <w:drawing>
        <wp:anchor distT="0" distB="0" distL="114300" distR="114300" simplePos="0" relativeHeight="251659264" behindDoc="0" locked="0" layoutInCell="1" allowOverlap="1" wp14:anchorId="04FD93E3" wp14:editId="0F1F16A1">
          <wp:simplePos x="0" y="0"/>
          <wp:positionH relativeFrom="column">
            <wp:posOffset>5660390</wp:posOffset>
          </wp:positionH>
          <wp:positionV relativeFrom="paragraph">
            <wp:posOffset>-52070</wp:posOffset>
          </wp:positionV>
          <wp:extent cx="466725" cy="219075"/>
          <wp:effectExtent l="0" t="0" r="9525" b="9525"/>
          <wp:wrapNone/>
          <wp:docPr id="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rFonts w:ascii="Arial" w:hAnsi="Arial" w:cs="Arial"/>
        <w:sz w:val="16"/>
        <w:szCs w:val="16"/>
      </w:rPr>
      <w:fldChar w:fldCharType="begin"/>
    </w:r>
    <w:r w:rsidRPr="005A21E0">
      <w:rPr>
        <w:rFonts w:ascii="Arial" w:hAnsi="Arial" w:cs="Arial"/>
        <w:sz w:val="16"/>
        <w:szCs w:val="16"/>
      </w:rPr>
      <w:instrText>PAGE   \* MERGEFORMAT</w:instrText>
    </w:r>
    <w:r w:rsidRPr="005A21E0">
      <w:rPr>
        <w:rFonts w:ascii="Arial" w:hAnsi="Arial" w:cs="Arial"/>
        <w:sz w:val="16"/>
        <w:szCs w:val="16"/>
      </w:rPr>
      <w:fldChar w:fldCharType="separate"/>
    </w:r>
    <w:r w:rsidR="001E6DAF">
      <w:rPr>
        <w:rFonts w:ascii="Arial" w:hAnsi="Arial" w:cs="Arial"/>
        <w:noProof/>
        <w:sz w:val="16"/>
        <w:szCs w:val="16"/>
      </w:rPr>
      <w:t>20</w:t>
    </w:r>
    <w:r w:rsidRPr="005A21E0">
      <w:rPr>
        <w:rFonts w:ascii="Arial" w:hAnsi="Arial" w:cs="Arial"/>
        <w:sz w:val="16"/>
        <w:szCs w:val="16"/>
      </w:rPr>
      <w:fldChar w:fldCharType="end"/>
    </w:r>
    <w:r>
      <w:rPr>
        <w:rFonts w:ascii="Arial" w:hAnsi="Arial" w:cs="Arial"/>
        <w:sz w:val="16"/>
        <w:szCs w:val="16"/>
      </w:rPr>
      <w:tab/>
      <w:t>2018</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072" w:rsidRDefault="00216072" w:rsidP="003A6B38">
    <w:pPr>
      <w:pStyle w:val="Zpat"/>
      <w:tabs>
        <w:tab w:val="clear" w:pos="4536"/>
        <w:tab w:val="clear" w:pos="9072"/>
        <w:tab w:val="left" w:pos="1134"/>
        <w:tab w:val="left" w:pos="1920"/>
        <w:tab w:val="center" w:pos="4820"/>
        <w:tab w:val="right" w:pos="9639"/>
      </w:tabs>
    </w:pPr>
    <w:r>
      <w:rPr>
        <w:noProof/>
        <w:lang w:eastAsia="cs-CZ"/>
      </w:rPr>
      <w:drawing>
        <wp:anchor distT="0" distB="0" distL="114300" distR="114300" simplePos="0" relativeHeight="251656192" behindDoc="0" locked="0" layoutInCell="1" allowOverlap="1" wp14:anchorId="36B3DA93" wp14:editId="2CD4F78F">
          <wp:simplePos x="0" y="0"/>
          <wp:positionH relativeFrom="column">
            <wp:posOffset>3810</wp:posOffset>
          </wp:positionH>
          <wp:positionV relativeFrom="paragraph">
            <wp:posOffset>90170</wp:posOffset>
          </wp:positionV>
          <wp:extent cx="495300" cy="266700"/>
          <wp:effectExtent l="0" t="0" r="0" b="0"/>
          <wp:wrapNone/>
          <wp:docPr id="1" name="obrázek 3"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pic:spPr>
              </pic:pic>
            </a:graphicData>
          </a:graphic>
        </wp:anchor>
      </w:drawing>
    </w:r>
    <w:r>
      <w:tab/>
    </w:r>
    <w:r>
      <w:tab/>
    </w:r>
  </w:p>
  <w:p w:rsidR="00216072" w:rsidRDefault="00216072" w:rsidP="00EE3E78">
    <w:pPr>
      <w:pStyle w:val="Zpat"/>
      <w:tabs>
        <w:tab w:val="clear" w:pos="4536"/>
        <w:tab w:val="clear" w:pos="9072"/>
        <w:tab w:val="left" w:pos="1134"/>
        <w:tab w:val="left" w:pos="1920"/>
        <w:tab w:val="center" w:pos="4820"/>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2018</w:t>
    </w:r>
    <w:r>
      <w:tab/>
    </w:r>
    <w:r>
      <w:tab/>
    </w:r>
    <w:r w:rsidRPr="00B6608F">
      <w:rPr>
        <w:rFonts w:ascii="Arial" w:hAnsi="Arial" w:cs="Arial"/>
        <w:sz w:val="16"/>
        <w:szCs w:val="16"/>
      </w:rPr>
      <w:fldChar w:fldCharType="begin"/>
    </w:r>
    <w:r w:rsidRPr="00B6608F">
      <w:rPr>
        <w:rFonts w:ascii="Arial" w:hAnsi="Arial" w:cs="Arial"/>
        <w:sz w:val="16"/>
        <w:szCs w:val="16"/>
      </w:rPr>
      <w:instrText>PAGE   \* MERGEFORMAT</w:instrText>
    </w:r>
    <w:r w:rsidRPr="00B6608F">
      <w:rPr>
        <w:rFonts w:ascii="Arial" w:hAnsi="Arial" w:cs="Arial"/>
        <w:sz w:val="16"/>
        <w:szCs w:val="16"/>
      </w:rPr>
      <w:fldChar w:fldCharType="separate"/>
    </w:r>
    <w:r w:rsidR="001E6DAF">
      <w:rPr>
        <w:rFonts w:ascii="Arial" w:hAnsi="Arial" w:cs="Arial"/>
        <w:noProof/>
        <w:sz w:val="16"/>
        <w:szCs w:val="16"/>
      </w:rPr>
      <w:t>21</w:t>
    </w:r>
    <w:r w:rsidRPr="00B6608F">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EF3" w:rsidRDefault="00293EF3" w:rsidP="00E71A58">
      <w:r>
        <w:separator/>
      </w:r>
    </w:p>
  </w:footnote>
  <w:footnote w:type="continuationSeparator" w:id="0">
    <w:p w:rsidR="00293EF3" w:rsidRDefault="00293EF3" w:rsidP="00E71A58">
      <w:r>
        <w:continuationSeparator/>
      </w:r>
    </w:p>
  </w:footnote>
  <w:footnote w:id="1">
    <w:p w:rsidR="00216072" w:rsidRDefault="00216072" w:rsidP="00240B6D">
      <w:pPr>
        <w:pStyle w:val="Textpoznpodarou"/>
      </w:pPr>
      <w:r>
        <w:rPr>
          <w:rStyle w:val="Znakapoznpodarou"/>
        </w:rPr>
        <w:t xml:space="preserve">4 </w:t>
      </w:r>
      <w:r w:rsidRPr="00ED2A41">
        <w:t xml:space="preserve"> </w:t>
      </w:r>
      <w:r>
        <w:t>Z</w:t>
      </w:r>
      <w:r w:rsidRPr="000A1E10">
        <w:t xml:space="preserve">ahrnují </w:t>
      </w:r>
      <w:r>
        <w:t xml:space="preserve">pouze </w:t>
      </w:r>
      <w:r w:rsidRPr="000A1E10">
        <w:t>běžné (provozní</w:t>
      </w:r>
      <w:r>
        <w:t>/neinvestiční</w:t>
      </w:r>
      <w:r w:rsidRPr="000A1E10">
        <w:t>)) výdaje na zdravotní péči</w:t>
      </w:r>
      <w:r>
        <w:t xml:space="preserve">. Kapitálové (investiční) výdaje, které se dle manuálu SHA 2011 v rámci mezinárodní srovnatelnosti do výdajů na zdravotnictví nezahrnuji, jsou v Česku </w:t>
      </w:r>
      <w:r w:rsidRPr="002D246F">
        <w:t xml:space="preserve">k dispozici pouze </w:t>
      </w:r>
      <w:r>
        <w:t xml:space="preserve">v rámci </w:t>
      </w:r>
      <w:r w:rsidRPr="002D246F">
        <w:t>výdajů</w:t>
      </w:r>
      <w:r>
        <w:t xml:space="preserve"> na zdravotní péči financovaných přímo </w:t>
      </w:r>
      <w:r w:rsidRPr="002D246F">
        <w:t>ze státního rozpoč</w:t>
      </w:r>
      <w:r>
        <w:t>tu.</w:t>
      </w:r>
    </w:p>
  </w:footnote>
  <w:footnote w:id="2">
    <w:p w:rsidR="00216072" w:rsidRDefault="00216072" w:rsidP="000353CA">
      <w:pPr>
        <w:pStyle w:val="Textpoznpodarou"/>
      </w:pPr>
      <w:r>
        <w:rPr>
          <w:rStyle w:val="Znakapoznpodarou"/>
        </w:rPr>
        <w:footnoteRef/>
      </w:r>
      <w:r>
        <w:t xml:space="preserve"> V roce 2016 dosáhly investiční (kapitálové) výdaje </w:t>
      </w:r>
      <w:r w:rsidRPr="000353CA">
        <w:t>na nákup a modernizaci přístrojového vybavení a výstavbu a rekonstrukci zdravotnických zařízení</w:t>
      </w:r>
      <w:r>
        <w:t xml:space="preserve"> financované přímo ze státního rozpočtu 5 mld. Kč, tj. o pětinu více než v roce 2015.</w:t>
      </w:r>
    </w:p>
    <w:p w:rsidR="00216072" w:rsidRDefault="00216072">
      <w:pPr>
        <w:pStyle w:val="Textpoznpodarou"/>
      </w:pPr>
    </w:p>
  </w:footnote>
  <w:footnote w:id="3">
    <w:p w:rsidR="00216072" w:rsidRPr="00DA0B2A" w:rsidRDefault="00216072" w:rsidP="00240B6D">
      <w:pPr>
        <w:pStyle w:val="Textpoznpodarou"/>
        <w:rPr>
          <w:szCs w:val="16"/>
        </w:rPr>
      </w:pPr>
      <w:r w:rsidRPr="00DA0B2A">
        <w:rPr>
          <w:rStyle w:val="Znakapoznpodarou"/>
          <w:szCs w:val="16"/>
        </w:rPr>
        <w:footnoteRef/>
      </w:r>
      <w:r>
        <w:rPr>
          <w:szCs w:val="16"/>
        </w:rPr>
        <w:t xml:space="preserve"> </w:t>
      </w:r>
      <w:r w:rsidRPr="006374C2">
        <w:rPr>
          <w:szCs w:val="16"/>
        </w:rPr>
        <w:t>zahrnuje léky na předpis a volně prodejné léky, n</w:t>
      </w:r>
      <w:r w:rsidRPr="006374C2">
        <w:rPr>
          <w:bCs/>
          <w:szCs w:val="16"/>
        </w:rPr>
        <w:t>ezahrnuje léky spotřebované přímo ve zdravotnických zařízeních</w:t>
      </w:r>
      <w:r>
        <w:rPr>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072" w:rsidRPr="002175EE" w:rsidRDefault="00216072" w:rsidP="00D67975">
    <w:pPr>
      <w:pStyle w:val="Nadpis1"/>
      <w:rPr>
        <w:b w:val="0"/>
        <w:color w:val="auto"/>
        <w:sz w:val="16"/>
        <w:szCs w:val="16"/>
      </w:rPr>
    </w:pPr>
    <w:r w:rsidRPr="002175EE">
      <w:rPr>
        <w:b w:val="0"/>
        <w:color w:val="auto"/>
        <w:sz w:val="16"/>
        <w:szCs w:val="16"/>
      </w:rPr>
      <w:t>Výs</w:t>
    </w:r>
    <w:r>
      <w:rPr>
        <w:b w:val="0"/>
        <w:color w:val="auto"/>
        <w:sz w:val="16"/>
        <w:szCs w:val="16"/>
      </w:rPr>
      <w:t>ledky zdravotnických účtů ČR 2010–2016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072" w:rsidRPr="002175EE" w:rsidRDefault="00216072" w:rsidP="002175EE">
    <w:pPr>
      <w:pStyle w:val="Nadpis1"/>
      <w:rPr>
        <w:b w:val="0"/>
        <w:color w:val="auto"/>
        <w:sz w:val="16"/>
        <w:szCs w:val="16"/>
      </w:rPr>
    </w:pPr>
    <w:r w:rsidRPr="002175EE">
      <w:rPr>
        <w:b w:val="0"/>
        <w:color w:val="auto"/>
        <w:sz w:val="16"/>
        <w:szCs w:val="16"/>
      </w:rPr>
      <w:t xml:space="preserve">Výsledky </w:t>
    </w:r>
    <w:r>
      <w:rPr>
        <w:b w:val="0"/>
        <w:color w:val="auto"/>
        <w:sz w:val="16"/>
        <w:szCs w:val="16"/>
      </w:rPr>
      <w:t>zdravotnických účtů ČR 2010–2016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1C21"/>
    <w:multiLevelType w:val="hybridMultilevel"/>
    <w:tmpl w:val="99D61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8D550C"/>
    <w:multiLevelType w:val="hybridMultilevel"/>
    <w:tmpl w:val="86B43882"/>
    <w:lvl w:ilvl="0" w:tplc="46C2DFC0">
      <w:start w:val="1"/>
      <w:numFmt w:val="decimal"/>
      <w:lvlText w:val="(%1)"/>
      <w:lvlJc w:val="left"/>
      <w:pPr>
        <w:ind w:left="540" w:hanging="36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abstractNum w:abstractNumId="2">
    <w:nsid w:val="07A27793"/>
    <w:multiLevelType w:val="hybridMultilevel"/>
    <w:tmpl w:val="D486A0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AF5F6D"/>
    <w:multiLevelType w:val="hybridMultilevel"/>
    <w:tmpl w:val="5824D116"/>
    <w:lvl w:ilvl="0" w:tplc="F93889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BA26586"/>
    <w:multiLevelType w:val="hybridMultilevel"/>
    <w:tmpl w:val="5F2EFD9C"/>
    <w:lvl w:ilvl="0" w:tplc="04050001">
      <w:start w:val="5"/>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2087D8F"/>
    <w:multiLevelType w:val="hybridMultilevel"/>
    <w:tmpl w:val="5DE801E0"/>
    <w:lvl w:ilvl="0" w:tplc="267E35CE">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4DB521B"/>
    <w:multiLevelType w:val="hybridMultilevel"/>
    <w:tmpl w:val="2DC43A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6D80405"/>
    <w:multiLevelType w:val="multilevel"/>
    <w:tmpl w:val="B944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421244"/>
    <w:multiLevelType w:val="hybridMultilevel"/>
    <w:tmpl w:val="939657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D9632BB"/>
    <w:multiLevelType w:val="hybridMultilevel"/>
    <w:tmpl w:val="29F85DA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
    <w:nsid w:val="1FFD6DEF"/>
    <w:multiLevelType w:val="multilevel"/>
    <w:tmpl w:val="58CE67C4"/>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25666454"/>
    <w:multiLevelType w:val="hybridMultilevel"/>
    <w:tmpl w:val="936055B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25AC752F"/>
    <w:multiLevelType w:val="hybridMultilevel"/>
    <w:tmpl w:val="F1DE7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8504B67"/>
    <w:multiLevelType w:val="hybridMultilevel"/>
    <w:tmpl w:val="141024E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2C8760B6"/>
    <w:multiLevelType w:val="hybridMultilevel"/>
    <w:tmpl w:val="2EF6101A"/>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nsid w:val="2E814446"/>
    <w:multiLevelType w:val="hybridMultilevel"/>
    <w:tmpl w:val="12C803C8"/>
    <w:lvl w:ilvl="0" w:tplc="CD9C6B54">
      <w:start w:val="2"/>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F952F38"/>
    <w:multiLevelType w:val="multilevel"/>
    <w:tmpl w:val="7BD287E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3F919ED"/>
    <w:multiLevelType w:val="multilevel"/>
    <w:tmpl w:val="B0E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D815B2"/>
    <w:multiLevelType w:val="hybridMultilevel"/>
    <w:tmpl w:val="132CDB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3CB35327"/>
    <w:multiLevelType w:val="hybridMultilevel"/>
    <w:tmpl w:val="0CBCD77C"/>
    <w:lvl w:ilvl="0" w:tplc="C80617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D0A6F9C"/>
    <w:multiLevelType w:val="hybridMultilevel"/>
    <w:tmpl w:val="5C0CA8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2322D3E"/>
    <w:multiLevelType w:val="hybridMultilevel"/>
    <w:tmpl w:val="2DA69084"/>
    <w:lvl w:ilvl="0" w:tplc="F9388996">
      <w:start w:val="1"/>
      <w:numFmt w:val="bullet"/>
      <w:lvlText w:val="-"/>
      <w:lvlJc w:val="left"/>
      <w:pPr>
        <w:tabs>
          <w:tab w:val="num" w:pos="765"/>
        </w:tabs>
        <w:ind w:left="765" w:hanging="405"/>
      </w:pPr>
      <w:rPr>
        <w:rFonts w:ascii="Times New Roman" w:eastAsia="Times New Roman" w:hAnsi="Times New Roman" w:cs="Times New Roman" w:hint="default"/>
      </w:rPr>
    </w:lvl>
    <w:lvl w:ilvl="1" w:tplc="F9388996">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4251525A"/>
    <w:multiLevelType w:val="multilevel"/>
    <w:tmpl w:val="1B6E9F1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37647E6"/>
    <w:multiLevelType w:val="hybridMultilevel"/>
    <w:tmpl w:val="7D3E41A0"/>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nsid w:val="45645A0C"/>
    <w:multiLevelType w:val="hybridMultilevel"/>
    <w:tmpl w:val="D004DA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96F7E70"/>
    <w:multiLevelType w:val="hybridMultilevel"/>
    <w:tmpl w:val="0128A08A"/>
    <w:lvl w:ilvl="0" w:tplc="49A0ED0E">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97844F8"/>
    <w:multiLevelType w:val="hybridMultilevel"/>
    <w:tmpl w:val="1C3A2F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nsid w:val="4AFF5011"/>
    <w:multiLevelType w:val="hybridMultilevel"/>
    <w:tmpl w:val="AAAE5906"/>
    <w:lvl w:ilvl="0" w:tplc="BB2899F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CC32522"/>
    <w:multiLevelType w:val="hybridMultilevel"/>
    <w:tmpl w:val="7F9C2826"/>
    <w:lvl w:ilvl="0" w:tplc="F938899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25667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3854D3E"/>
    <w:multiLevelType w:val="multilevel"/>
    <w:tmpl w:val="C57A87AC"/>
    <w:lvl w:ilvl="0">
      <w:start w:val="2"/>
      <w:numFmt w:val="decimal"/>
      <w:lvlText w:val="%1."/>
      <w:lvlJc w:val="left"/>
      <w:pPr>
        <w:ind w:left="36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2">
    <w:nsid w:val="5B952ED8"/>
    <w:multiLevelType w:val="multilevel"/>
    <w:tmpl w:val="83DAB85A"/>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3050CCD"/>
    <w:multiLevelType w:val="multilevel"/>
    <w:tmpl w:val="61B826CE"/>
    <w:lvl w:ilvl="0">
      <w:start w:val="2"/>
      <w:numFmt w:val="decimal"/>
      <w:lvlText w:val="%1."/>
      <w:lvlJc w:val="left"/>
      <w:pPr>
        <w:ind w:left="360" w:hanging="360"/>
      </w:pPr>
      <w:rPr>
        <w:rFonts w:hint="default"/>
      </w:rPr>
    </w:lvl>
    <w:lvl w:ilvl="1">
      <w:start w:val="2"/>
      <w:numFmt w:val="decimal"/>
      <w:isLgl/>
      <w:lvlText w:val="%1.%2"/>
      <w:lvlJc w:val="left"/>
      <w:pPr>
        <w:ind w:left="480" w:hanging="360"/>
      </w:pPr>
      <w:rPr>
        <w:rFonts w:hint="default"/>
      </w:rPr>
    </w:lvl>
    <w:lvl w:ilvl="2">
      <w:start w:val="1"/>
      <w:numFmt w:val="decimal"/>
      <w:isLgl/>
      <w:lvlText w:val="%1.%2.%3"/>
      <w:lvlJc w:val="left"/>
      <w:pPr>
        <w:ind w:left="60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920" w:hanging="1080"/>
      </w:pPr>
      <w:rPr>
        <w:rFonts w:hint="default"/>
      </w:rPr>
    </w:lvl>
    <w:lvl w:ilvl="8">
      <w:start w:val="1"/>
      <w:numFmt w:val="decimal"/>
      <w:isLgl/>
      <w:lvlText w:val="%1.%2.%3.%4.%5.%6.%7.%8.%9"/>
      <w:lvlJc w:val="left"/>
      <w:pPr>
        <w:ind w:left="2400" w:hanging="1440"/>
      </w:pPr>
      <w:rPr>
        <w:rFonts w:hint="default"/>
      </w:rPr>
    </w:lvl>
  </w:abstractNum>
  <w:abstractNum w:abstractNumId="34">
    <w:nsid w:val="6F893287"/>
    <w:multiLevelType w:val="multilevel"/>
    <w:tmpl w:val="418C03A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3FE39F3"/>
    <w:multiLevelType w:val="hybridMultilevel"/>
    <w:tmpl w:val="405C553E"/>
    <w:lvl w:ilvl="0" w:tplc="04050001">
      <w:start w:val="7"/>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6415C6D"/>
    <w:multiLevelType w:val="hybridMultilevel"/>
    <w:tmpl w:val="A598291C"/>
    <w:lvl w:ilvl="0" w:tplc="5F1AC2C0">
      <w:start w:val="1"/>
      <w:numFmt w:val="lowerLetter"/>
      <w:lvlText w:val="%1)"/>
      <w:lvlJc w:val="left"/>
      <w:pPr>
        <w:ind w:left="360" w:hanging="360"/>
      </w:pPr>
      <w:rPr>
        <w:rFonts w:hint="default"/>
        <w:i w:val="0"/>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nsid w:val="7A020001"/>
    <w:multiLevelType w:val="multilevel"/>
    <w:tmpl w:val="4A3A04D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B762E6D"/>
    <w:multiLevelType w:val="hybridMultilevel"/>
    <w:tmpl w:val="586A2F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E571231"/>
    <w:multiLevelType w:val="hybridMultilevel"/>
    <w:tmpl w:val="EF7631D6"/>
    <w:lvl w:ilvl="0" w:tplc="D4C2B7B4">
      <w:start w:val="1"/>
      <w:numFmt w:val="lowerLetter"/>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7F9F4163"/>
    <w:multiLevelType w:val="hybridMultilevel"/>
    <w:tmpl w:val="A78ADFC6"/>
    <w:lvl w:ilvl="0" w:tplc="242AA788">
      <w:numFmt w:val="bullet"/>
      <w:lvlText w:val="-"/>
      <w:lvlJc w:val="left"/>
      <w:pPr>
        <w:ind w:left="306" w:hanging="360"/>
      </w:pPr>
      <w:rPr>
        <w:rFonts w:ascii="Arial" w:eastAsia="Times New Roman" w:hAnsi="Arial" w:cs="Arial" w:hint="default"/>
      </w:rPr>
    </w:lvl>
    <w:lvl w:ilvl="1" w:tplc="04050003" w:tentative="1">
      <w:start w:val="1"/>
      <w:numFmt w:val="bullet"/>
      <w:lvlText w:val="o"/>
      <w:lvlJc w:val="left"/>
      <w:pPr>
        <w:ind w:left="1026" w:hanging="360"/>
      </w:pPr>
      <w:rPr>
        <w:rFonts w:ascii="Courier New" w:hAnsi="Courier New" w:cs="Courier New" w:hint="default"/>
      </w:rPr>
    </w:lvl>
    <w:lvl w:ilvl="2" w:tplc="04050005" w:tentative="1">
      <w:start w:val="1"/>
      <w:numFmt w:val="bullet"/>
      <w:lvlText w:val=""/>
      <w:lvlJc w:val="left"/>
      <w:pPr>
        <w:ind w:left="1746" w:hanging="360"/>
      </w:pPr>
      <w:rPr>
        <w:rFonts w:ascii="Wingdings" w:hAnsi="Wingdings" w:hint="default"/>
      </w:rPr>
    </w:lvl>
    <w:lvl w:ilvl="3" w:tplc="04050001" w:tentative="1">
      <w:start w:val="1"/>
      <w:numFmt w:val="bullet"/>
      <w:lvlText w:val=""/>
      <w:lvlJc w:val="left"/>
      <w:pPr>
        <w:ind w:left="2466" w:hanging="360"/>
      </w:pPr>
      <w:rPr>
        <w:rFonts w:ascii="Symbol" w:hAnsi="Symbol" w:hint="default"/>
      </w:rPr>
    </w:lvl>
    <w:lvl w:ilvl="4" w:tplc="04050003" w:tentative="1">
      <w:start w:val="1"/>
      <w:numFmt w:val="bullet"/>
      <w:lvlText w:val="o"/>
      <w:lvlJc w:val="left"/>
      <w:pPr>
        <w:ind w:left="3186" w:hanging="360"/>
      </w:pPr>
      <w:rPr>
        <w:rFonts w:ascii="Courier New" w:hAnsi="Courier New" w:cs="Courier New" w:hint="default"/>
      </w:rPr>
    </w:lvl>
    <w:lvl w:ilvl="5" w:tplc="04050005" w:tentative="1">
      <w:start w:val="1"/>
      <w:numFmt w:val="bullet"/>
      <w:lvlText w:val=""/>
      <w:lvlJc w:val="left"/>
      <w:pPr>
        <w:ind w:left="3906" w:hanging="360"/>
      </w:pPr>
      <w:rPr>
        <w:rFonts w:ascii="Wingdings" w:hAnsi="Wingdings" w:hint="default"/>
      </w:rPr>
    </w:lvl>
    <w:lvl w:ilvl="6" w:tplc="04050001" w:tentative="1">
      <w:start w:val="1"/>
      <w:numFmt w:val="bullet"/>
      <w:lvlText w:val=""/>
      <w:lvlJc w:val="left"/>
      <w:pPr>
        <w:ind w:left="4626" w:hanging="360"/>
      </w:pPr>
      <w:rPr>
        <w:rFonts w:ascii="Symbol" w:hAnsi="Symbol" w:hint="default"/>
      </w:rPr>
    </w:lvl>
    <w:lvl w:ilvl="7" w:tplc="04050003" w:tentative="1">
      <w:start w:val="1"/>
      <w:numFmt w:val="bullet"/>
      <w:lvlText w:val="o"/>
      <w:lvlJc w:val="left"/>
      <w:pPr>
        <w:ind w:left="5346" w:hanging="360"/>
      </w:pPr>
      <w:rPr>
        <w:rFonts w:ascii="Courier New" w:hAnsi="Courier New" w:cs="Courier New" w:hint="default"/>
      </w:rPr>
    </w:lvl>
    <w:lvl w:ilvl="8" w:tplc="04050005" w:tentative="1">
      <w:start w:val="1"/>
      <w:numFmt w:val="bullet"/>
      <w:lvlText w:val=""/>
      <w:lvlJc w:val="left"/>
      <w:pPr>
        <w:ind w:left="6066" w:hanging="360"/>
      </w:pPr>
      <w:rPr>
        <w:rFonts w:ascii="Wingdings" w:hAnsi="Wingdings" w:hint="default"/>
      </w:rPr>
    </w:lvl>
  </w:abstractNum>
  <w:num w:numId="1">
    <w:abstractNumId w:val="22"/>
  </w:num>
  <w:num w:numId="2">
    <w:abstractNumId w:val="29"/>
  </w:num>
  <w:num w:numId="3">
    <w:abstractNumId w:val="5"/>
  </w:num>
  <w:num w:numId="4">
    <w:abstractNumId w:val="30"/>
  </w:num>
  <w:num w:numId="5">
    <w:abstractNumId w:val="3"/>
  </w:num>
  <w:num w:numId="6">
    <w:abstractNumId w:val="11"/>
  </w:num>
  <w:num w:numId="7">
    <w:abstractNumId w:val="24"/>
  </w:num>
  <w:num w:numId="8">
    <w:abstractNumId w:val="34"/>
  </w:num>
  <w:num w:numId="9">
    <w:abstractNumId w:val="23"/>
  </w:num>
  <w:num w:numId="10">
    <w:abstractNumId w:val="32"/>
  </w:num>
  <w:num w:numId="11">
    <w:abstractNumId w:val="10"/>
  </w:num>
  <w:num w:numId="12">
    <w:abstractNumId w:val="37"/>
  </w:num>
  <w:num w:numId="13">
    <w:abstractNumId w:val="28"/>
  </w:num>
  <w:num w:numId="14">
    <w:abstractNumId w:val="31"/>
  </w:num>
  <w:num w:numId="15">
    <w:abstractNumId w:val="33"/>
  </w:num>
  <w:num w:numId="16">
    <w:abstractNumId w:val="4"/>
  </w:num>
  <w:num w:numId="17">
    <w:abstractNumId w:val="16"/>
  </w:num>
  <w:num w:numId="18">
    <w:abstractNumId w:val="35"/>
  </w:num>
  <w:num w:numId="19">
    <w:abstractNumId w:val="0"/>
  </w:num>
  <w:num w:numId="20">
    <w:abstractNumId w:val="40"/>
  </w:num>
  <w:num w:numId="21">
    <w:abstractNumId w:val="6"/>
  </w:num>
  <w:num w:numId="22">
    <w:abstractNumId w:val="27"/>
  </w:num>
  <w:num w:numId="23">
    <w:abstractNumId w:val="17"/>
  </w:num>
  <w:num w:numId="24">
    <w:abstractNumId w:val="14"/>
  </w:num>
  <w:num w:numId="25">
    <w:abstractNumId w:val="39"/>
  </w:num>
  <w:num w:numId="26">
    <w:abstractNumId w:val="19"/>
  </w:num>
  <w:num w:numId="27">
    <w:abstractNumId w:val="12"/>
  </w:num>
  <w:num w:numId="28">
    <w:abstractNumId w:val="36"/>
  </w:num>
  <w:num w:numId="29">
    <w:abstractNumId w:val="15"/>
  </w:num>
  <w:num w:numId="30">
    <w:abstractNumId w:val="21"/>
  </w:num>
  <w:num w:numId="31">
    <w:abstractNumId w:val="9"/>
  </w:num>
  <w:num w:numId="32">
    <w:abstractNumId w:val="38"/>
  </w:num>
  <w:num w:numId="33">
    <w:abstractNumId w:val="25"/>
  </w:num>
  <w:num w:numId="34">
    <w:abstractNumId w:val="7"/>
  </w:num>
  <w:num w:numId="35">
    <w:abstractNumId w:val="18"/>
  </w:num>
  <w:num w:numId="36">
    <w:abstractNumId w:val="20"/>
  </w:num>
  <w:num w:numId="37">
    <w:abstractNumId w:val="13"/>
  </w:num>
  <w:num w:numId="38">
    <w:abstractNumId w:val="1"/>
  </w:num>
  <w:num w:numId="39">
    <w:abstractNumId w:val="8"/>
  </w:num>
  <w:num w:numId="40">
    <w:abstractNumId w:val="26"/>
  </w:num>
  <w:num w:numId="4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41"/>
    <w:rsid w:val="00002F19"/>
    <w:rsid w:val="00005515"/>
    <w:rsid w:val="00005868"/>
    <w:rsid w:val="0000767A"/>
    <w:rsid w:val="00007BF6"/>
    <w:rsid w:val="00010702"/>
    <w:rsid w:val="0002040C"/>
    <w:rsid w:val="00025165"/>
    <w:rsid w:val="000307D2"/>
    <w:rsid w:val="000353CA"/>
    <w:rsid w:val="0004694F"/>
    <w:rsid w:val="00052D0B"/>
    <w:rsid w:val="00060D56"/>
    <w:rsid w:val="00062EC5"/>
    <w:rsid w:val="0006345C"/>
    <w:rsid w:val="00074403"/>
    <w:rsid w:val="0007543A"/>
    <w:rsid w:val="00083528"/>
    <w:rsid w:val="00087634"/>
    <w:rsid w:val="000915F5"/>
    <w:rsid w:val="00096004"/>
    <w:rsid w:val="000A1183"/>
    <w:rsid w:val="000A2D10"/>
    <w:rsid w:val="000C3408"/>
    <w:rsid w:val="000C547E"/>
    <w:rsid w:val="000D0933"/>
    <w:rsid w:val="000D1765"/>
    <w:rsid w:val="000D21E1"/>
    <w:rsid w:val="000D2433"/>
    <w:rsid w:val="000D3D85"/>
    <w:rsid w:val="000D5E39"/>
    <w:rsid w:val="000E5DE5"/>
    <w:rsid w:val="000F6E14"/>
    <w:rsid w:val="00101535"/>
    <w:rsid w:val="00110E3B"/>
    <w:rsid w:val="001149A1"/>
    <w:rsid w:val="00121C92"/>
    <w:rsid w:val="00123EF0"/>
    <w:rsid w:val="001319EB"/>
    <w:rsid w:val="00133BA8"/>
    <w:rsid w:val="001351C9"/>
    <w:rsid w:val="001405FA"/>
    <w:rsid w:val="001425C3"/>
    <w:rsid w:val="00154ED5"/>
    <w:rsid w:val="00157587"/>
    <w:rsid w:val="00162BF0"/>
    <w:rsid w:val="00162D56"/>
    <w:rsid w:val="00163793"/>
    <w:rsid w:val="00164260"/>
    <w:rsid w:val="0016731E"/>
    <w:rsid w:val="001714F2"/>
    <w:rsid w:val="00172311"/>
    <w:rsid w:val="00175160"/>
    <w:rsid w:val="0017751B"/>
    <w:rsid w:val="00185010"/>
    <w:rsid w:val="00190B38"/>
    <w:rsid w:val="00193560"/>
    <w:rsid w:val="001A177C"/>
    <w:rsid w:val="001A3B66"/>
    <w:rsid w:val="001A552F"/>
    <w:rsid w:val="001B3110"/>
    <w:rsid w:val="001B61BC"/>
    <w:rsid w:val="001C1D52"/>
    <w:rsid w:val="001D189A"/>
    <w:rsid w:val="001E1749"/>
    <w:rsid w:val="001E3731"/>
    <w:rsid w:val="001E6DAF"/>
    <w:rsid w:val="001F4597"/>
    <w:rsid w:val="00200B56"/>
    <w:rsid w:val="00210AA5"/>
    <w:rsid w:val="00213704"/>
    <w:rsid w:val="00213C72"/>
    <w:rsid w:val="00214E6F"/>
    <w:rsid w:val="00216072"/>
    <w:rsid w:val="002175EE"/>
    <w:rsid w:val="0022139E"/>
    <w:rsid w:val="00223335"/>
    <w:rsid w:val="002237C6"/>
    <w:rsid w:val="002252E0"/>
    <w:rsid w:val="002255F6"/>
    <w:rsid w:val="00226272"/>
    <w:rsid w:val="00227AA9"/>
    <w:rsid w:val="00236443"/>
    <w:rsid w:val="0024085E"/>
    <w:rsid w:val="00240B6D"/>
    <w:rsid w:val="002436BA"/>
    <w:rsid w:val="00244A15"/>
    <w:rsid w:val="0024799E"/>
    <w:rsid w:val="00247A40"/>
    <w:rsid w:val="00254100"/>
    <w:rsid w:val="0026319A"/>
    <w:rsid w:val="00264C1E"/>
    <w:rsid w:val="00270041"/>
    <w:rsid w:val="00271AC3"/>
    <w:rsid w:val="00281EE4"/>
    <w:rsid w:val="0028438F"/>
    <w:rsid w:val="00290B98"/>
    <w:rsid w:val="00290F1C"/>
    <w:rsid w:val="00293EF3"/>
    <w:rsid w:val="002A310D"/>
    <w:rsid w:val="002A795D"/>
    <w:rsid w:val="002B4648"/>
    <w:rsid w:val="002B6C95"/>
    <w:rsid w:val="002B7526"/>
    <w:rsid w:val="002C1EDC"/>
    <w:rsid w:val="002C43BD"/>
    <w:rsid w:val="002D246F"/>
    <w:rsid w:val="002D700F"/>
    <w:rsid w:val="002E02A1"/>
    <w:rsid w:val="002E7C59"/>
    <w:rsid w:val="002F59C4"/>
    <w:rsid w:val="00304771"/>
    <w:rsid w:val="00306C5B"/>
    <w:rsid w:val="003209D6"/>
    <w:rsid w:val="00323231"/>
    <w:rsid w:val="00330C8E"/>
    <w:rsid w:val="0034055C"/>
    <w:rsid w:val="00341C9C"/>
    <w:rsid w:val="00341E61"/>
    <w:rsid w:val="00344398"/>
    <w:rsid w:val="00344A9F"/>
    <w:rsid w:val="003452B6"/>
    <w:rsid w:val="00345347"/>
    <w:rsid w:val="0035195A"/>
    <w:rsid w:val="00352ACB"/>
    <w:rsid w:val="00356E1F"/>
    <w:rsid w:val="003657F3"/>
    <w:rsid w:val="00370B28"/>
    <w:rsid w:val="00375B3D"/>
    <w:rsid w:val="00380B0F"/>
    <w:rsid w:val="00381C1A"/>
    <w:rsid w:val="0038205A"/>
    <w:rsid w:val="00385D98"/>
    <w:rsid w:val="00394B23"/>
    <w:rsid w:val="00396A34"/>
    <w:rsid w:val="00397972"/>
    <w:rsid w:val="003A2B4D"/>
    <w:rsid w:val="003A478C"/>
    <w:rsid w:val="003A5525"/>
    <w:rsid w:val="003A6B38"/>
    <w:rsid w:val="003B34FF"/>
    <w:rsid w:val="003B4169"/>
    <w:rsid w:val="003B5A32"/>
    <w:rsid w:val="003B5B99"/>
    <w:rsid w:val="003C627D"/>
    <w:rsid w:val="003C6CC2"/>
    <w:rsid w:val="003D5919"/>
    <w:rsid w:val="003E037E"/>
    <w:rsid w:val="003E0671"/>
    <w:rsid w:val="003F174C"/>
    <w:rsid w:val="003F313C"/>
    <w:rsid w:val="004004F4"/>
    <w:rsid w:val="0040155D"/>
    <w:rsid w:val="00403484"/>
    <w:rsid w:val="00406353"/>
    <w:rsid w:val="004117C8"/>
    <w:rsid w:val="00416281"/>
    <w:rsid w:val="00416C0A"/>
    <w:rsid w:val="004236AB"/>
    <w:rsid w:val="004242B2"/>
    <w:rsid w:val="00426A61"/>
    <w:rsid w:val="00437DC6"/>
    <w:rsid w:val="0044625F"/>
    <w:rsid w:val="00452EBE"/>
    <w:rsid w:val="00467087"/>
    <w:rsid w:val="00470E57"/>
    <w:rsid w:val="00476265"/>
    <w:rsid w:val="0048086F"/>
    <w:rsid w:val="00480E40"/>
    <w:rsid w:val="0048139F"/>
    <w:rsid w:val="004859A8"/>
    <w:rsid w:val="004868D6"/>
    <w:rsid w:val="004A081C"/>
    <w:rsid w:val="004A44A2"/>
    <w:rsid w:val="004A77DF"/>
    <w:rsid w:val="004B2C1E"/>
    <w:rsid w:val="004B55B7"/>
    <w:rsid w:val="004B7591"/>
    <w:rsid w:val="004C3867"/>
    <w:rsid w:val="004C4ABE"/>
    <w:rsid w:val="004C4CD0"/>
    <w:rsid w:val="004C70DC"/>
    <w:rsid w:val="004D0211"/>
    <w:rsid w:val="004D5E24"/>
    <w:rsid w:val="004E1007"/>
    <w:rsid w:val="004E3E1A"/>
    <w:rsid w:val="004F06F5"/>
    <w:rsid w:val="004F0E28"/>
    <w:rsid w:val="004F209C"/>
    <w:rsid w:val="004F78C3"/>
    <w:rsid w:val="00501EFA"/>
    <w:rsid w:val="005108C0"/>
    <w:rsid w:val="00511873"/>
    <w:rsid w:val="00513B7E"/>
    <w:rsid w:val="00514041"/>
    <w:rsid w:val="0051478D"/>
    <w:rsid w:val="005151FB"/>
    <w:rsid w:val="00520DCA"/>
    <w:rsid w:val="005221B3"/>
    <w:rsid w:val="0052495E"/>
    <w:rsid w:val="00525137"/>
    <w:rsid w:val="005251DD"/>
    <w:rsid w:val="00527720"/>
    <w:rsid w:val="00532D7D"/>
    <w:rsid w:val="005376AD"/>
    <w:rsid w:val="005376E3"/>
    <w:rsid w:val="00542E84"/>
    <w:rsid w:val="00544082"/>
    <w:rsid w:val="00550483"/>
    <w:rsid w:val="00550FE5"/>
    <w:rsid w:val="005513E1"/>
    <w:rsid w:val="00551573"/>
    <w:rsid w:val="00557A96"/>
    <w:rsid w:val="00561D72"/>
    <w:rsid w:val="00572C92"/>
    <w:rsid w:val="00583FFD"/>
    <w:rsid w:val="0058445D"/>
    <w:rsid w:val="00586971"/>
    <w:rsid w:val="00591143"/>
    <w:rsid w:val="00593152"/>
    <w:rsid w:val="00593E87"/>
    <w:rsid w:val="005956E7"/>
    <w:rsid w:val="005A21E0"/>
    <w:rsid w:val="005A7316"/>
    <w:rsid w:val="005B20AA"/>
    <w:rsid w:val="005C04E2"/>
    <w:rsid w:val="005C2045"/>
    <w:rsid w:val="005D1BF3"/>
    <w:rsid w:val="005D514D"/>
    <w:rsid w:val="005D5802"/>
    <w:rsid w:val="005E0178"/>
    <w:rsid w:val="005E1DD5"/>
    <w:rsid w:val="005E316C"/>
    <w:rsid w:val="005E73F3"/>
    <w:rsid w:val="005F153A"/>
    <w:rsid w:val="005F2EE2"/>
    <w:rsid w:val="006016D1"/>
    <w:rsid w:val="00602EF3"/>
    <w:rsid w:val="00604307"/>
    <w:rsid w:val="0060487F"/>
    <w:rsid w:val="00606B1B"/>
    <w:rsid w:val="0061689B"/>
    <w:rsid w:val="00624093"/>
    <w:rsid w:val="00625E0F"/>
    <w:rsid w:val="00633AEB"/>
    <w:rsid w:val="00633F6D"/>
    <w:rsid w:val="006352A8"/>
    <w:rsid w:val="00635866"/>
    <w:rsid w:val="00635B35"/>
    <w:rsid w:val="00635FC7"/>
    <w:rsid w:val="006366C8"/>
    <w:rsid w:val="006374C2"/>
    <w:rsid w:val="006404A7"/>
    <w:rsid w:val="006419F8"/>
    <w:rsid w:val="006451E4"/>
    <w:rsid w:val="00645EF8"/>
    <w:rsid w:val="006523BB"/>
    <w:rsid w:val="00653860"/>
    <w:rsid w:val="00655906"/>
    <w:rsid w:val="0065667A"/>
    <w:rsid w:val="00657E87"/>
    <w:rsid w:val="006710C9"/>
    <w:rsid w:val="00674BA1"/>
    <w:rsid w:val="00675DD1"/>
    <w:rsid w:val="00675E37"/>
    <w:rsid w:val="00677696"/>
    <w:rsid w:val="0068260E"/>
    <w:rsid w:val="0069246C"/>
    <w:rsid w:val="006941CE"/>
    <w:rsid w:val="00695BEF"/>
    <w:rsid w:val="00696417"/>
    <w:rsid w:val="00697219"/>
    <w:rsid w:val="006977F6"/>
    <w:rsid w:val="00697A13"/>
    <w:rsid w:val="00697C9B"/>
    <w:rsid w:val="006A109C"/>
    <w:rsid w:val="006A31C8"/>
    <w:rsid w:val="006A420D"/>
    <w:rsid w:val="006A4247"/>
    <w:rsid w:val="006A429F"/>
    <w:rsid w:val="006B7581"/>
    <w:rsid w:val="006B78D8"/>
    <w:rsid w:val="006C0C43"/>
    <w:rsid w:val="006C113F"/>
    <w:rsid w:val="006C47BD"/>
    <w:rsid w:val="006D211A"/>
    <w:rsid w:val="006D3ACC"/>
    <w:rsid w:val="006D61F6"/>
    <w:rsid w:val="006E09D5"/>
    <w:rsid w:val="006E1FDB"/>
    <w:rsid w:val="006E279A"/>
    <w:rsid w:val="006E313B"/>
    <w:rsid w:val="006E5DFC"/>
    <w:rsid w:val="007051F5"/>
    <w:rsid w:val="0070676A"/>
    <w:rsid w:val="00711D97"/>
    <w:rsid w:val="007211F5"/>
    <w:rsid w:val="007271FD"/>
    <w:rsid w:val="00730AE8"/>
    <w:rsid w:val="00736D17"/>
    <w:rsid w:val="00741493"/>
    <w:rsid w:val="00746E1B"/>
    <w:rsid w:val="0074736D"/>
    <w:rsid w:val="00747BB9"/>
    <w:rsid w:val="00750951"/>
    <w:rsid w:val="00752180"/>
    <w:rsid w:val="00755D3A"/>
    <w:rsid w:val="007572C9"/>
    <w:rsid w:val="0075757C"/>
    <w:rsid w:val="007609C6"/>
    <w:rsid w:val="00760D36"/>
    <w:rsid w:val="0077264D"/>
    <w:rsid w:val="00774CA3"/>
    <w:rsid w:val="00776527"/>
    <w:rsid w:val="00784861"/>
    <w:rsid w:val="007949E3"/>
    <w:rsid w:val="007A01BD"/>
    <w:rsid w:val="007A4E4E"/>
    <w:rsid w:val="007A68E8"/>
    <w:rsid w:val="007A7B9B"/>
    <w:rsid w:val="007B47EE"/>
    <w:rsid w:val="007B60D9"/>
    <w:rsid w:val="007C740E"/>
    <w:rsid w:val="007D3A47"/>
    <w:rsid w:val="007D6E98"/>
    <w:rsid w:val="007E12CE"/>
    <w:rsid w:val="007E7E61"/>
    <w:rsid w:val="007F4A5E"/>
    <w:rsid w:val="007F6B36"/>
    <w:rsid w:val="00802A57"/>
    <w:rsid w:val="00814887"/>
    <w:rsid w:val="00814A8E"/>
    <w:rsid w:val="008207EF"/>
    <w:rsid w:val="00821FF6"/>
    <w:rsid w:val="0083143E"/>
    <w:rsid w:val="00834FAA"/>
    <w:rsid w:val="0083596D"/>
    <w:rsid w:val="00836086"/>
    <w:rsid w:val="0084681E"/>
    <w:rsid w:val="00853E06"/>
    <w:rsid w:val="00855FB6"/>
    <w:rsid w:val="00857578"/>
    <w:rsid w:val="008605E5"/>
    <w:rsid w:val="00860953"/>
    <w:rsid w:val="008620CA"/>
    <w:rsid w:val="00863FDA"/>
    <w:rsid w:val="0087055B"/>
    <w:rsid w:val="00876086"/>
    <w:rsid w:val="008877B0"/>
    <w:rsid w:val="008B309A"/>
    <w:rsid w:val="008B5772"/>
    <w:rsid w:val="008B7C02"/>
    <w:rsid w:val="008C0E88"/>
    <w:rsid w:val="008C1793"/>
    <w:rsid w:val="008D1923"/>
    <w:rsid w:val="008D2A16"/>
    <w:rsid w:val="008D7DD3"/>
    <w:rsid w:val="008E31FF"/>
    <w:rsid w:val="008E401B"/>
    <w:rsid w:val="008E41B4"/>
    <w:rsid w:val="008F60FD"/>
    <w:rsid w:val="009003A8"/>
    <w:rsid w:val="00901E8E"/>
    <w:rsid w:val="009020FE"/>
    <w:rsid w:val="00902EFF"/>
    <w:rsid w:val="0090382A"/>
    <w:rsid w:val="00903ADB"/>
    <w:rsid w:val="00917F10"/>
    <w:rsid w:val="00921F14"/>
    <w:rsid w:val="009233F1"/>
    <w:rsid w:val="009248E3"/>
    <w:rsid w:val="00930E84"/>
    <w:rsid w:val="00931794"/>
    <w:rsid w:val="0094427A"/>
    <w:rsid w:val="00944EA6"/>
    <w:rsid w:val="009552B1"/>
    <w:rsid w:val="00957CD1"/>
    <w:rsid w:val="00972CA2"/>
    <w:rsid w:val="00973454"/>
    <w:rsid w:val="00974923"/>
    <w:rsid w:val="0098715D"/>
    <w:rsid w:val="00991A9E"/>
    <w:rsid w:val="009A23E5"/>
    <w:rsid w:val="009A76CB"/>
    <w:rsid w:val="009B6FD3"/>
    <w:rsid w:val="009C00F3"/>
    <w:rsid w:val="009C3912"/>
    <w:rsid w:val="009C7B08"/>
    <w:rsid w:val="009D15E0"/>
    <w:rsid w:val="009D2120"/>
    <w:rsid w:val="009D307C"/>
    <w:rsid w:val="009D7138"/>
    <w:rsid w:val="009E14B5"/>
    <w:rsid w:val="009E3131"/>
    <w:rsid w:val="009E3D07"/>
    <w:rsid w:val="009E5300"/>
    <w:rsid w:val="009E5C6B"/>
    <w:rsid w:val="009F30E4"/>
    <w:rsid w:val="009F4437"/>
    <w:rsid w:val="00A00BE4"/>
    <w:rsid w:val="00A074EF"/>
    <w:rsid w:val="00A077BC"/>
    <w:rsid w:val="00A10D66"/>
    <w:rsid w:val="00A15646"/>
    <w:rsid w:val="00A1636E"/>
    <w:rsid w:val="00A202A7"/>
    <w:rsid w:val="00A204CF"/>
    <w:rsid w:val="00A219A9"/>
    <w:rsid w:val="00A23E43"/>
    <w:rsid w:val="00A33EFD"/>
    <w:rsid w:val="00A34DA0"/>
    <w:rsid w:val="00A35033"/>
    <w:rsid w:val="00A460B2"/>
    <w:rsid w:val="00A46DE0"/>
    <w:rsid w:val="00A475AC"/>
    <w:rsid w:val="00A5222D"/>
    <w:rsid w:val="00A52B44"/>
    <w:rsid w:val="00A52EC2"/>
    <w:rsid w:val="00A5555E"/>
    <w:rsid w:val="00A55FDE"/>
    <w:rsid w:val="00A57446"/>
    <w:rsid w:val="00A62CE1"/>
    <w:rsid w:val="00A75E40"/>
    <w:rsid w:val="00A857C0"/>
    <w:rsid w:val="00A90201"/>
    <w:rsid w:val="00A902A5"/>
    <w:rsid w:val="00A91F5C"/>
    <w:rsid w:val="00A94AB5"/>
    <w:rsid w:val="00A953D4"/>
    <w:rsid w:val="00AA0168"/>
    <w:rsid w:val="00AA315F"/>
    <w:rsid w:val="00AA3BA1"/>
    <w:rsid w:val="00AA559A"/>
    <w:rsid w:val="00AB2AF1"/>
    <w:rsid w:val="00AB3CE2"/>
    <w:rsid w:val="00AB64E8"/>
    <w:rsid w:val="00AC1752"/>
    <w:rsid w:val="00AC4A24"/>
    <w:rsid w:val="00AD239A"/>
    <w:rsid w:val="00AD306C"/>
    <w:rsid w:val="00AD4FBF"/>
    <w:rsid w:val="00AD5913"/>
    <w:rsid w:val="00AE33C2"/>
    <w:rsid w:val="00AF25EE"/>
    <w:rsid w:val="00B01CAD"/>
    <w:rsid w:val="00B17C49"/>
    <w:rsid w:val="00B17E71"/>
    <w:rsid w:val="00B17FDE"/>
    <w:rsid w:val="00B2098B"/>
    <w:rsid w:val="00B32BCC"/>
    <w:rsid w:val="00B32DDB"/>
    <w:rsid w:val="00B36A65"/>
    <w:rsid w:val="00B372C8"/>
    <w:rsid w:val="00B40A03"/>
    <w:rsid w:val="00B40CFB"/>
    <w:rsid w:val="00B44676"/>
    <w:rsid w:val="00B448FC"/>
    <w:rsid w:val="00B46099"/>
    <w:rsid w:val="00B4643E"/>
    <w:rsid w:val="00B513EB"/>
    <w:rsid w:val="00B551E6"/>
    <w:rsid w:val="00B63AFC"/>
    <w:rsid w:val="00B6608F"/>
    <w:rsid w:val="00B76CB5"/>
    <w:rsid w:val="00B76D1E"/>
    <w:rsid w:val="00B801AF"/>
    <w:rsid w:val="00B80EDA"/>
    <w:rsid w:val="00B81475"/>
    <w:rsid w:val="00B85CB1"/>
    <w:rsid w:val="00B95940"/>
    <w:rsid w:val="00B97BEC"/>
    <w:rsid w:val="00BA0E5F"/>
    <w:rsid w:val="00BA493B"/>
    <w:rsid w:val="00BA4D62"/>
    <w:rsid w:val="00BB0015"/>
    <w:rsid w:val="00BB10A9"/>
    <w:rsid w:val="00BB5FF0"/>
    <w:rsid w:val="00BC2F06"/>
    <w:rsid w:val="00BC3543"/>
    <w:rsid w:val="00BC39BB"/>
    <w:rsid w:val="00BC5568"/>
    <w:rsid w:val="00BC66E8"/>
    <w:rsid w:val="00BD2BDC"/>
    <w:rsid w:val="00BD366B"/>
    <w:rsid w:val="00BD3FB1"/>
    <w:rsid w:val="00BD6D50"/>
    <w:rsid w:val="00BD7706"/>
    <w:rsid w:val="00BE23F8"/>
    <w:rsid w:val="00BF011D"/>
    <w:rsid w:val="00BF26C4"/>
    <w:rsid w:val="00C01506"/>
    <w:rsid w:val="00C107E7"/>
    <w:rsid w:val="00C21F94"/>
    <w:rsid w:val="00C274E0"/>
    <w:rsid w:val="00C3177E"/>
    <w:rsid w:val="00C36AC9"/>
    <w:rsid w:val="00C41EFF"/>
    <w:rsid w:val="00C41FBD"/>
    <w:rsid w:val="00C45E27"/>
    <w:rsid w:val="00C47265"/>
    <w:rsid w:val="00C51E92"/>
    <w:rsid w:val="00C556F4"/>
    <w:rsid w:val="00C64B75"/>
    <w:rsid w:val="00C6634F"/>
    <w:rsid w:val="00C8098B"/>
    <w:rsid w:val="00C80F44"/>
    <w:rsid w:val="00C85E96"/>
    <w:rsid w:val="00C901F9"/>
    <w:rsid w:val="00C90CF4"/>
    <w:rsid w:val="00C91D7C"/>
    <w:rsid w:val="00C92654"/>
    <w:rsid w:val="00C93389"/>
    <w:rsid w:val="00C93C0D"/>
    <w:rsid w:val="00C97E34"/>
    <w:rsid w:val="00CA0463"/>
    <w:rsid w:val="00CA24C7"/>
    <w:rsid w:val="00CA5A12"/>
    <w:rsid w:val="00CB7349"/>
    <w:rsid w:val="00CC14C1"/>
    <w:rsid w:val="00CC1931"/>
    <w:rsid w:val="00CC1CC4"/>
    <w:rsid w:val="00CC2E9C"/>
    <w:rsid w:val="00CC475C"/>
    <w:rsid w:val="00CD288B"/>
    <w:rsid w:val="00CE26E9"/>
    <w:rsid w:val="00CE3173"/>
    <w:rsid w:val="00CE6149"/>
    <w:rsid w:val="00CF3148"/>
    <w:rsid w:val="00CF51EC"/>
    <w:rsid w:val="00D03353"/>
    <w:rsid w:val="00D03693"/>
    <w:rsid w:val="00D040DD"/>
    <w:rsid w:val="00D10241"/>
    <w:rsid w:val="00D15A3E"/>
    <w:rsid w:val="00D16F21"/>
    <w:rsid w:val="00D30233"/>
    <w:rsid w:val="00D32AAF"/>
    <w:rsid w:val="00D347C8"/>
    <w:rsid w:val="00D3681A"/>
    <w:rsid w:val="00D41CE2"/>
    <w:rsid w:val="00D516DE"/>
    <w:rsid w:val="00D51805"/>
    <w:rsid w:val="00D56ADA"/>
    <w:rsid w:val="00D602CE"/>
    <w:rsid w:val="00D60433"/>
    <w:rsid w:val="00D615CD"/>
    <w:rsid w:val="00D61A47"/>
    <w:rsid w:val="00D67975"/>
    <w:rsid w:val="00D709E7"/>
    <w:rsid w:val="00D7363A"/>
    <w:rsid w:val="00D76ECF"/>
    <w:rsid w:val="00D842D3"/>
    <w:rsid w:val="00DA2A27"/>
    <w:rsid w:val="00DA3AAF"/>
    <w:rsid w:val="00DA45FF"/>
    <w:rsid w:val="00DA5852"/>
    <w:rsid w:val="00DB210A"/>
    <w:rsid w:val="00DB4F3B"/>
    <w:rsid w:val="00DC2E00"/>
    <w:rsid w:val="00DC5B3B"/>
    <w:rsid w:val="00DD39C0"/>
    <w:rsid w:val="00DE2D8F"/>
    <w:rsid w:val="00DE3724"/>
    <w:rsid w:val="00DE6B5D"/>
    <w:rsid w:val="00DE6F11"/>
    <w:rsid w:val="00DF00E1"/>
    <w:rsid w:val="00DF4DBA"/>
    <w:rsid w:val="00DF5641"/>
    <w:rsid w:val="00E01C0E"/>
    <w:rsid w:val="00E03893"/>
    <w:rsid w:val="00E04694"/>
    <w:rsid w:val="00E069D1"/>
    <w:rsid w:val="00E17090"/>
    <w:rsid w:val="00E1763E"/>
    <w:rsid w:val="00E22935"/>
    <w:rsid w:val="00E23CFF"/>
    <w:rsid w:val="00E263D4"/>
    <w:rsid w:val="00E2712D"/>
    <w:rsid w:val="00E40102"/>
    <w:rsid w:val="00E42B4D"/>
    <w:rsid w:val="00E438DF"/>
    <w:rsid w:val="00E5040E"/>
    <w:rsid w:val="00E55504"/>
    <w:rsid w:val="00E65D1A"/>
    <w:rsid w:val="00E663CD"/>
    <w:rsid w:val="00E71A58"/>
    <w:rsid w:val="00E81B7C"/>
    <w:rsid w:val="00E8493B"/>
    <w:rsid w:val="00E90C72"/>
    <w:rsid w:val="00E93764"/>
    <w:rsid w:val="00E97C6C"/>
    <w:rsid w:val="00EA0C68"/>
    <w:rsid w:val="00EA29F0"/>
    <w:rsid w:val="00EB3661"/>
    <w:rsid w:val="00EB7DA1"/>
    <w:rsid w:val="00ED286F"/>
    <w:rsid w:val="00EE1E7F"/>
    <w:rsid w:val="00EE39DC"/>
    <w:rsid w:val="00EE3E78"/>
    <w:rsid w:val="00EE5A6E"/>
    <w:rsid w:val="00EF1AEF"/>
    <w:rsid w:val="00EF1F5A"/>
    <w:rsid w:val="00EF3E4D"/>
    <w:rsid w:val="00EF4D97"/>
    <w:rsid w:val="00EF5416"/>
    <w:rsid w:val="00F014FF"/>
    <w:rsid w:val="00F02F8E"/>
    <w:rsid w:val="00F0328F"/>
    <w:rsid w:val="00F03967"/>
    <w:rsid w:val="00F04811"/>
    <w:rsid w:val="00F0488C"/>
    <w:rsid w:val="00F12246"/>
    <w:rsid w:val="00F15BEF"/>
    <w:rsid w:val="00F24FAA"/>
    <w:rsid w:val="00F3364D"/>
    <w:rsid w:val="00F41C6D"/>
    <w:rsid w:val="00F42351"/>
    <w:rsid w:val="00F45E8A"/>
    <w:rsid w:val="00F53404"/>
    <w:rsid w:val="00F5536C"/>
    <w:rsid w:val="00F6371C"/>
    <w:rsid w:val="00F63DDE"/>
    <w:rsid w:val="00F63FB7"/>
    <w:rsid w:val="00F6458A"/>
    <w:rsid w:val="00F67236"/>
    <w:rsid w:val="00F71B42"/>
    <w:rsid w:val="00F73A0C"/>
    <w:rsid w:val="00F85872"/>
    <w:rsid w:val="00F954C5"/>
    <w:rsid w:val="00F95636"/>
    <w:rsid w:val="00FA499A"/>
    <w:rsid w:val="00FB007E"/>
    <w:rsid w:val="00FB2302"/>
    <w:rsid w:val="00FC0C8F"/>
    <w:rsid w:val="00FC0E5F"/>
    <w:rsid w:val="00FC12FB"/>
    <w:rsid w:val="00FC1CDE"/>
    <w:rsid w:val="00FC56DE"/>
    <w:rsid w:val="00FD0311"/>
    <w:rsid w:val="00FD0F42"/>
    <w:rsid w:val="00FD730E"/>
    <w:rsid w:val="00FD778F"/>
    <w:rsid w:val="00FE04DC"/>
    <w:rsid w:val="00FE2F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214E6F"/>
  </w:style>
  <w:style w:type="character" w:styleId="Zvraznn">
    <w:name w:val="Emphasis"/>
    <w:basedOn w:val="Standardnpsmoodstavce"/>
    <w:uiPriority w:val="20"/>
    <w:qFormat/>
    <w:rsid w:val="00214E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214E6F"/>
  </w:style>
  <w:style w:type="character" w:styleId="Zvraznn">
    <w:name w:val="Emphasis"/>
    <w:basedOn w:val="Standardnpsmoodstavce"/>
    <w:uiPriority w:val="20"/>
    <w:qFormat/>
    <w:rsid w:val="00214E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915171869">
      <w:bodyDiv w:val="1"/>
      <w:marLeft w:val="0"/>
      <w:marRight w:val="0"/>
      <w:marTop w:val="0"/>
      <w:marBottom w:val="0"/>
      <w:divBdr>
        <w:top w:val="none" w:sz="0" w:space="0" w:color="auto"/>
        <w:left w:val="none" w:sz="0" w:space="0" w:color="auto"/>
        <w:bottom w:val="none" w:sz="0" w:space="0" w:color="auto"/>
        <w:right w:val="none" w:sz="0" w:space="0" w:color="auto"/>
      </w:divBdr>
    </w:div>
    <w:div w:id="1162425717">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367951400">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NIC~1\AppData\Local\Temp\publikace%20bar_lide%20a%20spolecnost.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60424836601322"/>
          <c:y val="4.2267050912584064E-2"/>
          <c:w val="0.81671813725490194"/>
          <c:h val="0.78545161377012174"/>
        </c:manualLayout>
      </c:layout>
      <c:barChart>
        <c:barDir val="col"/>
        <c:grouping val="clustered"/>
        <c:varyColors val="0"/>
        <c:ser>
          <c:idx val="0"/>
          <c:order val="0"/>
          <c:tx>
            <c:strRef>
              <c:f>List1!$A$4</c:f>
              <c:strCache>
                <c:ptCount val="1"/>
                <c:pt idx="0">
                  <c:v> mld. Kč - běžné ceny</c:v>
                </c:pt>
              </c:strCache>
            </c:strRef>
          </c:tx>
          <c:spPr>
            <a:solidFill>
              <a:srgbClr val="D96D75"/>
            </a:solidFill>
          </c:spPr>
          <c:invertIfNegative val="0"/>
          <c:dLbls>
            <c:txPr>
              <a:bodyPr/>
              <a:lstStyle/>
              <a:p>
                <a:pPr>
                  <a:defRPr>
                    <a:solidFill>
                      <a:schemeClr val="bg1"/>
                    </a:solidFill>
                  </a:defRPr>
                </a:pPr>
                <a:endParaRPr lang="cs-CZ"/>
              </a:p>
            </c:txPr>
            <c:dLblPos val="inEnd"/>
            <c:showLegendKey val="0"/>
            <c:showVal val="1"/>
            <c:showCatName val="0"/>
            <c:showSerName val="0"/>
            <c:showPercent val="0"/>
            <c:showBubbleSize val="0"/>
            <c:showLeaderLines val="0"/>
          </c:dLbls>
          <c:cat>
            <c:numRef>
              <c:f>List1!$B$3:$H$3</c:f>
              <c:numCache>
                <c:formatCode>General</c:formatCode>
                <c:ptCount val="7"/>
                <c:pt idx="0">
                  <c:v>2010</c:v>
                </c:pt>
                <c:pt idx="1">
                  <c:v>2011</c:v>
                </c:pt>
                <c:pt idx="2">
                  <c:v>2012</c:v>
                </c:pt>
                <c:pt idx="3">
                  <c:v>2013</c:v>
                </c:pt>
                <c:pt idx="4">
                  <c:v>2014</c:v>
                </c:pt>
                <c:pt idx="5">
                  <c:v>2015</c:v>
                </c:pt>
                <c:pt idx="6">
                  <c:v>2016</c:v>
                </c:pt>
              </c:numCache>
            </c:numRef>
          </c:cat>
          <c:val>
            <c:numRef>
              <c:f>List1!$B$4:$H$4</c:f>
              <c:numCache>
                <c:formatCode>0.0</c:formatCode>
                <c:ptCount val="7"/>
                <c:pt idx="0">
                  <c:v>334.08787277798501</c:v>
                </c:pt>
                <c:pt idx="1">
                  <c:v>338.08024387488001</c:v>
                </c:pt>
                <c:pt idx="2">
                  <c:v>341.91286464049301</c:v>
                </c:pt>
                <c:pt idx="3">
                  <c:v>344.72030419945099</c:v>
                </c:pt>
                <c:pt idx="4">
                  <c:v>348.73013961768498</c:v>
                </c:pt>
                <c:pt idx="5">
                  <c:v>352.03961029067801</c:v>
                </c:pt>
                <c:pt idx="6">
                  <c:v>361.64678947189088</c:v>
                </c:pt>
              </c:numCache>
            </c:numRef>
          </c:val>
        </c:ser>
        <c:dLbls>
          <c:showLegendKey val="0"/>
          <c:showVal val="0"/>
          <c:showCatName val="0"/>
          <c:showSerName val="0"/>
          <c:showPercent val="0"/>
          <c:showBubbleSize val="0"/>
        </c:dLbls>
        <c:gapWidth val="100"/>
        <c:axId val="359150592"/>
        <c:axId val="269407872"/>
      </c:barChart>
      <c:lineChart>
        <c:grouping val="standard"/>
        <c:varyColors val="0"/>
        <c:ser>
          <c:idx val="1"/>
          <c:order val="1"/>
          <c:tx>
            <c:strRef>
              <c:f>List1!$A$5</c:f>
              <c:strCache>
                <c:ptCount val="1"/>
                <c:pt idx="0">
                  <c:v> podíl na HDP  v %</c:v>
                </c:pt>
              </c:strCache>
            </c:strRef>
          </c:tx>
          <c:spPr>
            <a:ln>
              <a:solidFill>
                <a:srgbClr val="187BB8"/>
              </a:solidFill>
            </a:ln>
          </c:spPr>
          <c:marker>
            <c:symbol val="diamond"/>
            <c:size val="7"/>
            <c:spPr>
              <a:solidFill>
                <a:srgbClr val="0070C0"/>
              </a:solidFill>
              <a:ln>
                <a:solidFill>
                  <a:schemeClr val="accent1">
                    <a:lumMod val="75000"/>
                  </a:schemeClr>
                </a:solidFill>
              </a:ln>
            </c:spPr>
          </c:marker>
          <c:dLbls>
            <c:spPr>
              <a:solidFill>
                <a:srgbClr val="4F81BD">
                  <a:lumMod val="20000"/>
                  <a:lumOff val="80000"/>
                </a:srgbClr>
              </a:solidFill>
            </c:spPr>
            <c:dLblPos val="t"/>
            <c:showLegendKey val="0"/>
            <c:showVal val="1"/>
            <c:showCatName val="0"/>
            <c:showSerName val="0"/>
            <c:showPercent val="0"/>
            <c:showBubbleSize val="0"/>
            <c:showLeaderLines val="0"/>
          </c:dLbls>
          <c:trendline>
            <c:spPr>
              <a:ln>
                <a:noFill/>
              </a:ln>
            </c:spPr>
            <c:trendlineType val="linear"/>
            <c:dispRSqr val="0"/>
            <c:dispEq val="0"/>
          </c:trendline>
          <c:cat>
            <c:numRef>
              <c:f>List1!$B$3:$H$3</c:f>
              <c:numCache>
                <c:formatCode>General</c:formatCode>
                <c:ptCount val="7"/>
                <c:pt idx="0">
                  <c:v>2010</c:v>
                </c:pt>
                <c:pt idx="1">
                  <c:v>2011</c:v>
                </c:pt>
                <c:pt idx="2">
                  <c:v>2012</c:v>
                </c:pt>
                <c:pt idx="3">
                  <c:v>2013</c:v>
                </c:pt>
                <c:pt idx="4">
                  <c:v>2014</c:v>
                </c:pt>
                <c:pt idx="5">
                  <c:v>2015</c:v>
                </c:pt>
                <c:pt idx="6">
                  <c:v>2016</c:v>
                </c:pt>
              </c:numCache>
            </c:numRef>
          </c:cat>
          <c:val>
            <c:numRef>
              <c:f>List1!$B$5:$H$5</c:f>
              <c:numCache>
                <c:formatCode>0.00%</c:formatCode>
                <c:ptCount val="7"/>
                <c:pt idx="0">
                  <c:v>8.4313162915293366E-2</c:v>
                </c:pt>
                <c:pt idx="1">
                  <c:v>8.3812785822361541E-2</c:v>
                </c:pt>
                <c:pt idx="2">
                  <c:v>8.4216816679891837E-2</c:v>
                </c:pt>
                <c:pt idx="3">
                  <c:v>8.4116529351804289E-2</c:v>
                </c:pt>
                <c:pt idx="4">
                  <c:v>8.0840796714369903E-2</c:v>
                </c:pt>
                <c:pt idx="5">
                  <c:v>7.6600572805695571E-2</c:v>
                </c:pt>
                <c:pt idx="6">
                  <c:v>7.5765473655607277E-2</c:v>
                </c:pt>
              </c:numCache>
            </c:numRef>
          </c:val>
          <c:smooth val="0"/>
        </c:ser>
        <c:dLbls>
          <c:showLegendKey val="0"/>
          <c:showVal val="0"/>
          <c:showCatName val="0"/>
          <c:showSerName val="0"/>
          <c:showPercent val="0"/>
          <c:showBubbleSize val="0"/>
        </c:dLbls>
        <c:marker val="1"/>
        <c:smooth val="0"/>
        <c:axId val="363303424"/>
        <c:axId val="269408448"/>
      </c:lineChart>
      <c:catAx>
        <c:axId val="359150592"/>
        <c:scaling>
          <c:orientation val="minMax"/>
        </c:scaling>
        <c:delete val="0"/>
        <c:axPos val="b"/>
        <c:numFmt formatCode="General" sourceLinked="1"/>
        <c:majorTickMark val="out"/>
        <c:minorTickMark val="none"/>
        <c:tickLblPos val="nextTo"/>
        <c:spPr>
          <a:ln w="3175">
            <a:solidFill>
              <a:schemeClr val="bg1">
                <a:lumMod val="75000"/>
              </a:schemeClr>
            </a:solidFill>
          </a:ln>
        </c:spPr>
        <c:crossAx val="269407872"/>
        <c:crosses val="autoZero"/>
        <c:auto val="1"/>
        <c:lblAlgn val="ctr"/>
        <c:lblOffset val="100"/>
        <c:noMultiLvlLbl val="0"/>
      </c:catAx>
      <c:valAx>
        <c:axId val="269407872"/>
        <c:scaling>
          <c:orientation val="minMax"/>
          <c:max val="500"/>
          <c:min val="0"/>
        </c:scaling>
        <c:delete val="0"/>
        <c:axPos val="l"/>
        <c:majorGridlines>
          <c:spPr>
            <a:ln>
              <a:prstDash val="dash"/>
            </a:ln>
          </c:spPr>
        </c:majorGridlines>
        <c:title>
          <c:tx>
            <c:rich>
              <a:bodyPr rot="-5400000" vert="horz"/>
              <a:lstStyle/>
              <a:p>
                <a:pPr>
                  <a:defRPr/>
                </a:pPr>
                <a:r>
                  <a:rPr lang="cs-CZ"/>
                  <a:t>mld. Kč v běžných cenách</a:t>
                </a:r>
                <a:endParaRPr lang="en-US"/>
              </a:p>
            </c:rich>
          </c:tx>
          <c:layout>
            <c:manualLayout>
              <c:xMode val="edge"/>
              <c:yMode val="edge"/>
              <c:x val="1.8676470588235312E-2"/>
              <c:y val="0.24013978079829376"/>
            </c:manualLayout>
          </c:layout>
          <c:overlay val="0"/>
        </c:title>
        <c:numFmt formatCode="0" sourceLinked="0"/>
        <c:majorTickMark val="out"/>
        <c:minorTickMark val="none"/>
        <c:tickLblPos val="nextTo"/>
        <c:spPr>
          <a:ln w="3175">
            <a:solidFill>
              <a:schemeClr val="bg1">
                <a:lumMod val="75000"/>
              </a:schemeClr>
            </a:solidFill>
          </a:ln>
        </c:spPr>
        <c:crossAx val="359150592"/>
        <c:crosses val="autoZero"/>
        <c:crossBetween val="between"/>
        <c:majorUnit val="50"/>
        <c:minorUnit val="10"/>
      </c:valAx>
      <c:valAx>
        <c:axId val="269408448"/>
        <c:scaling>
          <c:orientation val="minMax"/>
          <c:max val="0.1"/>
          <c:min val="0"/>
        </c:scaling>
        <c:delete val="0"/>
        <c:axPos val="r"/>
        <c:title>
          <c:tx>
            <c:rich>
              <a:bodyPr rot="-5400000" vert="horz"/>
              <a:lstStyle/>
              <a:p>
                <a:pPr>
                  <a:defRPr/>
                </a:pPr>
                <a:r>
                  <a:rPr lang="cs-CZ"/>
                  <a:t>%HDP</a:t>
                </a:r>
                <a:endParaRPr lang="en-US"/>
              </a:p>
            </c:rich>
          </c:tx>
          <c:overlay val="0"/>
        </c:title>
        <c:numFmt formatCode="0%" sourceLinked="0"/>
        <c:majorTickMark val="out"/>
        <c:minorTickMark val="none"/>
        <c:tickLblPos val="nextTo"/>
        <c:crossAx val="363303424"/>
        <c:crosses val="max"/>
        <c:crossBetween val="between"/>
        <c:majorUnit val="1.0000000000000005E-2"/>
        <c:minorUnit val="5.0000000000000044E-3"/>
      </c:valAx>
      <c:catAx>
        <c:axId val="363303424"/>
        <c:scaling>
          <c:orientation val="minMax"/>
        </c:scaling>
        <c:delete val="1"/>
        <c:axPos val="b"/>
        <c:numFmt formatCode="General" sourceLinked="1"/>
        <c:majorTickMark val="out"/>
        <c:minorTickMark val="none"/>
        <c:tickLblPos val="none"/>
        <c:crossAx val="269408448"/>
        <c:crosses val="autoZero"/>
        <c:auto val="1"/>
        <c:lblAlgn val="ctr"/>
        <c:lblOffset val="100"/>
        <c:noMultiLvlLbl val="0"/>
      </c:catAx>
      <c:spPr>
        <a:ln>
          <a:noFill/>
        </a:ln>
      </c:spPr>
    </c:plotArea>
    <c:legend>
      <c:legendPos val="b"/>
      <c:legendEntry>
        <c:idx val="2"/>
        <c:delete val="1"/>
      </c:legendEntry>
      <c:layout>
        <c:manualLayout>
          <c:xMode val="edge"/>
          <c:yMode val="edge"/>
          <c:x val="0.24734623483069429"/>
          <c:y val="0.90351706036745327"/>
          <c:w val="0.50956209714040757"/>
          <c:h val="9.2900661497687026E-2"/>
        </c:manualLayout>
      </c:layout>
      <c:overlay val="0"/>
      <c:spPr>
        <a:ln>
          <a:solidFill>
            <a:sysClr val="window" lastClr="FFFFFF">
              <a:lumMod val="75000"/>
            </a:sysClr>
          </a:solidFill>
        </a:ln>
      </c:spPr>
    </c:legend>
    <c:plotVisOnly val="1"/>
    <c:dispBlanksAs val="gap"/>
    <c:showDLblsOverMax val="0"/>
  </c:chart>
  <c:spPr>
    <a:ln>
      <a:noFill/>
    </a:ln>
  </c:spPr>
  <c:txPr>
    <a:bodyPr/>
    <a:lstStyle/>
    <a:p>
      <a:pPr>
        <a:defRPr sz="800" b="1">
          <a:latin typeface="Arial" panose="020B0604020202020204" pitchFamily="34" charset="0"/>
          <a:cs typeface="Arial" panose="020B0604020202020204" pitchFamily="34" charset="0"/>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695551481072693"/>
          <c:y val="4.4511868686868676E-2"/>
          <c:w val="0.69937886872122201"/>
          <c:h val="0.85527012248469003"/>
        </c:manualLayout>
      </c:layout>
      <c:barChart>
        <c:barDir val="bar"/>
        <c:grouping val="clustered"/>
        <c:varyColors val="0"/>
        <c:ser>
          <c:idx val="0"/>
          <c:order val="0"/>
          <c:tx>
            <c:strRef>
              <c:f>'2_2 (2)'!$N$43</c:f>
              <c:strCache>
                <c:ptCount val="1"/>
                <c:pt idx="0">
                  <c:v> roční průměr 
 2010 až 2016</c:v>
                </c:pt>
              </c:strCache>
            </c:strRef>
          </c:tx>
          <c:spPr>
            <a:solidFill>
              <a:srgbClr val="00B050"/>
            </a:solidFill>
          </c:spPr>
          <c:invertIfNegative val="0"/>
          <c:dLbls>
            <c:dLbl>
              <c:idx val="0"/>
              <c:numFmt formatCode="#,##0.0" sourceLinked="0"/>
              <c:spPr/>
              <c:txPr>
                <a:bodyPr/>
                <a:lstStyle/>
                <a:p>
                  <a:pPr>
                    <a:defRPr b="0">
                      <a:solidFill>
                        <a:sysClr val="windowText" lastClr="000000"/>
                      </a:solidFill>
                    </a:defRPr>
                  </a:pPr>
                  <a:endParaRPr lang="cs-CZ"/>
                </a:p>
              </c:txPr>
              <c:dLblPos val="outEnd"/>
              <c:showLegendKey val="0"/>
              <c:showVal val="1"/>
              <c:showCatName val="0"/>
              <c:showSerName val="0"/>
              <c:showPercent val="0"/>
              <c:showBubbleSize val="0"/>
            </c:dLbl>
            <c:dLbl>
              <c:idx val="1"/>
              <c:numFmt formatCode="#,##0.0" sourceLinked="0"/>
              <c:spPr/>
              <c:txPr>
                <a:bodyPr/>
                <a:lstStyle/>
                <a:p>
                  <a:pPr>
                    <a:defRPr b="0">
                      <a:solidFill>
                        <a:sysClr val="windowText" lastClr="000000"/>
                      </a:solidFill>
                    </a:defRPr>
                  </a:pPr>
                  <a:endParaRPr lang="cs-CZ"/>
                </a:p>
              </c:txPr>
              <c:dLblPos val="outEnd"/>
              <c:showLegendKey val="0"/>
              <c:showVal val="1"/>
              <c:showCatName val="0"/>
              <c:showSerName val="0"/>
              <c:showPercent val="0"/>
              <c:showBubbleSize val="0"/>
            </c:dLbl>
            <c:dLbl>
              <c:idx val="5"/>
              <c:numFmt formatCode="#,##0.0" sourceLinked="0"/>
              <c:spPr/>
              <c:txPr>
                <a:bodyPr/>
                <a:lstStyle/>
                <a:p>
                  <a:pPr>
                    <a:defRPr b="0">
                      <a:solidFill>
                        <a:sysClr val="windowText" lastClr="000000"/>
                      </a:solidFill>
                    </a:defRPr>
                  </a:pPr>
                  <a:endParaRPr lang="cs-CZ"/>
                </a:p>
              </c:txPr>
              <c:dLblPos val="outEnd"/>
              <c:showLegendKey val="0"/>
              <c:showVal val="1"/>
              <c:showCatName val="0"/>
              <c:showSerName val="0"/>
              <c:showPercent val="0"/>
              <c:showBubbleSize val="0"/>
            </c:dLbl>
            <c:dLbl>
              <c:idx val="6"/>
              <c:numFmt formatCode="#,##0.0" sourceLinked="0"/>
              <c:spPr/>
              <c:txPr>
                <a:bodyPr/>
                <a:lstStyle/>
                <a:p>
                  <a:pPr>
                    <a:defRPr b="0">
                      <a:solidFill>
                        <a:sysClr val="windowText" lastClr="000000"/>
                      </a:solidFill>
                    </a:defRPr>
                  </a:pPr>
                  <a:endParaRPr lang="cs-CZ"/>
                </a:p>
              </c:txPr>
              <c:dLblPos val="outEnd"/>
              <c:showLegendKey val="0"/>
              <c:showVal val="1"/>
              <c:showCatName val="0"/>
              <c:showSerName val="0"/>
              <c:showPercent val="0"/>
              <c:showBubbleSize val="0"/>
            </c:dLbl>
            <c:numFmt formatCode="#,##0.0" sourceLinked="0"/>
            <c:txPr>
              <a:bodyPr/>
              <a:lstStyle/>
              <a:p>
                <a:pPr>
                  <a:defRPr b="0">
                    <a:solidFill>
                      <a:schemeClr val="bg1"/>
                    </a:solidFill>
                  </a:defRPr>
                </a:pPr>
                <a:endParaRPr lang="cs-CZ"/>
              </a:p>
            </c:txPr>
            <c:dLblPos val="inEnd"/>
            <c:showLegendKey val="0"/>
            <c:showVal val="1"/>
            <c:showCatName val="0"/>
            <c:showSerName val="0"/>
            <c:showPercent val="0"/>
            <c:showBubbleSize val="0"/>
            <c:showLeaderLines val="0"/>
          </c:dLbls>
          <c:cat>
            <c:strRef>
              <c:f>'2_2 (2)'!$M$44:$M$52</c:f>
              <c:strCache>
                <c:ptCount val="9"/>
                <c:pt idx="0">
                  <c:v>  doprava pacientů</c:v>
                </c:pt>
                <c:pt idx="1">
                  <c:v>  zobrazovací metody</c:v>
                </c:pt>
                <c:pt idx="2">
                  <c:v>  laboratorní služby</c:v>
                </c:pt>
                <c:pt idx="3">
                  <c:v>  léčiva a ost. zdrav. výrobky (1)</c:v>
                </c:pt>
                <c:pt idx="5">
                  <c:v>  preventivní péče</c:v>
                </c:pt>
                <c:pt idx="6">
                  <c:v>  rehabilitační péče</c:v>
                </c:pt>
                <c:pt idx="7">
                  <c:v>  dlouhodobá péče</c:v>
                </c:pt>
                <c:pt idx="8">
                  <c:v>  léčebná péče</c:v>
                </c:pt>
              </c:strCache>
            </c:strRef>
          </c:cat>
          <c:val>
            <c:numRef>
              <c:f>'2_2 (2)'!$N$44:$N$52</c:f>
              <c:numCache>
                <c:formatCode>#,##0.0</c:formatCode>
                <c:ptCount val="9"/>
                <c:pt idx="0">
                  <c:v>7.3955714285714294</c:v>
                </c:pt>
                <c:pt idx="1">
                  <c:v>10.165857142857144</c:v>
                </c:pt>
                <c:pt idx="2">
                  <c:v>21.185714285714287</c:v>
                </c:pt>
                <c:pt idx="3">
                  <c:v>67.922045435931437</c:v>
                </c:pt>
                <c:pt idx="5">
                  <c:v>10.273285714285715</c:v>
                </c:pt>
                <c:pt idx="6">
                  <c:v>13.918388757142854</c:v>
                </c:pt>
                <c:pt idx="7">
                  <c:v>57.57929285118572</c:v>
                </c:pt>
                <c:pt idx="8">
                  <c:v>139.34443698337321</c:v>
                </c:pt>
              </c:numCache>
            </c:numRef>
          </c:val>
        </c:ser>
        <c:ser>
          <c:idx val="1"/>
          <c:order val="1"/>
          <c:tx>
            <c:strRef>
              <c:f>'2_2 (2)'!$O$43</c:f>
              <c:strCache>
                <c:ptCount val="1"/>
                <c:pt idx="0">
                  <c:v> rok 2015</c:v>
                </c:pt>
              </c:strCache>
            </c:strRef>
          </c:tx>
          <c:spPr>
            <a:solidFill>
              <a:srgbClr val="00B0F0"/>
            </a:solidFill>
          </c:spPr>
          <c:invertIfNegative val="0"/>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dLbl>
              <c:idx val="5"/>
              <c:dLblPos val="outEnd"/>
              <c:showLegendKey val="0"/>
              <c:showVal val="1"/>
              <c:showCatName val="0"/>
              <c:showSerName val="0"/>
              <c:showPercent val="0"/>
              <c:showBubbleSize val="0"/>
            </c:dLbl>
            <c:dLbl>
              <c:idx val="6"/>
              <c:dLblPos val="outEnd"/>
              <c:showLegendKey val="0"/>
              <c:showVal val="1"/>
              <c:showCatName val="0"/>
              <c:showSerName val="0"/>
              <c:showPercent val="0"/>
              <c:showBubbleSize val="0"/>
            </c:dLbl>
            <c:numFmt formatCode="#,##0.0" sourceLinked="0"/>
            <c:txPr>
              <a:bodyPr/>
              <a:lstStyle/>
              <a:p>
                <a:pPr>
                  <a:defRPr b="0">
                    <a:solidFill>
                      <a:sysClr val="windowText" lastClr="000000"/>
                    </a:solidFill>
                  </a:defRPr>
                </a:pPr>
                <a:endParaRPr lang="cs-CZ"/>
              </a:p>
            </c:txPr>
            <c:dLblPos val="inEnd"/>
            <c:showLegendKey val="0"/>
            <c:showVal val="1"/>
            <c:showCatName val="0"/>
            <c:showSerName val="0"/>
            <c:showPercent val="0"/>
            <c:showBubbleSize val="0"/>
            <c:showLeaderLines val="0"/>
          </c:dLbls>
          <c:cat>
            <c:strRef>
              <c:f>'2_2 (2)'!$M$44:$M$52</c:f>
              <c:strCache>
                <c:ptCount val="9"/>
                <c:pt idx="0">
                  <c:v>  doprava pacientů</c:v>
                </c:pt>
                <c:pt idx="1">
                  <c:v>  zobrazovací metody</c:v>
                </c:pt>
                <c:pt idx="2">
                  <c:v>  laboratorní služby</c:v>
                </c:pt>
                <c:pt idx="3">
                  <c:v>  léčiva a ost. zdrav. výrobky (1)</c:v>
                </c:pt>
                <c:pt idx="5">
                  <c:v>  preventivní péče</c:v>
                </c:pt>
                <c:pt idx="6">
                  <c:v>  rehabilitační péče</c:v>
                </c:pt>
                <c:pt idx="7">
                  <c:v>  dlouhodobá péče</c:v>
                </c:pt>
                <c:pt idx="8">
                  <c:v>  léčebná péče</c:v>
                </c:pt>
              </c:strCache>
            </c:strRef>
          </c:cat>
          <c:val>
            <c:numRef>
              <c:f>'2_2 (2)'!$O$44:$O$52</c:f>
              <c:numCache>
                <c:formatCode>#,##0.0</c:formatCode>
                <c:ptCount val="9"/>
                <c:pt idx="0">
                  <c:v>7.4989999999999997</c:v>
                </c:pt>
                <c:pt idx="1">
                  <c:v>10.484</c:v>
                </c:pt>
                <c:pt idx="2">
                  <c:v>22.036999999999999</c:v>
                </c:pt>
                <c:pt idx="3">
                  <c:v>67.831000000000003</c:v>
                </c:pt>
                <c:pt idx="5">
                  <c:v>9.0269999999999992</c:v>
                </c:pt>
                <c:pt idx="6">
                  <c:v>14.763999999999999</c:v>
                </c:pt>
                <c:pt idx="7">
                  <c:v>61.018000000000001</c:v>
                </c:pt>
                <c:pt idx="8">
                  <c:v>141.6</c:v>
                </c:pt>
              </c:numCache>
            </c:numRef>
          </c:val>
        </c:ser>
        <c:ser>
          <c:idx val="2"/>
          <c:order val="2"/>
          <c:tx>
            <c:strRef>
              <c:f>'2_2 (2)'!$P$43</c:f>
              <c:strCache>
                <c:ptCount val="1"/>
                <c:pt idx="0">
                  <c:v> rok 2016</c:v>
                </c:pt>
              </c:strCache>
            </c:strRef>
          </c:tx>
          <c:spPr>
            <a:solidFill>
              <a:srgbClr val="FF0000"/>
            </a:solidFill>
          </c:spPr>
          <c:invertIfNegative val="0"/>
          <c:dLbls>
            <c:dLbl>
              <c:idx val="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1"/>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5"/>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6"/>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'2_2 (2)'!$M$44:$M$52</c:f>
              <c:strCache>
                <c:ptCount val="9"/>
                <c:pt idx="0">
                  <c:v>  doprava pacientů</c:v>
                </c:pt>
                <c:pt idx="1">
                  <c:v>  zobrazovací metody</c:v>
                </c:pt>
                <c:pt idx="2">
                  <c:v>  laboratorní služby</c:v>
                </c:pt>
                <c:pt idx="3">
                  <c:v>  léčiva a ost. zdrav. výrobky (1)</c:v>
                </c:pt>
                <c:pt idx="5">
                  <c:v>  preventivní péče</c:v>
                </c:pt>
                <c:pt idx="6">
                  <c:v>  rehabilitační péče</c:v>
                </c:pt>
                <c:pt idx="7">
                  <c:v>  dlouhodobá péče</c:v>
                </c:pt>
                <c:pt idx="8">
                  <c:v>  léčebná péče</c:v>
                </c:pt>
              </c:strCache>
            </c:strRef>
          </c:cat>
          <c:val>
            <c:numRef>
              <c:f>'2_2 (2)'!$P$44:$P$52</c:f>
              <c:numCache>
                <c:formatCode>#,##0.0</c:formatCode>
                <c:ptCount val="9"/>
                <c:pt idx="0">
                  <c:v>7.8559999999999999</c:v>
                </c:pt>
                <c:pt idx="1">
                  <c:v>10.698</c:v>
                </c:pt>
                <c:pt idx="2">
                  <c:v>22.527000000000001</c:v>
                </c:pt>
                <c:pt idx="3">
                  <c:v>69.285318051520008</c:v>
                </c:pt>
                <c:pt idx="5">
                  <c:v>9.7390000000000008</c:v>
                </c:pt>
                <c:pt idx="6">
                  <c:v>15.017721299999993</c:v>
                </c:pt>
                <c:pt idx="7">
                  <c:v>65.264049958299978</c:v>
                </c:pt>
                <c:pt idx="8">
                  <c:v>142.43705888361248</c:v>
                </c:pt>
              </c:numCache>
            </c:numRef>
          </c:val>
        </c:ser>
        <c:dLbls>
          <c:showLegendKey val="0"/>
          <c:showVal val="0"/>
          <c:showCatName val="0"/>
          <c:showSerName val="0"/>
          <c:showPercent val="0"/>
          <c:showBubbleSize val="0"/>
        </c:dLbls>
        <c:gapWidth val="30"/>
        <c:axId val="184838144"/>
        <c:axId val="335162176"/>
      </c:barChart>
      <c:catAx>
        <c:axId val="184838144"/>
        <c:scaling>
          <c:orientation val="minMax"/>
        </c:scaling>
        <c:delete val="0"/>
        <c:axPos val="l"/>
        <c:majorTickMark val="out"/>
        <c:minorTickMark val="none"/>
        <c:tickLblPos val="nextTo"/>
        <c:crossAx val="335162176"/>
        <c:crosses val="autoZero"/>
        <c:auto val="1"/>
        <c:lblAlgn val="ctr"/>
        <c:lblOffset val="100"/>
        <c:noMultiLvlLbl val="0"/>
      </c:catAx>
      <c:valAx>
        <c:axId val="335162176"/>
        <c:scaling>
          <c:orientation val="minMax"/>
          <c:max val="150"/>
          <c:min val="0"/>
        </c:scaling>
        <c:delete val="0"/>
        <c:axPos val="b"/>
        <c:majorGridlines>
          <c:spPr>
            <a:ln>
              <a:prstDash val="dash"/>
            </a:ln>
          </c:spPr>
        </c:majorGridlines>
        <c:numFmt formatCode="#,##0" sourceLinked="0"/>
        <c:majorTickMark val="out"/>
        <c:minorTickMark val="none"/>
        <c:tickLblPos val="nextTo"/>
        <c:crossAx val="184838144"/>
        <c:crosses val="autoZero"/>
        <c:crossBetween val="between"/>
        <c:majorUnit val="10"/>
        <c:minorUnit val="5"/>
      </c:valAx>
      <c:spPr>
        <a:ln>
          <a:solidFill>
            <a:schemeClr val="bg1">
              <a:lumMod val="50000"/>
            </a:schemeClr>
          </a:solidFill>
        </a:ln>
      </c:spPr>
    </c:plotArea>
    <c:legend>
      <c:legendPos val="r"/>
      <c:layout>
        <c:manualLayout>
          <c:xMode val="edge"/>
          <c:yMode val="edge"/>
          <c:x val="0.80235716633793508"/>
          <c:y val="0.62306305555555563"/>
          <c:w val="0.13519658119658121"/>
          <c:h val="0.24455270194029485"/>
        </c:manualLayout>
      </c:layout>
      <c:overlay val="0"/>
      <c:spPr>
        <a:solidFill>
          <a:schemeClr val="bg1"/>
        </a:solidFill>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8198553583169"/>
          <c:y val="5.0925925925925923E-2"/>
          <c:w val="0.82366491269931053"/>
          <c:h val="0.55068678915135527"/>
        </c:manualLayout>
      </c:layout>
      <c:barChart>
        <c:barDir val="bar"/>
        <c:grouping val="percentStacked"/>
        <c:varyColors val="0"/>
        <c:ser>
          <c:idx val="0"/>
          <c:order val="0"/>
          <c:tx>
            <c:strRef>
              <c:f>'2_2 (2)'!$R$44</c:f>
              <c:strCache>
                <c:ptCount val="1"/>
                <c:pt idx="0">
                  <c:v> léčebná péče</c:v>
                </c:pt>
              </c:strCache>
            </c:strRef>
          </c:tx>
          <c:spPr>
            <a:solidFill>
              <a:srgbClr val="FF000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(2)'!$S$44:$U$44</c:f>
              <c:numCache>
                <c:formatCode>0.0%</c:formatCode>
                <c:ptCount val="3"/>
                <c:pt idx="0">
                  <c:v>0.40285973784352963</c:v>
                </c:pt>
                <c:pt idx="1">
                  <c:v>0.40222793776639398</c:v>
                </c:pt>
                <c:pt idx="2">
                  <c:v>0.39385683224238799</c:v>
                </c:pt>
              </c:numCache>
            </c:numRef>
          </c:val>
        </c:ser>
        <c:ser>
          <c:idx val="1"/>
          <c:order val="1"/>
          <c:tx>
            <c:strRef>
              <c:f>'2_2 (2)'!$R$45</c:f>
              <c:strCache>
                <c:ptCount val="1"/>
                <c:pt idx="0">
                  <c:v> dlouhodobá péče</c:v>
                </c:pt>
              </c:strCache>
            </c:strRef>
          </c:tx>
          <c:spPr>
            <a:solidFill>
              <a:schemeClr val="accent6">
                <a:lumMod val="60000"/>
                <a:lumOff val="4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(2)'!$S$45:$U$45</c:f>
              <c:numCache>
                <c:formatCode>0.0%</c:formatCode>
                <c:ptCount val="3"/>
                <c:pt idx="0">
                  <c:v>0.16646792168683652</c:v>
                </c:pt>
                <c:pt idx="1">
                  <c:v>0.17332729030105812</c:v>
                </c:pt>
                <c:pt idx="2">
                  <c:v>0.18046351263745683</c:v>
                </c:pt>
              </c:numCache>
            </c:numRef>
          </c:val>
        </c:ser>
        <c:ser>
          <c:idx val="2"/>
          <c:order val="2"/>
          <c:tx>
            <c:strRef>
              <c:f>'2_2 (2)'!$R$46</c:f>
              <c:strCache>
                <c:ptCount val="1"/>
                <c:pt idx="0">
                  <c:v> rehabilitační péče</c:v>
                </c:pt>
              </c:strCache>
            </c:strRef>
          </c:tx>
          <c:spPr>
            <a:solidFill>
              <a:schemeClr val="accent2">
                <a:lumMod val="40000"/>
                <a:lumOff val="60000"/>
              </a:schemeClr>
            </a:solidFill>
          </c:spPr>
          <c:invertIfNegative val="0"/>
          <c:dLbls>
            <c:txPr>
              <a:bodyPr rot="-5400000" vert="horz"/>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(2)'!$S$46:$U$46</c:f>
              <c:numCache>
                <c:formatCode>0.0%</c:formatCode>
                <c:ptCount val="3"/>
                <c:pt idx="0">
                  <c:v>4.023955722449081E-2</c:v>
                </c:pt>
                <c:pt idx="1">
                  <c:v>4.1938511816264408E-2</c:v>
                </c:pt>
                <c:pt idx="2">
                  <c:v>4.1525935631331272E-2</c:v>
                </c:pt>
              </c:numCache>
            </c:numRef>
          </c:val>
        </c:ser>
        <c:ser>
          <c:idx val="3"/>
          <c:order val="3"/>
          <c:tx>
            <c:strRef>
              <c:f>'2_2 (2)'!$R$47</c:f>
              <c:strCache>
                <c:ptCount val="1"/>
                <c:pt idx="0">
                  <c:v> preventivní péče</c:v>
                </c:pt>
              </c:strCache>
            </c:strRef>
          </c:tx>
          <c:spPr>
            <a:solidFill>
              <a:schemeClr val="accent2">
                <a:lumMod val="20000"/>
                <a:lumOff val="80000"/>
              </a:schemeClr>
            </a:solidFill>
          </c:spPr>
          <c:invertIfNegative val="0"/>
          <c:dLbls>
            <c:txPr>
              <a:bodyPr rot="-5400000" vert="horz"/>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(2)'!$S$47:$U$47</c:f>
              <c:numCache>
                <c:formatCode>0.0%</c:formatCode>
                <c:ptCount val="3"/>
                <c:pt idx="0">
                  <c:v>2.97011727145064E-2</c:v>
                </c:pt>
                <c:pt idx="1">
                  <c:v>2.5642031032607614E-2</c:v>
                </c:pt>
                <c:pt idx="2">
                  <c:v>2.6929590650582619E-2</c:v>
                </c:pt>
              </c:numCache>
            </c:numRef>
          </c:val>
        </c:ser>
        <c:ser>
          <c:idx val="4"/>
          <c:order val="4"/>
          <c:tx>
            <c:strRef>
              <c:f>'2_2 (2)'!$R$48</c:f>
              <c:strCache>
                <c:ptCount val="1"/>
                <c:pt idx="0">
                  <c:v> léčiva (1)</c:v>
                </c:pt>
              </c:strCache>
            </c:strRef>
          </c:tx>
          <c:spPr>
            <a:solidFill>
              <a:srgbClr val="0070C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(2)'!$S$48:$U$48</c:f>
              <c:numCache>
                <c:formatCode>0.0%</c:formatCode>
                <c:ptCount val="3"/>
                <c:pt idx="0">
                  <c:v>0.19636993058704344</c:v>
                </c:pt>
                <c:pt idx="1">
                  <c:v>0.19268024891689456</c:v>
                </c:pt>
                <c:pt idx="2">
                  <c:v>0.19158283737784745</c:v>
                </c:pt>
              </c:numCache>
            </c:numRef>
          </c:val>
        </c:ser>
        <c:ser>
          <c:idx val="5"/>
          <c:order val="5"/>
          <c:tx>
            <c:strRef>
              <c:f>'2_2 (2)'!$R$49</c:f>
              <c:strCache>
                <c:ptCount val="1"/>
                <c:pt idx="0">
                  <c:v> laboratorní služby</c:v>
                </c:pt>
              </c:strCache>
            </c:strRef>
          </c:tx>
          <c:spPr>
            <a:solidFill>
              <a:schemeClr val="tx2">
                <a:lumMod val="60000"/>
                <a:lumOff val="4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(2)'!$S$49:$U$49</c:f>
              <c:numCache>
                <c:formatCode>0.0%</c:formatCode>
                <c:ptCount val="3"/>
                <c:pt idx="0">
                  <c:v>6.1250176095577979E-2</c:v>
                </c:pt>
                <c:pt idx="1">
                  <c:v>6.2598143111285476E-2</c:v>
                </c:pt>
                <c:pt idx="2">
                  <c:v>6.2290059409146184E-2</c:v>
                </c:pt>
              </c:numCache>
            </c:numRef>
          </c:val>
        </c:ser>
        <c:ser>
          <c:idx val="6"/>
          <c:order val="6"/>
          <c:tx>
            <c:strRef>
              <c:f>'2_2 (2)'!$R$50</c:f>
              <c:strCache>
                <c:ptCount val="1"/>
                <c:pt idx="0">
                  <c:v> zobrazovací metody</c:v>
                </c:pt>
              </c:strCache>
            </c:strRef>
          </c:tx>
          <c:spPr>
            <a:solidFill>
              <a:schemeClr val="tx2">
                <a:lumMod val="20000"/>
                <a:lumOff val="80000"/>
              </a:schemeClr>
            </a:solidFill>
          </c:spPr>
          <c:invertIfNegative val="0"/>
          <c:dLbls>
            <c:txPr>
              <a:bodyPr rot="-5400000" vert="horz"/>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(2)'!$S$50:$U$50</c:f>
              <c:numCache>
                <c:formatCode>0.0%</c:formatCode>
                <c:ptCount val="3"/>
                <c:pt idx="0">
                  <c:v>2.9390585172875419E-2</c:v>
                </c:pt>
                <c:pt idx="1">
                  <c:v>2.9780774714285838E-2</c:v>
                </c:pt>
                <c:pt idx="2">
                  <c:v>2.9581349294581873E-2</c:v>
                </c:pt>
              </c:numCache>
            </c:numRef>
          </c:val>
        </c:ser>
        <c:ser>
          <c:idx val="7"/>
          <c:order val="7"/>
          <c:tx>
            <c:strRef>
              <c:f>'2_2 (2)'!$R$51</c:f>
              <c:strCache>
                <c:ptCount val="1"/>
                <c:pt idx="0">
                  <c:v> doprava pacientů</c:v>
                </c:pt>
              </c:strCache>
            </c:strRef>
          </c:tx>
          <c:spPr>
            <a:solidFill>
              <a:schemeClr val="accent5">
                <a:lumMod val="20000"/>
                <a:lumOff val="80000"/>
              </a:schemeClr>
            </a:solidFill>
          </c:spPr>
          <c:invertIfNegative val="0"/>
          <c:dLbls>
            <c:txPr>
              <a:bodyPr rot="-5400000" vert="horz"/>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(2)'!$S$51:$U$51</c:f>
              <c:numCache>
                <c:formatCode>0.0%</c:formatCode>
                <c:ptCount val="3"/>
                <c:pt idx="0">
                  <c:v>2.1381391546136053E-2</c:v>
                </c:pt>
                <c:pt idx="1">
                  <c:v>2.130160526349003E-2</c:v>
                </c:pt>
                <c:pt idx="2">
                  <c:v>2.1722852875138827E-2</c:v>
                </c:pt>
              </c:numCache>
            </c:numRef>
          </c:val>
        </c:ser>
        <c:ser>
          <c:idx val="8"/>
          <c:order val="8"/>
          <c:tx>
            <c:strRef>
              <c:f>'2_2 (2)'!$R$52</c:f>
              <c:strCache>
                <c:ptCount val="1"/>
                <c:pt idx="0">
                  <c:v> správa systému ZP (2)</c:v>
                </c:pt>
              </c:strCache>
            </c:strRef>
          </c:tx>
          <c:spPr>
            <a:solidFill>
              <a:srgbClr val="00B050"/>
            </a:solidFill>
          </c:spPr>
          <c:invertIfNegative val="0"/>
          <c:dLbls>
            <c:txPr>
              <a:bodyPr rot="-5400000" vert="horz"/>
              <a:lstStyle/>
              <a:p>
                <a:pPr>
                  <a:defRPr b="1">
                    <a:solidFill>
                      <a:schemeClr val="bg1"/>
                    </a:solidFill>
                  </a:defRPr>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(2)'!$S$52:$U$52</c:f>
              <c:numCache>
                <c:formatCode>0.0%</c:formatCode>
                <c:ptCount val="3"/>
                <c:pt idx="0">
                  <c:v>2.5278604369048212E-2</c:v>
                </c:pt>
                <c:pt idx="1">
                  <c:v>2.4247299977217081E-2</c:v>
                </c:pt>
                <c:pt idx="2">
                  <c:v>2.3733101607346815E-2</c:v>
                </c:pt>
              </c:numCache>
            </c:numRef>
          </c:val>
        </c:ser>
        <c:ser>
          <c:idx val="9"/>
          <c:order val="9"/>
          <c:tx>
            <c:strRef>
              <c:f>'2_2 (2)'!$R$53</c:f>
              <c:strCache>
                <c:ptCount val="1"/>
                <c:pt idx="0">
                  <c:v> ostatní (3)</c:v>
                </c:pt>
              </c:strCache>
            </c:strRef>
          </c:tx>
          <c:spPr>
            <a:solidFill>
              <a:schemeClr val="bg1">
                <a:lumMod val="50000"/>
              </a:schemeClr>
            </a:solidFill>
          </c:spPr>
          <c:invertIfNegative val="0"/>
          <c:dLbls>
            <c:txPr>
              <a:bodyPr rot="-5400000" vert="horz"/>
              <a:lstStyle/>
              <a:p>
                <a:pPr>
                  <a:defRPr b="1">
                    <a:solidFill>
                      <a:schemeClr val="bg1"/>
                    </a:solidFill>
                  </a:defRPr>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(2)'!$S$53:$U$53</c:f>
              <c:numCache>
                <c:formatCode>0.0%</c:formatCode>
                <c:ptCount val="3"/>
                <c:pt idx="0">
                  <c:v>2.7062508826867657E-2</c:v>
                </c:pt>
                <c:pt idx="1">
                  <c:v>2.6262448821888069E-2</c:v>
                </c:pt>
                <c:pt idx="2">
                  <c:v>2.8314393108253871E-2</c:v>
                </c:pt>
              </c:numCache>
            </c:numRef>
          </c:val>
        </c:ser>
        <c:dLbls>
          <c:showLegendKey val="0"/>
          <c:showVal val="0"/>
          <c:showCatName val="0"/>
          <c:showSerName val="0"/>
          <c:showPercent val="0"/>
          <c:showBubbleSize val="0"/>
        </c:dLbls>
        <c:gapWidth val="40"/>
        <c:overlap val="100"/>
        <c:axId val="187880448"/>
        <c:axId val="335164480"/>
      </c:barChart>
      <c:catAx>
        <c:axId val="187880448"/>
        <c:scaling>
          <c:orientation val="minMax"/>
        </c:scaling>
        <c:delete val="0"/>
        <c:axPos val="l"/>
        <c:majorTickMark val="out"/>
        <c:minorTickMark val="none"/>
        <c:tickLblPos val="nextTo"/>
        <c:crossAx val="335164480"/>
        <c:crosses val="autoZero"/>
        <c:auto val="1"/>
        <c:lblAlgn val="ctr"/>
        <c:lblOffset val="100"/>
        <c:noMultiLvlLbl val="0"/>
      </c:catAx>
      <c:valAx>
        <c:axId val="335164480"/>
        <c:scaling>
          <c:orientation val="minMax"/>
        </c:scaling>
        <c:delete val="0"/>
        <c:axPos val="b"/>
        <c:majorGridlines>
          <c:spPr>
            <a:ln>
              <a:prstDash val="dash"/>
            </a:ln>
          </c:spPr>
        </c:majorGridlines>
        <c:numFmt formatCode="0%" sourceLinked="1"/>
        <c:majorTickMark val="out"/>
        <c:minorTickMark val="none"/>
        <c:tickLblPos val="nextTo"/>
        <c:crossAx val="187880448"/>
        <c:crosses val="autoZero"/>
        <c:crossBetween val="between"/>
      </c:valAx>
    </c:plotArea>
    <c:legend>
      <c:legendPos val="r"/>
      <c:layout>
        <c:manualLayout>
          <c:xMode val="edge"/>
          <c:yMode val="edge"/>
          <c:x val="0.10589940828402367"/>
          <c:y val="0.73419181977252901"/>
          <c:w val="0.8921365467320671"/>
          <c:h val="0.22464397919092821"/>
        </c:manualLayout>
      </c:layout>
      <c:overlay val="0"/>
      <c:spPr>
        <a:ln>
          <a:no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64391638888888891"/>
          <c:h val="0.85527012248469003"/>
        </c:manualLayout>
      </c:layout>
      <c:barChart>
        <c:barDir val="col"/>
        <c:grouping val="stacked"/>
        <c:varyColors val="0"/>
        <c:ser>
          <c:idx val="0"/>
          <c:order val="0"/>
          <c:tx>
            <c:strRef>
              <c:f>'2_7'!$A$13</c:f>
              <c:strCache>
                <c:ptCount val="1"/>
                <c:pt idx="0">
                  <c:v> lůžková</c:v>
                </c:pt>
              </c:strCache>
            </c:strRef>
          </c:tx>
          <c:spPr>
            <a:solidFill>
              <a:srgbClr val="FF0000"/>
            </a:solidFill>
          </c:spPr>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'2_7'!$F$12:$H$12</c:f>
              <c:strCache>
                <c:ptCount val="3"/>
                <c:pt idx="0">
                  <c:v>2014</c:v>
                </c:pt>
                <c:pt idx="1">
                  <c:v>2015</c:v>
                </c:pt>
                <c:pt idx="2">
                  <c:v>2016</c:v>
                </c:pt>
              </c:strCache>
            </c:strRef>
          </c:cat>
          <c:val>
            <c:numRef>
              <c:f>'2_7'!$F$13:$H$13</c:f>
              <c:numCache>
                <c:formatCode>#,##0.0</c:formatCode>
                <c:ptCount val="3"/>
                <c:pt idx="0">
                  <c:v>52.473000000000006</c:v>
                </c:pt>
                <c:pt idx="1">
                  <c:v>51.431000000000004</c:v>
                </c:pt>
                <c:pt idx="2">
                  <c:v>50.937806674454976</c:v>
                </c:pt>
              </c:numCache>
            </c:numRef>
          </c:val>
        </c:ser>
        <c:ser>
          <c:idx val="1"/>
          <c:order val="1"/>
          <c:tx>
            <c:strRef>
              <c:f>'2_7'!$A$14</c:f>
              <c:strCache>
                <c:ptCount val="1"/>
                <c:pt idx="0">
                  <c:v> denní</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'2_7'!$F$12:$H$12</c:f>
              <c:strCache>
                <c:ptCount val="3"/>
                <c:pt idx="0">
                  <c:v>2014</c:v>
                </c:pt>
                <c:pt idx="1">
                  <c:v>2015</c:v>
                </c:pt>
                <c:pt idx="2">
                  <c:v>2016</c:v>
                </c:pt>
              </c:strCache>
            </c:strRef>
          </c:cat>
          <c:val>
            <c:numRef>
              <c:f>'2_7'!$F$14:$H$14</c:f>
              <c:numCache>
                <c:formatCode>#,##0.0</c:formatCode>
                <c:ptCount val="3"/>
                <c:pt idx="0">
                  <c:v>5.5609999999999964</c:v>
                </c:pt>
                <c:pt idx="1">
                  <c:v>5.7350000000000003</c:v>
                </c:pt>
                <c:pt idx="2">
                  <c:v>5.7200682139999897</c:v>
                </c:pt>
              </c:numCache>
            </c:numRef>
          </c:val>
        </c:ser>
        <c:ser>
          <c:idx val="2"/>
          <c:order val="2"/>
          <c:tx>
            <c:strRef>
              <c:f>'2_7'!$A$15</c:f>
              <c:strCache>
                <c:ptCount val="1"/>
                <c:pt idx="0">
                  <c:v> ambulantní (1)</c:v>
                </c:pt>
              </c:strCache>
            </c:strRef>
          </c:tx>
          <c:spPr>
            <a:solidFill>
              <a:srgbClr val="00B0F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'2_7'!$F$12:$H$12</c:f>
              <c:strCache>
                <c:ptCount val="3"/>
                <c:pt idx="0">
                  <c:v>2014</c:v>
                </c:pt>
                <c:pt idx="1">
                  <c:v>2015</c:v>
                </c:pt>
                <c:pt idx="2">
                  <c:v>2016</c:v>
                </c:pt>
              </c:strCache>
            </c:strRef>
          </c:cat>
          <c:val>
            <c:numRef>
              <c:f>'2_7'!$F$15:$H$15</c:f>
              <c:numCache>
                <c:formatCode>#,##0.0</c:formatCode>
                <c:ptCount val="3"/>
                <c:pt idx="0">
                  <c:v>61.608622727927589</c:v>
                </c:pt>
                <c:pt idx="1">
                  <c:v>66.461267625248695</c:v>
                </c:pt>
                <c:pt idx="2">
                  <c:v>67.361423232845667</c:v>
                </c:pt>
              </c:numCache>
            </c:numRef>
          </c:val>
        </c:ser>
        <c:ser>
          <c:idx val="3"/>
          <c:order val="3"/>
          <c:tx>
            <c:strRef>
              <c:f>'2_7'!$A$16</c:f>
              <c:strCache>
                <c:ptCount val="1"/>
                <c:pt idx="0">
                  <c:v> stomatologická</c:v>
                </c:pt>
              </c:strCache>
            </c:strRef>
          </c:tx>
          <c:spPr>
            <a:solidFill>
              <a:srgbClr val="00B050"/>
            </a:solidFill>
            <a:ln>
              <a:noFill/>
            </a:ln>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'2_7'!$F$12:$H$12</c:f>
              <c:strCache>
                <c:ptCount val="3"/>
                <c:pt idx="0">
                  <c:v>2014</c:v>
                </c:pt>
                <c:pt idx="1">
                  <c:v>2015</c:v>
                </c:pt>
                <c:pt idx="2">
                  <c:v>2016</c:v>
                </c:pt>
              </c:strCache>
            </c:strRef>
          </c:cat>
          <c:val>
            <c:numRef>
              <c:f>'2_7'!$F$16:$H$16</c:f>
              <c:numCache>
                <c:formatCode>#,##0.0</c:formatCode>
                <c:ptCount val="3"/>
                <c:pt idx="0">
                  <c:v>17.490534819759983</c:v>
                </c:pt>
                <c:pt idx="1">
                  <c:v>17.781134462490005</c:v>
                </c:pt>
                <c:pt idx="2">
                  <c:v>18.230256919950026</c:v>
                </c:pt>
              </c:numCache>
            </c:numRef>
          </c:val>
        </c:ser>
        <c:ser>
          <c:idx val="4"/>
          <c:order val="4"/>
          <c:tx>
            <c:strRef>
              <c:f>'2_7'!$A$17</c:f>
              <c:strCache>
                <c:ptCount val="1"/>
                <c:pt idx="0">
                  <c:v> domácí</c:v>
                </c:pt>
              </c:strCache>
            </c:strRef>
          </c:tx>
          <c:spPr>
            <a:solidFill>
              <a:schemeClr val="tx1"/>
            </a:solidFill>
            <a:ln>
              <a:noFill/>
            </a:ln>
          </c:spPr>
          <c:invertIfNegative val="0"/>
          <c:cat>
            <c:strRef>
              <c:f>'2_7'!$F$12:$H$12</c:f>
              <c:strCache>
                <c:ptCount val="3"/>
                <c:pt idx="0">
                  <c:v>2014</c:v>
                </c:pt>
                <c:pt idx="1">
                  <c:v>2015</c:v>
                </c:pt>
                <c:pt idx="2">
                  <c:v>2016</c:v>
                </c:pt>
              </c:strCache>
            </c:strRef>
          </c:cat>
          <c:val>
            <c:numRef>
              <c:f>'2_7'!$F$17:$H$17</c:f>
              <c:numCache>
                <c:formatCode>#,##0.0</c:formatCode>
                <c:ptCount val="3"/>
                <c:pt idx="0">
                  <c:v>0.1790000000000001</c:v>
                </c:pt>
                <c:pt idx="1">
                  <c:v>0.192</c:v>
                </c:pt>
                <c:pt idx="2">
                  <c:v>0.18749738100000068</c:v>
                </c:pt>
              </c:numCache>
            </c:numRef>
          </c:val>
        </c:ser>
        <c:ser>
          <c:idx val="5"/>
          <c:order val="5"/>
          <c:tx>
            <c:strRef>
              <c:f>'2_7'!$A$18</c:f>
              <c:strCache>
                <c:ptCount val="1"/>
                <c:pt idx="0">
                  <c:v>Léčebná péče celkem</c:v>
                </c:pt>
              </c:strCache>
            </c:strRef>
          </c:tx>
          <c:spPr>
            <a:noFill/>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strRef>
              <c:f>'2_7'!$F$12:$H$12</c:f>
              <c:strCache>
                <c:ptCount val="3"/>
                <c:pt idx="0">
                  <c:v>2014</c:v>
                </c:pt>
                <c:pt idx="1">
                  <c:v>2015</c:v>
                </c:pt>
                <c:pt idx="2">
                  <c:v>2016</c:v>
                </c:pt>
              </c:strCache>
            </c:strRef>
          </c:cat>
          <c:val>
            <c:numRef>
              <c:f>'2_7'!$F$18:$H$18</c:f>
              <c:numCache>
                <c:formatCode>#,##0.0</c:formatCode>
                <c:ptCount val="3"/>
                <c:pt idx="0">
                  <c:v>137.31100000000001</c:v>
                </c:pt>
                <c:pt idx="1">
                  <c:v>141.6</c:v>
                </c:pt>
                <c:pt idx="2">
                  <c:v>142.43705888361259</c:v>
                </c:pt>
              </c:numCache>
            </c:numRef>
          </c:val>
        </c:ser>
        <c:dLbls>
          <c:showLegendKey val="0"/>
          <c:showVal val="0"/>
          <c:showCatName val="0"/>
          <c:showSerName val="0"/>
          <c:showPercent val="0"/>
          <c:showBubbleSize val="0"/>
        </c:dLbls>
        <c:gapWidth val="30"/>
        <c:overlap val="100"/>
        <c:axId val="184837120"/>
        <c:axId val="335251136"/>
      </c:barChart>
      <c:catAx>
        <c:axId val="184837120"/>
        <c:scaling>
          <c:orientation val="minMax"/>
        </c:scaling>
        <c:delete val="0"/>
        <c:axPos val="b"/>
        <c:numFmt formatCode="General" sourceLinked="1"/>
        <c:majorTickMark val="out"/>
        <c:minorTickMark val="none"/>
        <c:tickLblPos val="nextTo"/>
        <c:crossAx val="335251136"/>
        <c:crosses val="autoZero"/>
        <c:auto val="1"/>
        <c:lblAlgn val="ctr"/>
        <c:lblOffset val="100"/>
        <c:noMultiLvlLbl val="0"/>
      </c:catAx>
      <c:valAx>
        <c:axId val="335251136"/>
        <c:scaling>
          <c:orientation val="minMax"/>
          <c:max val="160"/>
        </c:scaling>
        <c:delete val="0"/>
        <c:axPos val="l"/>
        <c:majorGridlines>
          <c:spPr>
            <a:ln>
              <a:prstDash val="dash"/>
            </a:ln>
          </c:spPr>
        </c:majorGridlines>
        <c:numFmt formatCode="#,##0" sourceLinked="0"/>
        <c:majorTickMark val="none"/>
        <c:minorTickMark val="none"/>
        <c:tickLblPos val="none"/>
        <c:crossAx val="184837120"/>
        <c:crosses val="autoZero"/>
        <c:crossBetween val="between"/>
        <c:majorUnit val="20"/>
        <c:minorUnit val="10"/>
      </c:valAx>
      <c:spPr>
        <a:ln>
          <a:solidFill>
            <a:schemeClr val="bg1">
              <a:lumMod val="75000"/>
            </a:schemeClr>
          </a:solidFill>
        </a:ln>
      </c:spPr>
    </c:plotArea>
    <c:legend>
      <c:legendPos val="r"/>
      <c:legendEntry>
        <c:idx val="0"/>
        <c:delete val="1"/>
      </c:legendEntry>
      <c:overlay val="0"/>
      <c:spPr>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'2_7'!$A$4</c:f>
              <c:strCache>
                <c:ptCount val="1"/>
                <c:pt idx="0">
                  <c:v> lůžková</c:v>
                </c:pt>
              </c:strCache>
            </c:strRef>
          </c:tx>
          <c:spPr>
            <a:solidFill>
              <a:srgbClr val="FF000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'2_7'!$F$3:$H$3</c:f>
              <c:strCache>
                <c:ptCount val="3"/>
                <c:pt idx="0">
                  <c:v>2014</c:v>
                </c:pt>
                <c:pt idx="1">
                  <c:v>2015</c:v>
                </c:pt>
                <c:pt idx="2">
                  <c:v>2016</c:v>
                </c:pt>
              </c:strCache>
            </c:strRef>
          </c:cat>
          <c:val>
            <c:numRef>
              <c:f>'2_7'!$F$4:$H$4</c:f>
              <c:numCache>
                <c:formatCode>0.0%</c:formatCode>
                <c:ptCount val="3"/>
                <c:pt idx="0">
                  <c:v>0.3821470967366053</c:v>
                </c:pt>
                <c:pt idx="1">
                  <c:v>0.36321327683615817</c:v>
                </c:pt>
                <c:pt idx="2">
                  <c:v>0.35761624870446868</c:v>
                </c:pt>
              </c:numCache>
            </c:numRef>
          </c:val>
        </c:ser>
        <c:ser>
          <c:idx val="1"/>
          <c:order val="1"/>
          <c:tx>
            <c:strRef>
              <c:f>'2_7'!$A$5</c:f>
              <c:strCache>
                <c:ptCount val="1"/>
                <c:pt idx="0">
                  <c:v> denní</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'2_7'!$F$3:$H$3</c:f>
              <c:strCache>
                <c:ptCount val="3"/>
                <c:pt idx="0">
                  <c:v>2014</c:v>
                </c:pt>
                <c:pt idx="1">
                  <c:v>2015</c:v>
                </c:pt>
                <c:pt idx="2">
                  <c:v>2016</c:v>
                </c:pt>
              </c:strCache>
            </c:strRef>
          </c:cat>
          <c:val>
            <c:numRef>
              <c:f>'2_7'!$F$5:$H$5</c:f>
              <c:numCache>
                <c:formatCode>0.0%</c:formatCode>
                <c:ptCount val="3"/>
                <c:pt idx="0">
                  <c:v>4.0499304498547092E-2</c:v>
                </c:pt>
                <c:pt idx="1">
                  <c:v>4.0501412429378526E-2</c:v>
                </c:pt>
                <c:pt idx="2">
                  <c:v>4.0158567291634015E-2</c:v>
                </c:pt>
              </c:numCache>
            </c:numRef>
          </c:val>
        </c:ser>
        <c:ser>
          <c:idx val="2"/>
          <c:order val="2"/>
          <c:tx>
            <c:strRef>
              <c:f>'2_7'!$A$6</c:f>
              <c:strCache>
                <c:ptCount val="1"/>
                <c:pt idx="0">
                  <c:v> ambulantní (1)</c:v>
                </c:pt>
              </c:strCache>
            </c:strRef>
          </c:tx>
          <c:spPr>
            <a:solidFill>
              <a:srgbClr val="00B0F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'2_7'!$F$3:$H$3</c:f>
              <c:strCache>
                <c:ptCount val="3"/>
                <c:pt idx="0">
                  <c:v>2014</c:v>
                </c:pt>
                <c:pt idx="1">
                  <c:v>2015</c:v>
                </c:pt>
                <c:pt idx="2">
                  <c:v>2016</c:v>
                </c:pt>
              </c:strCache>
            </c:strRef>
          </c:cat>
          <c:val>
            <c:numRef>
              <c:f>'2_7'!$F$6:$H$6</c:f>
              <c:numCache>
                <c:formatCode>0.0%</c:formatCode>
                <c:ptCount val="3"/>
                <c:pt idx="0">
                  <c:v>0.4486794410347868</c:v>
                </c:pt>
                <c:pt idx="1">
                  <c:v>0.46935923464158574</c:v>
                </c:pt>
                <c:pt idx="2">
                  <c:v>0.47292062726377793</c:v>
                </c:pt>
              </c:numCache>
            </c:numRef>
          </c:val>
        </c:ser>
        <c:ser>
          <c:idx val="3"/>
          <c:order val="3"/>
          <c:tx>
            <c:strRef>
              <c:f>'2_7'!$A$7</c:f>
              <c:strCache>
                <c:ptCount val="1"/>
                <c:pt idx="0">
                  <c:v> stomatologická</c:v>
                </c:pt>
              </c:strCache>
            </c:strRef>
          </c:tx>
          <c:spPr>
            <a:solidFill>
              <a:srgbClr val="00B05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'2_7'!$F$3:$H$3</c:f>
              <c:strCache>
                <c:ptCount val="3"/>
                <c:pt idx="0">
                  <c:v>2014</c:v>
                </c:pt>
                <c:pt idx="1">
                  <c:v>2015</c:v>
                </c:pt>
                <c:pt idx="2">
                  <c:v>2016</c:v>
                </c:pt>
              </c:strCache>
            </c:strRef>
          </c:cat>
          <c:val>
            <c:numRef>
              <c:f>'2_7'!$F$7:$H$7</c:f>
              <c:numCache>
                <c:formatCode>0.0%</c:formatCode>
                <c:ptCount val="3"/>
                <c:pt idx="0">
                  <c:v>0.12737897779318474</c:v>
                </c:pt>
                <c:pt idx="1">
                  <c:v>0.12557298349216117</c:v>
                </c:pt>
                <c:pt idx="2">
                  <c:v>0.12798815886002152</c:v>
                </c:pt>
              </c:numCache>
            </c:numRef>
          </c:val>
        </c:ser>
        <c:ser>
          <c:idx val="4"/>
          <c:order val="4"/>
          <c:tx>
            <c:strRef>
              <c:f>'2_7'!$A$8</c:f>
              <c:strCache>
                <c:ptCount val="1"/>
                <c:pt idx="0">
                  <c:v> domácí</c:v>
                </c:pt>
              </c:strCache>
            </c:strRef>
          </c:tx>
          <c:invertIfNegative val="0"/>
          <c:cat>
            <c:strRef>
              <c:f>'2_7'!$F$3:$H$3</c:f>
              <c:strCache>
                <c:ptCount val="3"/>
                <c:pt idx="0">
                  <c:v>2014</c:v>
                </c:pt>
                <c:pt idx="1">
                  <c:v>2015</c:v>
                </c:pt>
                <c:pt idx="2">
                  <c:v>2016</c:v>
                </c:pt>
              </c:strCache>
            </c:strRef>
          </c:cat>
          <c:val>
            <c:numRef>
              <c:f>'2_7'!$F$8:$H$8</c:f>
              <c:numCache>
                <c:formatCode>0.0%</c:formatCode>
                <c:ptCount val="3"/>
                <c:pt idx="0">
                  <c:v>1.3036100530911588E-3</c:v>
                </c:pt>
                <c:pt idx="1">
                  <c:v>1.3559322033898306E-3</c:v>
                </c:pt>
                <c:pt idx="2">
                  <c:v>1.3163525171718663E-3</c:v>
                </c:pt>
              </c:numCache>
            </c:numRef>
          </c:val>
        </c:ser>
        <c:dLbls>
          <c:showLegendKey val="0"/>
          <c:showVal val="0"/>
          <c:showCatName val="0"/>
          <c:showSerName val="0"/>
          <c:showPercent val="0"/>
          <c:showBubbleSize val="0"/>
        </c:dLbls>
        <c:gapWidth val="50"/>
        <c:overlap val="100"/>
        <c:axId val="184839168"/>
        <c:axId val="335252864"/>
      </c:barChart>
      <c:catAx>
        <c:axId val="184839168"/>
        <c:scaling>
          <c:orientation val="minMax"/>
        </c:scaling>
        <c:delete val="0"/>
        <c:axPos val="b"/>
        <c:numFmt formatCode="General" sourceLinked="1"/>
        <c:majorTickMark val="out"/>
        <c:minorTickMark val="none"/>
        <c:tickLblPos val="nextTo"/>
        <c:crossAx val="335252864"/>
        <c:crosses val="autoZero"/>
        <c:auto val="1"/>
        <c:lblAlgn val="ctr"/>
        <c:lblOffset val="100"/>
        <c:noMultiLvlLbl val="0"/>
      </c:catAx>
      <c:valAx>
        <c:axId val="335252864"/>
        <c:scaling>
          <c:orientation val="minMax"/>
          <c:max val="1"/>
        </c:scaling>
        <c:delete val="0"/>
        <c:axPos val="l"/>
        <c:majorGridlines>
          <c:spPr>
            <a:ln>
              <a:prstDash val="dash"/>
            </a:ln>
          </c:spPr>
        </c:majorGridlines>
        <c:numFmt formatCode="0%" sourceLinked="0"/>
        <c:majorTickMark val="none"/>
        <c:minorTickMark val="none"/>
        <c:tickLblPos val="none"/>
        <c:crossAx val="184839168"/>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58821461988304058"/>
          <c:h val="0.85527012248469003"/>
        </c:manualLayout>
      </c:layout>
      <c:barChart>
        <c:barDir val="col"/>
        <c:grouping val="stacked"/>
        <c:varyColors val="0"/>
        <c:ser>
          <c:idx val="0"/>
          <c:order val="0"/>
          <c:tx>
            <c:strRef>
              <c:f>'2_8'!$A$13</c:f>
              <c:strCache>
                <c:ptCount val="1"/>
                <c:pt idx="0">
                  <c:v> léky na předpis</c:v>
                </c:pt>
              </c:strCache>
            </c:strRef>
          </c:tx>
          <c:spPr>
            <a:solidFill>
              <a:schemeClr val="accent2">
                <a:lumMod val="75000"/>
              </a:schemeClr>
            </a:solidFill>
          </c:spPr>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'2_8'!$D$12:$H$12</c:f>
              <c:strCache>
                <c:ptCount val="5"/>
                <c:pt idx="0">
                  <c:v>2012</c:v>
                </c:pt>
                <c:pt idx="1">
                  <c:v>2013</c:v>
                </c:pt>
                <c:pt idx="2">
                  <c:v>2014</c:v>
                </c:pt>
                <c:pt idx="3">
                  <c:v>2015</c:v>
                </c:pt>
                <c:pt idx="4">
                  <c:v>2016</c:v>
                </c:pt>
              </c:strCache>
            </c:strRef>
          </c:cat>
          <c:val>
            <c:numRef>
              <c:f>'2_8'!$D$13:$H$13</c:f>
              <c:numCache>
                <c:formatCode>#,##0.0</c:formatCode>
                <c:ptCount val="5"/>
                <c:pt idx="0">
                  <c:v>46.136242076430108</c:v>
                </c:pt>
                <c:pt idx="1">
                  <c:v>41.993872785000001</c:v>
                </c:pt>
                <c:pt idx="2">
                  <c:v>41.46142476499999</c:v>
                </c:pt>
                <c:pt idx="3">
                  <c:v>41.780529850000001</c:v>
                </c:pt>
                <c:pt idx="4">
                  <c:v>42.252809820000003</c:v>
                </c:pt>
              </c:numCache>
            </c:numRef>
          </c:val>
        </c:ser>
        <c:ser>
          <c:idx val="1"/>
          <c:order val="1"/>
          <c:tx>
            <c:strRef>
              <c:f>'2_8'!$A$14</c:f>
              <c:strCache>
                <c:ptCount val="1"/>
                <c:pt idx="0">
                  <c:v> volně prodejné léky</c:v>
                </c:pt>
              </c:strCache>
            </c:strRef>
          </c:tx>
          <c:spPr>
            <a:solidFill>
              <a:schemeClr val="accent2">
                <a:lumMod val="40000"/>
                <a:lumOff val="6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'2_8'!$D$12:$H$12</c:f>
              <c:strCache>
                <c:ptCount val="5"/>
                <c:pt idx="0">
                  <c:v>2012</c:v>
                </c:pt>
                <c:pt idx="1">
                  <c:v>2013</c:v>
                </c:pt>
                <c:pt idx="2">
                  <c:v>2014</c:v>
                </c:pt>
                <c:pt idx="3">
                  <c:v>2015</c:v>
                </c:pt>
                <c:pt idx="4">
                  <c:v>2016</c:v>
                </c:pt>
              </c:strCache>
            </c:strRef>
          </c:cat>
          <c:val>
            <c:numRef>
              <c:f>'2_8'!$D$14:$H$14</c:f>
              <c:numCache>
                <c:formatCode>#,##0.0</c:formatCode>
                <c:ptCount val="5"/>
                <c:pt idx="0">
                  <c:v>12.088000000000001</c:v>
                </c:pt>
                <c:pt idx="1">
                  <c:v>11.179</c:v>
                </c:pt>
                <c:pt idx="2">
                  <c:v>12.14</c:v>
                </c:pt>
                <c:pt idx="3">
                  <c:v>12.744</c:v>
                </c:pt>
                <c:pt idx="4">
                  <c:v>13.447000000000001</c:v>
                </c:pt>
              </c:numCache>
            </c:numRef>
          </c:val>
        </c:ser>
        <c:ser>
          <c:idx val="2"/>
          <c:order val="2"/>
          <c:tx>
            <c:strRef>
              <c:f>'2_8'!$A$15</c:f>
              <c:strCache>
                <c:ptCount val="1"/>
                <c:pt idx="0">
                  <c:v> léky spotřebované přímo ve ZZ (1)</c:v>
                </c:pt>
              </c:strCache>
            </c:strRef>
          </c:tx>
          <c:spPr>
            <a:pattFill prst="ltUpDiag">
              <a:fgClr>
                <a:srgbClr val="FF0000"/>
              </a:fgClr>
              <a:bgClr>
                <a:schemeClr val="bg1"/>
              </a:bgClr>
            </a:pattFill>
          </c:spPr>
          <c:invertIfNegative val="0"/>
          <c:dLbls>
            <c:txPr>
              <a:bodyPr/>
              <a:lstStyle/>
              <a:p>
                <a:pPr>
                  <a:defRPr b="1"/>
                </a:pPr>
                <a:endParaRPr lang="cs-CZ"/>
              </a:p>
            </c:txPr>
            <c:showLegendKey val="0"/>
            <c:showVal val="1"/>
            <c:showCatName val="0"/>
            <c:showSerName val="0"/>
            <c:showPercent val="0"/>
            <c:showBubbleSize val="0"/>
            <c:showLeaderLines val="0"/>
          </c:dLbls>
          <c:cat>
            <c:strRef>
              <c:f>'2_8'!$D$12:$H$12</c:f>
              <c:strCache>
                <c:ptCount val="5"/>
                <c:pt idx="0">
                  <c:v>2012</c:v>
                </c:pt>
                <c:pt idx="1">
                  <c:v>2013</c:v>
                </c:pt>
                <c:pt idx="2">
                  <c:v>2014</c:v>
                </c:pt>
                <c:pt idx="3">
                  <c:v>2015</c:v>
                </c:pt>
                <c:pt idx="4">
                  <c:v>2016</c:v>
                </c:pt>
              </c:strCache>
            </c:strRef>
          </c:cat>
          <c:val>
            <c:numRef>
              <c:f>'2_8'!$D$15:$H$15</c:f>
              <c:numCache>
                <c:formatCode>#,##0.0</c:formatCode>
                <c:ptCount val="5"/>
                <c:pt idx="0">
                  <c:v>17.641157000000014</c:v>
                </c:pt>
                <c:pt idx="1">
                  <c:v>18.662196999999981</c:v>
                </c:pt>
                <c:pt idx="2">
                  <c:v>20.241109000000002</c:v>
                </c:pt>
                <c:pt idx="3">
                  <c:v>22.306852000000013</c:v>
                </c:pt>
                <c:pt idx="4">
                  <c:v>23.4</c:v>
                </c:pt>
              </c:numCache>
            </c:numRef>
          </c:val>
        </c:ser>
        <c:ser>
          <c:idx val="3"/>
          <c:order val="3"/>
          <c:tx>
            <c:strRef>
              <c:f>'2_8'!$A$16</c:f>
              <c:strCache>
                <c:ptCount val="1"/>
                <c:pt idx="0">
                  <c:v> terapeutické pomůcky</c:v>
                </c:pt>
              </c:strCache>
            </c:strRef>
          </c:tx>
          <c:spPr>
            <a:solidFill>
              <a:srgbClr val="00B0F0"/>
            </a:solidFill>
            <a:ln>
              <a:noFill/>
            </a:ln>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'2_8'!$D$12:$H$12</c:f>
              <c:strCache>
                <c:ptCount val="5"/>
                <c:pt idx="0">
                  <c:v>2012</c:v>
                </c:pt>
                <c:pt idx="1">
                  <c:v>2013</c:v>
                </c:pt>
                <c:pt idx="2">
                  <c:v>2014</c:v>
                </c:pt>
                <c:pt idx="3">
                  <c:v>2015</c:v>
                </c:pt>
                <c:pt idx="4">
                  <c:v>2016</c:v>
                </c:pt>
              </c:strCache>
            </c:strRef>
          </c:cat>
          <c:val>
            <c:numRef>
              <c:f>'2_8'!$D$16:$H$16</c:f>
              <c:numCache>
                <c:formatCode>#,##0.0</c:formatCode>
                <c:ptCount val="5"/>
                <c:pt idx="0">
                  <c:v>9.2860820990000068</c:v>
                </c:pt>
                <c:pt idx="1">
                  <c:v>10.562966914000008</c:v>
                </c:pt>
                <c:pt idx="2">
                  <c:v>10.063605268000007</c:v>
                </c:pt>
                <c:pt idx="3">
                  <c:v>9.7695422730000079</c:v>
                </c:pt>
                <c:pt idx="4">
                  <c:v>9.9208073910000003</c:v>
                </c:pt>
              </c:numCache>
            </c:numRef>
          </c:val>
        </c:ser>
        <c:ser>
          <c:idx val="4"/>
          <c:order val="4"/>
          <c:tx>
            <c:strRef>
              <c:f>'2_8'!$A$17</c:f>
              <c:strCache>
                <c:ptCount val="1"/>
                <c:pt idx="0">
                  <c:v> ostatní zdrav. materiál a výrobky</c:v>
                </c:pt>
              </c:strCache>
            </c:strRef>
          </c:tx>
          <c:spPr>
            <a:solidFill>
              <a:schemeClr val="bg1">
                <a:lumMod val="50000"/>
              </a:schemeClr>
            </a:solidFill>
            <a:ln>
              <a:noFill/>
            </a:ln>
          </c:spPr>
          <c:invertIfNegative val="0"/>
          <c:cat>
            <c:strRef>
              <c:f>'2_8'!$D$12:$H$12</c:f>
              <c:strCache>
                <c:ptCount val="5"/>
                <c:pt idx="0">
                  <c:v>2012</c:v>
                </c:pt>
                <c:pt idx="1">
                  <c:v>2013</c:v>
                </c:pt>
                <c:pt idx="2">
                  <c:v>2014</c:v>
                </c:pt>
                <c:pt idx="3">
                  <c:v>2015</c:v>
                </c:pt>
                <c:pt idx="4">
                  <c:v>2016</c:v>
                </c:pt>
              </c:strCache>
            </c:strRef>
          </c:cat>
          <c:val>
            <c:numRef>
              <c:f>'2_8'!$D$17:$H$17</c:f>
              <c:numCache>
                <c:formatCode>#,##0.0</c:formatCode>
                <c:ptCount val="5"/>
                <c:pt idx="0">
                  <c:v>3.1654680709999998</c:v>
                </c:pt>
                <c:pt idx="1">
                  <c:v>3.0484557029999997</c:v>
                </c:pt>
                <c:pt idx="2">
                  <c:v>3.3558651549999974</c:v>
                </c:pt>
                <c:pt idx="3">
                  <c:v>3.5359773989999996</c:v>
                </c:pt>
                <c:pt idx="4">
                  <c:v>3.6647016780000023</c:v>
                </c:pt>
              </c:numCache>
            </c:numRef>
          </c:val>
        </c:ser>
        <c:ser>
          <c:idx val="5"/>
          <c:order val="5"/>
          <c:tx>
            <c:strRef>
              <c:f>'2_8'!$A$18</c:f>
              <c:strCache>
                <c:ptCount val="1"/>
                <c:pt idx="0">
                  <c:v>Léčiva a ostatní zdravotnické výrobky celkem</c:v>
                </c:pt>
              </c:strCache>
            </c:strRef>
          </c:tx>
          <c:spPr>
            <a:noFill/>
          </c:spPr>
          <c:invertIfNegative val="0"/>
          <c:dLbls>
            <c:txPr>
              <a:bodyPr/>
              <a:lstStyle/>
              <a:p>
                <a:pPr>
                  <a:defRPr b="1" i="1"/>
                </a:pPr>
                <a:endParaRPr lang="cs-CZ"/>
              </a:p>
            </c:txPr>
            <c:dLblPos val="inBase"/>
            <c:showLegendKey val="0"/>
            <c:showVal val="1"/>
            <c:showCatName val="0"/>
            <c:showSerName val="0"/>
            <c:showPercent val="0"/>
            <c:showBubbleSize val="0"/>
            <c:showLeaderLines val="0"/>
          </c:dLbls>
          <c:cat>
            <c:strRef>
              <c:f>'2_8'!$D$12:$H$12</c:f>
              <c:strCache>
                <c:ptCount val="5"/>
                <c:pt idx="0">
                  <c:v>2012</c:v>
                </c:pt>
                <c:pt idx="1">
                  <c:v>2013</c:v>
                </c:pt>
                <c:pt idx="2">
                  <c:v>2014</c:v>
                </c:pt>
                <c:pt idx="3">
                  <c:v>2015</c:v>
                </c:pt>
                <c:pt idx="4">
                  <c:v>2016</c:v>
                </c:pt>
              </c:strCache>
            </c:strRef>
          </c:cat>
          <c:val>
            <c:numRef>
              <c:f>'2_8'!$D$18:$H$18</c:f>
              <c:numCache>
                <c:formatCode>#,##0.0</c:formatCode>
                <c:ptCount val="5"/>
                <c:pt idx="0">
                  <c:v>88.316949246430113</c:v>
                </c:pt>
                <c:pt idx="1">
                  <c:v>85.446492402000004</c:v>
                </c:pt>
                <c:pt idx="2">
                  <c:v>87.262004187999949</c:v>
                </c:pt>
                <c:pt idx="3">
                  <c:v>90.136901521999988</c:v>
                </c:pt>
                <c:pt idx="4">
                  <c:v>92.685318888999888</c:v>
                </c:pt>
              </c:numCache>
            </c:numRef>
          </c:val>
        </c:ser>
        <c:dLbls>
          <c:showLegendKey val="0"/>
          <c:showVal val="0"/>
          <c:showCatName val="0"/>
          <c:showSerName val="0"/>
          <c:showPercent val="0"/>
          <c:showBubbleSize val="0"/>
        </c:dLbls>
        <c:gapWidth val="30"/>
        <c:overlap val="100"/>
        <c:axId val="187881472"/>
        <c:axId val="335254592"/>
      </c:barChart>
      <c:catAx>
        <c:axId val="187881472"/>
        <c:scaling>
          <c:orientation val="minMax"/>
        </c:scaling>
        <c:delete val="0"/>
        <c:axPos val="b"/>
        <c:numFmt formatCode="General" sourceLinked="1"/>
        <c:majorTickMark val="out"/>
        <c:minorTickMark val="none"/>
        <c:tickLblPos val="nextTo"/>
        <c:crossAx val="335254592"/>
        <c:crosses val="autoZero"/>
        <c:auto val="1"/>
        <c:lblAlgn val="ctr"/>
        <c:lblOffset val="100"/>
        <c:noMultiLvlLbl val="0"/>
      </c:catAx>
      <c:valAx>
        <c:axId val="335254592"/>
        <c:scaling>
          <c:orientation val="minMax"/>
          <c:max val="100"/>
        </c:scaling>
        <c:delete val="0"/>
        <c:axPos val="l"/>
        <c:majorGridlines>
          <c:spPr>
            <a:ln>
              <a:prstDash val="dash"/>
            </a:ln>
          </c:spPr>
        </c:majorGridlines>
        <c:numFmt formatCode="#,##0" sourceLinked="0"/>
        <c:majorTickMark val="none"/>
        <c:minorTickMark val="none"/>
        <c:tickLblPos val="none"/>
        <c:crossAx val="187881472"/>
        <c:crosses val="autoZero"/>
        <c:crossBetween val="between"/>
        <c:majorUnit val="10"/>
        <c:minorUnit val="5"/>
      </c:valAx>
      <c:spPr>
        <a:ln>
          <a:solidFill>
            <a:schemeClr val="bg1">
              <a:lumMod val="75000"/>
            </a:schemeClr>
          </a:solidFill>
        </a:ln>
      </c:spPr>
    </c:plotArea>
    <c:legend>
      <c:legendPos val="r"/>
      <c:legendEntry>
        <c:idx val="0"/>
        <c:delete val="1"/>
      </c:legendEntry>
      <c:layout>
        <c:manualLayout>
          <c:xMode val="edge"/>
          <c:yMode val="edge"/>
          <c:x val="0.64438254410399254"/>
          <c:y val="0.23824497130802422"/>
          <c:w val="0.31104921077065922"/>
          <c:h val="0.52298413029497137"/>
        </c:manualLayout>
      </c:layout>
      <c:overlay val="0"/>
      <c:spPr>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'2_8'!$A$4</c:f>
              <c:strCache>
                <c:ptCount val="1"/>
                <c:pt idx="0">
                  <c:v> léky na předpis</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'2_8'!$D$3:$H$3</c:f>
              <c:strCache>
                <c:ptCount val="5"/>
                <c:pt idx="0">
                  <c:v>2012</c:v>
                </c:pt>
                <c:pt idx="1">
                  <c:v>2013</c:v>
                </c:pt>
                <c:pt idx="2">
                  <c:v>2014</c:v>
                </c:pt>
                <c:pt idx="3">
                  <c:v>2015</c:v>
                </c:pt>
                <c:pt idx="4">
                  <c:v>2016</c:v>
                </c:pt>
              </c:strCache>
            </c:strRef>
          </c:cat>
          <c:val>
            <c:numRef>
              <c:f>'2_8'!$D$4:$H$4</c:f>
              <c:numCache>
                <c:formatCode>0.0%</c:formatCode>
                <c:ptCount val="5"/>
                <c:pt idx="0">
                  <c:v>0.52239397386447872</c:v>
                </c:pt>
                <c:pt idx="1">
                  <c:v>0.49146397475781123</c:v>
                </c:pt>
                <c:pt idx="2">
                  <c:v>0.4751372049130822</c:v>
                </c:pt>
                <c:pt idx="3">
                  <c:v>0.46352303157217462</c:v>
                </c:pt>
                <c:pt idx="4">
                  <c:v>0.45587381395970644</c:v>
                </c:pt>
              </c:numCache>
            </c:numRef>
          </c:val>
        </c:ser>
        <c:ser>
          <c:idx val="1"/>
          <c:order val="1"/>
          <c:tx>
            <c:strRef>
              <c:f>'2_8'!$A$5</c:f>
              <c:strCache>
                <c:ptCount val="1"/>
                <c:pt idx="0">
                  <c:v> volně prodejné léky</c:v>
                </c:pt>
              </c:strCache>
            </c:strRef>
          </c:tx>
          <c:spPr>
            <a:solidFill>
              <a:schemeClr val="accent2">
                <a:lumMod val="40000"/>
                <a:lumOff val="6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'2_8'!$D$3:$H$3</c:f>
              <c:strCache>
                <c:ptCount val="5"/>
                <c:pt idx="0">
                  <c:v>2012</c:v>
                </c:pt>
                <c:pt idx="1">
                  <c:v>2013</c:v>
                </c:pt>
                <c:pt idx="2">
                  <c:v>2014</c:v>
                </c:pt>
                <c:pt idx="3">
                  <c:v>2015</c:v>
                </c:pt>
                <c:pt idx="4">
                  <c:v>2016</c:v>
                </c:pt>
              </c:strCache>
            </c:strRef>
          </c:cat>
          <c:val>
            <c:numRef>
              <c:f>'2_8'!$D$5:$H$5</c:f>
              <c:numCache>
                <c:formatCode>0.0%</c:formatCode>
                <c:ptCount val="5"/>
                <c:pt idx="0">
                  <c:v>0.13687066982206264</c:v>
                </c:pt>
                <c:pt idx="1">
                  <c:v>0.13083041428320039</c:v>
                </c:pt>
                <c:pt idx="2">
                  <c:v>0.13912126031216523</c:v>
                </c:pt>
                <c:pt idx="3">
                  <c:v>0.14138493541282357</c:v>
                </c:pt>
                <c:pt idx="4">
                  <c:v>0.14508230819278026</c:v>
                </c:pt>
              </c:numCache>
            </c:numRef>
          </c:val>
        </c:ser>
        <c:ser>
          <c:idx val="2"/>
          <c:order val="2"/>
          <c:tx>
            <c:strRef>
              <c:f>'2_8'!$A$6</c:f>
              <c:strCache>
                <c:ptCount val="1"/>
                <c:pt idx="0">
                  <c:v> léky spotřebované přímo ve ZZ (1)</c:v>
                </c:pt>
              </c:strCache>
            </c:strRef>
          </c:tx>
          <c:spPr>
            <a:pattFill prst="ltUpDiag">
              <a:fgClr>
                <a:srgbClr val="FF0000"/>
              </a:fgClr>
              <a:bgClr>
                <a:schemeClr val="bg1"/>
              </a:bgClr>
            </a:pattFill>
          </c:spPr>
          <c:invertIfNegative val="0"/>
          <c:dLbls>
            <c:txPr>
              <a:bodyPr/>
              <a:lstStyle/>
              <a:p>
                <a:pPr>
                  <a:defRPr b="1"/>
                </a:pPr>
                <a:endParaRPr lang="cs-CZ"/>
              </a:p>
            </c:txPr>
            <c:showLegendKey val="0"/>
            <c:showVal val="1"/>
            <c:showCatName val="0"/>
            <c:showSerName val="0"/>
            <c:showPercent val="0"/>
            <c:showBubbleSize val="0"/>
            <c:showLeaderLines val="0"/>
          </c:dLbls>
          <c:cat>
            <c:strRef>
              <c:f>'2_8'!$D$3:$H$3</c:f>
              <c:strCache>
                <c:ptCount val="5"/>
                <c:pt idx="0">
                  <c:v>2012</c:v>
                </c:pt>
                <c:pt idx="1">
                  <c:v>2013</c:v>
                </c:pt>
                <c:pt idx="2">
                  <c:v>2014</c:v>
                </c:pt>
                <c:pt idx="3">
                  <c:v>2015</c:v>
                </c:pt>
                <c:pt idx="4">
                  <c:v>2016</c:v>
                </c:pt>
              </c:strCache>
            </c:strRef>
          </c:cat>
          <c:val>
            <c:numRef>
              <c:f>'2_8'!$D$6:$H$6</c:f>
              <c:numCache>
                <c:formatCode>0.0%</c:formatCode>
                <c:ptCount val="5"/>
                <c:pt idx="0">
                  <c:v>0.19974826067390544</c:v>
                </c:pt>
                <c:pt idx="1">
                  <c:v>0.21840799400167299</c:v>
                </c:pt>
                <c:pt idx="2">
                  <c:v>0.2319578743159729</c:v>
                </c:pt>
                <c:pt idx="3">
                  <c:v>0.24747746620240227</c:v>
                </c:pt>
                <c:pt idx="4">
                  <c:v>0.25246716826883731</c:v>
                </c:pt>
              </c:numCache>
            </c:numRef>
          </c:val>
        </c:ser>
        <c:ser>
          <c:idx val="3"/>
          <c:order val="3"/>
          <c:tx>
            <c:strRef>
              <c:f>'2_8'!$A$7</c:f>
              <c:strCache>
                <c:ptCount val="1"/>
                <c:pt idx="0">
                  <c:v> terapeutické pomůcky</c:v>
                </c:pt>
              </c:strCache>
            </c:strRef>
          </c:tx>
          <c:spPr>
            <a:solidFill>
              <a:srgbClr val="00B0F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'2_8'!$D$3:$H$3</c:f>
              <c:strCache>
                <c:ptCount val="5"/>
                <c:pt idx="0">
                  <c:v>2012</c:v>
                </c:pt>
                <c:pt idx="1">
                  <c:v>2013</c:v>
                </c:pt>
                <c:pt idx="2">
                  <c:v>2014</c:v>
                </c:pt>
                <c:pt idx="3">
                  <c:v>2015</c:v>
                </c:pt>
                <c:pt idx="4">
                  <c:v>2016</c:v>
                </c:pt>
              </c:strCache>
            </c:strRef>
          </c:cat>
          <c:val>
            <c:numRef>
              <c:f>'2_8'!$D$7:$H$7</c:f>
              <c:numCache>
                <c:formatCode>0.0%</c:formatCode>
                <c:ptCount val="5"/>
                <c:pt idx="0">
                  <c:v>0.10514496003580372</c:v>
                </c:pt>
                <c:pt idx="1">
                  <c:v>0.12362083705325705</c:v>
                </c:pt>
                <c:pt idx="2">
                  <c:v>0.11532631368766932</c:v>
                </c:pt>
                <c:pt idx="3">
                  <c:v>0.10838560132461979</c:v>
                </c:pt>
                <c:pt idx="4">
                  <c:v>0.10703752773274872</c:v>
                </c:pt>
              </c:numCache>
            </c:numRef>
          </c:val>
        </c:ser>
        <c:ser>
          <c:idx val="4"/>
          <c:order val="4"/>
          <c:tx>
            <c:strRef>
              <c:f>'2_8'!$A$8</c:f>
              <c:strCache>
                <c:ptCount val="1"/>
                <c:pt idx="0">
                  <c:v> ostatní zdrav. materiál a výrobky</c:v>
                </c:pt>
              </c:strCache>
            </c:strRef>
          </c:tx>
          <c:spPr>
            <a:solidFill>
              <a:schemeClr val="bg1">
                <a:lumMod val="50000"/>
              </a:schemeClr>
            </a:solidFill>
          </c:spPr>
          <c:invertIfNegative val="0"/>
          <c:cat>
            <c:strRef>
              <c:f>'2_8'!$D$3:$H$3</c:f>
              <c:strCache>
                <c:ptCount val="5"/>
                <c:pt idx="0">
                  <c:v>2012</c:v>
                </c:pt>
                <c:pt idx="1">
                  <c:v>2013</c:v>
                </c:pt>
                <c:pt idx="2">
                  <c:v>2014</c:v>
                </c:pt>
                <c:pt idx="3">
                  <c:v>2015</c:v>
                </c:pt>
                <c:pt idx="4">
                  <c:v>2016</c:v>
                </c:pt>
              </c:strCache>
            </c:strRef>
          </c:cat>
          <c:val>
            <c:numRef>
              <c:f>'2_8'!$D$8:$H$8</c:f>
              <c:numCache>
                <c:formatCode>0.0%</c:formatCode>
                <c:ptCount val="5"/>
                <c:pt idx="0">
                  <c:v>3.5842135603749409E-2</c:v>
                </c:pt>
                <c:pt idx="1">
                  <c:v>3.5676779904058951E-2</c:v>
                </c:pt>
                <c:pt idx="2">
                  <c:v>3.8457346771110401E-2</c:v>
                </c:pt>
                <c:pt idx="3">
                  <c:v>3.9228965487980147E-2</c:v>
                </c:pt>
                <c:pt idx="4">
                  <c:v>3.9539181845928049E-2</c:v>
                </c:pt>
              </c:numCache>
            </c:numRef>
          </c:val>
        </c:ser>
        <c:dLbls>
          <c:showLegendKey val="0"/>
          <c:showVal val="0"/>
          <c:showCatName val="0"/>
          <c:showSerName val="0"/>
          <c:showPercent val="0"/>
          <c:showBubbleSize val="0"/>
        </c:dLbls>
        <c:gapWidth val="50"/>
        <c:overlap val="100"/>
        <c:axId val="189042688"/>
        <c:axId val="335253440"/>
      </c:barChart>
      <c:catAx>
        <c:axId val="189042688"/>
        <c:scaling>
          <c:orientation val="minMax"/>
        </c:scaling>
        <c:delete val="0"/>
        <c:axPos val="b"/>
        <c:numFmt formatCode="General" sourceLinked="1"/>
        <c:majorTickMark val="out"/>
        <c:minorTickMark val="none"/>
        <c:tickLblPos val="nextTo"/>
        <c:crossAx val="335253440"/>
        <c:crosses val="autoZero"/>
        <c:auto val="1"/>
        <c:lblAlgn val="ctr"/>
        <c:lblOffset val="100"/>
        <c:noMultiLvlLbl val="0"/>
      </c:catAx>
      <c:valAx>
        <c:axId val="335253440"/>
        <c:scaling>
          <c:orientation val="minMax"/>
          <c:max val="1"/>
        </c:scaling>
        <c:delete val="0"/>
        <c:axPos val="l"/>
        <c:majorGridlines>
          <c:spPr>
            <a:ln>
              <a:prstDash val="dash"/>
            </a:ln>
          </c:spPr>
        </c:majorGridlines>
        <c:numFmt formatCode="0%" sourceLinked="0"/>
        <c:majorTickMark val="none"/>
        <c:minorTickMark val="none"/>
        <c:tickLblPos val="none"/>
        <c:crossAx val="189042688"/>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619221944444445"/>
          <c:h val="0.85527012248469003"/>
        </c:manualLayout>
      </c:layout>
      <c:barChart>
        <c:barDir val="col"/>
        <c:grouping val="stacked"/>
        <c:varyColors val="0"/>
        <c:ser>
          <c:idx val="0"/>
          <c:order val="0"/>
          <c:tx>
            <c:strRef>
              <c:f>'2_9'!$A$4</c:f>
              <c:strCache>
                <c:ptCount val="1"/>
                <c:pt idx="0">
                  <c:v> laboratorní 
 služby (1)</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numRef>
              <c:f>'2_9'!$D$3:$H$3</c:f>
              <c:numCache>
                <c:formatCode>General</c:formatCode>
                <c:ptCount val="5"/>
                <c:pt idx="0">
                  <c:v>2012</c:v>
                </c:pt>
                <c:pt idx="1">
                  <c:v>2013</c:v>
                </c:pt>
                <c:pt idx="2">
                  <c:v>2014</c:v>
                </c:pt>
                <c:pt idx="3">
                  <c:v>2015</c:v>
                </c:pt>
                <c:pt idx="4">
                  <c:v>2016</c:v>
                </c:pt>
              </c:numCache>
            </c:numRef>
          </c:cat>
          <c:val>
            <c:numRef>
              <c:f>'2_9'!$D$4:$H$4</c:f>
              <c:numCache>
                <c:formatCode>#,##0.0</c:formatCode>
                <c:ptCount val="5"/>
                <c:pt idx="0">
                  <c:v>21.001133312</c:v>
                </c:pt>
                <c:pt idx="1">
                  <c:v>21.215005044000005</c:v>
                </c:pt>
                <c:pt idx="2">
                  <c:v>21.454005407000015</c:v>
                </c:pt>
                <c:pt idx="3">
                  <c:v>22.037013264999999</c:v>
                </c:pt>
                <c:pt idx="4">
                  <c:v>22.527041127000015</c:v>
                </c:pt>
              </c:numCache>
            </c:numRef>
          </c:val>
        </c:ser>
        <c:ser>
          <c:idx val="1"/>
          <c:order val="1"/>
          <c:tx>
            <c:strRef>
              <c:f>'2_9'!$A$5</c:f>
              <c:strCache>
                <c:ptCount val="1"/>
                <c:pt idx="0">
                  <c:v> zobrazovací 
 služby (2)</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'2_9'!$D$3:$H$3</c:f>
              <c:numCache>
                <c:formatCode>General</c:formatCode>
                <c:ptCount val="5"/>
                <c:pt idx="0">
                  <c:v>2012</c:v>
                </c:pt>
                <c:pt idx="1">
                  <c:v>2013</c:v>
                </c:pt>
                <c:pt idx="2">
                  <c:v>2014</c:v>
                </c:pt>
                <c:pt idx="3">
                  <c:v>2015</c:v>
                </c:pt>
                <c:pt idx="4">
                  <c:v>2016</c:v>
                </c:pt>
              </c:numCache>
            </c:numRef>
          </c:cat>
          <c:val>
            <c:numRef>
              <c:f>'2_9'!$D$5:$H$5</c:f>
              <c:numCache>
                <c:formatCode>#,##0.0</c:formatCode>
                <c:ptCount val="5"/>
                <c:pt idx="0">
                  <c:v>9.8609492800000087</c:v>
                </c:pt>
                <c:pt idx="1">
                  <c:v>10.044060403999998</c:v>
                </c:pt>
                <c:pt idx="2">
                  <c:v>10.490058283</c:v>
                </c:pt>
                <c:pt idx="3">
                  <c:v>10.483837113000007</c:v>
                </c:pt>
                <c:pt idx="4">
                  <c:v>10.697739198000004</c:v>
                </c:pt>
              </c:numCache>
            </c:numRef>
          </c:val>
        </c:ser>
        <c:ser>
          <c:idx val="2"/>
          <c:order val="2"/>
          <c:tx>
            <c:strRef>
              <c:f>'2_9'!$A$6</c:f>
              <c:strCache>
                <c:ptCount val="1"/>
                <c:pt idx="0">
                  <c:v> doprava 
 pacientů</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'2_9'!$D$3:$H$3</c:f>
              <c:numCache>
                <c:formatCode>General</c:formatCode>
                <c:ptCount val="5"/>
                <c:pt idx="0">
                  <c:v>2012</c:v>
                </c:pt>
                <c:pt idx="1">
                  <c:v>2013</c:v>
                </c:pt>
                <c:pt idx="2">
                  <c:v>2014</c:v>
                </c:pt>
                <c:pt idx="3">
                  <c:v>2015</c:v>
                </c:pt>
                <c:pt idx="4">
                  <c:v>2016</c:v>
                </c:pt>
              </c:numCache>
            </c:numRef>
          </c:cat>
          <c:val>
            <c:numRef>
              <c:f>'2_9'!$D$6:$H$6</c:f>
              <c:numCache>
                <c:formatCode>#,##0.0</c:formatCode>
                <c:ptCount val="5"/>
                <c:pt idx="0">
                  <c:v>7.350522875999995</c:v>
                </c:pt>
                <c:pt idx="1">
                  <c:v>7.2098101220000004</c:v>
                </c:pt>
                <c:pt idx="2">
                  <c:v>6.9388643230000024</c:v>
                </c:pt>
                <c:pt idx="3">
                  <c:v>7.4991198540000008</c:v>
                </c:pt>
                <c:pt idx="4">
                  <c:v>7.8558322739999946</c:v>
                </c:pt>
              </c:numCache>
            </c:numRef>
          </c:val>
        </c:ser>
        <c:ser>
          <c:idx val="3"/>
          <c:order val="3"/>
          <c:tx>
            <c:strRef>
              <c:f>'2_9'!$A$7</c:f>
              <c:strCache>
                <c:ptCount val="1"/>
                <c:pt idx="0">
                  <c:v>Doplňkové služby celkem</c:v>
                </c:pt>
              </c:strCache>
            </c:strRef>
          </c:tx>
          <c:spPr>
            <a:noFill/>
            <a:ln>
              <a:noFill/>
            </a:ln>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numRef>
              <c:f>'2_9'!$D$3:$H$3</c:f>
              <c:numCache>
                <c:formatCode>General</c:formatCode>
                <c:ptCount val="5"/>
                <c:pt idx="0">
                  <c:v>2012</c:v>
                </c:pt>
                <c:pt idx="1">
                  <c:v>2013</c:v>
                </c:pt>
                <c:pt idx="2">
                  <c:v>2014</c:v>
                </c:pt>
                <c:pt idx="3">
                  <c:v>2015</c:v>
                </c:pt>
                <c:pt idx="4">
                  <c:v>2016</c:v>
                </c:pt>
              </c:numCache>
            </c:numRef>
          </c:cat>
          <c:val>
            <c:numRef>
              <c:f>'2_9'!$D$7:$H$7</c:f>
              <c:numCache>
                <c:formatCode>#,##0.0</c:formatCode>
                <c:ptCount val="5"/>
                <c:pt idx="0">
                  <c:v>38.212605468</c:v>
                </c:pt>
                <c:pt idx="1">
                  <c:v>38.468875570000002</c:v>
                </c:pt>
                <c:pt idx="2">
                  <c:v>38.882928013000004</c:v>
                </c:pt>
                <c:pt idx="3">
                  <c:v>40.019970232000013</c:v>
                </c:pt>
                <c:pt idx="4">
                  <c:v>41.080612599000006</c:v>
                </c:pt>
              </c:numCache>
            </c:numRef>
          </c:val>
        </c:ser>
        <c:dLbls>
          <c:showLegendKey val="0"/>
          <c:showVal val="0"/>
          <c:showCatName val="0"/>
          <c:showSerName val="0"/>
          <c:showPercent val="0"/>
          <c:showBubbleSize val="0"/>
        </c:dLbls>
        <c:gapWidth val="50"/>
        <c:overlap val="100"/>
        <c:axId val="189332480"/>
        <c:axId val="335255744"/>
      </c:barChart>
      <c:catAx>
        <c:axId val="189332480"/>
        <c:scaling>
          <c:orientation val="minMax"/>
        </c:scaling>
        <c:delete val="0"/>
        <c:axPos val="b"/>
        <c:numFmt formatCode="General" sourceLinked="1"/>
        <c:majorTickMark val="out"/>
        <c:minorTickMark val="none"/>
        <c:tickLblPos val="nextTo"/>
        <c:crossAx val="335255744"/>
        <c:crosses val="autoZero"/>
        <c:auto val="1"/>
        <c:lblAlgn val="ctr"/>
        <c:lblOffset val="100"/>
        <c:noMultiLvlLbl val="0"/>
      </c:catAx>
      <c:valAx>
        <c:axId val="335255744"/>
        <c:scaling>
          <c:orientation val="minMax"/>
          <c:max val="50"/>
        </c:scaling>
        <c:delete val="0"/>
        <c:axPos val="l"/>
        <c:majorGridlines>
          <c:spPr>
            <a:ln>
              <a:prstDash val="dash"/>
            </a:ln>
          </c:spPr>
        </c:majorGridlines>
        <c:numFmt formatCode="#,##0" sourceLinked="0"/>
        <c:majorTickMark val="none"/>
        <c:minorTickMark val="none"/>
        <c:tickLblPos val="none"/>
        <c:crossAx val="189332480"/>
        <c:crosses val="autoZero"/>
        <c:crossBetween val="between"/>
        <c:majorUnit val="10"/>
        <c:minorUnit val="1"/>
      </c:valAx>
      <c:spPr>
        <a:ln>
          <a:solidFill>
            <a:schemeClr val="bg1">
              <a:lumMod val="75000"/>
            </a:schemeClr>
          </a:solidFill>
        </a:ln>
      </c:spPr>
    </c:plotArea>
    <c:legend>
      <c:legendPos val="r"/>
      <c:legendEntry>
        <c:idx val="0"/>
        <c:delete val="1"/>
      </c:legendEntry>
      <c:layout>
        <c:manualLayout>
          <c:xMode val="edge"/>
          <c:yMode val="edge"/>
          <c:x val="0.66983777777777775"/>
          <c:y val="0.19124453193350832"/>
          <c:w val="0.31520416666666695"/>
          <c:h val="0.60539224263633762"/>
        </c:manualLayout>
      </c:layout>
      <c:overlay val="0"/>
      <c:spPr>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'2_9'!$A$10</c:f>
              <c:strCache>
                <c:ptCount val="1"/>
                <c:pt idx="0">
                  <c:v> laboratorní 
 služby (1)</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numRef>
              <c:f>'2_9'!$D$9:$H$9</c:f>
              <c:numCache>
                <c:formatCode>General</c:formatCode>
                <c:ptCount val="5"/>
                <c:pt idx="0">
                  <c:v>2012</c:v>
                </c:pt>
                <c:pt idx="1">
                  <c:v>2013</c:v>
                </c:pt>
                <c:pt idx="2">
                  <c:v>2014</c:v>
                </c:pt>
                <c:pt idx="3">
                  <c:v>2015</c:v>
                </c:pt>
                <c:pt idx="4">
                  <c:v>2016</c:v>
                </c:pt>
              </c:numCache>
            </c:numRef>
          </c:cat>
          <c:val>
            <c:numRef>
              <c:f>'2_9'!$D$10:$H$10</c:f>
              <c:numCache>
                <c:formatCode>0%</c:formatCode>
                <c:ptCount val="5"/>
                <c:pt idx="0">
                  <c:v>0.54958653184710837</c:v>
                </c:pt>
                <c:pt idx="1">
                  <c:v>0.55148492722112596</c:v>
                </c:pt>
                <c:pt idx="2">
                  <c:v>0.55175899818622531</c:v>
                </c:pt>
                <c:pt idx="3">
                  <c:v>0.55065041621093491</c:v>
                </c:pt>
                <c:pt idx="4">
                  <c:v>0.54836185981190422</c:v>
                </c:pt>
              </c:numCache>
            </c:numRef>
          </c:val>
        </c:ser>
        <c:ser>
          <c:idx val="1"/>
          <c:order val="1"/>
          <c:tx>
            <c:strRef>
              <c:f>'2_9'!$A$11</c:f>
              <c:strCache>
                <c:ptCount val="1"/>
                <c:pt idx="0">
                  <c:v> zobrazovací 
 služby (2)</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'2_9'!$D$9:$H$9</c:f>
              <c:numCache>
                <c:formatCode>General</c:formatCode>
                <c:ptCount val="5"/>
                <c:pt idx="0">
                  <c:v>2012</c:v>
                </c:pt>
                <c:pt idx="1">
                  <c:v>2013</c:v>
                </c:pt>
                <c:pt idx="2">
                  <c:v>2014</c:v>
                </c:pt>
                <c:pt idx="3">
                  <c:v>2015</c:v>
                </c:pt>
                <c:pt idx="4">
                  <c:v>2016</c:v>
                </c:pt>
              </c:numCache>
            </c:numRef>
          </c:cat>
          <c:val>
            <c:numRef>
              <c:f>'2_9'!$D$11:$H$11</c:f>
              <c:numCache>
                <c:formatCode>0%</c:formatCode>
                <c:ptCount val="5"/>
                <c:pt idx="0">
                  <c:v>0.25805487899163948</c:v>
                </c:pt>
                <c:pt idx="1">
                  <c:v>0.26109576261784162</c:v>
                </c:pt>
                <c:pt idx="2">
                  <c:v>0.26978570851178635</c:v>
                </c:pt>
                <c:pt idx="3">
                  <c:v>0.2619651402093528</c:v>
                </c:pt>
                <c:pt idx="4">
                  <c:v>0.26040846329201112</c:v>
                </c:pt>
              </c:numCache>
            </c:numRef>
          </c:val>
        </c:ser>
        <c:ser>
          <c:idx val="2"/>
          <c:order val="2"/>
          <c:tx>
            <c:strRef>
              <c:f>'2_9'!$A$12</c:f>
              <c:strCache>
                <c:ptCount val="1"/>
                <c:pt idx="0">
                  <c:v> doprava 
 pacientů</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'2_9'!$D$9:$H$9</c:f>
              <c:numCache>
                <c:formatCode>General</c:formatCode>
                <c:ptCount val="5"/>
                <c:pt idx="0">
                  <c:v>2012</c:v>
                </c:pt>
                <c:pt idx="1">
                  <c:v>2013</c:v>
                </c:pt>
                <c:pt idx="2">
                  <c:v>2014</c:v>
                </c:pt>
                <c:pt idx="3">
                  <c:v>2015</c:v>
                </c:pt>
                <c:pt idx="4">
                  <c:v>2016</c:v>
                </c:pt>
              </c:numCache>
            </c:numRef>
          </c:cat>
          <c:val>
            <c:numRef>
              <c:f>'2_9'!$D$12:$H$12</c:f>
              <c:numCache>
                <c:formatCode>0%</c:formatCode>
                <c:ptCount val="5"/>
                <c:pt idx="0">
                  <c:v>0.1923585891612514</c:v>
                </c:pt>
                <c:pt idx="1">
                  <c:v>0.18741931016103294</c:v>
                </c:pt>
                <c:pt idx="2">
                  <c:v>0.17845529330198812</c:v>
                </c:pt>
                <c:pt idx="3">
                  <c:v>0.18738444357971326</c:v>
                </c:pt>
                <c:pt idx="4">
                  <c:v>0.1912296768960848</c:v>
                </c:pt>
              </c:numCache>
            </c:numRef>
          </c:val>
        </c:ser>
        <c:dLbls>
          <c:showLegendKey val="0"/>
          <c:showVal val="0"/>
          <c:showCatName val="0"/>
          <c:showSerName val="0"/>
          <c:showPercent val="0"/>
          <c:showBubbleSize val="0"/>
        </c:dLbls>
        <c:gapWidth val="50"/>
        <c:overlap val="100"/>
        <c:axId val="195613696"/>
        <c:axId val="356665600"/>
      </c:barChart>
      <c:catAx>
        <c:axId val="195613696"/>
        <c:scaling>
          <c:orientation val="minMax"/>
        </c:scaling>
        <c:delete val="0"/>
        <c:axPos val="b"/>
        <c:numFmt formatCode="General" sourceLinked="1"/>
        <c:majorTickMark val="out"/>
        <c:minorTickMark val="none"/>
        <c:tickLblPos val="nextTo"/>
        <c:crossAx val="356665600"/>
        <c:crosses val="autoZero"/>
        <c:auto val="1"/>
        <c:lblAlgn val="ctr"/>
        <c:lblOffset val="100"/>
        <c:noMultiLvlLbl val="0"/>
      </c:catAx>
      <c:valAx>
        <c:axId val="356665600"/>
        <c:scaling>
          <c:orientation val="minMax"/>
          <c:max val="1"/>
        </c:scaling>
        <c:delete val="0"/>
        <c:axPos val="l"/>
        <c:majorGridlines>
          <c:spPr>
            <a:ln>
              <a:prstDash val="dash"/>
            </a:ln>
          </c:spPr>
        </c:majorGridlines>
        <c:numFmt formatCode="0%" sourceLinked="0"/>
        <c:majorTickMark val="none"/>
        <c:minorTickMark val="none"/>
        <c:tickLblPos val="none"/>
        <c:crossAx val="195613696"/>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59099972222222219"/>
          <c:h val="0.85527012248469003"/>
        </c:manualLayout>
      </c:layout>
      <c:barChart>
        <c:barDir val="col"/>
        <c:grouping val="stacked"/>
        <c:varyColors val="0"/>
        <c:ser>
          <c:idx val="0"/>
          <c:order val="0"/>
          <c:tx>
            <c:strRef>
              <c:f>'2_10'!$A$16</c:f>
              <c:strCache>
                <c:ptCount val="1"/>
                <c:pt idx="0">
                  <c:v> Nemocnice</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'2_10'!$F$16:$H$16</c:f>
              <c:numCache>
                <c:formatCode>#,##0.0</c:formatCode>
                <c:ptCount val="3"/>
                <c:pt idx="0">
                  <c:v>136.87205240100002</c:v>
                </c:pt>
                <c:pt idx="1">
                  <c:v>137.195415333</c:v>
                </c:pt>
                <c:pt idx="2">
                  <c:v>138.93479299299997</c:v>
                </c:pt>
              </c:numCache>
            </c:numRef>
          </c:val>
        </c:ser>
        <c:ser>
          <c:idx val="1"/>
          <c:order val="1"/>
          <c:tx>
            <c:strRef>
              <c:f>'2_10'!$A$17</c:f>
              <c:strCache>
                <c:ptCount val="1"/>
                <c:pt idx="0">
                  <c:v> Zařízení 
 ambulantní péče</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'2_10'!$F$17:$H$17</c:f>
              <c:numCache>
                <c:formatCode>#,##0.0</c:formatCode>
                <c:ptCount val="3"/>
                <c:pt idx="0">
                  <c:v>71.987942351000001</c:v>
                </c:pt>
                <c:pt idx="1">
                  <c:v>72.855706118199848</c:v>
                </c:pt>
                <c:pt idx="2">
                  <c:v>74.34188971899998</c:v>
                </c:pt>
              </c:numCache>
            </c:numRef>
          </c:val>
        </c:ser>
        <c:ser>
          <c:idx val="2"/>
          <c:order val="2"/>
          <c:tx>
            <c:strRef>
              <c:f>'2_10'!$A$18</c:f>
              <c:strCache>
                <c:ptCount val="1"/>
                <c:pt idx="0">
                  <c:v> Zařízení 
 dlouhodobé péče (1)</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'2_10'!$F$18:$H$18</c:f>
              <c:numCache>
                <c:formatCode>#,##0.0</c:formatCode>
                <c:ptCount val="3"/>
                <c:pt idx="0">
                  <c:v>22.573848160000015</c:v>
                </c:pt>
                <c:pt idx="1">
                  <c:v>24.42611020999998</c:v>
                </c:pt>
                <c:pt idx="2">
                  <c:v>26.014267921999998</c:v>
                </c:pt>
              </c:numCache>
            </c:numRef>
          </c:val>
        </c:ser>
        <c:ser>
          <c:idx val="3"/>
          <c:order val="3"/>
          <c:tx>
            <c:strRef>
              <c:f>'2_10'!$A$19</c:f>
              <c:strCache>
                <c:ptCount val="1"/>
                <c:pt idx="0">
                  <c:v> Ostatní přímí 
 poskytovatelé ZP (2)</c:v>
                </c:pt>
              </c:strCache>
            </c:strRef>
          </c:tx>
          <c:spPr>
            <a:solidFill>
              <a:schemeClr val="tx1">
                <a:lumMod val="50000"/>
                <a:lumOff val="50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'2_10'!$F$19:$H$19</c:f>
              <c:numCache>
                <c:formatCode>#,##0.0</c:formatCode>
                <c:ptCount val="3"/>
                <c:pt idx="0">
                  <c:v>23.970055660000014</c:v>
                </c:pt>
                <c:pt idx="1">
                  <c:v>23.524916000000001</c:v>
                </c:pt>
                <c:pt idx="2">
                  <c:v>25.586912869999981</c:v>
                </c:pt>
              </c:numCache>
            </c:numRef>
          </c:val>
        </c:ser>
        <c:ser>
          <c:idx val="4"/>
          <c:order val="4"/>
          <c:tx>
            <c:strRef>
              <c:f>'2_10'!$A$20</c:f>
              <c:strCache>
                <c:ptCount val="1"/>
                <c:pt idx="0">
                  <c:v> Lékárny a ost. 
 prodejci zdrav. zboží</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'2_10'!$F$20:$H$20</c:f>
              <c:numCache>
                <c:formatCode>#,##0.0</c:formatCode>
                <c:ptCount val="3"/>
                <c:pt idx="0">
                  <c:v>55.540638307000002</c:v>
                </c:pt>
                <c:pt idx="1">
                  <c:v>56.59237205000003</c:v>
                </c:pt>
                <c:pt idx="2">
                  <c:v>58.178856543000009</c:v>
                </c:pt>
              </c:numCache>
            </c:numRef>
          </c:val>
        </c:ser>
        <c:ser>
          <c:idx val="5"/>
          <c:order val="5"/>
          <c:tx>
            <c:strRef>
              <c:f>'2_10'!$A$21</c:f>
              <c:strCache>
                <c:ptCount val="1"/>
                <c:pt idx="0">
                  <c:v> Poskytovatelé 
 doplňkových služeb (3)</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'2_10'!$F$21:$H$21</c:f>
              <c:numCache>
                <c:formatCode>#,##0.0</c:formatCode>
                <c:ptCount val="3"/>
                <c:pt idx="0">
                  <c:v>11.240274626999998</c:v>
                </c:pt>
                <c:pt idx="1">
                  <c:v>11.960302287000006</c:v>
                </c:pt>
                <c:pt idx="2">
                  <c:v>12.988934166</c:v>
                </c:pt>
              </c:numCache>
            </c:numRef>
          </c:val>
        </c:ser>
        <c:ser>
          <c:idx val="6"/>
          <c:order val="6"/>
          <c:tx>
            <c:strRef>
              <c:f>'2_10'!$A$22</c:f>
              <c:strCache>
                <c:ptCount val="1"/>
                <c:pt idx="0">
                  <c:v> Správa systému 
 zdravotní péče</c:v>
                </c:pt>
              </c:strCache>
            </c:strRef>
          </c:tx>
          <c:invertIfNegative val="0"/>
          <c:cat>
            <c:strRef>
              <c:f>'2_10'!$F$15:$H$15</c:f>
              <c:strCache>
                <c:ptCount val="3"/>
                <c:pt idx="0">
                  <c:v>2014</c:v>
                </c:pt>
                <c:pt idx="1">
                  <c:v>2015</c:v>
                </c:pt>
                <c:pt idx="2">
                  <c:v>2016</c:v>
                </c:pt>
              </c:strCache>
            </c:strRef>
          </c:cat>
          <c:val>
            <c:numRef>
              <c:f>'2_10'!$F$22:$H$22</c:f>
              <c:numCache>
                <c:formatCode>#,##0.0</c:formatCode>
                <c:ptCount val="3"/>
                <c:pt idx="0">
                  <c:v>11.311317150999999</c:v>
                </c:pt>
                <c:pt idx="1">
                  <c:v>10.845175649000002</c:v>
                </c:pt>
                <c:pt idx="2">
                  <c:v>11.066501775000004</c:v>
                </c:pt>
              </c:numCache>
            </c:numRef>
          </c:val>
        </c:ser>
        <c:ser>
          <c:idx val="7"/>
          <c:order val="7"/>
          <c:tx>
            <c:strRef>
              <c:f>'2_10'!$A$23</c:f>
              <c:strCache>
                <c:ptCount val="1"/>
                <c:pt idx="0">
                  <c:v> ostatní nebo 
 nerozlišeno</c:v>
                </c:pt>
              </c:strCache>
            </c:strRef>
          </c:tx>
          <c:spPr>
            <a:solidFill>
              <a:schemeClr val="tx1"/>
            </a:solidFill>
          </c:spPr>
          <c:invertIfNegative val="0"/>
          <c:cat>
            <c:strRef>
              <c:f>'2_10'!$F$15:$H$15</c:f>
              <c:strCache>
                <c:ptCount val="3"/>
                <c:pt idx="0">
                  <c:v>2014</c:v>
                </c:pt>
                <c:pt idx="1">
                  <c:v>2015</c:v>
                </c:pt>
                <c:pt idx="2">
                  <c:v>2016</c:v>
                </c:pt>
              </c:strCache>
            </c:strRef>
          </c:cat>
          <c:val>
            <c:numRef>
              <c:f>'2_10'!$F$23:$H$23</c:f>
              <c:numCache>
                <c:formatCode>#,##0.0</c:formatCode>
                <c:ptCount val="3"/>
                <c:pt idx="0">
                  <c:v>15.234324701099563</c:v>
                </c:pt>
                <c:pt idx="1">
                  <c:v>14.639198800259294</c:v>
                </c:pt>
                <c:pt idx="2">
                  <c:v>14.534633462522095</c:v>
                </c:pt>
              </c:numCache>
            </c:numRef>
          </c:val>
        </c:ser>
        <c:ser>
          <c:idx val="8"/>
          <c:order val="8"/>
          <c:tx>
            <c:strRef>
              <c:f>'2_10'!$A$24</c:f>
              <c:strCache>
                <c:ptCount val="1"/>
                <c:pt idx="0">
                  <c:v>Zdravotní péče celkem</c:v>
                </c:pt>
              </c:strCache>
            </c:strRef>
          </c:tx>
          <c:spPr>
            <a:noFill/>
            <a:ln>
              <a:noFill/>
            </a:ln>
          </c:spPr>
          <c:invertIfNegative val="0"/>
          <c:dLbls>
            <c:txPr>
              <a:bodyPr/>
              <a:lstStyle/>
              <a:p>
                <a:pPr>
                  <a:defRPr b="1" i="1"/>
                </a:pPr>
                <a:endParaRPr lang="cs-CZ"/>
              </a:p>
            </c:txPr>
            <c:dLblPos val="inBase"/>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'2_10'!$F$24:$H$24</c:f>
              <c:numCache>
                <c:formatCode>#,##0.0</c:formatCode>
                <c:ptCount val="3"/>
                <c:pt idx="0">
                  <c:v>348.73045335809917</c:v>
                </c:pt>
                <c:pt idx="1">
                  <c:v>352.03919644745895</c:v>
                </c:pt>
                <c:pt idx="2">
                  <c:v>361.64678945052196</c:v>
                </c:pt>
              </c:numCache>
            </c:numRef>
          </c:val>
        </c:ser>
        <c:dLbls>
          <c:showLegendKey val="0"/>
          <c:showVal val="0"/>
          <c:showCatName val="0"/>
          <c:showSerName val="0"/>
          <c:showPercent val="0"/>
          <c:showBubbleSize val="0"/>
        </c:dLbls>
        <c:gapWidth val="50"/>
        <c:overlap val="100"/>
        <c:axId val="189331456"/>
        <c:axId val="356667328"/>
      </c:barChart>
      <c:catAx>
        <c:axId val="189331456"/>
        <c:scaling>
          <c:orientation val="minMax"/>
        </c:scaling>
        <c:delete val="0"/>
        <c:axPos val="b"/>
        <c:numFmt formatCode="General" sourceLinked="1"/>
        <c:majorTickMark val="out"/>
        <c:minorTickMark val="none"/>
        <c:tickLblPos val="nextTo"/>
        <c:crossAx val="356667328"/>
        <c:crosses val="autoZero"/>
        <c:auto val="1"/>
        <c:lblAlgn val="ctr"/>
        <c:lblOffset val="100"/>
        <c:noMultiLvlLbl val="0"/>
      </c:catAx>
      <c:valAx>
        <c:axId val="356667328"/>
        <c:scaling>
          <c:orientation val="minMax"/>
          <c:max val="400"/>
        </c:scaling>
        <c:delete val="0"/>
        <c:axPos val="l"/>
        <c:majorGridlines>
          <c:spPr>
            <a:ln>
              <a:prstDash val="dash"/>
            </a:ln>
          </c:spPr>
        </c:majorGridlines>
        <c:numFmt formatCode="#,##0" sourceLinked="0"/>
        <c:majorTickMark val="none"/>
        <c:minorTickMark val="none"/>
        <c:tickLblPos val="none"/>
        <c:crossAx val="189331456"/>
        <c:crosses val="autoZero"/>
        <c:crossBetween val="between"/>
        <c:majorUnit val="50"/>
        <c:minorUnit val="10"/>
      </c:valAx>
      <c:spPr>
        <a:ln>
          <a:solidFill>
            <a:schemeClr val="tx1">
              <a:tint val="75000"/>
              <a:shade val="95000"/>
              <a:satMod val="105000"/>
            </a:schemeClr>
          </a:solidFill>
        </a:ln>
      </c:spPr>
    </c:plotArea>
    <c:legend>
      <c:legendPos val="r"/>
      <c:legendEntry>
        <c:idx val="0"/>
        <c:delete val="1"/>
      </c:legendEntry>
      <c:layout>
        <c:manualLayout>
          <c:xMode val="edge"/>
          <c:yMode val="edge"/>
          <c:x val="0.62750444444444464"/>
          <c:y val="7.0292013888888949E-2"/>
          <c:w val="0.34391666666666704"/>
          <c:h val="0.85341111111111112"/>
        </c:manualLayout>
      </c:layout>
      <c:overlay val="0"/>
      <c:spPr>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94377749999999982"/>
          <c:h val="0.85527012248469003"/>
        </c:manualLayout>
      </c:layout>
      <c:barChart>
        <c:barDir val="col"/>
        <c:grouping val="stacked"/>
        <c:varyColors val="0"/>
        <c:ser>
          <c:idx val="0"/>
          <c:order val="0"/>
          <c:tx>
            <c:strRef>
              <c:f>'2_10'!$A$4</c:f>
              <c:strCache>
                <c:ptCount val="1"/>
                <c:pt idx="0">
                  <c:v> Nemocnice</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'2_10'!$F$4:$H$4</c:f>
              <c:numCache>
                <c:formatCode>0.0%</c:formatCode>
                <c:ptCount val="3"/>
                <c:pt idx="0">
                  <c:v>0.39248666436495855</c:v>
                </c:pt>
                <c:pt idx="1">
                  <c:v>0.38971630635873256</c:v>
                </c:pt>
                <c:pt idx="2">
                  <c:v>0.38417261550723147</c:v>
                </c:pt>
              </c:numCache>
            </c:numRef>
          </c:val>
        </c:ser>
        <c:ser>
          <c:idx val="1"/>
          <c:order val="1"/>
          <c:tx>
            <c:strRef>
              <c:f>'2_10'!$A$5</c:f>
              <c:strCache>
                <c:ptCount val="1"/>
                <c:pt idx="0">
                  <c:v> Zařízení 
 ambulantní péče</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'2_10'!$F$5:$H$5</c:f>
              <c:numCache>
                <c:formatCode>0.0%</c:formatCode>
                <c:ptCount val="3"/>
                <c:pt idx="0">
                  <c:v>0.20642860885188594</c:v>
                </c:pt>
                <c:pt idx="1">
                  <c:v>0.20695339284207681</c:v>
                </c:pt>
                <c:pt idx="2">
                  <c:v>0.20556490998289634</c:v>
                </c:pt>
              </c:numCache>
            </c:numRef>
          </c:val>
        </c:ser>
        <c:ser>
          <c:idx val="2"/>
          <c:order val="2"/>
          <c:tx>
            <c:strRef>
              <c:f>'2_10'!$A$6</c:f>
              <c:strCache>
                <c:ptCount val="1"/>
                <c:pt idx="0">
                  <c:v> Zařízení 
 dlouhodobé péče (1)</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'2_10'!$F$6:$H$6</c:f>
              <c:numCache>
                <c:formatCode>0.0%</c:formatCode>
                <c:ptCount val="3"/>
                <c:pt idx="0">
                  <c:v>6.473150808203057E-2</c:v>
                </c:pt>
                <c:pt idx="1">
                  <c:v>6.9384632326433437E-2</c:v>
                </c:pt>
                <c:pt idx="2">
                  <c:v>7.193280482739943E-2</c:v>
                </c:pt>
              </c:numCache>
            </c:numRef>
          </c:val>
        </c:ser>
        <c:ser>
          <c:idx val="3"/>
          <c:order val="3"/>
          <c:tx>
            <c:strRef>
              <c:f>'2_10'!$A$7</c:f>
              <c:strCache>
                <c:ptCount val="1"/>
                <c:pt idx="0">
                  <c:v> Ostatní přímí 
 poskytovatelé ZP (2)</c:v>
                </c:pt>
              </c:strCache>
            </c:strRef>
          </c:tx>
          <c:spPr>
            <a:solidFill>
              <a:schemeClr val="tx1">
                <a:lumMod val="50000"/>
                <a:lumOff val="50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'2_10'!$F$7:$H$7</c:f>
              <c:numCache>
                <c:formatCode>0.0%</c:formatCode>
                <c:ptCount val="3"/>
                <c:pt idx="0">
                  <c:v>6.8735194845131534E-2</c:v>
                </c:pt>
                <c:pt idx="1">
                  <c:v>6.6824706559376029E-2</c:v>
                </c:pt>
                <c:pt idx="2">
                  <c:v>7.0751113009674918E-2</c:v>
                </c:pt>
              </c:numCache>
            </c:numRef>
          </c:val>
        </c:ser>
        <c:ser>
          <c:idx val="4"/>
          <c:order val="4"/>
          <c:tx>
            <c:strRef>
              <c:f>'2_10'!$A$8</c:f>
              <c:strCache>
                <c:ptCount val="1"/>
                <c:pt idx="0">
                  <c:v> Lékárny a ost. 
 prodejci zdrav. zboží</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'2_10'!$F$8:$H$8</c:f>
              <c:numCache>
                <c:formatCode>0.0%</c:formatCode>
                <c:ptCount val="3"/>
                <c:pt idx="0">
                  <c:v>0.15926523701091075</c:v>
                </c:pt>
                <c:pt idx="1">
                  <c:v>0.16075588349562173</c:v>
                </c:pt>
                <c:pt idx="2">
                  <c:v>0.16087203934921038</c:v>
                </c:pt>
              </c:numCache>
            </c:numRef>
          </c:val>
        </c:ser>
        <c:ser>
          <c:idx val="5"/>
          <c:order val="5"/>
          <c:tx>
            <c:strRef>
              <c:f>'2_10'!$A$9</c:f>
              <c:strCache>
                <c:ptCount val="1"/>
                <c:pt idx="0">
                  <c:v> Poskytovatelé 
 doplňkových služeb (3)</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'2_10'!$F$9:$H$9</c:f>
              <c:numCache>
                <c:formatCode>0.0%</c:formatCode>
                <c:ptCount val="3"/>
                <c:pt idx="0">
                  <c:v>3.2231984671145845E-2</c:v>
                </c:pt>
                <c:pt idx="1">
                  <c:v>3.3974348333069886E-2</c:v>
                </c:pt>
                <c:pt idx="2">
                  <c:v>3.5916077634022672E-2</c:v>
                </c:pt>
              </c:numCache>
            </c:numRef>
          </c:val>
        </c:ser>
        <c:ser>
          <c:idx val="6"/>
          <c:order val="6"/>
          <c:tx>
            <c:strRef>
              <c:f>'2_10'!$A$10</c:f>
              <c:strCache>
                <c:ptCount val="1"/>
                <c:pt idx="0">
                  <c:v> Správa systému 
 zdravotní péče</c:v>
                </c:pt>
              </c:strCache>
            </c:strRef>
          </c:tx>
          <c:invertIfNegative val="0"/>
          <c:cat>
            <c:strRef>
              <c:f>'2_10'!$F$3:$H$3</c:f>
              <c:strCache>
                <c:ptCount val="3"/>
                <c:pt idx="0">
                  <c:v>2014</c:v>
                </c:pt>
                <c:pt idx="1">
                  <c:v>2015</c:v>
                </c:pt>
                <c:pt idx="2">
                  <c:v>2016</c:v>
                </c:pt>
              </c:strCache>
            </c:strRef>
          </c:cat>
          <c:val>
            <c:numRef>
              <c:f>'2_10'!$F$10:$H$10</c:f>
              <c:numCache>
                <c:formatCode>0.0%</c:formatCode>
                <c:ptCount val="3"/>
                <c:pt idx="0">
                  <c:v>3.2435702251058629E-2</c:v>
                </c:pt>
                <c:pt idx="1">
                  <c:v>3.0806727655449059E-2</c:v>
                </c:pt>
                <c:pt idx="2">
                  <c:v>3.0600304213440392E-2</c:v>
                </c:pt>
              </c:numCache>
            </c:numRef>
          </c:val>
        </c:ser>
        <c:ser>
          <c:idx val="7"/>
          <c:order val="7"/>
          <c:tx>
            <c:strRef>
              <c:f>'2_10'!$A$11</c:f>
              <c:strCache>
                <c:ptCount val="1"/>
                <c:pt idx="0">
                  <c:v> ostatní nebo 
 nerozlišeno</c:v>
                </c:pt>
              </c:strCache>
            </c:strRef>
          </c:tx>
          <c:spPr>
            <a:solidFill>
              <a:schemeClr val="tx1"/>
            </a:solidFill>
          </c:spPr>
          <c:invertIfNegative val="0"/>
          <c:cat>
            <c:strRef>
              <c:f>'2_10'!$F$3:$H$3</c:f>
              <c:strCache>
                <c:ptCount val="3"/>
                <c:pt idx="0">
                  <c:v>2014</c:v>
                </c:pt>
                <c:pt idx="1">
                  <c:v>2015</c:v>
                </c:pt>
                <c:pt idx="2">
                  <c:v>2016</c:v>
                </c:pt>
              </c:strCache>
            </c:strRef>
          </c:cat>
          <c:val>
            <c:numRef>
              <c:f>'2_10'!$F$11:$H$11</c:f>
              <c:numCache>
                <c:formatCode>0.0%</c:formatCode>
                <c:ptCount val="3"/>
                <c:pt idx="0">
                  <c:v>4.3685099922879299E-2</c:v>
                </c:pt>
                <c:pt idx="1">
                  <c:v>4.1584002429241304E-2</c:v>
                </c:pt>
                <c:pt idx="2">
                  <c:v>4.0190135476124877E-2</c:v>
                </c:pt>
              </c:numCache>
            </c:numRef>
          </c:val>
        </c:ser>
        <c:dLbls>
          <c:showLegendKey val="0"/>
          <c:showVal val="0"/>
          <c:showCatName val="0"/>
          <c:showSerName val="0"/>
          <c:showPercent val="0"/>
          <c:showBubbleSize val="0"/>
        </c:dLbls>
        <c:gapWidth val="50"/>
        <c:overlap val="100"/>
        <c:axId val="197862912"/>
        <c:axId val="356666176"/>
      </c:barChart>
      <c:catAx>
        <c:axId val="197862912"/>
        <c:scaling>
          <c:orientation val="minMax"/>
        </c:scaling>
        <c:delete val="0"/>
        <c:axPos val="b"/>
        <c:numFmt formatCode="General" sourceLinked="1"/>
        <c:majorTickMark val="out"/>
        <c:minorTickMark val="none"/>
        <c:tickLblPos val="nextTo"/>
        <c:crossAx val="356666176"/>
        <c:crosses val="autoZero"/>
        <c:auto val="1"/>
        <c:lblAlgn val="ctr"/>
        <c:lblOffset val="100"/>
        <c:noMultiLvlLbl val="0"/>
      </c:catAx>
      <c:valAx>
        <c:axId val="356666176"/>
        <c:scaling>
          <c:orientation val="minMax"/>
          <c:max val="1"/>
        </c:scaling>
        <c:delete val="0"/>
        <c:axPos val="l"/>
        <c:majorGridlines>
          <c:spPr>
            <a:ln>
              <a:prstDash val="dash"/>
            </a:ln>
          </c:spPr>
        </c:majorGridlines>
        <c:numFmt formatCode="0.0%" sourceLinked="0"/>
        <c:majorTickMark val="none"/>
        <c:minorTickMark val="none"/>
        <c:tickLblPos val="none"/>
        <c:crossAx val="197862912"/>
        <c:crosses val="autoZero"/>
        <c:crossBetween val="between"/>
        <c:majorUnit val="0.1"/>
        <c:minorUnit val="1.0000000000000005E-2"/>
      </c:valAx>
      <c:spPr>
        <a:ln>
          <a:solidFill>
            <a:schemeClr val="tx1">
              <a:tint val="75000"/>
              <a:shade val="95000"/>
              <a:satMod val="10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932777777777775E-2"/>
          <c:y val="5.0925925925925923E-2"/>
          <c:w val="0.61922194444444445"/>
          <c:h val="0.85527012248468937"/>
        </c:manualLayout>
      </c:layout>
      <c:barChart>
        <c:barDir val="col"/>
        <c:grouping val="stacked"/>
        <c:varyColors val="0"/>
        <c:ser>
          <c:idx val="0"/>
          <c:order val="0"/>
          <c:tx>
            <c:strRef>
              <c:f>'2_2'!$A$15</c:f>
              <c:strCache>
                <c:ptCount val="1"/>
                <c:pt idx="0">
                  <c:v>  veřejné 
  zdravotní pojišťění </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'2_2'!$D$14:$H$14</c:f>
              <c:strCache>
                <c:ptCount val="5"/>
                <c:pt idx="0">
                  <c:v>2012</c:v>
                </c:pt>
                <c:pt idx="1">
                  <c:v>2013</c:v>
                </c:pt>
                <c:pt idx="2">
                  <c:v>2014</c:v>
                </c:pt>
                <c:pt idx="3">
                  <c:v>2015</c:v>
                </c:pt>
                <c:pt idx="4">
                  <c:v>2016</c:v>
                </c:pt>
              </c:strCache>
            </c:strRef>
          </c:cat>
          <c:val>
            <c:numRef>
              <c:f>'2_2'!$D$15:$H$15</c:f>
              <c:numCache>
                <c:formatCode>#,##0.0</c:formatCode>
                <c:ptCount val="5"/>
                <c:pt idx="0">
                  <c:v>237.92727992194759</c:v>
                </c:pt>
                <c:pt idx="1">
                  <c:v>238.3540485343969</c:v>
                </c:pt>
                <c:pt idx="2">
                  <c:v>234.60161366699961</c:v>
                </c:pt>
                <c:pt idx="3">
                  <c:v>234.4604914581293</c:v>
                </c:pt>
                <c:pt idx="4">
                  <c:v>237.70046427490126</c:v>
                </c:pt>
              </c:numCache>
            </c:numRef>
          </c:val>
        </c:ser>
        <c:ser>
          <c:idx val="1"/>
          <c:order val="1"/>
          <c:tx>
            <c:strRef>
              <c:f>'2_2'!$A$16</c:f>
              <c:strCache>
                <c:ptCount val="1"/>
                <c:pt idx="0">
                  <c:v>  ostatní 
  veřejné zdroje (1)</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'2_2'!$D$14:$H$14</c:f>
              <c:strCache>
                <c:ptCount val="5"/>
                <c:pt idx="0">
                  <c:v>2012</c:v>
                </c:pt>
                <c:pt idx="1">
                  <c:v>2013</c:v>
                </c:pt>
                <c:pt idx="2">
                  <c:v>2014</c:v>
                </c:pt>
                <c:pt idx="3">
                  <c:v>2015</c:v>
                </c:pt>
                <c:pt idx="4">
                  <c:v>2016</c:v>
                </c:pt>
              </c:strCache>
            </c:strRef>
          </c:cat>
          <c:val>
            <c:numRef>
              <c:f>'2_2'!$D$16:$H$16</c:f>
              <c:numCache>
                <c:formatCode>#,##0.0</c:formatCode>
                <c:ptCount val="5"/>
                <c:pt idx="0">
                  <c:v>50.636373634000002</c:v>
                </c:pt>
                <c:pt idx="1">
                  <c:v>53.699245578979998</c:v>
                </c:pt>
                <c:pt idx="2">
                  <c:v>56.970839691100004</c:v>
                </c:pt>
                <c:pt idx="3">
                  <c:v>58.89870498933</c:v>
                </c:pt>
                <c:pt idx="4">
                  <c:v>62.509395422999994</c:v>
                </c:pt>
              </c:numCache>
            </c:numRef>
          </c:val>
        </c:ser>
        <c:ser>
          <c:idx val="2"/>
          <c:order val="2"/>
          <c:tx>
            <c:strRef>
              <c:f>'2_2'!$A$17</c:f>
              <c:strCache>
                <c:ptCount val="1"/>
                <c:pt idx="0">
                  <c:v>  přímé platby 
  domácností</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'2_2'!$D$14:$H$14</c:f>
              <c:strCache>
                <c:ptCount val="5"/>
                <c:pt idx="0">
                  <c:v>2012</c:v>
                </c:pt>
                <c:pt idx="1">
                  <c:v>2013</c:v>
                </c:pt>
                <c:pt idx="2">
                  <c:v>2014</c:v>
                </c:pt>
                <c:pt idx="3">
                  <c:v>2015</c:v>
                </c:pt>
                <c:pt idx="4">
                  <c:v>2016</c:v>
                </c:pt>
              </c:strCache>
            </c:strRef>
          </c:cat>
          <c:val>
            <c:numRef>
              <c:f>'2_2'!$D$17:$H$17</c:f>
              <c:numCache>
                <c:formatCode>#,##0.0</c:formatCode>
                <c:ptCount val="5"/>
                <c:pt idx="0">
                  <c:v>44.238999999999997</c:v>
                </c:pt>
                <c:pt idx="1">
                  <c:v>43.465000000000003</c:v>
                </c:pt>
                <c:pt idx="2">
                  <c:v>46.49</c:v>
                </c:pt>
                <c:pt idx="3">
                  <c:v>49.357999999999997</c:v>
                </c:pt>
                <c:pt idx="4">
                  <c:v>51.215000000000003</c:v>
                </c:pt>
              </c:numCache>
            </c:numRef>
          </c:val>
        </c:ser>
        <c:ser>
          <c:idx val="3"/>
          <c:order val="3"/>
          <c:tx>
            <c:strRef>
              <c:f>'2_2'!$A$18</c:f>
              <c:strCache>
                <c:ptCount val="1"/>
                <c:pt idx="0">
                  <c:v>  ostatní 
  soukromé zdroje (2)</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'2_2'!$D$14:$H$14</c:f>
              <c:strCache>
                <c:ptCount val="5"/>
                <c:pt idx="0">
                  <c:v>2012</c:v>
                </c:pt>
                <c:pt idx="1">
                  <c:v>2013</c:v>
                </c:pt>
                <c:pt idx="2">
                  <c:v>2014</c:v>
                </c:pt>
                <c:pt idx="3">
                  <c:v>2015</c:v>
                </c:pt>
                <c:pt idx="4">
                  <c:v>2016</c:v>
                </c:pt>
              </c:strCache>
            </c:strRef>
          </c:cat>
          <c:val>
            <c:numRef>
              <c:f>'2_2'!$D$18:$H$18</c:f>
              <c:numCache>
                <c:formatCode>#,##0.0</c:formatCode>
                <c:ptCount val="5"/>
                <c:pt idx="0">
                  <c:v>9.11</c:v>
                </c:pt>
                <c:pt idx="1">
                  <c:v>9.202</c:v>
                </c:pt>
                <c:pt idx="2">
                  <c:v>10.667999999999999</c:v>
                </c:pt>
                <c:pt idx="3">
                  <c:v>9.3219999999999992</c:v>
                </c:pt>
                <c:pt idx="4">
                  <c:v>10.221929752620868</c:v>
                </c:pt>
              </c:numCache>
            </c:numRef>
          </c:val>
        </c:ser>
        <c:ser>
          <c:idx val="4"/>
          <c:order val="4"/>
          <c:tx>
            <c:strRef>
              <c:f>'2_2'!$A$19</c:f>
              <c:strCache>
                <c:ptCount val="1"/>
                <c:pt idx="0">
                  <c:v>Zdravotní péče celkem</c:v>
                </c:pt>
              </c:strCache>
            </c:strRef>
          </c:tx>
          <c:spPr>
            <a:noFill/>
            <a:ln>
              <a:noFill/>
            </a:ln>
          </c:spPr>
          <c:invertIfNegative val="0"/>
          <c:dLbls>
            <c:spPr>
              <a:solidFill>
                <a:schemeClr val="bg1">
                  <a:lumMod val="85000"/>
                </a:schemeClr>
              </a:solidFill>
            </c:spPr>
            <c:txPr>
              <a:bodyPr/>
              <a:lstStyle/>
              <a:p>
                <a:pPr>
                  <a:defRPr b="1" i="1"/>
                </a:pPr>
                <a:endParaRPr lang="cs-CZ"/>
              </a:p>
            </c:txPr>
            <c:dLblPos val="inBase"/>
            <c:showLegendKey val="0"/>
            <c:showVal val="1"/>
            <c:showCatName val="0"/>
            <c:showSerName val="0"/>
            <c:showPercent val="0"/>
            <c:showBubbleSize val="0"/>
            <c:showLeaderLines val="0"/>
          </c:dLbls>
          <c:cat>
            <c:strRef>
              <c:f>'2_2'!$D$14:$H$14</c:f>
              <c:strCache>
                <c:ptCount val="5"/>
                <c:pt idx="0">
                  <c:v>2012</c:v>
                </c:pt>
                <c:pt idx="1">
                  <c:v>2013</c:v>
                </c:pt>
                <c:pt idx="2">
                  <c:v>2014</c:v>
                </c:pt>
                <c:pt idx="3">
                  <c:v>2015</c:v>
                </c:pt>
                <c:pt idx="4">
                  <c:v>2016</c:v>
                </c:pt>
              </c:strCache>
            </c:strRef>
          </c:cat>
          <c:val>
            <c:numRef>
              <c:f>'2_2'!$D$19:$H$19</c:f>
              <c:numCache>
                <c:formatCode>#,##0.0</c:formatCode>
                <c:ptCount val="5"/>
                <c:pt idx="0">
                  <c:v>341.9126535559476</c:v>
                </c:pt>
                <c:pt idx="1">
                  <c:v>344.72029411337689</c:v>
                </c:pt>
                <c:pt idx="2">
                  <c:v>348.73045335809962</c:v>
                </c:pt>
                <c:pt idx="3">
                  <c:v>352.03919644745929</c:v>
                </c:pt>
                <c:pt idx="4">
                  <c:v>361.64678945052208</c:v>
                </c:pt>
              </c:numCache>
            </c:numRef>
          </c:val>
        </c:ser>
        <c:dLbls>
          <c:showLegendKey val="0"/>
          <c:showVal val="0"/>
          <c:showCatName val="0"/>
          <c:showSerName val="0"/>
          <c:showPercent val="0"/>
          <c:showBubbleSize val="0"/>
        </c:dLbls>
        <c:gapWidth val="50"/>
        <c:overlap val="100"/>
        <c:axId val="363304960"/>
        <c:axId val="269409600"/>
      </c:barChart>
      <c:catAx>
        <c:axId val="363304960"/>
        <c:scaling>
          <c:orientation val="minMax"/>
        </c:scaling>
        <c:delete val="0"/>
        <c:axPos val="b"/>
        <c:numFmt formatCode="General" sourceLinked="1"/>
        <c:majorTickMark val="out"/>
        <c:minorTickMark val="none"/>
        <c:tickLblPos val="nextTo"/>
        <c:crossAx val="269409600"/>
        <c:crosses val="autoZero"/>
        <c:auto val="1"/>
        <c:lblAlgn val="ctr"/>
        <c:lblOffset val="100"/>
        <c:noMultiLvlLbl val="0"/>
      </c:catAx>
      <c:valAx>
        <c:axId val="269409600"/>
        <c:scaling>
          <c:orientation val="minMax"/>
          <c:max val="400"/>
        </c:scaling>
        <c:delete val="0"/>
        <c:axPos val="l"/>
        <c:majorGridlines>
          <c:spPr>
            <a:ln>
              <a:prstDash val="dash"/>
            </a:ln>
          </c:spPr>
        </c:majorGridlines>
        <c:numFmt formatCode="#,##0" sourceLinked="0"/>
        <c:majorTickMark val="out"/>
        <c:minorTickMark val="none"/>
        <c:tickLblPos val="none"/>
        <c:crossAx val="363304960"/>
        <c:crosses val="autoZero"/>
        <c:crossBetween val="between"/>
      </c:valAx>
      <c:spPr>
        <a:ln>
          <a:solidFill>
            <a:schemeClr val="bg1">
              <a:lumMod val="75000"/>
            </a:schemeClr>
          </a:solidFill>
        </a:ln>
      </c:spPr>
    </c:plotArea>
    <c:legend>
      <c:legendPos val="r"/>
      <c:legendEntry>
        <c:idx val="0"/>
        <c:delete val="1"/>
      </c:legendEntry>
      <c:layout>
        <c:manualLayout>
          <c:xMode val="edge"/>
          <c:yMode val="edge"/>
          <c:x val="0.66631032232082099"/>
          <c:y val="0.15333640810777271"/>
          <c:w val="0.31623666666666667"/>
          <c:h val="0.64704895986941557"/>
        </c:manualLayout>
      </c:layout>
      <c:overlay val="0"/>
      <c:spPr>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57707426900584791"/>
          <c:h val="0.85527012248469003"/>
        </c:manualLayout>
      </c:layout>
      <c:barChart>
        <c:barDir val="col"/>
        <c:grouping val="stacked"/>
        <c:varyColors val="0"/>
        <c:ser>
          <c:idx val="0"/>
          <c:order val="0"/>
          <c:tx>
            <c:strRef>
              <c:f>'2_11'!$A$14</c:f>
              <c:strCache>
                <c:ptCount val="1"/>
                <c:pt idx="0">
                  <c:v> léčebná péče 
 - lůžková</c:v>
                </c:pt>
              </c:strCache>
            </c:strRef>
          </c:tx>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'2_11'!$F$14:$H$14</c:f>
              <c:numCache>
                <c:formatCode>#,##0.0</c:formatCode>
                <c:ptCount val="3"/>
                <c:pt idx="0">
                  <c:v>50.507355000000004</c:v>
                </c:pt>
                <c:pt idx="1">
                  <c:v>49.723276499999997</c:v>
                </c:pt>
                <c:pt idx="2">
                  <c:v>49.204482499999997</c:v>
                </c:pt>
              </c:numCache>
            </c:numRef>
          </c:val>
        </c:ser>
        <c:ser>
          <c:idx val="1"/>
          <c:order val="1"/>
          <c:tx>
            <c:strRef>
              <c:f>'2_11'!$A$15</c:f>
              <c:strCache>
                <c:ptCount val="1"/>
                <c:pt idx="0">
                  <c:v> léčebná péče 
 - denní a ambulantní</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'2_11'!$F$15:$H$15</c:f>
              <c:numCache>
                <c:formatCode>#,##0.0</c:formatCode>
                <c:ptCount val="3"/>
                <c:pt idx="0">
                  <c:v>27.888692899999999</c:v>
                </c:pt>
                <c:pt idx="1">
                  <c:v>32.194987300000001</c:v>
                </c:pt>
                <c:pt idx="2">
                  <c:v>32.486406099999996</c:v>
                </c:pt>
              </c:numCache>
            </c:numRef>
          </c:val>
        </c:ser>
        <c:ser>
          <c:idx val="2"/>
          <c:order val="2"/>
          <c:tx>
            <c:strRef>
              <c:f>'2_11'!$A$16</c:f>
              <c:strCache>
                <c:ptCount val="1"/>
                <c:pt idx="0">
                  <c:v> dlouhodobá 
 péče</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'2_11'!$F$16:$H$16</c:f>
              <c:numCache>
                <c:formatCode>#,##0.0</c:formatCode>
                <c:ptCount val="3"/>
                <c:pt idx="0">
                  <c:v>4.9943502900000007</c:v>
                </c:pt>
                <c:pt idx="1">
                  <c:v>4.9563564100000006</c:v>
                </c:pt>
                <c:pt idx="2">
                  <c:v>4.8001246899999996</c:v>
                </c:pt>
              </c:numCache>
            </c:numRef>
          </c:val>
        </c:ser>
        <c:ser>
          <c:idx val="3"/>
          <c:order val="3"/>
          <c:tx>
            <c:strRef>
              <c:f>'2_11'!$A$17</c:f>
              <c:strCache>
                <c:ptCount val="1"/>
                <c:pt idx="0">
                  <c:v> rehabilitační 
 péče </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'2_11'!$F$17:$H$17</c:f>
              <c:numCache>
                <c:formatCode>#,##0.0</c:formatCode>
                <c:ptCount val="3"/>
                <c:pt idx="0">
                  <c:v>2.8638419000000002</c:v>
                </c:pt>
                <c:pt idx="1">
                  <c:v>2.8937469</c:v>
                </c:pt>
                <c:pt idx="2">
                  <c:v>3.1276532000000001</c:v>
                </c:pt>
              </c:numCache>
            </c:numRef>
          </c:val>
        </c:ser>
        <c:ser>
          <c:idx val="4"/>
          <c:order val="4"/>
          <c:tx>
            <c:strRef>
              <c:f>'2_11'!$A$18</c:f>
              <c:strCache>
                <c:ptCount val="1"/>
                <c:pt idx="0">
                  <c:v> laboratorní 
 a zobrazovací služby</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'2_11'!$F$18:$H$18</c:f>
              <c:numCache>
                <c:formatCode>#,##0.0</c:formatCode>
                <c:ptCount val="3"/>
                <c:pt idx="0">
                  <c:v>23.262886999999999</c:v>
                </c:pt>
                <c:pt idx="1">
                  <c:v>23.247710999999999</c:v>
                </c:pt>
                <c:pt idx="2">
                  <c:v>23.301521000000001</c:v>
                </c:pt>
              </c:numCache>
            </c:numRef>
          </c:val>
        </c:ser>
        <c:ser>
          <c:idx val="5"/>
          <c:order val="5"/>
          <c:tx>
            <c:strRef>
              <c:f>'2_11'!$A$19</c:f>
              <c:strCache>
                <c:ptCount val="1"/>
                <c:pt idx="0">
                  <c:v> ostatní (1)</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'2_11'!$F$19:$H$19</c:f>
              <c:numCache>
                <c:formatCode>#,##0.0</c:formatCode>
                <c:ptCount val="3"/>
                <c:pt idx="0">
                  <c:v>9.2061729610000285</c:v>
                </c:pt>
                <c:pt idx="1">
                  <c:v>9.5075306450000028</c:v>
                </c:pt>
                <c:pt idx="2">
                  <c:v>9.681496318999999</c:v>
                </c:pt>
              </c:numCache>
            </c:numRef>
          </c:val>
        </c:ser>
        <c:ser>
          <c:idx val="6"/>
          <c:order val="6"/>
          <c:tx>
            <c:strRef>
              <c:f>'2_11'!$A$20</c:f>
              <c:strCache>
                <c:ptCount val="1"/>
                <c:pt idx="0">
                  <c:v>Zdravotní péče celkem</c:v>
                </c:pt>
              </c:strCache>
            </c:strRef>
          </c:tx>
          <c:spPr>
            <a:noFill/>
            <a:ln>
              <a:noFill/>
            </a:ln>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'2_11'!$F$20:$H$20</c:f>
              <c:numCache>
                <c:formatCode>#,##0.0</c:formatCode>
                <c:ptCount val="3"/>
                <c:pt idx="0">
                  <c:v>118.72330005100002</c:v>
                </c:pt>
                <c:pt idx="1">
                  <c:v>122.523608755</c:v>
                </c:pt>
                <c:pt idx="2">
                  <c:v>122.60168380899999</c:v>
                </c:pt>
              </c:numCache>
            </c:numRef>
          </c:val>
        </c:ser>
        <c:dLbls>
          <c:showLegendKey val="0"/>
          <c:showVal val="0"/>
          <c:showCatName val="0"/>
          <c:showSerName val="0"/>
          <c:showPercent val="0"/>
          <c:showBubbleSize val="0"/>
        </c:dLbls>
        <c:gapWidth val="30"/>
        <c:overlap val="100"/>
        <c:axId val="201383936"/>
        <c:axId val="356668480"/>
      </c:barChart>
      <c:catAx>
        <c:axId val="201383936"/>
        <c:scaling>
          <c:orientation val="minMax"/>
        </c:scaling>
        <c:delete val="0"/>
        <c:axPos val="b"/>
        <c:numFmt formatCode="General" sourceLinked="1"/>
        <c:majorTickMark val="out"/>
        <c:minorTickMark val="none"/>
        <c:tickLblPos val="nextTo"/>
        <c:crossAx val="356668480"/>
        <c:crosses val="autoZero"/>
        <c:auto val="1"/>
        <c:lblAlgn val="ctr"/>
        <c:lblOffset val="100"/>
        <c:noMultiLvlLbl val="0"/>
      </c:catAx>
      <c:valAx>
        <c:axId val="356668480"/>
        <c:scaling>
          <c:orientation val="minMax"/>
          <c:max val="140"/>
        </c:scaling>
        <c:delete val="0"/>
        <c:axPos val="l"/>
        <c:majorGridlines>
          <c:spPr>
            <a:ln>
              <a:prstDash val="dash"/>
            </a:ln>
          </c:spPr>
        </c:majorGridlines>
        <c:numFmt formatCode="#,##0" sourceLinked="0"/>
        <c:majorTickMark val="none"/>
        <c:minorTickMark val="none"/>
        <c:tickLblPos val="none"/>
        <c:crossAx val="201383936"/>
        <c:crosses val="autoZero"/>
        <c:crossBetween val="between"/>
        <c:majorUnit val="20"/>
        <c:minorUnit val="10"/>
      </c:valAx>
      <c:spPr>
        <a:ln>
          <a:solidFill>
            <a:schemeClr val="tx1">
              <a:tint val="75000"/>
              <a:shade val="95000"/>
              <a:satMod val="105000"/>
            </a:schemeClr>
          </a:solidFill>
        </a:ln>
      </c:spPr>
    </c:plotArea>
    <c:legend>
      <c:legendPos val="r"/>
      <c:legendEntry>
        <c:idx val="0"/>
        <c:delete val="1"/>
      </c:legendEntry>
      <c:layout>
        <c:manualLayout>
          <c:xMode val="edge"/>
          <c:yMode val="edge"/>
          <c:x val="0.63668466296184667"/>
          <c:y val="9.394230351856514E-2"/>
          <c:w val="0.32097982813005671"/>
          <c:h val="0.7944744723888566"/>
        </c:manualLayout>
      </c:layout>
      <c:overlay val="0"/>
      <c:spPr>
        <a:ln>
          <a:solidFill>
            <a:sysClr val="window" lastClr="FFFFFF">
              <a:lumMod val="50000"/>
            </a:sys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92242514619883065"/>
          <c:h val="0.85527012248469003"/>
        </c:manualLayout>
      </c:layout>
      <c:barChart>
        <c:barDir val="col"/>
        <c:grouping val="percentStacked"/>
        <c:varyColors val="0"/>
        <c:ser>
          <c:idx val="0"/>
          <c:order val="0"/>
          <c:tx>
            <c:strRef>
              <c:f>'2_11'!$A$4</c:f>
              <c:strCache>
                <c:ptCount val="1"/>
                <c:pt idx="0">
                  <c:v> léčebná péče 
 - lůžková</c:v>
                </c:pt>
              </c:strCache>
            </c:strRef>
          </c:tx>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'2_11'!$F$4:$H$4</c:f>
              <c:numCache>
                <c:formatCode>0.0%</c:formatCode>
                <c:ptCount val="3"/>
                <c:pt idx="0">
                  <c:v>0.42542074705052452</c:v>
                </c:pt>
                <c:pt idx="1">
                  <c:v>0.40582608531738068</c:v>
                </c:pt>
                <c:pt idx="2">
                  <c:v>0.40133610706893058</c:v>
                </c:pt>
              </c:numCache>
            </c:numRef>
          </c:val>
        </c:ser>
        <c:ser>
          <c:idx val="1"/>
          <c:order val="1"/>
          <c:tx>
            <c:strRef>
              <c:f>'2_11'!$A$5</c:f>
              <c:strCache>
                <c:ptCount val="1"/>
                <c:pt idx="0">
                  <c:v> léčebná péče 
 - denní a ambulantní</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'2_11'!$F$5:$H$5</c:f>
              <c:numCache>
                <c:formatCode>0.0%</c:formatCode>
                <c:ptCount val="3"/>
                <c:pt idx="0">
                  <c:v>0.23490496716331033</c:v>
                </c:pt>
                <c:pt idx="1">
                  <c:v>0.26276558148379037</c:v>
                </c:pt>
                <c:pt idx="2">
                  <c:v>0.26497520336352198</c:v>
                </c:pt>
              </c:numCache>
            </c:numRef>
          </c:val>
        </c:ser>
        <c:ser>
          <c:idx val="2"/>
          <c:order val="2"/>
          <c:tx>
            <c:strRef>
              <c:f>'2_11'!$A$6</c:f>
              <c:strCache>
                <c:ptCount val="1"/>
                <c:pt idx="0">
                  <c:v> dlouhodobá 
 péče</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'2_11'!$F$6:$H$6</c:f>
              <c:numCache>
                <c:formatCode>0.0%</c:formatCode>
                <c:ptCount val="3"/>
                <c:pt idx="0">
                  <c:v>4.2067145100031546E-2</c:v>
                </c:pt>
                <c:pt idx="1">
                  <c:v>4.0452256184445264E-2</c:v>
                </c:pt>
                <c:pt idx="2">
                  <c:v>3.9152192211960715E-2</c:v>
                </c:pt>
              </c:numCache>
            </c:numRef>
          </c:val>
        </c:ser>
        <c:ser>
          <c:idx val="3"/>
          <c:order val="3"/>
          <c:tx>
            <c:strRef>
              <c:f>'2_11'!$A$7</c:f>
              <c:strCache>
                <c:ptCount val="1"/>
                <c:pt idx="0">
                  <c:v> rehabilitační 
 péče </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'2_11'!$F$7:$H$7</c:f>
              <c:numCache>
                <c:formatCode>0.0%</c:formatCode>
                <c:ptCount val="3"/>
                <c:pt idx="0">
                  <c:v>2.4121986996400693E-2</c:v>
                </c:pt>
                <c:pt idx="1">
                  <c:v>2.3617871930187582E-2</c:v>
                </c:pt>
                <c:pt idx="2">
                  <c:v>2.5510687152327707E-2</c:v>
                </c:pt>
              </c:numCache>
            </c:numRef>
          </c:val>
        </c:ser>
        <c:ser>
          <c:idx val="4"/>
          <c:order val="4"/>
          <c:tx>
            <c:strRef>
              <c:f>'2_11'!$A$8</c:f>
              <c:strCache>
                <c:ptCount val="1"/>
                <c:pt idx="0">
                  <c:v> laboratorní 
 a zobrazovací služby</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'2_11'!$F$8:$H$8</c:f>
              <c:numCache>
                <c:formatCode>0.0%</c:formatCode>
                <c:ptCount val="3"/>
                <c:pt idx="0">
                  <c:v>0.19594205172874196</c:v>
                </c:pt>
                <c:pt idx="1">
                  <c:v>0.18974066497246633</c:v>
                </c:pt>
                <c:pt idx="2">
                  <c:v>0.19005873554152178</c:v>
                </c:pt>
              </c:numCache>
            </c:numRef>
          </c:val>
        </c:ser>
        <c:ser>
          <c:idx val="5"/>
          <c:order val="5"/>
          <c:tx>
            <c:strRef>
              <c:f>'2_11'!$A$9</c:f>
              <c:strCache>
                <c:ptCount val="1"/>
                <c:pt idx="0">
                  <c:v> ostatní (1)</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'2_11'!$F$9:$H$9</c:f>
              <c:numCache>
                <c:formatCode>0.0%</c:formatCode>
                <c:ptCount val="3"/>
                <c:pt idx="0">
                  <c:v>7.7543101960991054E-2</c:v>
                </c:pt>
                <c:pt idx="1">
                  <c:v>7.7597540111729812E-2</c:v>
                </c:pt>
                <c:pt idx="2">
                  <c:v>7.8967074661737191E-2</c:v>
                </c:pt>
              </c:numCache>
            </c:numRef>
          </c:val>
        </c:ser>
        <c:dLbls>
          <c:showLegendKey val="0"/>
          <c:showVal val="0"/>
          <c:showCatName val="0"/>
          <c:showSerName val="0"/>
          <c:showPercent val="0"/>
          <c:showBubbleSize val="0"/>
        </c:dLbls>
        <c:gapWidth val="30"/>
        <c:overlap val="100"/>
        <c:axId val="201386496"/>
        <c:axId val="362570880"/>
      </c:barChart>
      <c:catAx>
        <c:axId val="201386496"/>
        <c:scaling>
          <c:orientation val="minMax"/>
        </c:scaling>
        <c:delete val="0"/>
        <c:axPos val="b"/>
        <c:numFmt formatCode="General" sourceLinked="1"/>
        <c:majorTickMark val="out"/>
        <c:minorTickMark val="none"/>
        <c:tickLblPos val="nextTo"/>
        <c:crossAx val="362570880"/>
        <c:crosses val="autoZero"/>
        <c:auto val="1"/>
        <c:lblAlgn val="ctr"/>
        <c:lblOffset val="100"/>
        <c:noMultiLvlLbl val="0"/>
      </c:catAx>
      <c:valAx>
        <c:axId val="362570880"/>
        <c:scaling>
          <c:orientation val="minMax"/>
          <c:max val="1"/>
        </c:scaling>
        <c:delete val="0"/>
        <c:axPos val="l"/>
        <c:majorGridlines>
          <c:spPr>
            <a:ln>
              <a:prstDash val="dash"/>
            </a:ln>
          </c:spPr>
        </c:majorGridlines>
        <c:numFmt formatCode="0.0%" sourceLinked="0"/>
        <c:majorTickMark val="none"/>
        <c:minorTickMark val="none"/>
        <c:tickLblPos val="none"/>
        <c:crossAx val="201386496"/>
        <c:crosses val="autoZero"/>
        <c:crossBetween val="between"/>
        <c:majorUnit val="0.1"/>
        <c:minorUnit val="1.0000000000000005E-2"/>
      </c:valAx>
      <c:spPr>
        <a:ln>
          <a:solidFill>
            <a:schemeClr val="tx1">
              <a:tint val="75000"/>
              <a:shade val="95000"/>
              <a:satMod val="10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'2_2'!$A$3</c:f>
              <c:strCache>
                <c:ptCount val="1"/>
                <c:pt idx="0">
                  <c:v>  veřejné zdravotní pojišťění </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'2_2'!$D$2:$H$2</c:f>
              <c:strCache>
                <c:ptCount val="5"/>
                <c:pt idx="0">
                  <c:v>2012</c:v>
                </c:pt>
                <c:pt idx="1">
                  <c:v>2013</c:v>
                </c:pt>
                <c:pt idx="2">
                  <c:v>2014</c:v>
                </c:pt>
                <c:pt idx="3">
                  <c:v>2015</c:v>
                </c:pt>
                <c:pt idx="4">
                  <c:v>2016</c:v>
                </c:pt>
              </c:strCache>
            </c:strRef>
          </c:cat>
          <c:val>
            <c:numRef>
              <c:f>'2_2'!$D$3:$H$3</c:f>
              <c:numCache>
                <c:formatCode>0.0%</c:formatCode>
                <c:ptCount val="5"/>
                <c:pt idx="0">
                  <c:v>0.69587152580480693</c:v>
                </c:pt>
                <c:pt idx="1">
                  <c:v>0.69144188086589264</c:v>
                </c:pt>
                <c:pt idx="2">
                  <c:v>0.67273050405521961</c:v>
                </c:pt>
                <c:pt idx="3">
                  <c:v>0.66600677942724951</c:v>
                </c:pt>
                <c:pt idx="4">
                  <c:v>0.65727243047299855</c:v>
                </c:pt>
              </c:numCache>
            </c:numRef>
          </c:val>
        </c:ser>
        <c:ser>
          <c:idx val="1"/>
          <c:order val="1"/>
          <c:tx>
            <c:strRef>
              <c:f>'2_2'!$A$4</c:f>
              <c:strCache>
                <c:ptCount val="1"/>
                <c:pt idx="0">
                  <c:v>  ostatní veřejné zdroje (1)</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'2_2'!$D$2:$H$2</c:f>
              <c:strCache>
                <c:ptCount val="5"/>
                <c:pt idx="0">
                  <c:v>2012</c:v>
                </c:pt>
                <c:pt idx="1">
                  <c:v>2013</c:v>
                </c:pt>
                <c:pt idx="2">
                  <c:v>2014</c:v>
                </c:pt>
                <c:pt idx="3">
                  <c:v>2015</c:v>
                </c:pt>
                <c:pt idx="4">
                  <c:v>2016</c:v>
                </c:pt>
              </c:strCache>
            </c:strRef>
          </c:cat>
          <c:val>
            <c:numRef>
              <c:f>'2_2'!$D$4:$H$4</c:f>
              <c:numCache>
                <c:formatCode>0.0%</c:formatCode>
                <c:ptCount val="5"/>
                <c:pt idx="0">
                  <c:v>0.14809739595002844</c:v>
                </c:pt>
                <c:pt idx="1">
                  <c:v>0.15577628151279846</c:v>
                </c:pt>
                <c:pt idx="2">
                  <c:v>0.16336640274028089</c:v>
                </c:pt>
                <c:pt idx="3">
                  <c:v>0.16730723619328691</c:v>
                </c:pt>
                <c:pt idx="4">
                  <c:v>0.17284653768937194</c:v>
                </c:pt>
              </c:numCache>
            </c:numRef>
          </c:val>
        </c:ser>
        <c:ser>
          <c:idx val="2"/>
          <c:order val="2"/>
          <c:tx>
            <c:strRef>
              <c:f>'2_2'!$A$5</c:f>
              <c:strCache>
                <c:ptCount val="1"/>
                <c:pt idx="0">
                  <c:v>  přímé platby domácností</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'2_2'!$D$2:$H$2</c:f>
              <c:strCache>
                <c:ptCount val="5"/>
                <c:pt idx="0">
                  <c:v>2012</c:v>
                </c:pt>
                <c:pt idx="1">
                  <c:v>2013</c:v>
                </c:pt>
                <c:pt idx="2">
                  <c:v>2014</c:v>
                </c:pt>
                <c:pt idx="3">
                  <c:v>2015</c:v>
                </c:pt>
                <c:pt idx="4">
                  <c:v>2016</c:v>
                </c:pt>
              </c:strCache>
            </c:strRef>
          </c:cat>
          <c:val>
            <c:numRef>
              <c:f>'2_2'!$D$5:$H$5</c:f>
              <c:numCache>
                <c:formatCode>0.0%</c:formatCode>
                <c:ptCount val="5"/>
                <c:pt idx="0">
                  <c:v>0.12938684643550669</c:v>
                </c:pt>
                <c:pt idx="1">
                  <c:v>0.12608773182847369</c:v>
                </c:pt>
                <c:pt idx="2">
                  <c:v>0.1333121313390459</c:v>
                </c:pt>
                <c:pt idx="3">
                  <c:v>0.14020597847650898</c:v>
                </c:pt>
                <c:pt idx="4">
                  <c:v>0.14161607815685273</c:v>
                </c:pt>
              </c:numCache>
            </c:numRef>
          </c:val>
        </c:ser>
        <c:ser>
          <c:idx val="3"/>
          <c:order val="3"/>
          <c:tx>
            <c:strRef>
              <c:f>'2_2'!$A$6</c:f>
              <c:strCache>
                <c:ptCount val="1"/>
                <c:pt idx="0">
                  <c:v>  ostatní soukromé zdroje (2)</c:v>
                </c:pt>
              </c:strCache>
            </c:strRef>
          </c:tx>
          <c:spPr>
            <a:solidFill>
              <a:srgbClr val="FFFF00"/>
            </a:solidFill>
          </c:spPr>
          <c:invertIfNegative val="0"/>
          <c:cat>
            <c:strRef>
              <c:f>'2_2'!$D$2:$H$2</c:f>
              <c:strCache>
                <c:ptCount val="5"/>
                <c:pt idx="0">
                  <c:v>2012</c:v>
                </c:pt>
                <c:pt idx="1">
                  <c:v>2013</c:v>
                </c:pt>
                <c:pt idx="2">
                  <c:v>2014</c:v>
                </c:pt>
                <c:pt idx="3">
                  <c:v>2015</c:v>
                </c:pt>
                <c:pt idx="4">
                  <c:v>2016</c:v>
                </c:pt>
              </c:strCache>
            </c:strRef>
          </c:cat>
          <c:val>
            <c:numRef>
              <c:f>'2_2'!$D$6:$H$6</c:f>
              <c:numCache>
                <c:formatCode>0.0%</c:formatCode>
                <c:ptCount val="5"/>
                <c:pt idx="0">
                  <c:v>2.6644231809658154E-2</c:v>
                </c:pt>
                <c:pt idx="1">
                  <c:v>2.6694105792835942E-2</c:v>
                </c:pt>
                <c:pt idx="2">
                  <c:v>3.0590961865453681E-2</c:v>
                </c:pt>
                <c:pt idx="3">
                  <c:v>2.6480005902954289E-2</c:v>
                </c:pt>
                <c:pt idx="4">
                  <c:v>2.8264953680777416E-2</c:v>
                </c:pt>
              </c:numCache>
            </c:numRef>
          </c:val>
        </c:ser>
        <c:dLbls>
          <c:showLegendKey val="0"/>
          <c:showVal val="0"/>
          <c:showCatName val="0"/>
          <c:showSerName val="0"/>
          <c:showPercent val="0"/>
          <c:showBubbleSize val="0"/>
        </c:dLbls>
        <c:gapWidth val="50"/>
        <c:overlap val="100"/>
        <c:axId val="365021184"/>
        <c:axId val="286484160"/>
      </c:barChart>
      <c:catAx>
        <c:axId val="365021184"/>
        <c:scaling>
          <c:orientation val="minMax"/>
        </c:scaling>
        <c:delete val="0"/>
        <c:axPos val="b"/>
        <c:numFmt formatCode="General" sourceLinked="1"/>
        <c:majorTickMark val="out"/>
        <c:minorTickMark val="none"/>
        <c:tickLblPos val="nextTo"/>
        <c:crossAx val="286484160"/>
        <c:crosses val="autoZero"/>
        <c:auto val="1"/>
        <c:lblAlgn val="ctr"/>
        <c:lblOffset val="100"/>
        <c:noMultiLvlLbl val="0"/>
      </c:catAx>
      <c:valAx>
        <c:axId val="286484160"/>
        <c:scaling>
          <c:orientation val="minMax"/>
          <c:max val="1"/>
        </c:scaling>
        <c:delete val="0"/>
        <c:axPos val="l"/>
        <c:majorGridlines>
          <c:spPr>
            <a:ln>
              <a:prstDash val="dash"/>
            </a:ln>
          </c:spPr>
        </c:majorGridlines>
        <c:numFmt formatCode="0%" sourceLinked="0"/>
        <c:majorTickMark val="none"/>
        <c:minorTickMark val="none"/>
        <c:tickLblPos val="none"/>
        <c:crossAx val="365021184"/>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64391638888888891"/>
          <c:h val="0.85527012248469003"/>
        </c:manualLayout>
      </c:layout>
      <c:barChart>
        <c:barDir val="col"/>
        <c:grouping val="stacked"/>
        <c:varyColors val="0"/>
        <c:ser>
          <c:idx val="0"/>
          <c:order val="0"/>
          <c:tx>
            <c:strRef>
              <c:f>'2_3'!$A$12</c:f>
              <c:strCache>
                <c:ptCount val="1"/>
                <c:pt idx="0">
                  <c:v>  veřejné 
  zdravotní 
  pojišťění </c:v>
                </c:pt>
              </c:strCache>
            </c:strRef>
          </c:tx>
          <c:spPr>
            <a:solidFill>
              <a:schemeClr val="accent2">
                <a:lumMod val="75000"/>
              </a:schemeClr>
            </a:solidFill>
          </c:spPr>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'2_3'!$D$11:$H$11</c:f>
              <c:strCache>
                <c:ptCount val="5"/>
                <c:pt idx="0">
                  <c:v>2012</c:v>
                </c:pt>
                <c:pt idx="1">
                  <c:v>2013</c:v>
                </c:pt>
                <c:pt idx="2">
                  <c:v>2014</c:v>
                </c:pt>
                <c:pt idx="3">
                  <c:v>2015</c:v>
                </c:pt>
                <c:pt idx="4">
                  <c:v>2016</c:v>
                </c:pt>
              </c:strCache>
            </c:strRef>
          </c:cat>
          <c:val>
            <c:numRef>
              <c:f>'2_3'!$D$12:$H$12</c:f>
              <c:numCache>
                <c:formatCode>#,##0.0</c:formatCode>
                <c:ptCount val="5"/>
                <c:pt idx="0">
                  <c:v>237.92727992194759</c:v>
                </c:pt>
                <c:pt idx="1">
                  <c:v>238.35404853439701</c:v>
                </c:pt>
                <c:pt idx="2">
                  <c:v>234.60161366699958</c:v>
                </c:pt>
                <c:pt idx="3">
                  <c:v>234.46049145812947</c:v>
                </c:pt>
                <c:pt idx="4">
                  <c:v>237.70046427490109</c:v>
                </c:pt>
              </c:numCache>
            </c:numRef>
          </c:val>
        </c:ser>
        <c:ser>
          <c:idx val="1"/>
          <c:order val="1"/>
          <c:tx>
            <c:strRef>
              <c:f>'2_3'!$A$13</c:f>
              <c:strCache>
                <c:ptCount val="1"/>
                <c:pt idx="0">
                  <c:v>  státní 
  rozpočet</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'2_3'!$D$11:$H$11</c:f>
              <c:strCache>
                <c:ptCount val="5"/>
                <c:pt idx="0">
                  <c:v>2012</c:v>
                </c:pt>
                <c:pt idx="1">
                  <c:v>2013</c:v>
                </c:pt>
                <c:pt idx="2">
                  <c:v>2014</c:v>
                </c:pt>
                <c:pt idx="3">
                  <c:v>2015</c:v>
                </c:pt>
                <c:pt idx="4">
                  <c:v>2016</c:v>
                </c:pt>
              </c:strCache>
            </c:strRef>
          </c:cat>
          <c:val>
            <c:numRef>
              <c:f>'2_3'!$D$13:$H$13</c:f>
              <c:numCache>
                <c:formatCode>#,##0.0</c:formatCode>
                <c:ptCount val="5"/>
                <c:pt idx="0">
                  <c:v>44.637930154000003</c:v>
                </c:pt>
                <c:pt idx="1">
                  <c:v>47.49874844202003</c:v>
                </c:pt>
                <c:pt idx="2">
                  <c:v>50.721203057719997</c:v>
                </c:pt>
                <c:pt idx="3">
                  <c:v>52.621897336650001</c:v>
                </c:pt>
                <c:pt idx="4">
                  <c:v>55.895413700000013</c:v>
                </c:pt>
              </c:numCache>
            </c:numRef>
          </c:val>
        </c:ser>
        <c:ser>
          <c:idx val="2"/>
          <c:order val="2"/>
          <c:tx>
            <c:strRef>
              <c:f>'2_3'!$A$14</c:f>
              <c:strCache>
                <c:ptCount val="1"/>
                <c:pt idx="0">
                  <c:v>  místní 
  rozpočty</c:v>
                </c:pt>
              </c:strCache>
            </c:strRef>
          </c:tx>
          <c:spPr>
            <a:solidFill>
              <a:schemeClr val="accent2">
                <a:lumMod val="20000"/>
                <a:lumOff val="8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'2_3'!$D$11:$H$11</c:f>
              <c:strCache>
                <c:ptCount val="5"/>
                <c:pt idx="0">
                  <c:v>2012</c:v>
                </c:pt>
                <c:pt idx="1">
                  <c:v>2013</c:v>
                </c:pt>
                <c:pt idx="2">
                  <c:v>2014</c:v>
                </c:pt>
                <c:pt idx="3">
                  <c:v>2015</c:v>
                </c:pt>
                <c:pt idx="4">
                  <c:v>2016</c:v>
                </c:pt>
              </c:strCache>
            </c:strRef>
          </c:cat>
          <c:val>
            <c:numRef>
              <c:f>'2_3'!$D$14:$H$14</c:f>
              <c:numCache>
                <c:formatCode>#,##0.0</c:formatCode>
                <c:ptCount val="5"/>
                <c:pt idx="0">
                  <c:v>5.9984434799999997</c:v>
                </c:pt>
                <c:pt idx="1">
                  <c:v>6.200497136960001</c:v>
                </c:pt>
                <c:pt idx="2">
                  <c:v>6.2496366333800024</c:v>
                </c:pt>
                <c:pt idx="3">
                  <c:v>6.2768076526799996</c:v>
                </c:pt>
                <c:pt idx="4">
                  <c:v>6.6139817229999958</c:v>
                </c:pt>
              </c:numCache>
            </c:numRef>
          </c:val>
        </c:ser>
        <c:ser>
          <c:idx val="3"/>
          <c:order val="3"/>
          <c:tx>
            <c:strRef>
              <c:f>'2_3'!$A$15</c:f>
              <c:strCache>
                <c:ptCount val="1"/>
                <c:pt idx="0">
                  <c:v>  veřejné zdroje celkem</c:v>
                </c:pt>
              </c:strCache>
            </c:strRef>
          </c:tx>
          <c:spPr>
            <a:noFill/>
            <a:ln>
              <a:noFill/>
            </a:ln>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strRef>
              <c:f>'2_3'!$D$11:$H$11</c:f>
              <c:strCache>
                <c:ptCount val="5"/>
                <c:pt idx="0">
                  <c:v>2012</c:v>
                </c:pt>
                <c:pt idx="1">
                  <c:v>2013</c:v>
                </c:pt>
                <c:pt idx="2">
                  <c:v>2014</c:v>
                </c:pt>
                <c:pt idx="3">
                  <c:v>2015</c:v>
                </c:pt>
                <c:pt idx="4">
                  <c:v>2016</c:v>
                </c:pt>
              </c:strCache>
            </c:strRef>
          </c:cat>
          <c:val>
            <c:numRef>
              <c:f>'2_3'!$D$15:$H$15</c:f>
              <c:numCache>
                <c:formatCode>#,##0.0</c:formatCode>
                <c:ptCount val="5"/>
                <c:pt idx="0">
                  <c:v>288.56365355594755</c:v>
                </c:pt>
                <c:pt idx="1">
                  <c:v>292.05329411337709</c:v>
                </c:pt>
                <c:pt idx="2">
                  <c:v>291.57245335809938</c:v>
                </c:pt>
                <c:pt idx="3">
                  <c:v>293.35919644745923</c:v>
                </c:pt>
                <c:pt idx="4">
                  <c:v>300.20985969790132</c:v>
                </c:pt>
              </c:numCache>
            </c:numRef>
          </c:val>
        </c:ser>
        <c:dLbls>
          <c:showLegendKey val="0"/>
          <c:showVal val="0"/>
          <c:showCatName val="0"/>
          <c:showSerName val="0"/>
          <c:showPercent val="0"/>
          <c:showBubbleSize val="0"/>
        </c:dLbls>
        <c:gapWidth val="30"/>
        <c:overlap val="100"/>
        <c:axId val="366909440"/>
        <c:axId val="286485888"/>
      </c:barChart>
      <c:catAx>
        <c:axId val="366909440"/>
        <c:scaling>
          <c:orientation val="minMax"/>
        </c:scaling>
        <c:delete val="0"/>
        <c:axPos val="b"/>
        <c:numFmt formatCode="General" sourceLinked="1"/>
        <c:majorTickMark val="out"/>
        <c:minorTickMark val="none"/>
        <c:tickLblPos val="nextTo"/>
        <c:crossAx val="286485888"/>
        <c:crosses val="autoZero"/>
        <c:auto val="1"/>
        <c:lblAlgn val="ctr"/>
        <c:lblOffset val="100"/>
        <c:noMultiLvlLbl val="0"/>
      </c:catAx>
      <c:valAx>
        <c:axId val="286485888"/>
        <c:scaling>
          <c:orientation val="minMax"/>
          <c:max val="350"/>
        </c:scaling>
        <c:delete val="0"/>
        <c:axPos val="l"/>
        <c:majorGridlines>
          <c:spPr>
            <a:ln>
              <a:prstDash val="dash"/>
            </a:ln>
          </c:spPr>
        </c:majorGridlines>
        <c:numFmt formatCode="#,##0" sourceLinked="0"/>
        <c:majorTickMark val="none"/>
        <c:minorTickMark val="none"/>
        <c:tickLblPos val="none"/>
        <c:crossAx val="366909440"/>
        <c:crosses val="autoZero"/>
        <c:crossBetween val="between"/>
      </c:valAx>
      <c:spPr>
        <a:ln>
          <a:solidFill>
            <a:schemeClr val="bg1">
              <a:lumMod val="75000"/>
            </a:schemeClr>
          </a:solidFill>
        </a:ln>
      </c:spPr>
    </c:plotArea>
    <c:legend>
      <c:legendPos val="r"/>
      <c:legendEntry>
        <c:idx val="0"/>
        <c:delete val="1"/>
      </c:legendEntry>
      <c:layout>
        <c:manualLayout>
          <c:xMode val="edge"/>
          <c:yMode val="edge"/>
          <c:x val="0.69453222222222177"/>
          <c:y val="0.19124453193350832"/>
          <c:w val="0.26934305555555554"/>
          <c:h val="0.60539224263633762"/>
        </c:manualLayout>
      </c:layout>
      <c:overlay val="0"/>
      <c:spPr>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'2_3'!$A$4</c:f>
              <c:strCache>
                <c:ptCount val="1"/>
                <c:pt idx="0">
                  <c:v>  veřejné 
  zdravotní 
  pojišťění </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'2_3'!$D$3:$H$3</c:f>
              <c:strCache>
                <c:ptCount val="5"/>
                <c:pt idx="0">
                  <c:v>2012</c:v>
                </c:pt>
                <c:pt idx="1">
                  <c:v>2013</c:v>
                </c:pt>
                <c:pt idx="2">
                  <c:v>2014</c:v>
                </c:pt>
                <c:pt idx="3">
                  <c:v>2015</c:v>
                </c:pt>
                <c:pt idx="4">
                  <c:v>2016</c:v>
                </c:pt>
              </c:strCache>
            </c:strRef>
          </c:cat>
          <c:val>
            <c:numRef>
              <c:f>'2_3'!$D$4:$H$4</c:f>
              <c:numCache>
                <c:formatCode>0.0%</c:formatCode>
                <c:ptCount val="5"/>
                <c:pt idx="0">
                  <c:v>0.82452269019326641</c:v>
                </c:pt>
                <c:pt idx="1">
                  <c:v>0.81613203253878253</c:v>
                </c:pt>
                <c:pt idx="2">
                  <c:v>0.80460829191868077</c:v>
                </c:pt>
                <c:pt idx="3">
                  <c:v>0.7992266623900478</c:v>
                </c:pt>
                <c:pt idx="4">
                  <c:v>0.79178100450830446</c:v>
                </c:pt>
              </c:numCache>
            </c:numRef>
          </c:val>
        </c:ser>
        <c:ser>
          <c:idx val="1"/>
          <c:order val="1"/>
          <c:tx>
            <c:strRef>
              <c:f>'2_3'!$A$5</c:f>
              <c:strCache>
                <c:ptCount val="1"/>
                <c:pt idx="0">
                  <c:v>  státní 
  rozpočtu</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'2_3'!$D$3:$H$3</c:f>
              <c:strCache>
                <c:ptCount val="5"/>
                <c:pt idx="0">
                  <c:v>2012</c:v>
                </c:pt>
                <c:pt idx="1">
                  <c:v>2013</c:v>
                </c:pt>
                <c:pt idx="2">
                  <c:v>2014</c:v>
                </c:pt>
                <c:pt idx="3">
                  <c:v>2015</c:v>
                </c:pt>
                <c:pt idx="4">
                  <c:v>2016</c:v>
                </c:pt>
              </c:strCache>
            </c:strRef>
          </c:cat>
          <c:val>
            <c:numRef>
              <c:f>'2_3'!$D$5:$H$5</c:f>
              <c:numCache>
                <c:formatCode>0.0%</c:formatCode>
                <c:ptCount val="5"/>
                <c:pt idx="0">
                  <c:v>0.15469006440669253</c:v>
                </c:pt>
                <c:pt idx="1">
                  <c:v>0.16263726312766974</c:v>
                </c:pt>
                <c:pt idx="2">
                  <c:v>0.17395745885303482</c:v>
                </c:pt>
                <c:pt idx="3">
                  <c:v>0.17937701621048238</c:v>
                </c:pt>
                <c:pt idx="4">
                  <c:v>0.18618780128090096</c:v>
                </c:pt>
              </c:numCache>
            </c:numRef>
          </c:val>
        </c:ser>
        <c:ser>
          <c:idx val="2"/>
          <c:order val="2"/>
          <c:tx>
            <c:strRef>
              <c:f>'2_3'!$A$6</c:f>
              <c:strCache>
                <c:ptCount val="1"/>
                <c:pt idx="0">
                  <c:v>  místní 
  rozpočty</c:v>
                </c:pt>
              </c:strCache>
            </c:strRef>
          </c:tx>
          <c:spPr>
            <a:solidFill>
              <a:schemeClr val="accent2">
                <a:lumMod val="20000"/>
                <a:lumOff val="80000"/>
              </a:schemeClr>
            </a:solidFill>
          </c:spPr>
          <c:invertIfNegative val="0"/>
          <c:cat>
            <c:strRef>
              <c:f>'2_3'!$D$3:$H$3</c:f>
              <c:strCache>
                <c:ptCount val="5"/>
                <c:pt idx="0">
                  <c:v>2012</c:v>
                </c:pt>
                <c:pt idx="1">
                  <c:v>2013</c:v>
                </c:pt>
                <c:pt idx="2">
                  <c:v>2014</c:v>
                </c:pt>
                <c:pt idx="3">
                  <c:v>2015</c:v>
                </c:pt>
                <c:pt idx="4">
                  <c:v>2016</c:v>
                </c:pt>
              </c:strCache>
            </c:strRef>
          </c:cat>
          <c:val>
            <c:numRef>
              <c:f>'2_3'!$D$6:$H$6</c:f>
              <c:numCache>
                <c:formatCode>0.0%</c:formatCode>
                <c:ptCount val="5"/>
                <c:pt idx="0">
                  <c:v>2.0787245400041395E-2</c:v>
                </c:pt>
                <c:pt idx="1">
                  <c:v>2.1230704333548553E-2</c:v>
                </c:pt>
                <c:pt idx="2">
                  <c:v>2.1434249228285004E-2</c:v>
                </c:pt>
                <c:pt idx="3">
                  <c:v>2.1396321399469665E-2</c:v>
                </c:pt>
                <c:pt idx="4">
                  <c:v>2.2031194210795083E-2</c:v>
                </c:pt>
              </c:numCache>
            </c:numRef>
          </c:val>
        </c:ser>
        <c:dLbls>
          <c:showLegendKey val="0"/>
          <c:showVal val="0"/>
          <c:showCatName val="0"/>
          <c:showSerName val="0"/>
          <c:showPercent val="0"/>
          <c:showBubbleSize val="0"/>
        </c:dLbls>
        <c:gapWidth val="50"/>
        <c:overlap val="100"/>
        <c:axId val="181022720"/>
        <c:axId val="286487616"/>
      </c:barChart>
      <c:catAx>
        <c:axId val="181022720"/>
        <c:scaling>
          <c:orientation val="minMax"/>
        </c:scaling>
        <c:delete val="0"/>
        <c:axPos val="b"/>
        <c:numFmt formatCode="General" sourceLinked="1"/>
        <c:majorTickMark val="out"/>
        <c:minorTickMark val="none"/>
        <c:tickLblPos val="nextTo"/>
        <c:crossAx val="286487616"/>
        <c:crosses val="autoZero"/>
        <c:auto val="1"/>
        <c:lblAlgn val="ctr"/>
        <c:lblOffset val="100"/>
        <c:noMultiLvlLbl val="0"/>
      </c:catAx>
      <c:valAx>
        <c:axId val="286487616"/>
        <c:scaling>
          <c:orientation val="minMax"/>
          <c:max val="1"/>
        </c:scaling>
        <c:delete val="0"/>
        <c:axPos val="l"/>
        <c:majorGridlines>
          <c:spPr>
            <a:ln>
              <a:prstDash val="dash"/>
            </a:ln>
          </c:spPr>
        </c:majorGridlines>
        <c:numFmt formatCode="0%" sourceLinked="0"/>
        <c:majorTickMark val="none"/>
        <c:minorTickMark val="none"/>
        <c:tickLblPos val="none"/>
        <c:crossAx val="181022720"/>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619221944444445"/>
          <c:h val="0.85527012248469003"/>
        </c:manualLayout>
      </c:layout>
      <c:barChart>
        <c:barDir val="col"/>
        <c:grouping val="stacked"/>
        <c:varyColors val="0"/>
        <c:ser>
          <c:idx val="0"/>
          <c:order val="0"/>
          <c:tx>
            <c:strRef>
              <c:f>'2_4'!$A$4</c:f>
              <c:strCache>
                <c:ptCount val="1"/>
                <c:pt idx="0">
                  <c:v>  dlouhodobá 
  zdravotní péče (1)</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numRef>
              <c:f>'2_4'!$D$3:$H$3</c:f>
              <c:numCache>
                <c:formatCode>General</c:formatCode>
                <c:ptCount val="5"/>
                <c:pt idx="0">
                  <c:v>2012</c:v>
                </c:pt>
                <c:pt idx="1">
                  <c:v>2013</c:v>
                </c:pt>
                <c:pt idx="2">
                  <c:v>2014</c:v>
                </c:pt>
                <c:pt idx="3">
                  <c:v>2015</c:v>
                </c:pt>
                <c:pt idx="4">
                  <c:v>2016</c:v>
                </c:pt>
              </c:numCache>
            </c:numRef>
          </c:cat>
          <c:val>
            <c:numRef>
              <c:f>'2_4'!$D$4:$H$4</c:f>
              <c:numCache>
                <c:formatCode>#,##0.0</c:formatCode>
                <c:ptCount val="5"/>
                <c:pt idx="0">
                  <c:v>23.779747999999977</c:v>
                </c:pt>
                <c:pt idx="1">
                  <c:v>25.110230299999987</c:v>
                </c:pt>
                <c:pt idx="2">
                  <c:v>26.459181700000016</c:v>
                </c:pt>
                <c:pt idx="3">
                  <c:v>28.234000000000005</c:v>
                </c:pt>
                <c:pt idx="4">
                  <c:v>29.885918999999987</c:v>
                </c:pt>
              </c:numCache>
            </c:numRef>
          </c:val>
        </c:ser>
        <c:ser>
          <c:idx val="1"/>
          <c:order val="1"/>
          <c:tx>
            <c:strRef>
              <c:f>'2_4'!$A$5</c:f>
              <c:strCache>
                <c:ptCount val="1"/>
                <c:pt idx="0">
                  <c:v>  dlouhodobá 
  sociální péče (2)</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'2_4'!$D$3:$H$3</c:f>
              <c:numCache>
                <c:formatCode>General</c:formatCode>
                <c:ptCount val="5"/>
                <c:pt idx="0">
                  <c:v>2012</c:v>
                </c:pt>
                <c:pt idx="1">
                  <c:v>2013</c:v>
                </c:pt>
                <c:pt idx="2">
                  <c:v>2014</c:v>
                </c:pt>
                <c:pt idx="3">
                  <c:v>2015</c:v>
                </c:pt>
                <c:pt idx="4">
                  <c:v>2016</c:v>
                </c:pt>
              </c:numCache>
            </c:numRef>
          </c:cat>
          <c:val>
            <c:numRef>
              <c:f>'2_4'!$D$5:$H$5</c:f>
              <c:numCache>
                <c:formatCode>#,##0.0</c:formatCode>
                <c:ptCount val="5"/>
                <c:pt idx="0">
                  <c:v>15.910090760000001</c:v>
                </c:pt>
                <c:pt idx="1">
                  <c:v>17.221911750000015</c:v>
                </c:pt>
                <c:pt idx="2">
                  <c:v>18.054777099999999</c:v>
                </c:pt>
                <c:pt idx="3">
                  <c:v>18.589312799999977</c:v>
                </c:pt>
                <c:pt idx="4">
                  <c:v>20.124265039999997</c:v>
                </c:pt>
              </c:numCache>
            </c:numRef>
          </c:val>
        </c:ser>
        <c:ser>
          <c:idx val="2"/>
          <c:order val="2"/>
          <c:tx>
            <c:strRef>
              <c:f>'2_4'!$A$6</c:f>
              <c:strCache>
                <c:ptCount val="1"/>
                <c:pt idx="0">
                  <c:v>  ostatní 
  výdaje (3)</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'2_4'!$D$3:$H$3</c:f>
              <c:numCache>
                <c:formatCode>General</c:formatCode>
                <c:ptCount val="5"/>
                <c:pt idx="0">
                  <c:v>2012</c:v>
                </c:pt>
                <c:pt idx="1">
                  <c:v>2013</c:v>
                </c:pt>
                <c:pt idx="2">
                  <c:v>2014</c:v>
                </c:pt>
                <c:pt idx="3">
                  <c:v>2015</c:v>
                </c:pt>
                <c:pt idx="4">
                  <c:v>2016</c:v>
                </c:pt>
              </c:numCache>
            </c:numRef>
          </c:cat>
          <c:val>
            <c:numRef>
              <c:f>'2_4'!$D$6:$H$6</c:f>
              <c:numCache>
                <c:formatCode>#,##0.0</c:formatCode>
                <c:ptCount val="5"/>
                <c:pt idx="0">
                  <c:v>4.9480916200000093</c:v>
                </c:pt>
                <c:pt idx="1">
                  <c:v>5.1666060179999986</c:v>
                </c:pt>
                <c:pt idx="2">
                  <c:v>6.2072445030000019</c:v>
                </c:pt>
                <c:pt idx="3">
                  <c:v>5.7985844849999975</c:v>
                </c:pt>
                <c:pt idx="4">
                  <c:v>5.885229780000012</c:v>
                </c:pt>
              </c:numCache>
            </c:numRef>
          </c:val>
        </c:ser>
        <c:ser>
          <c:idx val="3"/>
          <c:order val="3"/>
          <c:tx>
            <c:strRef>
              <c:f>'2_4'!$A$7</c:f>
              <c:strCache>
                <c:ptCount val="1"/>
                <c:pt idx="0">
                  <c:v>Státní rozpočet celkem</c:v>
                </c:pt>
              </c:strCache>
            </c:strRef>
          </c:tx>
          <c:spPr>
            <a:noFill/>
            <a:ln>
              <a:noFill/>
            </a:ln>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numRef>
              <c:f>'2_4'!$D$3:$H$3</c:f>
              <c:numCache>
                <c:formatCode>General</c:formatCode>
                <c:ptCount val="5"/>
                <c:pt idx="0">
                  <c:v>2012</c:v>
                </c:pt>
                <c:pt idx="1">
                  <c:v>2013</c:v>
                </c:pt>
                <c:pt idx="2">
                  <c:v>2014</c:v>
                </c:pt>
                <c:pt idx="3">
                  <c:v>2015</c:v>
                </c:pt>
                <c:pt idx="4">
                  <c:v>2016</c:v>
                </c:pt>
              </c:numCache>
            </c:numRef>
          </c:cat>
          <c:val>
            <c:numRef>
              <c:f>'2_4'!$D$7:$H$7</c:f>
              <c:numCache>
                <c:formatCode>#,##0.0</c:formatCode>
                <c:ptCount val="5"/>
                <c:pt idx="0">
                  <c:v>44.637930380000036</c:v>
                </c:pt>
                <c:pt idx="1">
                  <c:v>47.498748068000012</c:v>
                </c:pt>
                <c:pt idx="2">
                  <c:v>50.721203303000003</c:v>
                </c:pt>
                <c:pt idx="3">
                  <c:v>52.621897284999996</c:v>
                </c:pt>
                <c:pt idx="4">
                  <c:v>55.895413820000037</c:v>
                </c:pt>
              </c:numCache>
            </c:numRef>
          </c:val>
        </c:ser>
        <c:dLbls>
          <c:showLegendKey val="0"/>
          <c:showVal val="0"/>
          <c:showCatName val="0"/>
          <c:showSerName val="0"/>
          <c:showPercent val="0"/>
          <c:showBubbleSize val="0"/>
        </c:dLbls>
        <c:gapWidth val="50"/>
        <c:overlap val="100"/>
        <c:axId val="181025792"/>
        <c:axId val="286486464"/>
      </c:barChart>
      <c:catAx>
        <c:axId val="181025792"/>
        <c:scaling>
          <c:orientation val="minMax"/>
        </c:scaling>
        <c:delete val="0"/>
        <c:axPos val="b"/>
        <c:numFmt formatCode="General" sourceLinked="1"/>
        <c:majorTickMark val="out"/>
        <c:minorTickMark val="none"/>
        <c:tickLblPos val="nextTo"/>
        <c:crossAx val="286486464"/>
        <c:crosses val="autoZero"/>
        <c:auto val="1"/>
        <c:lblAlgn val="ctr"/>
        <c:lblOffset val="100"/>
        <c:noMultiLvlLbl val="0"/>
      </c:catAx>
      <c:valAx>
        <c:axId val="286486464"/>
        <c:scaling>
          <c:orientation val="minMax"/>
          <c:max val="65"/>
        </c:scaling>
        <c:delete val="0"/>
        <c:axPos val="l"/>
        <c:majorGridlines>
          <c:spPr>
            <a:ln>
              <a:prstDash val="dash"/>
            </a:ln>
          </c:spPr>
        </c:majorGridlines>
        <c:numFmt formatCode="#,##0" sourceLinked="0"/>
        <c:majorTickMark val="none"/>
        <c:minorTickMark val="none"/>
        <c:tickLblPos val="none"/>
        <c:crossAx val="181025792"/>
        <c:crosses val="autoZero"/>
        <c:crossBetween val="between"/>
        <c:majorUnit val="5"/>
        <c:minorUnit val="1"/>
      </c:valAx>
      <c:spPr>
        <a:ln>
          <a:solidFill>
            <a:schemeClr val="bg1">
              <a:lumMod val="75000"/>
            </a:schemeClr>
          </a:solidFill>
        </a:ln>
      </c:spPr>
    </c:plotArea>
    <c:legend>
      <c:legendPos val="r"/>
      <c:legendEntry>
        <c:idx val="0"/>
        <c:delete val="1"/>
      </c:legendEntry>
      <c:layout>
        <c:manualLayout>
          <c:xMode val="edge"/>
          <c:yMode val="edge"/>
          <c:x val="0.66983777777777775"/>
          <c:y val="0.19124453193350832"/>
          <c:w val="0.31520416666666695"/>
          <c:h val="0.60539224263633762"/>
        </c:manualLayout>
      </c:layout>
      <c:overlay val="0"/>
      <c:spPr>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'2_3 (2)'!$A$44</c:f>
              <c:strCache>
                <c:ptCount val="1"/>
                <c:pt idx="0">
                  <c:v>  dlouhodobá 
  zdravotní péče (1)</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numRef>
              <c:f>'2_3 (2)'!$D$43:$H$43</c:f>
              <c:numCache>
                <c:formatCode>General</c:formatCode>
                <c:ptCount val="5"/>
                <c:pt idx="0">
                  <c:v>2012</c:v>
                </c:pt>
                <c:pt idx="1">
                  <c:v>2013</c:v>
                </c:pt>
                <c:pt idx="2">
                  <c:v>2014</c:v>
                </c:pt>
                <c:pt idx="3">
                  <c:v>2015</c:v>
                </c:pt>
                <c:pt idx="4">
                  <c:v>2016</c:v>
                </c:pt>
              </c:numCache>
            </c:numRef>
          </c:cat>
          <c:val>
            <c:numRef>
              <c:f>'2_3 (2)'!$D$44:$H$44</c:f>
              <c:numCache>
                <c:formatCode>0%</c:formatCode>
                <c:ptCount val="5"/>
                <c:pt idx="0">
                  <c:v>0.53272514647441005</c:v>
                </c:pt>
                <c:pt idx="1">
                  <c:v>0.52865036072217686</c:v>
                </c:pt>
                <c:pt idx="2">
                  <c:v>0.52165918741985062</c:v>
                </c:pt>
                <c:pt idx="3">
                  <c:v>0.5365446982476656</c:v>
                </c:pt>
                <c:pt idx="4">
                  <c:v>0.53467569085795852</c:v>
                </c:pt>
              </c:numCache>
            </c:numRef>
          </c:val>
        </c:ser>
        <c:ser>
          <c:idx val="1"/>
          <c:order val="1"/>
          <c:tx>
            <c:strRef>
              <c:f>'2_3 (2)'!$A$45</c:f>
              <c:strCache>
                <c:ptCount val="1"/>
                <c:pt idx="0">
                  <c:v>  dlouhodobá 
  sociální péče (2)</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'2_3 (2)'!$D$43:$H$43</c:f>
              <c:numCache>
                <c:formatCode>General</c:formatCode>
                <c:ptCount val="5"/>
                <c:pt idx="0">
                  <c:v>2012</c:v>
                </c:pt>
                <c:pt idx="1">
                  <c:v>2013</c:v>
                </c:pt>
                <c:pt idx="2">
                  <c:v>2014</c:v>
                </c:pt>
                <c:pt idx="3">
                  <c:v>2015</c:v>
                </c:pt>
                <c:pt idx="4">
                  <c:v>2016</c:v>
                </c:pt>
              </c:numCache>
            </c:numRef>
          </c:cat>
          <c:val>
            <c:numRef>
              <c:f>'2_3 (2)'!$D$45:$H$45</c:f>
              <c:numCache>
                <c:formatCode>0%</c:formatCode>
                <c:ptCount val="5"/>
                <c:pt idx="0">
                  <c:v>0.35642536794511692</c:v>
                </c:pt>
                <c:pt idx="1">
                  <c:v>0.36257611938202755</c:v>
                </c:pt>
                <c:pt idx="2">
                  <c:v>0.35596113507291582</c:v>
                </c:pt>
                <c:pt idx="3">
                  <c:v>0.35326192629126141</c:v>
                </c:pt>
                <c:pt idx="4">
                  <c:v>0.36003427946353816</c:v>
                </c:pt>
              </c:numCache>
            </c:numRef>
          </c:val>
        </c:ser>
        <c:ser>
          <c:idx val="2"/>
          <c:order val="2"/>
          <c:tx>
            <c:strRef>
              <c:f>'2_3 (2)'!$A$46</c:f>
              <c:strCache>
                <c:ptCount val="1"/>
                <c:pt idx="0">
                  <c:v>  ostatní 
  výdaje (3)</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'2_3 (2)'!$D$43:$H$43</c:f>
              <c:numCache>
                <c:formatCode>General</c:formatCode>
                <c:ptCount val="5"/>
                <c:pt idx="0">
                  <c:v>2012</c:v>
                </c:pt>
                <c:pt idx="1">
                  <c:v>2013</c:v>
                </c:pt>
                <c:pt idx="2">
                  <c:v>2014</c:v>
                </c:pt>
                <c:pt idx="3">
                  <c:v>2015</c:v>
                </c:pt>
                <c:pt idx="4">
                  <c:v>2016</c:v>
                </c:pt>
              </c:numCache>
            </c:numRef>
          </c:cat>
          <c:val>
            <c:numRef>
              <c:f>'2_3 (2)'!$D$46:$H$46</c:f>
              <c:numCache>
                <c:formatCode>0%</c:formatCode>
                <c:ptCount val="5"/>
                <c:pt idx="0">
                  <c:v>0.11084948558047385</c:v>
                </c:pt>
                <c:pt idx="1">
                  <c:v>0.10877351989579605</c:v>
                </c:pt>
                <c:pt idx="2">
                  <c:v>0.12237967750723419</c:v>
                </c:pt>
                <c:pt idx="3">
                  <c:v>0.11019337546107265</c:v>
                </c:pt>
                <c:pt idx="4">
                  <c:v>0.10529002967850311</c:v>
                </c:pt>
              </c:numCache>
            </c:numRef>
          </c:val>
        </c:ser>
        <c:dLbls>
          <c:showLegendKey val="0"/>
          <c:showVal val="0"/>
          <c:showCatName val="0"/>
          <c:showSerName val="0"/>
          <c:showPercent val="0"/>
          <c:showBubbleSize val="0"/>
        </c:dLbls>
        <c:gapWidth val="50"/>
        <c:overlap val="100"/>
        <c:axId val="182362112"/>
        <c:axId val="286488768"/>
      </c:barChart>
      <c:catAx>
        <c:axId val="182362112"/>
        <c:scaling>
          <c:orientation val="minMax"/>
        </c:scaling>
        <c:delete val="0"/>
        <c:axPos val="b"/>
        <c:numFmt formatCode="General" sourceLinked="1"/>
        <c:majorTickMark val="out"/>
        <c:minorTickMark val="none"/>
        <c:tickLblPos val="nextTo"/>
        <c:crossAx val="286488768"/>
        <c:crosses val="autoZero"/>
        <c:auto val="1"/>
        <c:lblAlgn val="ctr"/>
        <c:lblOffset val="100"/>
        <c:noMultiLvlLbl val="0"/>
      </c:catAx>
      <c:valAx>
        <c:axId val="286488768"/>
        <c:scaling>
          <c:orientation val="minMax"/>
          <c:max val="1"/>
        </c:scaling>
        <c:delete val="0"/>
        <c:axPos val="l"/>
        <c:majorGridlines>
          <c:spPr>
            <a:ln>
              <a:prstDash val="dash"/>
            </a:ln>
          </c:spPr>
        </c:majorGridlines>
        <c:numFmt formatCode="0%" sourceLinked="0"/>
        <c:majorTickMark val="none"/>
        <c:minorTickMark val="none"/>
        <c:tickLblPos val="none"/>
        <c:crossAx val="182362112"/>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64391638888888891"/>
          <c:h val="0.85527012248469003"/>
        </c:manualLayout>
      </c:layout>
      <c:barChart>
        <c:barDir val="col"/>
        <c:grouping val="stacked"/>
        <c:varyColors val="0"/>
        <c:ser>
          <c:idx val="0"/>
          <c:order val="0"/>
          <c:tx>
            <c:strRef>
              <c:f>'2_5'!$A$13</c:f>
              <c:strCache>
                <c:ptCount val="1"/>
                <c:pt idx="0">
                  <c:v>  přímé platby 
  domácností</c:v>
                </c:pt>
              </c:strCache>
            </c:strRef>
          </c:tx>
          <c:spPr>
            <a:solidFill>
              <a:srgbClr val="00B050"/>
            </a:solidFill>
          </c:spPr>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'2_5'!$D$12:$H$12</c:f>
              <c:strCache>
                <c:ptCount val="5"/>
                <c:pt idx="0">
                  <c:v>2012</c:v>
                </c:pt>
                <c:pt idx="1">
                  <c:v>2013</c:v>
                </c:pt>
                <c:pt idx="2">
                  <c:v>2014</c:v>
                </c:pt>
                <c:pt idx="3">
                  <c:v>2015</c:v>
                </c:pt>
                <c:pt idx="4">
                  <c:v>2016</c:v>
                </c:pt>
              </c:strCache>
            </c:strRef>
          </c:cat>
          <c:val>
            <c:numRef>
              <c:f>'2_5'!$D$13:$H$13</c:f>
              <c:numCache>
                <c:formatCode>#,##0.0</c:formatCode>
                <c:ptCount val="5"/>
                <c:pt idx="0">
                  <c:v>44.239000000000011</c:v>
                </c:pt>
                <c:pt idx="1">
                  <c:v>43.465000000000003</c:v>
                </c:pt>
                <c:pt idx="2">
                  <c:v>46.49</c:v>
                </c:pt>
                <c:pt idx="3">
                  <c:v>49.357999999999997</c:v>
                </c:pt>
                <c:pt idx="4">
                  <c:v>51.215000000000003</c:v>
                </c:pt>
              </c:numCache>
            </c:numRef>
          </c:val>
        </c:ser>
        <c:ser>
          <c:idx val="1"/>
          <c:order val="1"/>
          <c:tx>
            <c:strRef>
              <c:f>'2_5'!$A$14</c:f>
              <c:strCache>
                <c:ptCount val="1"/>
                <c:pt idx="0">
                  <c:v>  neziskové 
  instituce</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'2_5'!$D$12:$H$12</c:f>
              <c:strCache>
                <c:ptCount val="5"/>
                <c:pt idx="0">
                  <c:v>2012</c:v>
                </c:pt>
                <c:pt idx="1">
                  <c:v>2013</c:v>
                </c:pt>
                <c:pt idx="2">
                  <c:v>2014</c:v>
                </c:pt>
                <c:pt idx="3">
                  <c:v>2015</c:v>
                </c:pt>
                <c:pt idx="4">
                  <c:v>2016</c:v>
                </c:pt>
              </c:strCache>
            </c:strRef>
          </c:cat>
          <c:val>
            <c:numRef>
              <c:f>'2_5'!$D$14:$H$14</c:f>
              <c:numCache>
                <c:formatCode>#,##0.0</c:formatCode>
                <c:ptCount val="5"/>
                <c:pt idx="0">
                  <c:v>7.7190000000000003</c:v>
                </c:pt>
                <c:pt idx="1">
                  <c:v>7.726</c:v>
                </c:pt>
                <c:pt idx="2">
                  <c:v>7.7569999999999997</c:v>
                </c:pt>
                <c:pt idx="3">
                  <c:v>7.9290000000000003</c:v>
                </c:pt>
                <c:pt idx="4">
                  <c:v>8.4786110000000008</c:v>
                </c:pt>
              </c:numCache>
            </c:numRef>
          </c:val>
        </c:ser>
        <c:ser>
          <c:idx val="2"/>
          <c:order val="2"/>
          <c:tx>
            <c:strRef>
              <c:f>'2_5'!$A$15</c:f>
              <c:strCache>
                <c:ptCount val="1"/>
                <c:pt idx="0">
                  <c:v>  podniková 
  preventivní 
  péče</c:v>
                </c:pt>
              </c:strCache>
            </c:strRef>
          </c:tx>
          <c:spPr>
            <a:solidFill>
              <a:srgbClr val="00B0F0"/>
            </a:solidFill>
          </c:spPr>
          <c:invertIfNegative val="0"/>
          <c:cat>
            <c:strRef>
              <c:f>'2_5'!$D$12:$H$12</c:f>
              <c:strCache>
                <c:ptCount val="5"/>
                <c:pt idx="0">
                  <c:v>2012</c:v>
                </c:pt>
                <c:pt idx="1">
                  <c:v>2013</c:v>
                </c:pt>
                <c:pt idx="2">
                  <c:v>2014</c:v>
                </c:pt>
                <c:pt idx="3">
                  <c:v>2015</c:v>
                </c:pt>
                <c:pt idx="4">
                  <c:v>2016</c:v>
                </c:pt>
              </c:strCache>
            </c:strRef>
          </c:cat>
          <c:val>
            <c:numRef>
              <c:f>'2_5'!$D$15:$H$15</c:f>
              <c:numCache>
                <c:formatCode>#,##0.0</c:formatCode>
                <c:ptCount val="5"/>
                <c:pt idx="0">
                  <c:v>0.87100000000000044</c:v>
                </c:pt>
                <c:pt idx="1">
                  <c:v>1.000999999999999</c:v>
                </c:pt>
                <c:pt idx="2">
                  <c:v>2.3739999999999997</c:v>
                </c:pt>
                <c:pt idx="3">
                  <c:v>0.91500000000000004</c:v>
                </c:pt>
                <c:pt idx="4">
                  <c:v>1.2589939999999991</c:v>
                </c:pt>
              </c:numCache>
            </c:numRef>
          </c:val>
        </c:ser>
        <c:ser>
          <c:idx val="3"/>
          <c:order val="3"/>
          <c:tx>
            <c:strRef>
              <c:f>'2_5'!$A$16</c:f>
              <c:strCache>
                <c:ptCount val="1"/>
                <c:pt idx="0">
                  <c:v>  soukromé 
  pojištění</c:v>
                </c:pt>
              </c:strCache>
            </c:strRef>
          </c:tx>
          <c:spPr>
            <a:solidFill>
              <a:schemeClr val="tx1"/>
            </a:solidFill>
            <a:ln>
              <a:noFill/>
            </a:ln>
          </c:spPr>
          <c:invertIfNegative val="0"/>
          <c:cat>
            <c:strRef>
              <c:f>'2_5'!$D$12:$H$12</c:f>
              <c:strCache>
                <c:ptCount val="5"/>
                <c:pt idx="0">
                  <c:v>2012</c:v>
                </c:pt>
                <c:pt idx="1">
                  <c:v>2013</c:v>
                </c:pt>
                <c:pt idx="2">
                  <c:v>2014</c:v>
                </c:pt>
                <c:pt idx="3">
                  <c:v>2015</c:v>
                </c:pt>
                <c:pt idx="4">
                  <c:v>2016</c:v>
                </c:pt>
              </c:strCache>
            </c:strRef>
          </c:cat>
          <c:val>
            <c:numRef>
              <c:f>'2_5'!$D$16:$H$16</c:f>
              <c:numCache>
                <c:formatCode>#,##0.0</c:formatCode>
                <c:ptCount val="5"/>
                <c:pt idx="0">
                  <c:v>0.52</c:v>
                </c:pt>
                <c:pt idx="1">
                  <c:v>0.4750000000000002</c:v>
                </c:pt>
                <c:pt idx="2">
                  <c:v>0.53700000000000003</c:v>
                </c:pt>
                <c:pt idx="3">
                  <c:v>0.4780000000000002</c:v>
                </c:pt>
                <c:pt idx="4">
                  <c:v>0.48432475262086744</c:v>
                </c:pt>
              </c:numCache>
            </c:numRef>
          </c:val>
        </c:ser>
        <c:ser>
          <c:idx val="4"/>
          <c:order val="4"/>
          <c:tx>
            <c:strRef>
              <c:f>'2_5'!$A$17</c:f>
              <c:strCache>
                <c:ptCount val="1"/>
                <c:pt idx="0">
                  <c:v>  soukromé zdroje celkem</c:v>
                </c:pt>
              </c:strCache>
            </c:strRef>
          </c:tx>
          <c:spPr>
            <a:noFill/>
            <a:ln>
              <a:noFill/>
            </a:ln>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strRef>
              <c:f>'2_5'!$D$12:$H$12</c:f>
              <c:strCache>
                <c:ptCount val="5"/>
                <c:pt idx="0">
                  <c:v>2012</c:v>
                </c:pt>
                <c:pt idx="1">
                  <c:v>2013</c:v>
                </c:pt>
                <c:pt idx="2">
                  <c:v>2014</c:v>
                </c:pt>
                <c:pt idx="3">
                  <c:v>2015</c:v>
                </c:pt>
                <c:pt idx="4">
                  <c:v>2016</c:v>
                </c:pt>
              </c:strCache>
            </c:strRef>
          </c:cat>
          <c:val>
            <c:numRef>
              <c:f>'2_5'!$D$17:$H$17</c:f>
              <c:numCache>
                <c:formatCode>#,##0.0</c:formatCode>
                <c:ptCount val="5"/>
                <c:pt idx="0">
                  <c:v>53.349000000000004</c:v>
                </c:pt>
                <c:pt idx="1">
                  <c:v>52.667000000000002</c:v>
                </c:pt>
                <c:pt idx="2">
                  <c:v>57.158000000000001</c:v>
                </c:pt>
                <c:pt idx="3">
                  <c:v>58.68</c:v>
                </c:pt>
                <c:pt idx="4">
                  <c:v>61.43692975262087</c:v>
                </c:pt>
              </c:numCache>
            </c:numRef>
          </c:val>
        </c:ser>
        <c:dLbls>
          <c:showLegendKey val="0"/>
          <c:showVal val="0"/>
          <c:showCatName val="0"/>
          <c:showSerName val="0"/>
          <c:showPercent val="0"/>
          <c:showBubbleSize val="0"/>
        </c:dLbls>
        <c:gapWidth val="30"/>
        <c:overlap val="100"/>
        <c:axId val="182365184"/>
        <c:axId val="335161600"/>
      </c:barChart>
      <c:catAx>
        <c:axId val="182365184"/>
        <c:scaling>
          <c:orientation val="minMax"/>
        </c:scaling>
        <c:delete val="0"/>
        <c:axPos val="b"/>
        <c:numFmt formatCode="General" sourceLinked="1"/>
        <c:majorTickMark val="out"/>
        <c:minorTickMark val="none"/>
        <c:tickLblPos val="nextTo"/>
        <c:crossAx val="335161600"/>
        <c:crosses val="autoZero"/>
        <c:auto val="1"/>
        <c:lblAlgn val="ctr"/>
        <c:lblOffset val="100"/>
        <c:noMultiLvlLbl val="0"/>
      </c:catAx>
      <c:valAx>
        <c:axId val="335161600"/>
        <c:scaling>
          <c:orientation val="minMax"/>
          <c:max val="70"/>
        </c:scaling>
        <c:delete val="0"/>
        <c:axPos val="l"/>
        <c:majorGridlines>
          <c:spPr>
            <a:ln>
              <a:prstDash val="dash"/>
            </a:ln>
          </c:spPr>
        </c:majorGridlines>
        <c:numFmt formatCode="#,##0" sourceLinked="0"/>
        <c:majorTickMark val="none"/>
        <c:minorTickMark val="none"/>
        <c:tickLblPos val="none"/>
        <c:crossAx val="182365184"/>
        <c:crosses val="autoZero"/>
        <c:crossBetween val="between"/>
        <c:majorUnit val="10"/>
        <c:minorUnit val="10"/>
      </c:valAx>
      <c:spPr>
        <a:ln>
          <a:solidFill>
            <a:schemeClr val="bg1">
              <a:lumMod val="75000"/>
            </a:schemeClr>
          </a:solidFill>
        </a:ln>
      </c:spPr>
    </c:plotArea>
    <c:legend>
      <c:legendPos val="r"/>
      <c:legendEntry>
        <c:idx val="0"/>
        <c:delete val="1"/>
      </c:legendEntry>
      <c:layout>
        <c:manualLayout>
          <c:xMode val="edge"/>
          <c:yMode val="edge"/>
          <c:x val="0.68979828774885033"/>
          <c:y val="0.19341068232195358"/>
          <c:w val="0.28791758968847558"/>
          <c:h val="0.61317826437773015"/>
        </c:manualLayout>
      </c:layout>
      <c:overlay val="0"/>
      <c:spPr>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'2_5'!$A$4</c:f>
              <c:strCache>
                <c:ptCount val="1"/>
                <c:pt idx="0">
                  <c:v>  přímé platby 
  domácností</c:v>
                </c:pt>
              </c:strCache>
            </c:strRef>
          </c:tx>
          <c:spPr>
            <a:solidFill>
              <a:srgbClr val="00B05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'2_5'!$D$3:$H$3</c:f>
              <c:strCache>
                <c:ptCount val="5"/>
                <c:pt idx="0">
                  <c:v>2012</c:v>
                </c:pt>
                <c:pt idx="1">
                  <c:v>2013</c:v>
                </c:pt>
                <c:pt idx="2">
                  <c:v>2014</c:v>
                </c:pt>
                <c:pt idx="3">
                  <c:v>2015</c:v>
                </c:pt>
                <c:pt idx="4">
                  <c:v>2016</c:v>
                </c:pt>
              </c:strCache>
            </c:strRef>
          </c:cat>
          <c:val>
            <c:numRef>
              <c:f>'2_5'!$D$4:$H$4</c:f>
              <c:numCache>
                <c:formatCode>0.0%</c:formatCode>
                <c:ptCount val="5"/>
                <c:pt idx="0">
                  <c:v>0.82923766143695232</c:v>
                </c:pt>
                <c:pt idx="1">
                  <c:v>0.82527958683805802</c:v>
                </c:pt>
                <c:pt idx="2">
                  <c:v>0.81335945974316803</c:v>
                </c:pt>
                <c:pt idx="3">
                  <c:v>0.8411383776414455</c:v>
                </c:pt>
                <c:pt idx="4">
                  <c:v>0.83361913113529562</c:v>
                </c:pt>
              </c:numCache>
            </c:numRef>
          </c:val>
        </c:ser>
        <c:ser>
          <c:idx val="1"/>
          <c:order val="1"/>
          <c:tx>
            <c:strRef>
              <c:f>'2_5'!$A$5</c:f>
              <c:strCache>
                <c:ptCount val="1"/>
                <c:pt idx="0">
                  <c:v>  státní 
  rozpočet</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'2_5'!$D$3:$H$3</c:f>
              <c:strCache>
                <c:ptCount val="5"/>
                <c:pt idx="0">
                  <c:v>2012</c:v>
                </c:pt>
                <c:pt idx="1">
                  <c:v>2013</c:v>
                </c:pt>
                <c:pt idx="2">
                  <c:v>2014</c:v>
                </c:pt>
                <c:pt idx="3">
                  <c:v>2015</c:v>
                </c:pt>
                <c:pt idx="4">
                  <c:v>2016</c:v>
                </c:pt>
              </c:strCache>
            </c:strRef>
          </c:cat>
          <c:val>
            <c:numRef>
              <c:f>'2_5'!$D$5:$H$5</c:f>
              <c:numCache>
                <c:formatCode>0.0%</c:formatCode>
                <c:ptCount val="5"/>
                <c:pt idx="0">
                  <c:v>0.14468874768036891</c:v>
                </c:pt>
                <c:pt idx="1">
                  <c:v>0.14669527408054378</c:v>
                </c:pt>
                <c:pt idx="2">
                  <c:v>0.13571153644284278</c:v>
                </c:pt>
                <c:pt idx="3">
                  <c:v>0.13512269938650295</c:v>
                </c:pt>
                <c:pt idx="4">
                  <c:v>0.138005122230873</c:v>
                </c:pt>
              </c:numCache>
            </c:numRef>
          </c:val>
        </c:ser>
        <c:ser>
          <c:idx val="2"/>
          <c:order val="2"/>
          <c:tx>
            <c:strRef>
              <c:f>'2_5'!$A$6</c:f>
              <c:strCache>
                <c:ptCount val="1"/>
                <c:pt idx="0">
                  <c:v>  podniková 
  preventivní 
  péče</c:v>
                </c:pt>
              </c:strCache>
            </c:strRef>
          </c:tx>
          <c:spPr>
            <a:solidFill>
              <a:srgbClr val="00B0F0"/>
            </a:solidFill>
          </c:spPr>
          <c:invertIfNegative val="0"/>
          <c:cat>
            <c:strRef>
              <c:f>'2_5'!$D$3:$H$3</c:f>
              <c:strCache>
                <c:ptCount val="5"/>
                <c:pt idx="0">
                  <c:v>2012</c:v>
                </c:pt>
                <c:pt idx="1">
                  <c:v>2013</c:v>
                </c:pt>
                <c:pt idx="2">
                  <c:v>2014</c:v>
                </c:pt>
                <c:pt idx="3">
                  <c:v>2015</c:v>
                </c:pt>
                <c:pt idx="4">
                  <c:v>2016</c:v>
                </c:pt>
              </c:strCache>
            </c:strRef>
          </c:cat>
          <c:val>
            <c:numRef>
              <c:f>'2_5'!$D$6:$H$6</c:f>
              <c:numCache>
                <c:formatCode>0.0%</c:formatCode>
                <c:ptCount val="5"/>
                <c:pt idx="0">
                  <c:v>1.6326454104106925E-2</c:v>
                </c:pt>
                <c:pt idx="1">
                  <c:v>1.9006208821463165E-2</c:v>
                </c:pt>
                <c:pt idx="2">
                  <c:v>4.1533993491724694E-2</c:v>
                </c:pt>
                <c:pt idx="3">
                  <c:v>1.5593047034764822E-2</c:v>
                </c:pt>
                <c:pt idx="4">
                  <c:v>2.0492462840662883E-2</c:v>
                </c:pt>
              </c:numCache>
            </c:numRef>
          </c:val>
        </c:ser>
        <c:ser>
          <c:idx val="3"/>
          <c:order val="3"/>
          <c:tx>
            <c:strRef>
              <c:f>'2_5'!$A$7</c:f>
              <c:strCache>
                <c:ptCount val="1"/>
                <c:pt idx="0">
                  <c:v>  soukromé 
  pojištění</c:v>
                </c:pt>
              </c:strCache>
            </c:strRef>
          </c:tx>
          <c:spPr>
            <a:solidFill>
              <a:schemeClr val="tx1"/>
            </a:solidFill>
          </c:spPr>
          <c:invertIfNegative val="0"/>
          <c:cat>
            <c:strRef>
              <c:f>'2_5'!$D$3:$H$3</c:f>
              <c:strCache>
                <c:ptCount val="5"/>
                <c:pt idx="0">
                  <c:v>2012</c:v>
                </c:pt>
                <c:pt idx="1">
                  <c:v>2013</c:v>
                </c:pt>
                <c:pt idx="2">
                  <c:v>2014</c:v>
                </c:pt>
                <c:pt idx="3">
                  <c:v>2015</c:v>
                </c:pt>
                <c:pt idx="4">
                  <c:v>2016</c:v>
                </c:pt>
              </c:strCache>
            </c:strRef>
          </c:cat>
          <c:val>
            <c:numRef>
              <c:f>'2_5'!$D$7:$H$7</c:f>
              <c:numCache>
                <c:formatCode>0.0%</c:formatCode>
                <c:ptCount val="5"/>
                <c:pt idx="0">
                  <c:v>9.7471367785713012E-3</c:v>
                </c:pt>
                <c:pt idx="1">
                  <c:v>9.0189302599350714E-3</c:v>
                </c:pt>
                <c:pt idx="2">
                  <c:v>9.3950103222646113E-3</c:v>
                </c:pt>
                <c:pt idx="3">
                  <c:v>8.1458759372869879E-3</c:v>
                </c:pt>
                <c:pt idx="4">
                  <c:v>7.8832837931684958E-3</c:v>
                </c:pt>
              </c:numCache>
            </c:numRef>
          </c:val>
        </c:ser>
        <c:dLbls>
          <c:showLegendKey val="0"/>
          <c:showVal val="0"/>
          <c:showCatName val="0"/>
          <c:showSerName val="0"/>
          <c:showPercent val="0"/>
          <c:showBubbleSize val="0"/>
        </c:dLbls>
        <c:gapWidth val="50"/>
        <c:overlap val="100"/>
        <c:axId val="184836096"/>
        <c:axId val="335163328"/>
      </c:barChart>
      <c:catAx>
        <c:axId val="184836096"/>
        <c:scaling>
          <c:orientation val="minMax"/>
        </c:scaling>
        <c:delete val="0"/>
        <c:axPos val="b"/>
        <c:numFmt formatCode="General" sourceLinked="1"/>
        <c:majorTickMark val="out"/>
        <c:minorTickMark val="none"/>
        <c:tickLblPos val="nextTo"/>
        <c:crossAx val="335163328"/>
        <c:crosses val="autoZero"/>
        <c:auto val="1"/>
        <c:lblAlgn val="ctr"/>
        <c:lblOffset val="100"/>
        <c:noMultiLvlLbl val="0"/>
      </c:catAx>
      <c:valAx>
        <c:axId val="335163328"/>
        <c:scaling>
          <c:orientation val="minMax"/>
          <c:max val="1"/>
        </c:scaling>
        <c:delete val="0"/>
        <c:axPos val="l"/>
        <c:majorGridlines>
          <c:spPr>
            <a:ln>
              <a:prstDash val="dash"/>
            </a:ln>
          </c:spPr>
        </c:majorGridlines>
        <c:numFmt formatCode="0%" sourceLinked="0"/>
        <c:majorTickMark val="none"/>
        <c:minorTickMark val="none"/>
        <c:tickLblPos val="none"/>
        <c:crossAx val="184836096"/>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388DD-7C51-4D5B-9289-704790DF8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spolecnost.dot</Template>
  <TotalTime>1</TotalTime>
  <Pages>16</Pages>
  <Words>6857</Words>
  <Characters>40461</Characters>
  <Application>Microsoft Office Word</Application>
  <DocSecurity>0</DocSecurity>
  <Lines>337</Lines>
  <Paragraphs>94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47224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Kalnická</dc:creator>
  <cp:lastModifiedBy>Mgr. Vladimíra Kalnická</cp:lastModifiedBy>
  <cp:revision>2</cp:revision>
  <cp:lastPrinted>2018-06-06T04:58:00Z</cp:lastPrinted>
  <dcterms:created xsi:type="dcterms:W3CDTF">2018-06-06T06:08:00Z</dcterms:created>
  <dcterms:modified xsi:type="dcterms:W3CDTF">2018-06-06T06:08:00Z</dcterms:modified>
</cp:coreProperties>
</file>