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7.xml" ContentType="application/vnd.openxmlformats-officedocument.themeOverride+xml"/>
  <Override PartName="/word/drawings/drawing1.xml" ContentType="application/vnd.openxmlformats-officedocument.drawingml.chartshapes+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0A9" w:rsidRDefault="00BB10A9">
      <w:pPr>
        <w:spacing w:line="240" w:lineRule="auto"/>
        <w:rPr>
          <w:rFonts w:cs="Arial"/>
          <w:lang w:eastAsia="ar-SA"/>
        </w:rPr>
      </w:pPr>
    </w:p>
    <w:p w:rsidR="00F63FB7" w:rsidRDefault="004D5E24">
      <w:pPr>
        <w:spacing w:line="240" w:lineRule="auto"/>
        <w:rPr>
          <w:rFonts w:cs="Arial"/>
          <w:lang w:eastAsia="ar-SA"/>
        </w:rPr>
      </w:pPr>
      <w:r>
        <w:rPr>
          <w:rFonts w:cs="Arial"/>
          <w:noProof/>
        </w:rPr>
        <mc:AlternateContent>
          <mc:Choice Requires="wps">
            <w:drawing>
              <wp:anchor distT="0" distB="0" distL="114300" distR="114300" simplePos="0" relativeHeight="251661824" behindDoc="0" locked="1" layoutInCell="1" allowOverlap="1">
                <wp:simplePos x="0" y="0"/>
                <wp:positionH relativeFrom="page">
                  <wp:posOffset>1710055</wp:posOffset>
                </wp:positionH>
                <wp:positionV relativeFrom="page">
                  <wp:posOffset>9649460</wp:posOffset>
                </wp:positionV>
                <wp:extent cx="5130165" cy="179705"/>
                <wp:effectExtent l="0" t="0" r="13335" b="10795"/>
                <wp:wrapNone/>
                <wp:docPr id="7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Pr="005251DD" w:rsidRDefault="00216072" w:rsidP="00E55504">
                            <w:r w:rsidRPr="004924DC">
                              <w:t>©</w:t>
                            </w:r>
                            <w:r>
                              <w:t xml:space="preserve"> </w:t>
                            </w:r>
                            <w:r w:rsidRPr="005251DD">
                              <w:t>Český statistický úřad,</w:t>
                            </w:r>
                            <w:r>
                              <w:t xml:space="preserve"> Praha, 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34.65pt;margin-top:759.8pt;width:403.9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" filled="f" stroked="f">
                <v:textbox inset="0,0,0,0">
                  <w:txbxContent>
                    <w:p w:rsidR="00216072" w:rsidRPr="005251DD" w:rsidRDefault="00216072" w:rsidP="00E55504">
                      <w:r w:rsidRPr="004924DC">
                        <w:t>©</w:t>
                      </w:r>
                      <w:r>
                        <w:t xml:space="preserve"> </w:t>
                      </w:r>
                      <w:r w:rsidRPr="005251DD">
                        <w:t>Český statistický úřad,</w:t>
                      </w:r>
                      <w:r>
                        <w:t xml:space="preserve"> Praha, 2018</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60800" behindDoc="0" locked="1" layoutInCell="1" allowOverlap="1">
                <wp:simplePos x="0" y="0"/>
                <wp:positionH relativeFrom="page">
                  <wp:posOffset>1705610</wp:posOffset>
                </wp:positionH>
                <wp:positionV relativeFrom="page">
                  <wp:posOffset>8281035</wp:posOffset>
                </wp:positionV>
                <wp:extent cx="5130165" cy="925195"/>
                <wp:effectExtent l="0" t="0" r="13335" b="8255"/>
                <wp:wrapNone/>
                <wp:docPr id="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Default="00216072" w:rsidP="002B6C95">
                            <w:r>
                              <w:t>Z</w:t>
                            </w:r>
                            <w:r w:rsidRPr="006C5577">
                              <w:t xml:space="preserve">pracoval: </w:t>
                            </w:r>
                            <w:r>
                              <w:t>Odbor statistik rozvoje společnosti</w:t>
                            </w:r>
                          </w:p>
                          <w:p w:rsidR="00216072" w:rsidRPr="006C5577" w:rsidRDefault="00216072" w:rsidP="002B6C95">
                            <w:pPr>
                              <w:pStyle w:val="TL-Identifikace-dole"/>
                              <w:spacing w:after="0"/>
                            </w:pPr>
                            <w:r w:rsidRPr="006C5577">
                              <w:t xml:space="preserve">Ředitel odboru: </w:t>
                            </w:r>
                            <w:r>
                              <w:t>Ing. Martin Mana</w:t>
                            </w:r>
                          </w:p>
                          <w:p w:rsidR="00216072" w:rsidRPr="006C5577" w:rsidRDefault="00216072" w:rsidP="00A33EFD">
                            <w:pPr>
                              <w:pStyle w:val="TL-Identifikace-dole"/>
                            </w:pPr>
                            <w:r w:rsidRPr="006C5577">
                              <w:t xml:space="preserve">Kontaktní osoba: </w:t>
                            </w:r>
                            <w:r>
                              <w:t>Mgr. Vladimíra Kalnická,</w:t>
                            </w:r>
                            <w:r w:rsidRPr="006C5577">
                              <w:t xml:space="preserve"> e-mail:</w:t>
                            </w:r>
                            <w:r>
                              <w:t>vladimira</w:t>
                            </w:r>
                            <w:r w:rsidRPr="006C5577">
                              <w:t>.</w:t>
                            </w:r>
                            <w:r>
                              <w:t>kalnicka</w:t>
                            </w:r>
                            <w:r w:rsidRPr="006C5577">
                              <w:t>@czso.cz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3pt;margin-top:652.05pt;width:403.95pt;height:72.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" filled="f" stroked="f">
                <v:textbox inset="0,0,0,0">
                  <w:txbxContent>
                    <w:p w:rsidR="00216072" w:rsidRDefault="00216072" w:rsidP="002B6C95">
                      <w:r>
                        <w:t>Z</w:t>
                      </w:r>
                      <w:r w:rsidRPr="006C5577">
                        <w:t xml:space="preserve">pracoval: </w:t>
                      </w:r>
                      <w:r>
                        <w:t>Odbor statistik rozvoje společnosti</w:t>
                      </w:r>
                    </w:p>
                    <w:p w:rsidR="00216072" w:rsidRPr="006C5577" w:rsidRDefault="00216072" w:rsidP="002B6C95">
                      <w:pPr>
                        <w:pStyle w:val="TL-Identifikace-dole"/>
                        <w:spacing w:after="0"/>
                      </w:pPr>
                      <w:r w:rsidRPr="006C5577">
                        <w:t xml:space="preserve">Ředitel odboru: </w:t>
                      </w:r>
                      <w:r>
                        <w:t>Ing. Martin Mana</w:t>
                      </w:r>
                    </w:p>
                    <w:p w:rsidR="00216072" w:rsidRPr="006C5577" w:rsidRDefault="00216072" w:rsidP="00A33EFD">
                      <w:pPr>
                        <w:pStyle w:val="TL-Identifikace-dole"/>
                      </w:pPr>
                      <w:r w:rsidRPr="006C5577">
                        <w:t xml:space="preserve">Kontaktní osoba: </w:t>
                      </w:r>
                      <w:r>
                        <w:t xml:space="preserve">Mgr. Vladimíra </w:t>
                      </w:r>
                      <w:proofErr w:type="spellStart"/>
                      <w:r>
                        <w:t>Kalnická</w:t>
                      </w:r>
                      <w:proofErr w:type="spellEnd"/>
                      <w:r>
                        <w:t>,</w:t>
                      </w:r>
                      <w:r w:rsidRPr="006C5577">
                        <w:t xml:space="preserve"> e-mail:</w:t>
                      </w:r>
                      <w:r>
                        <w:t>vladimira</w:t>
                      </w:r>
                      <w:r w:rsidRPr="006C5577">
                        <w:t>.</w:t>
                      </w:r>
                      <w:r>
                        <w:t>kalnicka</w:t>
                      </w:r>
                      <w:r w:rsidRPr="006C5577">
                        <w:t>@czso.cz</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59776" behindDoc="0" locked="1" layoutInCell="1" allowOverlap="1">
                <wp:simplePos x="0" y="0"/>
                <wp:positionH relativeFrom="page">
                  <wp:posOffset>1290955</wp:posOffset>
                </wp:positionH>
                <wp:positionV relativeFrom="page">
                  <wp:posOffset>4192270</wp:posOffset>
                </wp:positionV>
                <wp:extent cx="5129530" cy="1376045"/>
                <wp:effectExtent l="0" t="0" r="13970" b="14605"/>
                <wp:wrapNone/>
                <wp:docPr id="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Default="00216072" w:rsidP="00C91D7C">
                            <w:pPr>
                              <w:pStyle w:val="TL-identifikace-sted"/>
                              <w:ind w:left="709"/>
                            </w:pPr>
                            <w:r>
                              <w:t>Zdravotnictví, pracovní neschopnost</w:t>
                            </w:r>
                          </w:p>
                          <w:p w:rsidR="00216072" w:rsidRPr="00D31445" w:rsidRDefault="00216072" w:rsidP="00C91D7C">
                            <w:pPr>
                              <w:pStyle w:val="TL-identifikace-sted"/>
                              <w:ind w:left="709"/>
                            </w:pPr>
                            <w:r>
                              <w:t>Praha, 2018</w:t>
                            </w:r>
                          </w:p>
                          <w:p w:rsidR="00216072" w:rsidRDefault="00216072" w:rsidP="00C91D7C">
                            <w:pPr>
                              <w:pStyle w:val="TL-identifikace-sted"/>
                              <w:ind w:left="709"/>
                            </w:pPr>
                            <w:r w:rsidRPr="00D31445">
                              <w:t xml:space="preserve">Kód publikace: </w:t>
                            </w:r>
                            <w:r>
                              <w:t>260005-18</w:t>
                            </w:r>
                          </w:p>
                          <w:p w:rsidR="00216072" w:rsidRDefault="00216072" w:rsidP="00B372C8">
                            <w:pPr>
                              <w:pStyle w:val="TL-identifikace-sted"/>
                              <w:ind w:left="709"/>
                            </w:pPr>
                            <w:r w:rsidRPr="00D31445">
                              <w:t xml:space="preserve">Č. j.: </w:t>
                            </w:r>
                            <w:r>
                              <w:t>CSU-1615/2018-63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101.65pt;margin-top:330.1pt;width:403.9pt;height:108.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6tQIAALM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" filled="f" stroked="f">
                <v:textbox inset="0,0,0,0">
                  <w:txbxContent>
                    <w:p w:rsidR="00216072" w:rsidRDefault="00216072" w:rsidP="00C91D7C">
                      <w:pPr>
                        <w:pStyle w:val="TL-identifikace-sted"/>
                        <w:ind w:left="709"/>
                      </w:pPr>
                      <w:r>
                        <w:t>Zdravotnictví, pracovní neschopnost</w:t>
                      </w:r>
                    </w:p>
                    <w:p w:rsidR="00216072" w:rsidRPr="00D31445" w:rsidRDefault="00216072" w:rsidP="00C91D7C">
                      <w:pPr>
                        <w:pStyle w:val="TL-identifikace-sted"/>
                        <w:ind w:left="709"/>
                      </w:pPr>
                      <w:r>
                        <w:t>Praha, 2018</w:t>
                      </w:r>
                    </w:p>
                    <w:p w:rsidR="00216072" w:rsidRDefault="00216072" w:rsidP="00C91D7C">
                      <w:pPr>
                        <w:pStyle w:val="TL-identifikace-sted"/>
                        <w:ind w:left="709"/>
                      </w:pPr>
                      <w:r w:rsidRPr="00D31445">
                        <w:t xml:space="preserve">Kód publikace: </w:t>
                      </w:r>
                      <w:r>
                        <w:t>260005-18</w:t>
                      </w:r>
                    </w:p>
                    <w:p w:rsidR="00216072" w:rsidRDefault="00216072" w:rsidP="00B372C8">
                      <w:pPr>
                        <w:pStyle w:val="TL-identifikace-sted"/>
                        <w:ind w:left="709"/>
                      </w:pPr>
                      <w:r w:rsidRPr="00D31445">
                        <w:t xml:space="preserve">Č. j.: </w:t>
                      </w:r>
                      <w:r>
                        <w:t>CSU-1615/2018-63</w:t>
                      </w:r>
                    </w:p>
                  </w:txbxContent>
                </v:textbox>
                <w10:wrap anchorx="page" anchory="page"/>
                <w10:anchorlock/>
              </v:shape>
            </w:pict>
          </mc:Fallback>
        </mc:AlternateContent>
      </w:r>
      <w:r>
        <w:rPr>
          <w:rFonts w:cs="Arial"/>
          <w:noProof/>
        </w:rPr>
        <mc:AlternateContent>
          <mc:Choice Requires="wps">
            <w:drawing>
              <wp:anchor distT="0" distB="0" distL="114300" distR="114300" simplePos="0" relativeHeight="251658752" behindDoc="0" locked="1" layoutInCell="1" allowOverlap="1">
                <wp:simplePos x="0" y="0"/>
                <wp:positionH relativeFrom="page">
                  <wp:posOffset>1030605</wp:posOffset>
                </wp:positionH>
                <wp:positionV relativeFrom="page">
                  <wp:posOffset>2161540</wp:posOffset>
                </wp:positionV>
                <wp:extent cx="5734050" cy="1428750"/>
                <wp:effectExtent l="0" t="0" r="0" b="0"/>
                <wp:wrapNone/>
                <wp:docPr id="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Pr="007949E3" w:rsidRDefault="00216072" w:rsidP="00C91D7C">
                            <w:pPr>
                              <w:ind w:left="1134"/>
                              <w:rPr>
                                <w:b/>
                                <w:color w:val="C00000"/>
                                <w:sz w:val="240"/>
                                <w:szCs w:val="56"/>
                              </w:rPr>
                            </w:pPr>
                            <w:r w:rsidRPr="007949E3">
                              <w:rPr>
                                <w:b/>
                                <w:color w:val="C00000"/>
                                <w:sz w:val="48"/>
                              </w:rPr>
                              <w:t>Výsledky zdravotnických účtů ČR</w:t>
                            </w:r>
                          </w:p>
                          <w:p w:rsidR="00216072" w:rsidRPr="007949E3" w:rsidRDefault="00216072" w:rsidP="00C91D7C">
                            <w:pPr>
                              <w:ind w:left="1134"/>
                              <w:rPr>
                                <w:b/>
                                <w:color w:val="C00000"/>
                                <w:sz w:val="32"/>
                                <w:szCs w:val="32"/>
                              </w:rPr>
                            </w:pPr>
                            <w:r>
                              <w:rPr>
                                <w:b/>
                                <w:color w:val="C00000"/>
                                <w:sz w:val="32"/>
                                <w:szCs w:val="32"/>
                              </w:rPr>
                              <w:t>v letech 2010 až 2016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81.15pt;margin-top:170.2pt;width:451.5pt;height:11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T2sgIAALM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" filled="f" stroked="f">
                <v:textbox inset="0,0,0,0">
                  <w:txbxContent>
                    <w:p w:rsidR="00216072" w:rsidRPr="007949E3" w:rsidRDefault="00216072" w:rsidP="00C91D7C">
                      <w:pPr>
                        <w:ind w:left="1134"/>
                        <w:rPr>
                          <w:b/>
                          <w:color w:val="C00000"/>
                          <w:sz w:val="240"/>
                          <w:szCs w:val="56"/>
                        </w:rPr>
                      </w:pPr>
                      <w:r w:rsidRPr="007949E3">
                        <w:rPr>
                          <w:b/>
                          <w:color w:val="C00000"/>
                          <w:sz w:val="48"/>
                        </w:rPr>
                        <w:t>Výsledky zdravotnických účtů ČR</w:t>
                      </w:r>
                    </w:p>
                    <w:p w:rsidR="00216072" w:rsidRPr="007949E3" w:rsidRDefault="00216072" w:rsidP="00C91D7C">
                      <w:pPr>
                        <w:ind w:left="1134"/>
                        <w:rPr>
                          <w:b/>
                          <w:color w:val="C00000"/>
                          <w:sz w:val="32"/>
                          <w:szCs w:val="32"/>
                        </w:rPr>
                      </w:pPr>
                      <w:r>
                        <w:rPr>
                          <w:b/>
                          <w:color w:val="C00000"/>
                          <w:sz w:val="32"/>
                          <w:szCs w:val="32"/>
                        </w:rPr>
                        <w:t>v letech 2010 až 2016</w:t>
                      </w:r>
                    </w:p>
                  </w:txbxContent>
                </v:textbox>
                <w10:wrap anchorx="page" anchory="page"/>
                <w10:anchorlock/>
              </v:shape>
            </w:pict>
          </mc:Fallback>
        </mc:AlternateContent>
      </w:r>
      <w:r>
        <w:rPr>
          <w:rFonts w:cs="Arial"/>
          <w:noProof/>
        </w:rPr>
        <mc:AlternateContent>
          <mc:Choice Requires="wpg">
            <w:drawing>
              <wp:anchor distT="0" distB="0" distL="114300" distR="114300" simplePos="0" relativeHeight="251657728" behindDoc="0" locked="0" layoutInCell="1" allowOverlap="1">
                <wp:simplePos x="0" y="0"/>
                <wp:positionH relativeFrom="page">
                  <wp:posOffset>572770</wp:posOffset>
                </wp:positionH>
                <wp:positionV relativeFrom="page">
                  <wp:posOffset>467995</wp:posOffset>
                </wp:positionV>
                <wp:extent cx="2249805" cy="554355"/>
                <wp:effectExtent l="0" t="0" r="0" b="0"/>
                <wp:wrapSquare wrapText="bothSides"/>
                <wp:docPr id="50"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51"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2"/>
                        <wps:cNvSpPr>
                          <a:spLocks noChangeAspect="1" noEditPoints="1"/>
                        </wps:cNvSpPr>
                        <wps:spPr bwMode="auto">
                          <a:xfrm>
                            <a:off x="1969" y="1311"/>
                            <a:ext cx="600" cy="207"/>
                          </a:xfrm>
                          <a:custGeom>
                            <a:avLst/>
                            <a:gdLst>
                              <a:gd name="T0" fmla="*/ 1040 w 1200"/>
                              <a:gd name="T1" fmla="*/ 169 h 415"/>
                              <a:gd name="T2" fmla="*/ 1074 w 1200"/>
                              <a:gd name="T3" fmla="*/ 177 h 415"/>
                              <a:gd name="T4" fmla="*/ 1099 w 1200"/>
                              <a:gd name="T5" fmla="*/ 200 h 415"/>
                              <a:gd name="T6" fmla="*/ 1114 w 1200"/>
                              <a:gd name="T7" fmla="*/ 228 h 415"/>
                              <a:gd name="T8" fmla="*/ 1117 w 1200"/>
                              <a:gd name="T9" fmla="*/ 262 h 415"/>
                              <a:gd name="T10" fmla="*/ 1108 w 1200"/>
                              <a:gd name="T11" fmla="*/ 294 h 415"/>
                              <a:gd name="T12" fmla="*/ 1088 w 1200"/>
                              <a:gd name="T13" fmla="*/ 321 h 415"/>
                              <a:gd name="T14" fmla="*/ 1059 w 1200"/>
                              <a:gd name="T15" fmla="*/ 337 h 415"/>
                              <a:gd name="T16" fmla="*/ 1011 w 1200"/>
                              <a:gd name="T17" fmla="*/ 341 h 415"/>
                              <a:gd name="T18" fmla="*/ 1079 w 1200"/>
                              <a:gd name="T19" fmla="*/ 404 h 415"/>
                              <a:gd name="T20" fmla="*/ 1133 w 1200"/>
                              <a:gd name="T21" fmla="*/ 380 h 415"/>
                              <a:gd name="T22" fmla="*/ 1174 w 1200"/>
                              <a:gd name="T23" fmla="*/ 339 h 415"/>
                              <a:gd name="T24" fmla="*/ 1198 w 1200"/>
                              <a:gd name="T25" fmla="*/ 284 h 415"/>
                              <a:gd name="T26" fmla="*/ 1198 w 1200"/>
                              <a:gd name="T27" fmla="*/ 223 h 415"/>
                              <a:gd name="T28" fmla="*/ 1174 w 1200"/>
                              <a:gd name="T29" fmla="*/ 169 h 415"/>
                              <a:gd name="T30" fmla="*/ 1133 w 1200"/>
                              <a:gd name="T31" fmla="*/ 126 h 415"/>
                              <a:gd name="T32" fmla="*/ 1079 w 1200"/>
                              <a:gd name="T33" fmla="*/ 103 h 415"/>
                              <a:gd name="T34" fmla="*/ 931 w 1200"/>
                              <a:gd name="T35" fmla="*/ 408 h 415"/>
                              <a:gd name="T36" fmla="*/ 775 w 1200"/>
                              <a:gd name="T37" fmla="*/ 293 h 415"/>
                              <a:gd name="T38" fmla="*/ 785 w 1200"/>
                              <a:gd name="T39" fmla="*/ 100 h 415"/>
                              <a:gd name="T40" fmla="*/ 686 w 1200"/>
                              <a:gd name="T41" fmla="*/ 354 h 415"/>
                              <a:gd name="T42" fmla="*/ 513 w 1200"/>
                              <a:gd name="T43" fmla="*/ 37 h 415"/>
                              <a:gd name="T44" fmla="*/ 347 w 1200"/>
                              <a:gd name="T45" fmla="*/ 37 h 415"/>
                              <a:gd name="T46" fmla="*/ 432 w 1200"/>
                              <a:gd name="T47" fmla="*/ 162 h 415"/>
                              <a:gd name="T48" fmla="*/ 461 w 1200"/>
                              <a:gd name="T49" fmla="*/ 176 h 415"/>
                              <a:gd name="T50" fmla="*/ 469 w 1200"/>
                              <a:gd name="T51" fmla="*/ 208 h 415"/>
                              <a:gd name="T52" fmla="*/ 449 w 1200"/>
                              <a:gd name="T53" fmla="*/ 233 h 415"/>
                              <a:gd name="T54" fmla="*/ 407 w 1200"/>
                              <a:gd name="T55" fmla="*/ 238 h 415"/>
                              <a:gd name="T56" fmla="*/ 516 w 1200"/>
                              <a:gd name="T57" fmla="*/ 270 h 415"/>
                              <a:gd name="T58" fmla="*/ 541 w 1200"/>
                              <a:gd name="T59" fmla="*/ 242 h 415"/>
                              <a:gd name="T60" fmla="*/ 552 w 1200"/>
                              <a:gd name="T61" fmla="*/ 205 h 415"/>
                              <a:gd name="T62" fmla="*/ 549 w 1200"/>
                              <a:gd name="T63" fmla="*/ 167 h 415"/>
                              <a:gd name="T64" fmla="*/ 532 w 1200"/>
                              <a:gd name="T65" fmla="*/ 134 h 415"/>
                              <a:gd name="T66" fmla="*/ 504 w 1200"/>
                              <a:gd name="T67" fmla="*/ 110 h 415"/>
                              <a:gd name="T68" fmla="*/ 463 w 1200"/>
                              <a:gd name="T69" fmla="*/ 100 h 415"/>
                              <a:gd name="T70" fmla="*/ 407 w 1200"/>
                              <a:gd name="T71" fmla="*/ 408 h 415"/>
                              <a:gd name="T72" fmla="*/ 485 w 1200"/>
                              <a:gd name="T73" fmla="*/ 282 h 415"/>
                              <a:gd name="T74" fmla="*/ 133 w 1200"/>
                              <a:gd name="T75" fmla="*/ 85 h 415"/>
                              <a:gd name="T76" fmla="*/ 0 w 1200"/>
                              <a:gd name="T77" fmla="*/ 278 h 415"/>
                              <a:gd name="T78" fmla="*/ 5 w 1200"/>
                              <a:gd name="T79" fmla="*/ 333 h 415"/>
                              <a:gd name="T80" fmla="*/ 23 w 1200"/>
                              <a:gd name="T81" fmla="*/ 369 h 415"/>
                              <a:gd name="T82" fmla="*/ 68 w 1200"/>
                              <a:gd name="T83" fmla="*/ 403 h 415"/>
                              <a:gd name="T84" fmla="*/ 133 w 1200"/>
                              <a:gd name="T85" fmla="*/ 415 h 415"/>
                              <a:gd name="T86" fmla="*/ 192 w 1200"/>
                              <a:gd name="T87" fmla="*/ 404 h 415"/>
                              <a:gd name="T88" fmla="*/ 238 w 1200"/>
                              <a:gd name="T89" fmla="*/ 372 h 415"/>
                              <a:gd name="T90" fmla="*/ 262 w 1200"/>
                              <a:gd name="T91" fmla="*/ 333 h 415"/>
                              <a:gd name="T92" fmla="*/ 268 w 1200"/>
                              <a:gd name="T93" fmla="*/ 278 h 415"/>
                              <a:gd name="T94" fmla="*/ 189 w 1200"/>
                              <a:gd name="T95" fmla="*/ 287 h 415"/>
                              <a:gd name="T96" fmla="*/ 177 w 1200"/>
                              <a:gd name="T97" fmla="*/ 326 h 415"/>
                              <a:gd name="T98" fmla="*/ 155 w 1200"/>
                              <a:gd name="T99" fmla="*/ 341 h 415"/>
                              <a:gd name="T100" fmla="*/ 126 w 1200"/>
                              <a:gd name="T101" fmla="*/ 344 h 415"/>
                              <a:gd name="T102" fmla="*/ 103 w 1200"/>
                              <a:gd name="T103" fmla="*/ 336 h 415"/>
                              <a:gd name="T104" fmla="*/ 84 w 1200"/>
                              <a:gd name="T105" fmla="*/ 312 h 415"/>
                              <a:gd name="T106" fmla="*/ 80 w 1200"/>
                              <a:gd name="T107" fmla="*/ 10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3"/>
                        <wps:cNvSpPr>
                          <a:spLocks noChangeAspect="1" noEditPoints="1"/>
                        </wps:cNvSpPr>
                        <wps:spPr bwMode="auto">
                          <a:xfrm>
                            <a:off x="1962" y="1081"/>
                            <a:ext cx="1319" cy="208"/>
                          </a:xfrm>
                          <a:custGeom>
                            <a:avLst/>
                            <a:gdLst>
                              <a:gd name="T0" fmla="*/ 2442 w 2637"/>
                              <a:gd name="T1" fmla="*/ 407 h 416"/>
                              <a:gd name="T2" fmla="*/ 2331 w 2637"/>
                              <a:gd name="T3" fmla="*/ 99 h 416"/>
                              <a:gd name="T4" fmla="*/ 2143 w 2637"/>
                              <a:gd name="T5" fmla="*/ 274 h 416"/>
                              <a:gd name="T6" fmla="*/ 2008 w 2637"/>
                              <a:gd name="T7" fmla="*/ 108 h 416"/>
                              <a:gd name="T8" fmla="*/ 1886 w 2637"/>
                              <a:gd name="T9" fmla="*/ 101 h 416"/>
                              <a:gd name="T10" fmla="*/ 1800 w 2637"/>
                              <a:gd name="T11" fmla="*/ 164 h 416"/>
                              <a:gd name="T12" fmla="*/ 1773 w 2637"/>
                              <a:gd name="T13" fmla="*/ 271 h 416"/>
                              <a:gd name="T14" fmla="*/ 1813 w 2637"/>
                              <a:gd name="T15" fmla="*/ 362 h 416"/>
                              <a:gd name="T16" fmla="*/ 1918 w 2637"/>
                              <a:gd name="T17" fmla="*/ 415 h 416"/>
                              <a:gd name="T18" fmla="*/ 1999 w 2637"/>
                              <a:gd name="T19" fmla="*/ 314 h 416"/>
                              <a:gd name="T20" fmla="*/ 1938 w 2637"/>
                              <a:gd name="T21" fmla="*/ 337 h 416"/>
                              <a:gd name="T22" fmla="*/ 1889 w 2637"/>
                              <a:gd name="T23" fmla="*/ 322 h 416"/>
                              <a:gd name="T24" fmla="*/ 1857 w 2637"/>
                              <a:gd name="T25" fmla="*/ 274 h 416"/>
                              <a:gd name="T26" fmla="*/ 1865 w 2637"/>
                              <a:gd name="T27" fmla="*/ 214 h 416"/>
                              <a:gd name="T28" fmla="*/ 1905 w 2637"/>
                              <a:gd name="T29" fmla="*/ 177 h 416"/>
                              <a:gd name="T30" fmla="*/ 1967 w 2637"/>
                              <a:gd name="T31" fmla="*/ 175 h 416"/>
                              <a:gd name="T32" fmla="*/ 1727 w 2637"/>
                              <a:gd name="T33" fmla="*/ 99 h 416"/>
                              <a:gd name="T34" fmla="*/ 1604 w 2637"/>
                              <a:gd name="T35" fmla="*/ 99 h 416"/>
                              <a:gd name="T36" fmla="*/ 1360 w 2637"/>
                              <a:gd name="T37" fmla="*/ 117 h 416"/>
                              <a:gd name="T38" fmla="*/ 1276 w 2637"/>
                              <a:gd name="T39" fmla="*/ 92 h 416"/>
                              <a:gd name="T40" fmla="*/ 1203 w 2637"/>
                              <a:gd name="T41" fmla="*/ 108 h 416"/>
                              <a:gd name="T42" fmla="*/ 1162 w 2637"/>
                              <a:gd name="T43" fmla="*/ 163 h 416"/>
                              <a:gd name="T44" fmla="*/ 1165 w 2637"/>
                              <a:gd name="T45" fmla="*/ 231 h 416"/>
                              <a:gd name="T46" fmla="*/ 1219 w 2637"/>
                              <a:gd name="T47" fmla="*/ 275 h 416"/>
                              <a:gd name="T48" fmla="*/ 1287 w 2637"/>
                              <a:gd name="T49" fmla="*/ 306 h 416"/>
                              <a:gd name="T50" fmla="*/ 1273 w 2637"/>
                              <a:gd name="T51" fmla="*/ 342 h 416"/>
                              <a:gd name="T52" fmla="*/ 1216 w 2637"/>
                              <a:gd name="T53" fmla="*/ 340 h 416"/>
                              <a:gd name="T54" fmla="*/ 1171 w 2637"/>
                              <a:gd name="T55" fmla="*/ 396 h 416"/>
                              <a:gd name="T56" fmla="*/ 1266 w 2637"/>
                              <a:gd name="T57" fmla="*/ 415 h 416"/>
                              <a:gd name="T58" fmla="*/ 1342 w 2637"/>
                              <a:gd name="T59" fmla="*/ 386 h 416"/>
                              <a:gd name="T60" fmla="*/ 1373 w 2637"/>
                              <a:gd name="T61" fmla="*/ 319 h 416"/>
                              <a:gd name="T62" fmla="*/ 1355 w 2637"/>
                              <a:gd name="T63" fmla="*/ 251 h 416"/>
                              <a:gd name="T64" fmla="*/ 1276 w 2637"/>
                              <a:gd name="T65" fmla="*/ 213 h 416"/>
                              <a:gd name="T66" fmla="*/ 1242 w 2637"/>
                              <a:gd name="T67" fmla="*/ 185 h 416"/>
                              <a:gd name="T68" fmla="*/ 1269 w 2637"/>
                              <a:gd name="T69" fmla="*/ 159 h 416"/>
                              <a:gd name="T70" fmla="*/ 1329 w 2637"/>
                              <a:gd name="T71" fmla="*/ 179 h 416"/>
                              <a:gd name="T72" fmla="*/ 904 w 2637"/>
                              <a:gd name="T73" fmla="*/ 167 h 416"/>
                              <a:gd name="T74" fmla="*/ 904 w 2637"/>
                              <a:gd name="T75" fmla="*/ 407 h 416"/>
                              <a:gd name="T76" fmla="*/ 686 w 2637"/>
                              <a:gd name="T77" fmla="*/ 407 h 416"/>
                              <a:gd name="T78" fmla="*/ 666 w 2637"/>
                              <a:gd name="T79" fmla="*/ 354 h 416"/>
                              <a:gd name="T80" fmla="*/ 315 w 2637"/>
                              <a:gd name="T81" fmla="*/ 407 h 416"/>
                              <a:gd name="T82" fmla="*/ 167 w 2637"/>
                              <a:gd name="T83" fmla="*/ 98 h 416"/>
                              <a:gd name="T84" fmla="*/ 84 w 2637"/>
                              <a:gd name="T85" fmla="*/ 96 h 416"/>
                              <a:gd name="T86" fmla="*/ 28 w 2637"/>
                              <a:gd name="T87" fmla="*/ 136 h 416"/>
                              <a:gd name="T88" fmla="*/ 12 w 2637"/>
                              <a:gd name="T89" fmla="*/ 205 h 416"/>
                              <a:gd name="T90" fmla="*/ 37 w 2637"/>
                              <a:gd name="T91" fmla="*/ 256 h 416"/>
                              <a:gd name="T92" fmla="*/ 127 w 2637"/>
                              <a:gd name="T93" fmla="*/ 294 h 416"/>
                              <a:gd name="T94" fmla="*/ 141 w 2637"/>
                              <a:gd name="T95" fmla="*/ 330 h 416"/>
                              <a:gd name="T96" fmla="*/ 96 w 2637"/>
                              <a:gd name="T97" fmla="*/ 347 h 416"/>
                              <a:gd name="T98" fmla="*/ 33 w 2637"/>
                              <a:gd name="T99" fmla="*/ 316 h 416"/>
                              <a:gd name="T100" fmla="*/ 79 w 2637"/>
                              <a:gd name="T101" fmla="*/ 413 h 416"/>
                              <a:gd name="T102" fmla="*/ 167 w 2637"/>
                              <a:gd name="T103" fmla="*/ 403 h 416"/>
                              <a:gd name="T104" fmla="*/ 219 w 2637"/>
                              <a:gd name="T105" fmla="*/ 352 h 416"/>
                              <a:gd name="T106" fmla="*/ 220 w 2637"/>
                              <a:gd name="T107" fmla="*/ 269 h 416"/>
                              <a:gd name="T108" fmla="*/ 185 w 2637"/>
                              <a:gd name="T109" fmla="*/ 234 h 416"/>
                              <a:gd name="T110" fmla="*/ 99 w 2637"/>
                              <a:gd name="T111" fmla="*/ 198 h 416"/>
                              <a:gd name="T112" fmla="*/ 106 w 2637"/>
                              <a:gd name="T113" fmla="*/ 167 h 416"/>
                              <a:gd name="T114" fmla="*/ 151 w 2637"/>
                              <a:gd name="T115" fmla="*/ 16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
                        <wps:cNvSpPr>
                          <a:spLocks noChangeAspect="1" noEditPoints="1"/>
                        </wps:cNvSpPr>
                        <wps:spPr bwMode="auto">
                          <a:xfrm>
                            <a:off x="1962" y="851"/>
                            <a:ext cx="679" cy="208"/>
                          </a:xfrm>
                          <a:custGeom>
                            <a:avLst/>
                            <a:gdLst>
                              <a:gd name="T0" fmla="*/ 1282 w 1358"/>
                              <a:gd name="T1" fmla="*/ 36 h 416"/>
                              <a:gd name="T2" fmla="*/ 1358 w 1358"/>
                              <a:gd name="T3" fmla="*/ 100 h 416"/>
                              <a:gd name="T4" fmla="*/ 1162 w 1358"/>
                              <a:gd name="T5" fmla="*/ 260 h 416"/>
                              <a:gd name="T6" fmla="*/ 863 w 1358"/>
                              <a:gd name="T7" fmla="*/ 407 h 416"/>
                              <a:gd name="T8" fmla="*/ 1059 w 1358"/>
                              <a:gd name="T9" fmla="*/ 100 h 416"/>
                              <a:gd name="T10" fmla="*/ 697 w 1358"/>
                              <a:gd name="T11" fmla="*/ 107 h 416"/>
                              <a:gd name="T12" fmla="*/ 635 w 1358"/>
                              <a:gd name="T13" fmla="*/ 92 h 416"/>
                              <a:gd name="T14" fmla="*/ 580 w 1358"/>
                              <a:gd name="T15" fmla="*/ 100 h 416"/>
                              <a:gd name="T16" fmla="*/ 542 w 1358"/>
                              <a:gd name="T17" fmla="*/ 128 h 416"/>
                              <a:gd name="T18" fmla="*/ 521 w 1358"/>
                              <a:gd name="T19" fmla="*/ 174 h 416"/>
                              <a:gd name="T20" fmla="*/ 522 w 1358"/>
                              <a:gd name="T21" fmla="*/ 224 h 416"/>
                              <a:gd name="T22" fmla="*/ 543 w 1358"/>
                              <a:gd name="T23" fmla="*/ 257 h 416"/>
                              <a:gd name="T24" fmla="*/ 614 w 1358"/>
                              <a:gd name="T25" fmla="*/ 287 h 416"/>
                              <a:gd name="T26" fmla="*/ 648 w 1358"/>
                              <a:gd name="T27" fmla="*/ 306 h 416"/>
                              <a:gd name="T28" fmla="*/ 644 w 1358"/>
                              <a:gd name="T29" fmla="*/ 335 h 416"/>
                              <a:gd name="T30" fmla="*/ 611 w 1358"/>
                              <a:gd name="T31" fmla="*/ 348 h 416"/>
                              <a:gd name="T32" fmla="*/ 568 w 1358"/>
                              <a:gd name="T33" fmla="*/ 335 h 416"/>
                              <a:gd name="T34" fmla="*/ 519 w 1358"/>
                              <a:gd name="T35" fmla="*/ 389 h 416"/>
                              <a:gd name="T36" fmla="*/ 585 w 1358"/>
                              <a:gd name="T37" fmla="*/ 414 h 416"/>
                              <a:gd name="T38" fmla="*/ 651 w 1358"/>
                              <a:gd name="T39" fmla="*/ 411 h 416"/>
                              <a:gd name="T40" fmla="*/ 702 w 1358"/>
                              <a:gd name="T41" fmla="*/ 386 h 416"/>
                              <a:gd name="T42" fmla="*/ 729 w 1358"/>
                              <a:gd name="T43" fmla="*/ 343 h 416"/>
                              <a:gd name="T44" fmla="*/ 729 w 1358"/>
                              <a:gd name="T45" fmla="*/ 275 h 416"/>
                              <a:gd name="T46" fmla="*/ 711 w 1358"/>
                              <a:gd name="T47" fmla="*/ 247 h 416"/>
                              <a:gd name="T48" fmla="*/ 658 w 1358"/>
                              <a:gd name="T49" fmla="*/ 221 h 416"/>
                              <a:gd name="T50" fmla="*/ 607 w 1358"/>
                              <a:gd name="T51" fmla="*/ 198 h 416"/>
                              <a:gd name="T52" fmla="*/ 605 w 1358"/>
                              <a:gd name="T53" fmla="*/ 174 h 416"/>
                              <a:gd name="T54" fmla="*/ 629 w 1358"/>
                              <a:gd name="T55" fmla="*/ 159 h 416"/>
                              <a:gd name="T56" fmla="*/ 663 w 1358"/>
                              <a:gd name="T57" fmla="*/ 163 h 416"/>
                              <a:gd name="T58" fmla="*/ 463 w 1358"/>
                              <a:gd name="T59" fmla="*/ 100 h 416"/>
                              <a:gd name="T60" fmla="*/ 369 w 1358"/>
                              <a:gd name="T61" fmla="*/ 340 h 416"/>
                              <a:gd name="T62" fmla="*/ 369 w 1358"/>
                              <a:gd name="T63" fmla="*/ 167 h 416"/>
                              <a:gd name="T64" fmla="*/ 210 w 1358"/>
                              <a:gd name="T65" fmla="*/ 2 h 416"/>
                              <a:gd name="T66" fmla="*/ 215 w 1358"/>
                              <a:gd name="T67" fmla="*/ 102 h 416"/>
                              <a:gd name="T68" fmla="*/ 129 w 1358"/>
                              <a:gd name="T69" fmla="*/ 96 h 416"/>
                              <a:gd name="T70" fmla="*/ 58 w 1358"/>
                              <a:gd name="T71" fmla="*/ 130 h 416"/>
                              <a:gd name="T72" fmla="*/ 12 w 1358"/>
                              <a:gd name="T73" fmla="*/ 192 h 416"/>
                              <a:gd name="T74" fmla="*/ 0 w 1358"/>
                              <a:gd name="T75" fmla="*/ 272 h 416"/>
                              <a:gd name="T76" fmla="*/ 22 w 1358"/>
                              <a:gd name="T77" fmla="*/ 340 h 416"/>
                              <a:gd name="T78" fmla="*/ 81 w 1358"/>
                              <a:gd name="T79" fmla="*/ 394 h 416"/>
                              <a:gd name="T80" fmla="*/ 163 w 1358"/>
                              <a:gd name="T81" fmla="*/ 416 h 416"/>
                              <a:gd name="T82" fmla="*/ 235 w 1358"/>
                              <a:gd name="T83" fmla="*/ 306 h 416"/>
                              <a:gd name="T84" fmla="*/ 194 w 1358"/>
                              <a:gd name="T85" fmla="*/ 334 h 416"/>
                              <a:gd name="T86" fmla="*/ 151 w 1358"/>
                              <a:gd name="T87" fmla="*/ 336 h 416"/>
                              <a:gd name="T88" fmla="*/ 117 w 1358"/>
                              <a:gd name="T89" fmla="*/ 323 h 416"/>
                              <a:gd name="T90" fmla="*/ 89 w 1358"/>
                              <a:gd name="T91" fmla="*/ 292 h 416"/>
                              <a:gd name="T92" fmla="*/ 83 w 1358"/>
                              <a:gd name="T93" fmla="*/ 247 h 416"/>
                              <a:gd name="T94" fmla="*/ 97 w 1358"/>
                              <a:gd name="T95" fmla="*/ 207 h 416"/>
                              <a:gd name="T96" fmla="*/ 126 w 1358"/>
                              <a:gd name="T97" fmla="*/ 181 h 416"/>
                              <a:gd name="T98" fmla="*/ 165 w 1358"/>
                              <a:gd name="T99" fmla="*/ 171 h 416"/>
                              <a:gd name="T100" fmla="*/ 213 w 1358"/>
                              <a:gd name="T101" fmla="*/ 18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5.1pt;margin-top:36.8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">
                <o:lock v:ext="edit" aspectratio="t"/>
                <v:rect id="Rectangle 9" o:spid="_x0000_s1027" style="position:absolute;left:1215;top:901;width:67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2osIA&#10;AADbAAAADwAAAGRycy9kb3ducmV2LnhtbESPQYvCMBSE74L/ITxhb5q64CrVKKIsCLt7sApen82z&#10;DTYvpYm2/nuzIHgcZuYbZrHqbCXu1HjjWMF4lIAgzp02XCg4Hr6HMxA+IGusHJOCB3lYLfu9Baba&#10;tbynexYKESHsU1RQhlCnUvq8JIt+5Gri6F1cYzFE2RRSN9hGuK3kZ5J8SYuG40KJNW1Kyq/ZzSow&#10;8re12d9p65JbfTCn6Xnmw49SH4NuPQcRqAvv8Ku90womY/j/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aiwgAAANsAAAAPAAAAAAAAAAAAAAAAAJgCAABkcnMvZG93&#10;bnJldi54bWxQSwUGAAAAAAQABAD1AAAAhwMAAAAA&#10;" fillcolor="#0071bc" stroked="f">
                  <o:lock v:ext="edit" aspectratio="t"/>
                </v:rect>
                <v:rect id="Rectangle 10" o:spid="_x0000_s1028" style="position:absolute;left:567;top:1131;width:132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1cQA&#10;AADbAAAADwAAAGRycy9kb3ducmV2LnhtbESPQWvCQBSE7wX/w/KE3pqNQtsQXUUshULbQxMh12f2&#10;mSxm34bsauK/dwuFHoeZ+YZZbyfbiSsN3jhWsEhSEMS104YbBYfy/SkD4QOyxs4xKbiRh+1m9rDG&#10;XLuRf+hahEZECPscFbQh9LmUvm7Jok9cTxy9kxsshiiHRuoBxwi3nVym6Yu0aDgutNjTvqX6XFys&#10;AiO/Rlt8V28uvfSlqV6PmQ+fSj3Op90KRKAp/If/2h9awfMS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NXEAAAA2wAAAA8AAAAAAAAAAAAAAAAAmAIAAGRycy9k&#10;b3ducmV2LnhtbFBLBQYAAAAABAAEAPUAAACJAwAAAAA=&#10;" fillcolor="#0071bc" stroked="f">
                  <o:lock v:ext="edit" aspectratio="t"/>
                </v:rect>
                <v:rect id="Rectangle 11" o:spid="_x0000_s1029" style="position:absolute;left:1288;top:1361;width:60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NTsMA&#10;AADbAAAADwAAAGRycy9kb3ducmV2LnhtbESPQWvCQBSE74L/YXmCt7qpYpXUVUQRhNaDUfD6zL4m&#10;S7NvQ3Y16b93C4LHYWa+YRarzlbiTo03jhW8jxIQxLnThgsF59PubQ7CB2SNlWNS8EceVst+b4Gp&#10;di0f6Z6FQkQI+xQVlCHUqZQ+L8miH7maOHo/rrEYomwKqRtsI9xWcpwkH9Ki4bhQYk2bkvLf7GYV&#10;GPnd2uxw2brkVp/MZXad+/Cl1HDQrT9BBOrCK/xs77WC6Q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9NTsMAAADbAAAADwAAAAAAAAAAAAAAAACYAgAAZHJzL2Rv&#10;d25yZXYueG1sUEsFBgAAAAAEAAQA9QAAAIgDAAAAAA==&#10;" fillcolor="#0071bc" stroked="f">
                  <o:lock v:ext="edit" aspectratio="t"/>
                </v:rect>
                <v:shape id="Freeform 12" o:spid="_x0000_s1030" style="position:absolute;left:1969;top:1311;width:600;height:207;visibility:visible;mso-wrap-style:square;v-text-anchor:top" coordsize="120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K0cEA&#10;AADbAAAADwAAAGRycy9kb3ducmV2LnhtbESPQYvCMBSE78L+h/CEvdlUWUW6Rimysoonq94fzdum&#10;2LyUJmr33xtB8DjMzDfMYtXbRtyo87VjBeMkBUFcOl1zpeB03IzmIHxA1tg4JgX/5GG1/BgsMNPu&#10;zge6FaESEcI+QwUmhDaT0peGLPrEtcTR+3OdxRBlV0nd4T3CbSMnaTqTFmuOCwZbWhsqL8XVKvjJ&#10;yVB+atcF75rz7/myn9S7vVKfwz7/BhGoD+/wq73VCqZf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GytHBAAAA2wAAAA8AAAAAAAAAAAAAAAAAmAIAAGRycy9kb3du&#10;cmV2LnhtbFBLBQYAAAAABAAEAPUAAACGAw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3CsYA&#10;AADbAAAADwAAAGRycy9kb3ducmV2LnhtbESPQWvCQBSE70L/w/IKXkQ3rVhK6irFUhCr0Bg9eHtk&#10;X5PQ7Nuwu5r037tCweMwM98w82VvGnEh52vLCp4mCQjiwuqaSwWH/HP8CsIHZI2NZVLwRx6Wi4fB&#10;HFNtO87osg+liBD2KSqoQmhTKX1RkUE/sS1x9H6sMxiidKXUDrsIN418TpIXabDmuFBhS6uKit/9&#10;2ShY5c3RTbfdV+ZGH+vNaVfKfPet1PCxf38DEagP9/B/e60VzGZ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y3CsYAAADbAAAADwAAAAAAAAAAAAAAAACYAgAAZHJz&#10;L2Rvd25yZXYueG1sUEsFBgAAAAAEAAQA9QAAAIsD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l/MUA&#10;AADbAAAADwAAAGRycy9kb3ducmV2LnhtbESPT2vCQBTE70K/w/IKvYhuKjRIdBVbSeut+AfPz+wz&#10;CWbfprtbk357Vyh4HGbmN8x82ZtGXMn52rKC13ECgriwuuZSwWGfj6YgfEDW2FgmBX/kYbl4Gswx&#10;07bjLV13oRQRwj5DBVUIbSalLyoy6Me2JY7e2TqDIUpXSu2wi3DTyEmSpNJgzXGhwpY+Kiouu1+j&#10;YJIeT1/5pnz/bj5/hk6f1/mwWyv18tyvZiAC9eER/m9vtIK3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uX8xQAAANsAAAAPAAAAAAAAAAAAAAAAAJgCAABkcnMv&#10;ZG93bnJldi54bWxQSwUGAAAAAAQABAD1AAAAigM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v:group>
            </w:pict>
          </mc:Fallback>
        </mc:AlternateContent>
      </w:r>
    </w:p>
    <w:p w:rsidR="003F313C" w:rsidRDefault="003F313C" w:rsidP="0060487F">
      <w:pPr>
        <w:pStyle w:val="Styl1"/>
        <w:rPr>
          <w:rFonts w:cs="Arial"/>
          <w:sz w:val="20"/>
        </w:rPr>
      </w:pPr>
    </w:p>
    <w:p w:rsidR="003F313C" w:rsidRDefault="003F313C" w:rsidP="0060487F">
      <w:pPr>
        <w:pStyle w:val="Styl1"/>
        <w:rPr>
          <w:rFonts w:cs="Arial"/>
          <w:sz w:val="20"/>
        </w:rPr>
      </w:pPr>
    </w:p>
    <w:p w:rsidR="00F63FB7" w:rsidRDefault="00F63FB7" w:rsidP="0060487F">
      <w:pPr>
        <w:pStyle w:val="Styl1"/>
        <w:rPr>
          <w:rFonts w:cs="Arial"/>
          <w:sz w:val="20"/>
        </w:rPr>
      </w:pPr>
    </w:p>
    <w:p w:rsidR="0070676A" w:rsidRDefault="0070676A">
      <w:pPr>
        <w:spacing w:line="240" w:lineRule="auto"/>
        <w:rPr>
          <w:rFonts w:cs="Arial"/>
        </w:rPr>
      </w:pPr>
    </w:p>
    <w:p w:rsidR="0070676A" w:rsidRDefault="0070676A">
      <w:pPr>
        <w:spacing w:line="240" w:lineRule="auto"/>
        <w:rPr>
          <w:rFonts w:cs="Arial"/>
        </w:rPr>
      </w:pPr>
    </w:p>
    <w:p w:rsidR="0070676A" w:rsidRDefault="0070676A">
      <w:pPr>
        <w:spacing w:line="240" w:lineRule="auto"/>
        <w:rPr>
          <w:rFonts w:cs="Arial"/>
        </w:rPr>
      </w:pPr>
    </w:p>
    <w:p w:rsidR="0070676A" w:rsidRDefault="0070676A">
      <w:pPr>
        <w:spacing w:line="240" w:lineRule="auto"/>
        <w:rPr>
          <w:rFonts w:cs="Arial"/>
        </w:rPr>
      </w:pPr>
    </w:p>
    <w:p w:rsidR="0070676A" w:rsidRDefault="0070676A">
      <w:pPr>
        <w:spacing w:line="240" w:lineRule="auto"/>
        <w:rPr>
          <w:rFonts w:cs="Arial"/>
        </w:rPr>
      </w:pPr>
    </w:p>
    <w:p w:rsidR="00F63FB7" w:rsidRPr="00C91D7C" w:rsidRDefault="00E55504" w:rsidP="00133BA8">
      <w:pPr>
        <w:spacing w:line="240" w:lineRule="auto"/>
        <w:jc w:val="center"/>
        <w:rPr>
          <w:rFonts w:cs="Arial"/>
          <w:color w:val="FFFFFF" w:themeColor="background1"/>
          <w:lang w:eastAsia="ar-SA"/>
        </w:rPr>
      </w:pPr>
      <w:r w:rsidRPr="00C91D7C">
        <w:rPr>
          <w:color w:val="FFFFFF" w:themeColor="background1"/>
        </w:rPr>
        <w:t>©</w:t>
      </w:r>
      <w:r w:rsidR="004D5E24">
        <w:rPr>
          <w:noProof/>
          <w:color w:val="FFFFFF" w:themeColor="background1"/>
        </w:rPr>
        <mc:AlternateContent>
          <mc:Choice Requires="wps">
            <w:drawing>
              <wp:anchor distT="4294967291" distB="4294967291" distL="114300" distR="114300" simplePos="0" relativeHeight="251656704" behindDoc="0" locked="1" layoutInCell="0" allowOverlap="1">
                <wp:simplePos x="0" y="0"/>
                <wp:positionH relativeFrom="page">
                  <wp:posOffset>1710055</wp:posOffset>
                </wp:positionH>
                <wp:positionV relativeFrom="page">
                  <wp:posOffset>9361169</wp:posOffset>
                </wp:positionV>
                <wp:extent cx="5130165" cy="0"/>
                <wp:effectExtent l="0" t="0" r="13335" b="19050"/>
                <wp:wrapNone/>
                <wp:docPr id="49"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Přímá spojnice 33" o:spid="_x0000_s1026" style="position:absolute;z-index:25165670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" o:allowincell="f" strokecolor="windowText" strokeweight="1pt">
                <o:lock v:ext="edit" shapetype="f"/>
                <w10:wrap anchorx="page" anchory="page"/>
                <w10:anchorlock/>
              </v:line>
            </w:pict>
          </mc:Fallback>
        </mc:AlternateContent>
      </w:r>
      <w:r w:rsidR="00F63FB7" w:rsidRPr="00C91D7C">
        <w:rPr>
          <w:rFonts w:cs="Arial"/>
          <w:color w:val="FFFFFF" w:themeColor="background1"/>
        </w:rPr>
        <w:br w:type="page"/>
      </w:r>
    </w:p>
    <w:p w:rsidR="00F63FB7" w:rsidRDefault="00F63FB7" w:rsidP="0060487F">
      <w:pPr>
        <w:pStyle w:val="Styl1"/>
        <w:rPr>
          <w:rFonts w:cs="Arial"/>
          <w:sz w:val="20"/>
        </w:rPr>
      </w:pPr>
    </w:p>
    <w:p w:rsidR="003F313C" w:rsidRDefault="003F313C" w:rsidP="0060487F">
      <w:pPr>
        <w:pStyle w:val="Styl1"/>
        <w:rPr>
          <w:rFonts w:cs="Arial"/>
          <w:sz w:val="20"/>
        </w:rPr>
      </w:pPr>
    </w:p>
    <w:p w:rsidR="003F313C" w:rsidRDefault="003F313C">
      <w:pPr>
        <w:spacing w:line="240" w:lineRule="auto"/>
        <w:rPr>
          <w:rFonts w:cs="Arial"/>
          <w:lang w:eastAsia="ar-SA"/>
        </w:rPr>
      </w:pPr>
    </w:p>
    <w:p w:rsidR="0060487F" w:rsidRDefault="0060487F" w:rsidP="0060487F">
      <w:pPr>
        <w:pStyle w:val="Styl1"/>
        <w:rPr>
          <w:rFonts w:cs="Arial"/>
          <w:sz w:val="20"/>
        </w:rPr>
      </w:pPr>
    </w:p>
    <w:p w:rsidR="0060487F" w:rsidRPr="006404A7" w:rsidRDefault="004D5E24" w:rsidP="0060487F">
      <w:pPr>
        <w:pStyle w:val="Styl1"/>
        <w:rPr>
          <w:rFonts w:cs="Arial"/>
          <w:color w:val="7DB41E"/>
          <w:sz w:val="20"/>
          <w:szCs w:val="20"/>
        </w:rPr>
      </w:pPr>
      <w:r>
        <w:rPr>
          <w:noProof/>
          <w:lang w:eastAsia="cs-CZ"/>
        </w:rPr>
        <mc:AlternateContent>
          <mc:Choice Requires="wps">
            <w:drawing>
              <wp:anchor distT="0" distB="0" distL="114300" distR="114300" simplePos="0" relativeHeight="251655680" behindDoc="0" locked="1" layoutInCell="1" allowOverlap="1">
                <wp:simplePos x="0" y="0"/>
                <wp:positionH relativeFrom="page">
                  <wp:posOffset>720090</wp:posOffset>
                </wp:positionH>
                <wp:positionV relativeFrom="page">
                  <wp:posOffset>1476375</wp:posOffset>
                </wp:positionV>
                <wp:extent cx="6120130" cy="7560310"/>
                <wp:effectExtent l="0" t="0" r="13970" b="2540"/>
                <wp:wrapNone/>
                <wp:docPr id="4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Pr="0048086F" w:rsidRDefault="00216072" w:rsidP="0048086F">
                            <w:pPr>
                              <w:pStyle w:val="TL-Kontakty"/>
                            </w:pPr>
                            <w:r w:rsidRPr="001B61BC">
                              <w:rPr>
                                <w:rStyle w:val="TL-KontaktyChar"/>
                                <w:b/>
                              </w:rPr>
                              <w:t>KONTAKTY V</w:t>
                            </w:r>
                            <w:r w:rsidRPr="0048086F">
                              <w:t> ÚSTŘEDÍ</w:t>
                            </w:r>
                          </w:p>
                          <w:p w:rsidR="00216072" w:rsidRPr="00EA4153" w:rsidRDefault="00216072"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216072" w:rsidRPr="00B27293" w:rsidRDefault="00216072" w:rsidP="00BD366B">
                            <w:pPr>
                              <w:spacing w:after="80" w:line="240" w:lineRule="auto"/>
                            </w:pPr>
                            <w:r w:rsidRPr="00100014">
                              <w:rPr>
                                <w:b/>
                              </w:rPr>
                              <w:t>Oddělení informačních služeb</w:t>
                            </w:r>
                            <w:r w:rsidRPr="00EA4153">
                              <w:t xml:space="preserve"> |</w:t>
                            </w:r>
                            <w:r>
                              <w:rPr>
                                <w:b/>
                              </w:rPr>
                              <w:t xml:space="preserve"> </w:t>
                            </w:r>
                            <w:r>
                              <w:t>tel.: 274 052 648, 274 052 304, 274 052 451 | e-mail: infoservis@czso.cz</w:t>
                            </w:r>
                          </w:p>
                          <w:p w:rsidR="00216072" w:rsidRPr="00EA4153" w:rsidRDefault="00216072" w:rsidP="00BD366B">
                            <w:pPr>
                              <w:spacing w:after="80" w:line="240" w:lineRule="auto"/>
                              <w:rPr>
                                <w:b/>
                              </w:rPr>
                            </w:pPr>
                            <w:r w:rsidRPr="00100014">
                              <w:rPr>
                                <w:b/>
                              </w:rPr>
                              <w:t>Prodejna publikací ČSÚ</w:t>
                            </w:r>
                            <w:r>
                              <w:t xml:space="preserve"> | tel.: 274 052 361 | e-mail: prodejna@czso.cz</w:t>
                            </w:r>
                          </w:p>
                          <w:p w:rsidR="00216072" w:rsidRPr="00EA4153" w:rsidRDefault="00216072"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216072" w:rsidRPr="00EA4153" w:rsidRDefault="00216072" w:rsidP="00BD366B">
                            <w:pPr>
                              <w:spacing w:after="80" w:line="240" w:lineRule="auto"/>
                              <w:rPr>
                                <w:b/>
                              </w:rPr>
                            </w:pPr>
                            <w:r w:rsidRPr="00100014">
                              <w:rPr>
                                <w:b/>
                              </w:rPr>
                              <w:t>Ústřední statistická knihovna</w:t>
                            </w:r>
                            <w:r>
                              <w:t xml:space="preserve"> | tel.: 274 052 361 | e-mail: knihovna@czso.cz</w:t>
                            </w:r>
                          </w:p>
                          <w:p w:rsidR="00216072" w:rsidRDefault="00216072" w:rsidP="00BD366B">
                            <w:pPr>
                              <w:spacing w:line="240" w:lineRule="auto"/>
                            </w:pPr>
                          </w:p>
                          <w:p w:rsidR="00216072" w:rsidRPr="0071229A" w:rsidRDefault="00216072" w:rsidP="004F06F5">
                            <w:pPr>
                              <w:pStyle w:val="TL-Kontakty"/>
                            </w:pPr>
                            <w:r w:rsidRPr="0071229A">
                              <w:t>INFORMAČNÍ SLUŽBY V REGIONECH</w:t>
                            </w:r>
                          </w:p>
                          <w:p w:rsidR="00216072" w:rsidRDefault="00216072" w:rsidP="00BD366B">
                            <w:pPr>
                              <w:spacing w:line="240" w:lineRule="auto"/>
                            </w:pPr>
                            <w:r w:rsidRPr="00100014">
                              <w:rPr>
                                <w:b/>
                                <w:color w:val="0071BC"/>
                              </w:rPr>
                              <w:t>Hl. m. Praha</w:t>
                            </w:r>
                            <w:r>
                              <w:t xml:space="preserve"> | Na padesátém 81, 100 82 Praha 10 | tel.: 274 052 673, 274 054 223</w:t>
                            </w:r>
                          </w:p>
                          <w:p w:rsidR="00216072" w:rsidRPr="00100014" w:rsidRDefault="00216072" w:rsidP="00BD366B">
                            <w:pPr>
                              <w:spacing w:line="240" w:lineRule="auto"/>
                              <w:rPr>
                                <w:b/>
                              </w:rPr>
                            </w:pPr>
                            <w:r>
                              <w:t xml:space="preserve">e-mail: infoservispraha@czso.cz | </w:t>
                            </w:r>
                            <w:r w:rsidRPr="00100014">
                              <w:rPr>
                                <w:b/>
                              </w:rPr>
                              <w:t>www.praha.czso.cz</w:t>
                            </w:r>
                          </w:p>
                          <w:p w:rsidR="00216072" w:rsidRDefault="00216072" w:rsidP="00BD366B">
                            <w:pPr>
                              <w:spacing w:line="240" w:lineRule="auto"/>
                            </w:pPr>
                          </w:p>
                          <w:p w:rsidR="00216072" w:rsidRPr="00B27293" w:rsidRDefault="00216072"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216072" w:rsidRPr="00B27293" w:rsidRDefault="00216072" w:rsidP="00BD366B">
                            <w:pPr>
                              <w:spacing w:line="240" w:lineRule="auto"/>
                            </w:pPr>
                            <w:r>
                              <w:t xml:space="preserve">e-mail: infoservisstc@czso.cz | </w:t>
                            </w:r>
                            <w:r w:rsidRPr="00100014">
                              <w:rPr>
                                <w:b/>
                              </w:rPr>
                              <w:t>www.stredocesky.czso.cz</w:t>
                            </w:r>
                          </w:p>
                          <w:p w:rsidR="00216072" w:rsidRDefault="00216072" w:rsidP="00BD366B">
                            <w:pPr>
                              <w:spacing w:line="240" w:lineRule="auto"/>
                            </w:pPr>
                          </w:p>
                          <w:p w:rsidR="00216072" w:rsidRPr="00B27293" w:rsidRDefault="00216072" w:rsidP="00BD366B">
                            <w:pPr>
                              <w:spacing w:line="240" w:lineRule="auto"/>
                              <w:rPr>
                                <w:b/>
                                <w:color w:val="0071BC"/>
                              </w:rPr>
                            </w:pPr>
                            <w:r w:rsidRPr="00100014">
                              <w:rPr>
                                <w:b/>
                                <w:color w:val="0071BC"/>
                              </w:rPr>
                              <w:t>České Budějovice</w:t>
                            </w:r>
                            <w:r>
                              <w:t xml:space="preserve"> | Žižkova 1, 370 77 České Budějovice | tel.: 386 718 440</w:t>
                            </w:r>
                          </w:p>
                          <w:p w:rsidR="00216072" w:rsidRPr="00B27293" w:rsidRDefault="00216072" w:rsidP="00BD366B">
                            <w:pPr>
                              <w:spacing w:line="240" w:lineRule="auto"/>
                            </w:pPr>
                            <w:r>
                              <w:t xml:space="preserve">e-mail: infoserviscb@czso.cz | </w:t>
                            </w:r>
                            <w:r w:rsidRPr="00100014">
                              <w:rPr>
                                <w:b/>
                              </w:rPr>
                              <w:t>www.cbudejovice.czso.cz</w:t>
                            </w:r>
                          </w:p>
                          <w:p w:rsidR="00216072" w:rsidRDefault="00216072" w:rsidP="00BD366B">
                            <w:pPr>
                              <w:spacing w:line="240" w:lineRule="auto"/>
                            </w:pPr>
                          </w:p>
                          <w:p w:rsidR="00216072" w:rsidRPr="00B27293" w:rsidRDefault="00216072" w:rsidP="00BD366B">
                            <w:pPr>
                              <w:spacing w:line="240" w:lineRule="auto"/>
                              <w:rPr>
                                <w:b/>
                                <w:color w:val="0071BC"/>
                              </w:rPr>
                            </w:pPr>
                            <w:r w:rsidRPr="0071229A">
                              <w:rPr>
                                <w:b/>
                                <w:color w:val="0071BC"/>
                              </w:rPr>
                              <w:t>Plzeň</w:t>
                            </w:r>
                            <w:r>
                              <w:t xml:space="preserve"> | Slovanská alej 36, 326 64 Plzeň | tel.: 377 612 108, 377 612 249</w:t>
                            </w:r>
                          </w:p>
                          <w:p w:rsidR="00216072" w:rsidRPr="00B27293" w:rsidRDefault="00216072" w:rsidP="00BD366B">
                            <w:pPr>
                              <w:spacing w:line="240" w:lineRule="auto"/>
                            </w:pPr>
                            <w:r>
                              <w:t xml:space="preserve">e-mail: infoservisplzen@czso.cz | </w:t>
                            </w:r>
                            <w:r w:rsidRPr="0071229A">
                              <w:rPr>
                                <w:b/>
                              </w:rPr>
                              <w:t>www.plzen.czso.cz</w:t>
                            </w:r>
                          </w:p>
                          <w:p w:rsidR="00216072" w:rsidRDefault="00216072" w:rsidP="00BD366B">
                            <w:pPr>
                              <w:spacing w:line="240" w:lineRule="auto"/>
                            </w:pPr>
                          </w:p>
                          <w:p w:rsidR="00216072" w:rsidRPr="00B27293" w:rsidRDefault="00216072" w:rsidP="00BD366B">
                            <w:pPr>
                              <w:spacing w:line="240" w:lineRule="auto"/>
                              <w:rPr>
                                <w:b/>
                                <w:color w:val="0071BC"/>
                              </w:rPr>
                            </w:pPr>
                            <w:r w:rsidRPr="0071229A">
                              <w:rPr>
                                <w:b/>
                                <w:color w:val="0071BC"/>
                              </w:rPr>
                              <w:t>Karlovy Vary</w:t>
                            </w:r>
                            <w:r>
                              <w:t xml:space="preserve"> | Sportovní 28, 360 01 Karlovy Vary | tel.: 353 114 529, 353 114 525</w:t>
                            </w:r>
                          </w:p>
                          <w:p w:rsidR="00216072" w:rsidRDefault="00216072" w:rsidP="00BD366B">
                            <w:pPr>
                              <w:spacing w:line="240" w:lineRule="auto"/>
                              <w:rPr>
                                <w:b/>
                              </w:rPr>
                            </w:pPr>
                            <w:r>
                              <w:t xml:space="preserve">e-mail: infoserviskv@czso.cz | </w:t>
                            </w:r>
                            <w:r>
                              <w:rPr>
                                <w:b/>
                              </w:rPr>
                              <w:t>www.kvary.czso.cz</w:t>
                            </w:r>
                          </w:p>
                          <w:p w:rsidR="00216072" w:rsidRDefault="00216072" w:rsidP="00BD366B">
                            <w:pPr>
                              <w:spacing w:line="240" w:lineRule="auto"/>
                            </w:pPr>
                          </w:p>
                          <w:p w:rsidR="00216072" w:rsidRPr="00B27293" w:rsidRDefault="00216072" w:rsidP="00BD366B">
                            <w:pPr>
                              <w:spacing w:line="240" w:lineRule="auto"/>
                              <w:rPr>
                                <w:b/>
                                <w:bCs/>
                                <w:color w:val="0071BC"/>
                              </w:rPr>
                            </w:pPr>
                            <w:r w:rsidRPr="0071229A">
                              <w:rPr>
                                <w:b/>
                                <w:bCs/>
                                <w:color w:val="0071BC"/>
                              </w:rPr>
                              <w:t>Ústí nad Labem</w:t>
                            </w:r>
                            <w:r>
                              <w:t xml:space="preserve"> | </w:t>
                            </w:r>
                            <w:r w:rsidRPr="0071229A">
                              <w:rPr>
                                <w:bCs/>
                              </w:rPr>
                              <w:t>Špálova 2684, 400 11 Ústí nad Labem</w:t>
                            </w:r>
                            <w:r>
                              <w:t xml:space="preserve"> | </w:t>
                            </w:r>
                            <w:r w:rsidRPr="0071229A">
                              <w:rPr>
                                <w:bCs/>
                              </w:rPr>
                              <w:t>tel.: 472 706 176, 472 706 121</w:t>
                            </w:r>
                          </w:p>
                          <w:p w:rsidR="00216072" w:rsidRPr="00B27293" w:rsidRDefault="00216072" w:rsidP="00BD366B">
                            <w:pPr>
                              <w:spacing w:line="240" w:lineRule="auto"/>
                              <w:rPr>
                                <w:bCs/>
                              </w:rPr>
                            </w:pPr>
                            <w:r w:rsidRPr="0071229A">
                              <w:rPr>
                                <w:bCs/>
                              </w:rPr>
                              <w:t>e-mail: infoservisul@czso.cz</w:t>
                            </w:r>
                            <w:r>
                              <w:t xml:space="preserve"> | </w:t>
                            </w:r>
                            <w:r w:rsidRPr="0071229A">
                              <w:rPr>
                                <w:b/>
                                <w:bCs/>
                              </w:rPr>
                              <w:t>www.ustinadlabem.czso.cz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216072" w:rsidRPr="00B27293" w:rsidRDefault="00216072" w:rsidP="00BD366B">
                            <w:pPr>
                              <w:spacing w:line="240" w:lineRule="auto"/>
                              <w:rPr>
                                <w:bCs/>
                              </w:rPr>
                            </w:pPr>
                            <w:r w:rsidRPr="0071229A">
                              <w:rPr>
                                <w:bCs/>
                              </w:rPr>
                              <w:t>e-mail: infoservislbc@czso.cz</w:t>
                            </w:r>
                            <w:r>
                              <w:t xml:space="preserve"> | </w:t>
                            </w:r>
                            <w:r w:rsidRPr="0071229A">
                              <w:rPr>
                                <w:b/>
                                <w:bCs/>
                              </w:rPr>
                              <w:t>www.liberec.czso.cz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216072" w:rsidRPr="00B27293" w:rsidRDefault="00216072" w:rsidP="00BD366B">
                            <w:pPr>
                              <w:spacing w:line="240" w:lineRule="auto"/>
                              <w:rPr>
                                <w:bCs/>
                              </w:rPr>
                            </w:pPr>
                            <w:r w:rsidRPr="0071229A">
                              <w:rPr>
                                <w:bCs/>
                              </w:rPr>
                              <w:t>e-mail: infoservishk@czso.cz</w:t>
                            </w:r>
                            <w:r>
                              <w:t xml:space="preserve"> | </w:t>
                            </w:r>
                            <w:r w:rsidRPr="0071229A">
                              <w:rPr>
                                <w:b/>
                                <w:bCs/>
                              </w:rPr>
                              <w:t>www.hradeckralove.czso.cz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216072" w:rsidRPr="00B27293" w:rsidRDefault="00216072" w:rsidP="00BD366B">
                            <w:pPr>
                              <w:spacing w:line="240" w:lineRule="auto"/>
                              <w:rPr>
                                <w:bCs/>
                              </w:rPr>
                            </w:pPr>
                            <w:r w:rsidRPr="0071229A">
                              <w:rPr>
                                <w:bCs/>
                              </w:rPr>
                              <w:t>e-mail: infoservispa@czso.cz</w:t>
                            </w:r>
                            <w:r>
                              <w:t xml:space="preserve"> | </w:t>
                            </w:r>
                            <w:r w:rsidRPr="0071229A">
                              <w:rPr>
                                <w:b/>
                                <w:bCs/>
                              </w:rPr>
                              <w:t>www.pardubice.czso.cz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216072" w:rsidRPr="00B27293" w:rsidRDefault="00216072" w:rsidP="00BD366B">
                            <w:pPr>
                              <w:spacing w:line="240" w:lineRule="auto"/>
                              <w:rPr>
                                <w:bCs/>
                              </w:rPr>
                            </w:pPr>
                            <w:r w:rsidRPr="0071229A">
                              <w:rPr>
                                <w:bCs/>
                              </w:rPr>
                              <w:t>e-mail: infoservisvys@czso.cz</w:t>
                            </w:r>
                            <w:r>
                              <w:t xml:space="preserve"> | </w:t>
                            </w:r>
                            <w:r w:rsidRPr="0071229A">
                              <w:rPr>
                                <w:b/>
                                <w:bCs/>
                              </w:rPr>
                              <w:t>www.jihlava.czso.cz</w:t>
                            </w:r>
                          </w:p>
                          <w:p w:rsidR="00216072" w:rsidRPr="0071229A" w:rsidRDefault="00216072" w:rsidP="00BD366B">
                            <w:pPr>
                              <w:spacing w:line="240" w:lineRule="auto"/>
                              <w:rPr>
                                <w:bCs/>
                              </w:rPr>
                            </w:pPr>
                          </w:p>
                          <w:p w:rsidR="00216072" w:rsidRPr="00B27293" w:rsidRDefault="00216072"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216072" w:rsidRPr="00B27293" w:rsidRDefault="00216072" w:rsidP="00BD366B">
                            <w:pPr>
                              <w:spacing w:line="240" w:lineRule="auto"/>
                              <w:rPr>
                                <w:bCs/>
                              </w:rPr>
                            </w:pPr>
                            <w:r w:rsidRPr="0071229A">
                              <w:rPr>
                                <w:bCs/>
                              </w:rPr>
                              <w:t>e-mail: infoservisbrno@czso.cz</w:t>
                            </w:r>
                            <w:r>
                              <w:t xml:space="preserve"> | </w:t>
                            </w:r>
                            <w:r w:rsidRPr="0071229A">
                              <w:rPr>
                                <w:b/>
                                <w:bCs/>
                              </w:rPr>
                              <w:t>www.brno.czso.cz</w:t>
                            </w:r>
                          </w:p>
                          <w:p w:rsidR="00216072" w:rsidRPr="0071229A" w:rsidRDefault="00216072" w:rsidP="00BD366B">
                            <w:pPr>
                              <w:spacing w:line="240" w:lineRule="auto"/>
                              <w:rPr>
                                <w:bCs/>
                              </w:rPr>
                            </w:pPr>
                          </w:p>
                          <w:p w:rsidR="00216072" w:rsidRPr="00B27293" w:rsidRDefault="00216072" w:rsidP="00BD366B">
                            <w:pPr>
                              <w:spacing w:line="240" w:lineRule="auto"/>
                              <w:rPr>
                                <w:b/>
                                <w:bCs/>
                              </w:rPr>
                            </w:pPr>
                            <w:r w:rsidRPr="0071229A">
                              <w:rPr>
                                <w:b/>
                                <w:bCs/>
                                <w:color w:val="0071BC"/>
                              </w:rPr>
                              <w:t>Olomouc</w:t>
                            </w:r>
                            <w:r>
                              <w:t xml:space="preserve"> | </w:t>
                            </w:r>
                            <w:r w:rsidRPr="0071229A">
                              <w:rPr>
                                <w:bCs/>
                              </w:rPr>
                              <w:t>Jeremenkova 1142/42, 772 11 Olomouc</w:t>
                            </w:r>
                            <w:r>
                              <w:t xml:space="preserve"> | </w:t>
                            </w:r>
                            <w:r w:rsidRPr="0071229A">
                              <w:rPr>
                                <w:bCs/>
                              </w:rPr>
                              <w:t>tel.: 585 731 516, 585 731 509</w:t>
                            </w:r>
                          </w:p>
                          <w:p w:rsidR="00216072" w:rsidRPr="00B27293" w:rsidRDefault="00216072" w:rsidP="00BD366B">
                            <w:pPr>
                              <w:spacing w:line="240" w:lineRule="auto"/>
                              <w:rPr>
                                <w:bCs/>
                              </w:rPr>
                            </w:pPr>
                            <w:r w:rsidRPr="0071229A">
                              <w:rPr>
                                <w:bCs/>
                              </w:rPr>
                              <w:t>e-mail: infoservisolom@czso.cz</w:t>
                            </w:r>
                            <w:r>
                              <w:t xml:space="preserve"> | </w:t>
                            </w:r>
                            <w:r w:rsidRPr="0071229A">
                              <w:rPr>
                                <w:b/>
                                <w:bCs/>
                              </w:rPr>
                              <w:t>www.olomouc.czso.cz</w:t>
                            </w:r>
                          </w:p>
                          <w:p w:rsidR="00216072" w:rsidRPr="0071229A" w:rsidRDefault="00216072" w:rsidP="00BD366B">
                            <w:pPr>
                              <w:spacing w:line="240" w:lineRule="auto"/>
                              <w:rPr>
                                <w:bCs/>
                              </w:rPr>
                            </w:pPr>
                          </w:p>
                          <w:p w:rsidR="00216072" w:rsidRPr="00B27293" w:rsidRDefault="00216072" w:rsidP="00BD366B">
                            <w:pPr>
                              <w:spacing w:line="240" w:lineRule="auto"/>
                              <w:rPr>
                                <w:b/>
                                <w:bCs/>
                              </w:rPr>
                            </w:pPr>
                            <w:r w:rsidRPr="0071229A">
                              <w:rPr>
                                <w:b/>
                                <w:bCs/>
                                <w:color w:val="0071BC"/>
                              </w:rPr>
                              <w:t>Ostrava</w:t>
                            </w:r>
                            <w:r>
                              <w:t xml:space="preserve"> | </w:t>
                            </w:r>
                            <w:r w:rsidRPr="0071229A">
                              <w:rPr>
                                <w:bCs/>
                              </w:rPr>
                              <w:t>Repinova 17, 702 03 Ostrava</w:t>
                            </w:r>
                            <w:r>
                              <w:t xml:space="preserve"> | </w:t>
                            </w:r>
                            <w:r w:rsidRPr="0071229A">
                              <w:rPr>
                                <w:bCs/>
                              </w:rPr>
                              <w:t>tel.: 595 131 230, 595 131 232</w:t>
                            </w:r>
                          </w:p>
                          <w:p w:rsidR="00216072" w:rsidRPr="00B27293" w:rsidRDefault="00216072" w:rsidP="00BD366B">
                            <w:pPr>
                              <w:spacing w:line="240" w:lineRule="auto"/>
                              <w:rPr>
                                <w:bCs/>
                              </w:rPr>
                            </w:pPr>
                            <w:r w:rsidRPr="0071229A">
                              <w:rPr>
                                <w:bCs/>
                              </w:rPr>
                              <w:t>e-mail: infoservis_ov@czso.cz</w:t>
                            </w:r>
                            <w:r>
                              <w:t xml:space="preserve"> | </w:t>
                            </w:r>
                            <w:r w:rsidRPr="0071229A">
                              <w:rPr>
                                <w:b/>
                                <w:bCs/>
                              </w:rPr>
                              <w:t>www.ostrava.czso.cz</w:t>
                            </w:r>
                          </w:p>
                          <w:p w:rsidR="00216072" w:rsidRPr="0071229A" w:rsidRDefault="00216072" w:rsidP="00BD366B">
                            <w:pPr>
                              <w:spacing w:line="240" w:lineRule="auto"/>
                              <w:rPr>
                                <w:bCs/>
                              </w:rPr>
                            </w:pPr>
                          </w:p>
                          <w:p w:rsidR="00216072" w:rsidRPr="0071229A" w:rsidRDefault="00216072"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216072" w:rsidRPr="00B27293" w:rsidRDefault="00216072" w:rsidP="00BD366B">
                            <w:pPr>
                              <w:spacing w:line="240" w:lineRule="auto"/>
                              <w:rPr>
                                <w:bCs/>
                              </w:rPr>
                            </w:pPr>
                            <w:r w:rsidRPr="0071229A">
                              <w:rPr>
                                <w:bCs/>
                              </w:rPr>
                              <w:t>e-mail: infoservis-zl@czso.cz</w:t>
                            </w:r>
                            <w:r>
                              <w:t xml:space="preserve"> | </w:t>
                            </w:r>
                            <w:r w:rsidRPr="0071229A">
                              <w:rPr>
                                <w:b/>
                                <w:bCs/>
                              </w:rPr>
                              <w:t>www.zlin.czso.cz</w:t>
                            </w:r>
                          </w:p>
                          <w:p w:rsidR="00216072" w:rsidRPr="00B27293" w:rsidRDefault="00216072" w:rsidP="00BD366B">
                            <w:pPr>
                              <w:spacing w:line="240" w:lineRule="auto"/>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6.7pt;margin-top:116.25pt;width:481.9pt;height:59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" filled="f" stroked="f">
                <v:textbox inset="0,0,0,0">
                  <w:txbxContent>
                    <w:p w:rsidR="00216072" w:rsidRPr="0048086F" w:rsidRDefault="00216072" w:rsidP="0048086F">
                      <w:pPr>
                        <w:pStyle w:val="TL-Kontakty"/>
                      </w:pPr>
                      <w:r w:rsidRPr="001B61BC">
                        <w:rPr>
                          <w:rStyle w:val="TL-KontaktyChar"/>
                          <w:b/>
                        </w:rPr>
                        <w:t>KONTAKTY V</w:t>
                      </w:r>
                      <w:r w:rsidRPr="0048086F">
                        <w:t> ÚSTŘEDÍ</w:t>
                      </w:r>
                    </w:p>
                    <w:p w:rsidR="00216072" w:rsidRPr="00EA4153" w:rsidRDefault="00216072"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216072" w:rsidRPr="00B27293" w:rsidRDefault="00216072" w:rsidP="00BD366B">
                      <w:pPr>
                        <w:spacing w:after="80" w:line="240" w:lineRule="auto"/>
                      </w:pPr>
                      <w:r w:rsidRPr="00100014">
                        <w:rPr>
                          <w:b/>
                        </w:rPr>
                        <w:t>Oddělení informačních služeb</w:t>
                      </w:r>
                      <w:r w:rsidRPr="00EA4153">
                        <w:t xml:space="preserve"> |</w:t>
                      </w:r>
                      <w:r>
                        <w:rPr>
                          <w:b/>
                        </w:rPr>
                        <w:t xml:space="preserve"> </w:t>
                      </w:r>
                      <w:r>
                        <w:t>tel.: 274 052 648, 274 052 304, 274 052 451 | e-mail: infoservis@czso.cz</w:t>
                      </w:r>
                    </w:p>
                    <w:p w:rsidR="00216072" w:rsidRPr="00EA4153" w:rsidRDefault="00216072" w:rsidP="00BD366B">
                      <w:pPr>
                        <w:spacing w:after="80" w:line="240" w:lineRule="auto"/>
                        <w:rPr>
                          <w:b/>
                        </w:rPr>
                      </w:pPr>
                      <w:r w:rsidRPr="00100014">
                        <w:rPr>
                          <w:b/>
                        </w:rPr>
                        <w:t>Prodejna publikací ČSÚ</w:t>
                      </w:r>
                      <w:r>
                        <w:t xml:space="preserve"> | tel.: 274 052 361 | e-mail: prodejna@czso.cz</w:t>
                      </w:r>
                    </w:p>
                    <w:p w:rsidR="00216072" w:rsidRPr="00EA4153" w:rsidRDefault="00216072"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216072" w:rsidRPr="00EA4153" w:rsidRDefault="00216072" w:rsidP="00BD366B">
                      <w:pPr>
                        <w:spacing w:after="80" w:line="240" w:lineRule="auto"/>
                        <w:rPr>
                          <w:b/>
                        </w:rPr>
                      </w:pPr>
                      <w:r w:rsidRPr="00100014">
                        <w:rPr>
                          <w:b/>
                        </w:rPr>
                        <w:t>Ústřední statistická knihovna</w:t>
                      </w:r>
                      <w:r>
                        <w:t xml:space="preserve"> | tel.: 274 052 361 | e-mail: knihovna@czso.cz</w:t>
                      </w:r>
                    </w:p>
                    <w:p w:rsidR="00216072" w:rsidRDefault="00216072" w:rsidP="00BD366B">
                      <w:pPr>
                        <w:spacing w:line="240" w:lineRule="auto"/>
                      </w:pPr>
                    </w:p>
                    <w:p w:rsidR="00216072" w:rsidRPr="0071229A" w:rsidRDefault="00216072" w:rsidP="004F06F5">
                      <w:pPr>
                        <w:pStyle w:val="TL-Kontakty"/>
                      </w:pPr>
                      <w:r w:rsidRPr="0071229A">
                        <w:t>INFORMAČNÍ SLUŽBY V REGIONECH</w:t>
                      </w:r>
                    </w:p>
                    <w:p w:rsidR="00216072" w:rsidRDefault="00216072" w:rsidP="00BD366B">
                      <w:pPr>
                        <w:spacing w:line="240" w:lineRule="auto"/>
                      </w:pPr>
                      <w:r w:rsidRPr="00100014">
                        <w:rPr>
                          <w:b/>
                          <w:color w:val="0071BC"/>
                        </w:rPr>
                        <w:t>Hl. m. Praha</w:t>
                      </w:r>
                      <w:r>
                        <w:t xml:space="preserve"> | Na padesátém 81, 100 82 Praha 10 | tel.: 274 052 673, 274 054 223</w:t>
                      </w:r>
                    </w:p>
                    <w:p w:rsidR="00216072" w:rsidRPr="00100014" w:rsidRDefault="00216072" w:rsidP="00BD366B">
                      <w:pPr>
                        <w:spacing w:line="240" w:lineRule="auto"/>
                        <w:rPr>
                          <w:b/>
                        </w:rPr>
                      </w:pPr>
                      <w:r>
                        <w:t xml:space="preserve">e-mail: infoservispraha@czso.cz | </w:t>
                      </w:r>
                      <w:r w:rsidRPr="00100014">
                        <w:rPr>
                          <w:b/>
                        </w:rPr>
                        <w:t>www.praha.czso.cz</w:t>
                      </w:r>
                    </w:p>
                    <w:p w:rsidR="00216072" w:rsidRDefault="00216072" w:rsidP="00BD366B">
                      <w:pPr>
                        <w:spacing w:line="240" w:lineRule="auto"/>
                      </w:pPr>
                    </w:p>
                    <w:p w:rsidR="00216072" w:rsidRPr="00B27293" w:rsidRDefault="00216072"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216072" w:rsidRPr="00B27293" w:rsidRDefault="00216072" w:rsidP="00BD366B">
                      <w:pPr>
                        <w:spacing w:line="240" w:lineRule="auto"/>
                      </w:pPr>
                      <w:r>
                        <w:t xml:space="preserve">e-mail: infoservisstc@czso.cz | </w:t>
                      </w:r>
                      <w:r w:rsidRPr="00100014">
                        <w:rPr>
                          <w:b/>
                        </w:rPr>
                        <w:t>www.stredocesky.czso.cz</w:t>
                      </w:r>
                    </w:p>
                    <w:p w:rsidR="00216072" w:rsidRDefault="00216072" w:rsidP="00BD366B">
                      <w:pPr>
                        <w:spacing w:line="240" w:lineRule="auto"/>
                      </w:pPr>
                    </w:p>
                    <w:p w:rsidR="00216072" w:rsidRPr="00B27293" w:rsidRDefault="00216072" w:rsidP="00BD366B">
                      <w:pPr>
                        <w:spacing w:line="240" w:lineRule="auto"/>
                        <w:rPr>
                          <w:b/>
                          <w:color w:val="0071BC"/>
                        </w:rPr>
                      </w:pPr>
                      <w:r w:rsidRPr="00100014">
                        <w:rPr>
                          <w:b/>
                          <w:color w:val="0071BC"/>
                        </w:rPr>
                        <w:t>České Budějovice</w:t>
                      </w:r>
                      <w:r>
                        <w:t xml:space="preserve"> | Žižkova 1, 370 77 České Budějovice | tel.: 386 718 440</w:t>
                      </w:r>
                    </w:p>
                    <w:p w:rsidR="00216072" w:rsidRPr="00B27293" w:rsidRDefault="00216072" w:rsidP="00BD366B">
                      <w:pPr>
                        <w:spacing w:line="240" w:lineRule="auto"/>
                      </w:pPr>
                      <w:r>
                        <w:t xml:space="preserve">e-mail: infoserviscb@czso.cz | </w:t>
                      </w:r>
                      <w:r w:rsidRPr="00100014">
                        <w:rPr>
                          <w:b/>
                        </w:rPr>
                        <w:t>www.cbudejovice.czso.cz</w:t>
                      </w:r>
                    </w:p>
                    <w:p w:rsidR="00216072" w:rsidRDefault="00216072" w:rsidP="00BD366B">
                      <w:pPr>
                        <w:spacing w:line="240" w:lineRule="auto"/>
                      </w:pPr>
                    </w:p>
                    <w:p w:rsidR="00216072" w:rsidRPr="00B27293" w:rsidRDefault="00216072" w:rsidP="00BD366B">
                      <w:pPr>
                        <w:spacing w:line="240" w:lineRule="auto"/>
                        <w:rPr>
                          <w:b/>
                          <w:color w:val="0071BC"/>
                        </w:rPr>
                      </w:pPr>
                      <w:r w:rsidRPr="0071229A">
                        <w:rPr>
                          <w:b/>
                          <w:color w:val="0071BC"/>
                        </w:rPr>
                        <w:t>Plzeň</w:t>
                      </w:r>
                      <w:r>
                        <w:t xml:space="preserve"> | Slovanská alej 36, 326 64 Plzeň | tel.: 377 612 108, 377 612 249</w:t>
                      </w:r>
                    </w:p>
                    <w:p w:rsidR="00216072" w:rsidRPr="00B27293" w:rsidRDefault="00216072" w:rsidP="00BD366B">
                      <w:pPr>
                        <w:spacing w:line="240" w:lineRule="auto"/>
                      </w:pPr>
                      <w:r>
                        <w:t xml:space="preserve">e-mail: infoservisplzen@czso.cz | </w:t>
                      </w:r>
                      <w:r w:rsidRPr="0071229A">
                        <w:rPr>
                          <w:b/>
                        </w:rPr>
                        <w:t>www.plzen.czso.cz</w:t>
                      </w:r>
                    </w:p>
                    <w:p w:rsidR="00216072" w:rsidRDefault="00216072" w:rsidP="00BD366B">
                      <w:pPr>
                        <w:spacing w:line="240" w:lineRule="auto"/>
                      </w:pPr>
                    </w:p>
                    <w:p w:rsidR="00216072" w:rsidRPr="00B27293" w:rsidRDefault="00216072" w:rsidP="00BD366B">
                      <w:pPr>
                        <w:spacing w:line="240" w:lineRule="auto"/>
                        <w:rPr>
                          <w:b/>
                          <w:color w:val="0071BC"/>
                        </w:rPr>
                      </w:pPr>
                      <w:r w:rsidRPr="0071229A">
                        <w:rPr>
                          <w:b/>
                          <w:color w:val="0071BC"/>
                        </w:rPr>
                        <w:t>Karlovy Vary</w:t>
                      </w:r>
                      <w:r>
                        <w:t xml:space="preserve"> | Sportovní 28, 360 01 Karlovy Vary | tel.: 353 114 529, 353 114 525</w:t>
                      </w:r>
                    </w:p>
                    <w:p w:rsidR="00216072" w:rsidRDefault="00216072" w:rsidP="00BD366B">
                      <w:pPr>
                        <w:spacing w:line="240" w:lineRule="auto"/>
                        <w:rPr>
                          <w:b/>
                        </w:rPr>
                      </w:pPr>
                      <w:r>
                        <w:t xml:space="preserve">e-mail: infoserviskv@czso.cz | </w:t>
                      </w:r>
                      <w:r>
                        <w:rPr>
                          <w:b/>
                        </w:rPr>
                        <w:t>www.kvary.czso.cz</w:t>
                      </w:r>
                    </w:p>
                    <w:p w:rsidR="00216072" w:rsidRDefault="00216072" w:rsidP="00BD366B">
                      <w:pPr>
                        <w:spacing w:line="240" w:lineRule="auto"/>
                      </w:pPr>
                    </w:p>
                    <w:p w:rsidR="00216072" w:rsidRPr="00B27293" w:rsidRDefault="00216072" w:rsidP="00BD366B">
                      <w:pPr>
                        <w:spacing w:line="240" w:lineRule="auto"/>
                        <w:rPr>
                          <w:b/>
                          <w:bCs/>
                          <w:color w:val="0071BC"/>
                        </w:rPr>
                      </w:pPr>
                      <w:r w:rsidRPr="0071229A">
                        <w:rPr>
                          <w:b/>
                          <w:bCs/>
                          <w:color w:val="0071BC"/>
                        </w:rPr>
                        <w:t>Ústí nad Labem</w:t>
                      </w:r>
                      <w:r>
                        <w:t xml:space="preserve"> | </w:t>
                      </w:r>
                      <w:r w:rsidRPr="0071229A">
                        <w:rPr>
                          <w:bCs/>
                        </w:rPr>
                        <w:t>Špálova 2684, 400 11 Ústí nad Labem</w:t>
                      </w:r>
                      <w:r>
                        <w:t xml:space="preserve"> | </w:t>
                      </w:r>
                      <w:r w:rsidRPr="0071229A">
                        <w:rPr>
                          <w:bCs/>
                        </w:rPr>
                        <w:t>tel.: 472 706 176, 472 706 121</w:t>
                      </w:r>
                    </w:p>
                    <w:p w:rsidR="00216072" w:rsidRPr="00B27293" w:rsidRDefault="00216072" w:rsidP="00BD366B">
                      <w:pPr>
                        <w:spacing w:line="240" w:lineRule="auto"/>
                        <w:rPr>
                          <w:bCs/>
                        </w:rPr>
                      </w:pPr>
                      <w:r w:rsidRPr="0071229A">
                        <w:rPr>
                          <w:bCs/>
                        </w:rPr>
                        <w:t>e-mail: infoservisul@czso.cz</w:t>
                      </w:r>
                      <w:r>
                        <w:t xml:space="preserve"> | </w:t>
                      </w:r>
                      <w:r w:rsidRPr="0071229A">
                        <w:rPr>
                          <w:b/>
                          <w:bCs/>
                        </w:rPr>
                        <w:t>www.ustinadlabem.czso.cz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216072" w:rsidRPr="00B27293" w:rsidRDefault="00216072" w:rsidP="00BD366B">
                      <w:pPr>
                        <w:spacing w:line="240" w:lineRule="auto"/>
                        <w:rPr>
                          <w:bCs/>
                        </w:rPr>
                      </w:pPr>
                      <w:r w:rsidRPr="0071229A">
                        <w:rPr>
                          <w:bCs/>
                        </w:rPr>
                        <w:t>e-mail: infoservislbc@czso.cz</w:t>
                      </w:r>
                      <w:r>
                        <w:t xml:space="preserve"> | </w:t>
                      </w:r>
                      <w:r w:rsidRPr="0071229A">
                        <w:rPr>
                          <w:b/>
                          <w:bCs/>
                        </w:rPr>
                        <w:t>www.liberec.czso.cz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216072" w:rsidRPr="00B27293" w:rsidRDefault="00216072" w:rsidP="00BD366B">
                      <w:pPr>
                        <w:spacing w:line="240" w:lineRule="auto"/>
                        <w:rPr>
                          <w:bCs/>
                        </w:rPr>
                      </w:pPr>
                      <w:r w:rsidRPr="0071229A">
                        <w:rPr>
                          <w:bCs/>
                        </w:rPr>
                        <w:t>e-mail: infoservishk@czso.cz</w:t>
                      </w:r>
                      <w:r>
                        <w:t xml:space="preserve"> | </w:t>
                      </w:r>
                      <w:r w:rsidRPr="0071229A">
                        <w:rPr>
                          <w:b/>
                          <w:bCs/>
                        </w:rPr>
                        <w:t>www.hradeckralove.czso.cz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216072" w:rsidRPr="00B27293" w:rsidRDefault="00216072" w:rsidP="00BD366B">
                      <w:pPr>
                        <w:spacing w:line="240" w:lineRule="auto"/>
                        <w:rPr>
                          <w:bCs/>
                        </w:rPr>
                      </w:pPr>
                      <w:r w:rsidRPr="0071229A">
                        <w:rPr>
                          <w:bCs/>
                        </w:rPr>
                        <w:t>e-mail: infoservispa@czso.cz</w:t>
                      </w:r>
                      <w:r>
                        <w:t xml:space="preserve"> | </w:t>
                      </w:r>
                      <w:r w:rsidRPr="0071229A">
                        <w:rPr>
                          <w:b/>
                          <w:bCs/>
                        </w:rPr>
                        <w:t>www.pardubice.czso.cz</w:t>
                      </w:r>
                    </w:p>
                    <w:p w:rsidR="00216072" w:rsidRPr="0071229A" w:rsidRDefault="00216072" w:rsidP="00BD366B">
                      <w:pPr>
                        <w:spacing w:line="240" w:lineRule="auto"/>
                        <w:rPr>
                          <w:bCs/>
                        </w:rPr>
                      </w:pPr>
                    </w:p>
                    <w:p w:rsidR="00216072" w:rsidRPr="00B27293" w:rsidRDefault="00216072"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216072" w:rsidRPr="00B27293" w:rsidRDefault="00216072" w:rsidP="00BD366B">
                      <w:pPr>
                        <w:spacing w:line="240" w:lineRule="auto"/>
                        <w:rPr>
                          <w:bCs/>
                        </w:rPr>
                      </w:pPr>
                      <w:r w:rsidRPr="0071229A">
                        <w:rPr>
                          <w:bCs/>
                        </w:rPr>
                        <w:t>e-mail: infoservisvys@czso.cz</w:t>
                      </w:r>
                      <w:r>
                        <w:t xml:space="preserve"> | </w:t>
                      </w:r>
                      <w:r w:rsidRPr="0071229A">
                        <w:rPr>
                          <w:b/>
                          <w:bCs/>
                        </w:rPr>
                        <w:t>www.jihlava.czso.cz</w:t>
                      </w:r>
                    </w:p>
                    <w:p w:rsidR="00216072" w:rsidRPr="0071229A" w:rsidRDefault="00216072" w:rsidP="00BD366B">
                      <w:pPr>
                        <w:spacing w:line="240" w:lineRule="auto"/>
                        <w:rPr>
                          <w:bCs/>
                        </w:rPr>
                      </w:pPr>
                    </w:p>
                    <w:p w:rsidR="00216072" w:rsidRPr="00B27293" w:rsidRDefault="00216072"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216072" w:rsidRPr="00B27293" w:rsidRDefault="00216072" w:rsidP="00BD366B">
                      <w:pPr>
                        <w:spacing w:line="240" w:lineRule="auto"/>
                        <w:rPr>
                          <w:bCs/>
                        </w:rPr>
                      </w:pPr>
                      <w:r w:rsidRPr="0071229A">
                        <w:rPr>
                          <w:bCs/>
                        </w:rPr>
                        <w:t>e-mail: infoservisbrno@czso.cz</w:t>
                      </w:r>
                      <w:r>
                        <w:t xml:space="preserve"> | </w:t>
                      </w:r>
                      <w:r w:rsidRPr="0071229A">
                        <w:rPr>
                          <w:b/>
                          <w:bCs/>
                        </w:rPr>
                        <w:t>www.brno.czso.cz</w:t>
                      </w:r>
                    </w:p>
                    <w:p w:rsidR="00216072" w:rsidRPr="0071229A" w:rsidRDefault="00216072" w:rsidP="00BD366B">
                      <w:pPr>
                        <w:spacing w:line="240" w:lineRule="auto"/>
                        <w:rPr>
                          <w:bCs/>
                        </w:rPr>
                      </w:pPr>
                    </w:p>
                    <w:p w:rsidR="00216072" w:rsidRPr="00B27293" w:rsidRDefault="00216072" w:rsidP="00BD366B">
                      <w:pPr>
                        <w:spacing w:line="240" w:lineRule="auto"/>
                        <w:rPr>
                          <w:b/>
                          <w:bCs/>
                        </w:rPr>
                      </w:pPr>
                      <w:r w:rsidRPr="0071229A">
                        <w:rPr>
                          <w:b/>
                          <w:bCs/>
                          <w:color w:val="0071BC"/>
                        </w:rPr>
                        <w:t>Olomouc</w:t>
                      </w:r>
                      <w:r>
                        <w:t xml:space="preserve"> | </w:t>
                      </w:r>
                      <w:r w:rsidRPr="0071229A">
                        <w:rPr>
                          <w:bCs/>
                        </w:rPr>
                        <w:t>Jeremenkova 1142/42, 772 11 Olomouc</w:t>
                      </w:r>
                      <w:r>
                        <w:t xml:space="preserve"> | </w:t>
                      </w:r>
                      <w:r w:rsidRPr="0071229A">
                        <w:rPr>
                          <w:bCs/>
                        </w:rPr>
                        <w:t>tel.: 585 731 516, 585 731 509</w:t>
                      </w:r>
                    </w:p>
                    <w:p w:rsidR="00216072" w:rsidRPr="00B27293" w:rsidRDefault="00216072" w:rsidP="00BD366B">
                      <w:pPr>
                        <w:spacing w:line="240" w:lineRule="auto"/>
                        <w:rPr>
                          <w:bCs/>
                        </w:rPr>
                      </w:pPr>
                      <w:r w:rsidRPr="0071229A">
                        <w:rPr>
                          <w:bCs/>
                        </w:rPr>
                        <w:t>e-mail: infoservisolom@czso.cz</w:t>
                      </w:r>
                      <w:r>
                        <w:t xml:space="preserve"> | </w:t>
                      </w:r>
                      <w:r w:rsidRPr="0071229A">
                        <w:rPr>
                          <w:b/>
                          <w:bCs/>
                        </w:rPr>
                        <w:t>www.olomouc.czso.cz</w:t>
                      </w:r>
                    </w:p>
                    <w:p w:rsidR="00216072" w:rsidRPr="0071229A" w:rsidRDefault="00216072" w:rsidP="00BD366B">
                      <w:pPr>
                        <w:spacing w:line="240" w:lineRule="auto"/>
                        <w:rPr>
                          <w:bCs/>
                        </w:rPr>
                      </w:pPr>
                    </w:p>
                    <w:p w:rsidR="00216072" w:rsidRPr="00B27293" w:rsidRDefault="00216072" w:rsidP="00BD366B">
                      <w:pPr>
                        <w:spacing w:line="240" w:lineRule="auto"/>
                        <w:rPr>
                          <w:b/>
                          <w:bCs/>
                        </w:rPr>
                      </w:pPr>
                      <w:r w:rsidRPr="0071229A">
                        <w:rPr>
                          <w:b/>
                          <w:bCs/>
                          <w:color w:val="0071BC"/>
                        </w:rPr>
                        <w:t>Ostrava</w:t>
                      </w:r>
                      <w:r>
                        <w:t xml:space="preserve"> | </w:t>
                      </w:r>
                      <w:r w:rsidRPr="0071229A">
                        <w:rPr>
                          <w:bCs/>
                        </w:rPr>
                        <w:t>Repinova 17, 702 03 Ostrava</w:t>
                      </w:r>
                      <w:r>
                        <w:t xml:space="preserve"> | </w:t>
                      </w:r>
                      <w:r w:rsidRPr="0071229A">
                        <w:rPr>
                          <w:bCs/>
                        </w:rPr>
                        <w:t>tel.: 595 131 230, 595 131 232</w:t>
                      </w:r>
                    </w:p>
                    <w:p w:rsidR="00216072" w:rsidRPr="00B27293" w:rsidRDefault="00216072" w:rsidP="00BD366B">
                      <w:pPr>
                        <w:spacing w:line="240" w:lineRule="auto"/>
                        <w:rPr>
                          <w:bCs/>
                        </w:rPr>
                      </w:pPr>
                      <w:r w:rsidRPr="0071229A">
                        <w:rPr>
                          <w:bCs/>
                        </w:rPr>
                        <w:t>e-mail: infoservis_ov@czso.cz</w:t>
                      </w:r>
                      <w:r>
                        <w:t xml:space="preserve"> | </w:t>
                      </w:r>
                      <w:r w:rsidRPr="0071229A">
                        <w:rPr>
                          <w:b/>
                          <w:bCs/>
                        </w:rPr>
                        <w:t>www.ostrava.czso.cz</w:t>
                      </w:r>
                    </w:p>
                    <w:p w:rsidR="00216072" w:rsidRPr="0071229A" w:rsidRDefault="00216072" w:rsidP="00BD366B">
                      <w:pPr>
                        <w:spacing w:line="240" w:lineRule="auto"/>
                        <w:rPr>
                          <w:bCs/>
                        </w:rPr>
                      </w:pPr>
                    </w:p>
                    <w:p w:rsidR="00216072" w:rsidRPr="0071229A" w:rsidRDefault="00216072"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216072" w:rsidRPr="00B27293" w:rsidRDefault="00216072" w:rsidP="00BD366B">
                      <w:pPr>
                        <w:spacing w:line="240" w:lineRule="auto"/>
                        <w:rPr>
                          <w:bCs/>
                        </w:rPr>
                      </w:pPr>
                      <w:r w:rsidRPr="0071229A">
                        <w:rPr>
                          <w:bCs/>
                        </w:rPr>
                        <w:t>e-mail: infoservis-zl@czso.cz</w:t>
                      </w:r>
                      <w:r>
                        <w:t xml:space="preserve"> | </w:t>
                      </w:r>
                      <w:r w:rsidRPr="0071229A">
                        <w:rPr>
                          <w:b/>
                          <w:bCs/>
                        </w:rPr>
                        <w:t>www.zlin.czso.cz</w:t>
                      </w:r>
                    </w:p>
                    <w:p w:rsidR="00216072" w:rsidRPr="00B27293" w:rsidRDefault="00216072" w:rsidP="00BD366B">
                      <w:pPr>
                        <w:spacing w:line="240" w:lineRule="auto"/>
                      </w:pPr>
                    </w:p>
                  </w:txbxContent>
                </v:textbox>
                <w10:wrap anchorx="page" anchory="page"/>
                <w10:anchorlock/>
              </v:shape>
            </w:pict>
          </mc:Fallback>
        </mc:AlternateContent>
      </w:r>
      <w:r>
        <w:rPr>
          <w:noProof/>
          <w:lang w:eastAsia="cs-CZ"/>
        </w:rPr>
        <mc:AlternateContent>
          <mc:Choice Requires="wps">
            <w:drawing>
              <wp:anchor distT="0" distB="0" distL="114300" distR="114300" simplePos="0" relativeHeight="251653632" behindDoc="0" locked="1" layoutInCell="1" allowOverlap="1">
                <wp:simplePos x="0" y="0"/>
                <wp:positionH relativeFrom="page">
                  <wp:posOffset>720090</wp:posOffset>
                </wp:positionH>
                <wp:positionV relativeFrom="page">
                  <wp:posOffset>720090</wp:posOffset>
                </wp:positionV>
                <wp:extent cx="6119495" cy="420370"/>
                <wp:effectExtent l="0" t="0" r="14605" b="17780"/>
                <wp:wrapNone/>
                <wp:docPr id="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Pr="00B95F50" w:rsidRDefault="00216072" w:rsidP="0060487F">
                            <w:pPr>
                              <w:rPr>
                                <w:b/>
                                <w:bCs/>
                                <w:sz w:val="24"/>
                              </w:rPr>
                            </w:pPr>
                            <w:r w:rsidRPr="00B95F50">
                              <w:rPr>
                                <w:b/>
                                <w:color w:val="0071BC"/>
                                <w:sz w:val="24"/>
                              </w:rPr>
                              <w:t xml:space="preserve">Zajímají Vás nejnovější údaje o inflaci, HDP, obyvatelstvu, průměrných mzdách a mnohé další? Najdete je na stránkách ČSÚ na internetu: </w:t>
                            </w:r>
                            <w:r w:rsidRPr="00B95F50">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7pt;margin-top:56.7pt;width:481.85pt;height:33.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" filled="f" stroked="f">
                <v:textbox style="mso-fit-shape-to-text:t" inset="0,0,0,0">
                  <w:txbxContent>
                    <w:p w:rsidR="00216072" w:rsidRPr="00B95F50" w:rsidRDefault="00216072" w:rsidP="0060487F">
                      <w:pPr>
                        <w:rPr>
                          <w:b/>
                          <w:bCs/>
                          <w:sz w:val="24"/>
                        </w:rPr>
                      </w:pPr>
                      <w:r w:rsidRPr="00B95F50">
                        <w:rPr>
                          <w:b/>
                          <w:color w:val="0071BC"/>
                          <w:sz w:val="24"/>
                        </w:rPr>
                        <w:t xml:space="preserve">Zajímají Vás nejnovější údaje o inflaci, HDP, obyvatelstvu, průměrných mzdách a mnohé další? Najdete je na stránkách ČSÚ na internetu: </w:t>
                      </w:r>
                      <w:r w:rsidRPr="00B95F50">
                        <w:rPr>
                          <w:b/>
                          <w:bCs/>
                          <w:sz w:val="24"/>
                        </w:rPr>
                        <w:t>www.czso.cz</w:t>
                      </w:r>
                    </w:p>
                  </w:txbxContent>
                </v:textbox>
                <w10:wrap anchorx="page" anchory="page"/>
                <w10:anchorlock/>
              </v:shape>
            </w:pict>
          </mc:Fallback>
        </mc:AlternateContent>
      </w:r>
      <w:r>
        <w:rPr>
          <w:noProof/>
          <w:lang w:eastAsia="cs-CZ"/>
        </w:rPr>
        <mc:AlternateContent>
          <mc:Choice Requires="wps">
            <w:drawing>
              <wp:anchor distT="0" distB="0" distL="114300" distR="114300" simplePos="0" relativeHeight="251654656" behindDoc="0" locked="1" layoutInCell="1" allowOverlap="1">
                <wp:simplePos x="0" y="0"/>
                <wp:positionH relativeFrom="page">
                  <wp:posOffset>715645</wp:posOffset>
                </wp:positionH>
                <wp:positionV relativeFrom="page">
                  <wp:posOffset>9486900</wp:posOffset>
                </wp:positionV>
                <wp:extent cx="6120130" cy="360045"/>
                <wp:effectExtent l="0" t="0" r="13970" b="1905"/>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072" w:rsidRPr="00AF2852" w:rsidRDefault="00216072" w:rsidP="004F06F5">
                            <w:r w:rsidRPr="00841D9F">
                              <w:t>© Český sta</w:t>
                            </w:r>
                            <w:r>
                              <w:t>tistický úřad, Praha, 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35pt;margin-top:747pt;width:481.9pt;height:28.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" filled="f" stroked="f">
                <v:textbox inset="0,0,0,0">
                  <w:txbxContent>
                    <w:p w:rsidR="00216072" w:rsidRPr="00AF2852" w:rsidRDefault="00216072" w:rsidP="004F06F5">
                      <w:r w:rsidRPr="00841D9F">
                        <w:t>© Český sta</w:t>
                      </w:r>
                      <w:r>
                        <w:t>tistický úřad, Praha, 2018</w:t>
                      </w:r>
                    </w:p>
                  </w:txbxContent>
                </v:textbox>
                <w10:wrap anchorx="page" anchory="page"/>
                <w10:anchorlock/>
              </v:shape>
            </w:pict>
          </mc:Fallback>
        </mc:AlternateContent>
      </w:r>
    </w:p>
    <w:p w:rsidR="00A75E40" w:rsidRPr="0060487F" w:rsidRDefault="00A75E40">
      <w:pPr>
        <w:rPr>
          <w:rFonts w:eastAsia="Calibri" w:cs="Arial"/>
          <w:b/>
          <w:color w:val="A5007B"/>
          <w:sz w:val="32"/>
          <w:szCs w:val="32"/>
        </w:rPr>
        <w:sectPr w:rsidR="00A75E40" w:rsidRPr="0060487F" w:rsidSect="001A3B66">
          <w:pgSz w:w="11906" w:h="16838" w:code="9"/>
          <w:pgMar w:top="1134" w:right="1134" w:bottom="1418" w:left="1134" w:header="709" w:footer="709" w:gutter="0"/>
          <w:pgNumType w:start="1"/>
          <w:cols w:space="708"/>
          <w:docGrid w:linePitch="360"/>
        </w:sectPr>
      </w:pPr>
    </w:p>
    <w:p w:rsidR="0058445D" w:rsidRDefault="0058445D" w:rsidP="0058445D">
      <w:pPr>
        <w:pStyle w:val="TL-Kontakty"/>
      </w:pPr>
      <w:r>
        <w:lastRenderedPageBreak/>
        <w:t>Obsah</w:t>
      </w:r>
    </w:p>
    <w:tbl>
      <w:tblPr>
        <w:tblpPr w:leftFromText="180" w:rightFromText="180" w:vertAnchor="text" w:tblpY="1"/>
        <w:tblOverlap w:val="never"/>
        <w:tblW w:w="8684" w:type="dxa"/>
        <w:tblInd w:w="55" w:type="dxa"/>
        <w:tblCellMar>
          <w:left w:w="70" w:type="dxa"/>
          <w:right w:w="70" w:type="dxa"/>
        </w:tblCellMar>
        <w:tblLook w:val="04A0" w:firstRow="1" w:lastRow="0" w:firstColumn="1" w:lastColumn="0" w:noHBand="0" w:noVBand="1"/>
      </w:tblPr>
      <w:tblGrid>
        <w:gridCol w:w="8321"/>
        <w:gridCol w:w="363"/>
      </w:tblGrid>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1. Úvod………………………………………………………………………………………………</w:t>
            </w:r>
            <w:r w:rsidR="00FA499A">
              <w:rPr>
                <w:rFonts w:cs="Arial"/>
                <w:b/>
                <w:color w:val="000000"/>
                <w:szCs w:val="20"/>
              </w:rPr>
              <w:t>….</w:t>
            </w:r>
          </w:p>
        </w:tc>
        <w:tc>
          <w:tcPr>
            <w:tcW w:w="363"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4</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3452B6" w:rsidRDefault="0058445D" w:rsidP="00290F1C">
            <w:pPr>
              <w:spacing w:line="240" w:lineRule="auto"/>
              <w:rPr>
                <w:rFonts w:cs="Arial"/>
                <w:szCs w:val="20"/>
              </w:rPr>
            </w:pPr>
            <w:r w:rsidRPr="003452B6">
              <w:rPr>
                <w:rFonts w:cs="Arial"/>
                <w:szCs w:val="20"/>
              </w:rPr>
              <w:t xml:space="preserve">          1.1 Trojstranný pohled </w:t>
            </w:r>
            <w:r w:rsidR="00747BB9" w:rsidRPr="003452B6">
              <w:rPr>
                <w:rFonts w:cs="Arial"/>
                <w:szCs w:val="20"/>
              </w:rPr>
              <w:t>na výdaje na zdravotní péči</w:t>
            </w:r>
            <w:r w:rsidRPr="003452B6">
              <w:rPr>
                <w:rFonts w:cs="Arial"/>
                <w:szCs w:val="20"/>
              </w:rPr>
              <w:t>….…………………………………</w:t>
            </w:r>
            <w:r w:rsidR="00FA499A">
              <w:rPr>
                <w:rFonts w:cs="Arial"/>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D96D99">
              <w:rPr>
                <w:rFonts w:cs="Arial"/>
                <w:color w:val="000000"/>
                <w:szCs w:val="20"/>
              </w:rPr>
              <w:t>4</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3452B6" w:rsidRDefault="0058445D" w:rsidP="00290F1C">
            <w:pPr>
              <w:spacing w:line="240" w:lineRule="auto"/>
              <w:rPr>
                <w:rFonts w:cs="Arial"/>
                <w:szCs w:val="20"/>
              </w:rPr>
            </w:pPr>
            <w:r w:rsidRPr="003452B6">
              <w:rPr>
                <w:rFonts w:cs="Arial"/>
                <w:szCs w:val="20"/>
              </w:rPr>
              <w:t xml:space="preserve">          1.2 Nová mezinárodní metodika </w:t>
            </w:r>
            <w:r w:rsidR="0098715D" w:rsidRPr="003452B6">
              <w:rPr>
                <w:rFonts w:cs="Arial"/>
                <w:szCs w:val="20"/>
              </w:rPr>
              <w:t>SHA 2011</w:t>
            </w:r>
            <w:r w:rsidRPr="003452B6">
              <w:rPr>
                <w:rFonts w:cs="Arial"/>
                <w:szCs w:val="20"/>
              </w:rPr>
              <w:t>…</w:t>
            </w:r>
            <w:r w:rsidR="0098715D" w:rsidRPr="003452B6">
              <w:rPr>
                <w:rFonts w:cs="Arial"/>
                <w:szCs w:val="20"/>
              </w:rPr>
              <w:t>………………………..</w:t>
            </w:r>
            <w:r w:rsidRPr="003452B6">
              <w:rPr>
                <w:rFonts w:cs="Arial"/>
                <w:szCs w:val="20"/>
              </w:rPr>
              <w:t>…….……………</w:t>
            </w:r>
            <w:r w:rsidR="00FA499A">
              <w:rPr>
                <w:rFonts w:cs="Arial"/>
                <w:szCs w:val="20"/>
              </w:rPr>
              <w:t>…</w:t>
            </w:r>
            <w:r w:rsidRPr="003452B6">
              <w:rPr>
                <w:rFonts w:cs="Arial"/>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D96D99">
              <w:rPr>
                <w:rFonts w:cs="Arial"/>
                <w:color w:val="000000"/>
                <w:szCs w:val="20"/>
              </w:rPr>
              <w:t>4</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1.3 Zdravotnické účty jako součást zdravotnických informací</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D96D99">
              <w:rPr>
                <w:rFonts w:cs="Arial"/>
                <w:color w:val="000000"/>
                <w:szCs w:val="20"/>
              </w:rPr>
              <w:t>5</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1.4 Co přinášejí další stránky publikace</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D96D99">
              <w:rPr>
                <w:rFonts w:cs="Arial"/>
                <w:color w:val="000000"/>
                <w:szCs w:val="20"/>
              </w:rPr>
              <w:t>5</w:t>
            </w:r>
          </w:p>
        </w:tc>
      </w:tr>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2. Souhrnné výsledky zdravotnických účtů……………………………………………………</w:t>
            </w:r>
            <w:r w:rsidR="00C274E0">
              <w:rPr>
                <w:rFonts w:cs="Arial"/>
                <w:b/>
                <w:color w:val="000000"/>
                <w:szCs w:val="20"/>
              </w:rPr>
              <w:t>..</w:t>
            </w:r>
          </w:p>
        </w:tc>
        <w:tc>
          <w:tcPr>
            <w:tcW w:w="363"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6</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 xml:space="preserve">2.1 </w:t>
            </w:r>
            <w:r w:rsidR="003452B6">
              <w:rPr>
                <w:rFonts w:cs="Arial"/>
                <w:color w:val="000000"/>
                <w:szCs w:val="20"/>
              </w:rPr>
              <w:t>Celkové výdaje na zdravotní péči - z</w:t>
            </w:r>
            <w:r w:rsidRPr="00D96D99">
              <w:rPr>
                <w:rFonts w:cs="Arial"/>
                <w:color w:val="000000"/>
                <w:szCs w:val="20"/>
              </w:rPr>
              <w:t>ákladní údaje</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D96D99">
              <w:rPr>
                <w:rFonts w:cs="Arial"/>
                <w:color w:val="000000"/>
                <w:szCs w:val="20"/>
              </w:rPr>
              <w:t>6</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2.2 Výdaje na zdravotní péči dle zdrojů financování</w:t>
            </w:r>
            <w:r>
              <w:rPr>
                <w:rFonts w:cs="Arial"/>
                <w:color w:val="000000"/>
                <w:szCs w:val="20"/>
              </w:rPr>
              <w:t>……………………………………</w:t>
            </w:r>
            <w:r w:rsidR="00FA499A">
              <w:rPr>
                <w:rFonts w:cs="Arial"/>
                <w:color w:val="000000"/>
                <w:szCs w:val="20"/>
              </w:rPr>
              <w:t>…</w:t>
            </w:r>
            <w:r>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290F1C" w:rsidP="00290F1C">
            <w:pPr>
              <w:spacing w:line="240" w:lineRule="auto"/>
              <w:rPr>
                <w:rFonts w:cs="Arial"/>
                <w:color w:val="000000"/>
                <w:szCs w:val="20"/>
              </w:rPr>
            </w:pPr>
            <w:r>
              <w:rPr>
                <w:rFonts w:cs="Arial"/>
                <w:color w:val="000000"/>
                <w:szCs w:val="20"/>
              </w:rPr>
              <w:t>7</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2.3 Výdaje na zdravotnictví podle druhů péče</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D96D99">
              <w:rPr>
                <w:rFonts w:cs="Arial"/>
                <w:color w:val="000000"/>
                <w:szCs w:val="20"/>
              </w:rPr>
              <w:t>1</w:t>
            </w:r>
            <w:r w:rsidR="00290F1C">
              <w:rPr>
                <w:rFonts w:cs="Arial"/>
                <w:color w:val="000000"/>
                <w:szCs w:val="20"/>
              </w:rPr>
              <w:t>2</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2.4 Výdaje na zdravotní péči podle typu poskytovatele</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1</w:t>
            </w:r>
            <w:r w:rsidR="00FA499A">
              <w:rPr>
                <w:rFonts w:cs="Arial"/>
                <w:color w:val="000000"/>
                <w:szCs w:val="20"/>
              </w:rPr>
              <w:t>9</w:t>
            </w:r>
          </w:p>
        </w:tc>
      </w:tr>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3. Specifické výsledky o výdajích na zdravotní péči…………………………………………..</w:t>
            </w:r>
          </w:p>
        </w:tc>
        <w:tc>
          <w:tcPr>
            <w:tcW w:w="363" w:type="dxa"/>
            <w:tcBorders>
              <w:top w:val="nil"/>
              <w:left w:val="nil"/>
              <w:bottom w:val="nil"/>
              <w:right w:val="nil"/>
            </w:tcBorders>
            <w:shd w:val="clear" w:color="auto" w:fill="auto"/>
            <w:noWrap/>
            <w:vAlign w:val="bottom"/>
            <w:hideMark/>
          </w:tcPr>
          <w:p w:rsidR="0058445D" w:rsidRPr="00290F1C" w:rsidRDefault="00930E84" w:rsidP="00FA499A">
            <w:pPr>
              <w:spacing w:before="120" w:after="60" w:line="240" w:lineRule="auto"/>
              <w:rPr>
                <w:rFonts w:cs="Arial"/>
                <w:b/>
                <w:color w:val="000000"/>
                <w:szCs w:val="20"/>
              </w:rPr>
            </w:pPr>
            <w:r w:rsidRPr="00290F1C">
              <w:rPr>
                <w:rFonts w:cs="Arial"/>
                <w:b/>
                <w:color w:val="000000"/>
                <w:szCs w:val="20"/>
              </w:rPr>
              <w:t>2</w:t>
            </w:r>
            <w:r w:rsidR="00FA499A">
              <w:rPr>
                <w:rFonts w:cs="Arial"/>
                <w:b/>
                <w:color w:val="000000"/>
                <w:szCs w:val="20"/>
              </w:rPr>
              <w:t>2</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00FA499A">
              <w:rPr>
                <w:rFonts w:cs="Arial"/>
                <w:color w:val="000000"/>
                <w:szCs w:val="20"/>
              </w:rPr>
              <w:t xml:space="preserve"> </w:t>
            </w:r>
            <w:r w:rsidRPr="00D96D99">
              <w:rPr>
                <w:rFonts w:cs="Arial"/>
                <w:color w:val="000000"/>
                <w:szCs w:val="20"/>
              </w:rPr>
              <w:t>3.1 Výdaje zdravotních pojišťoven</w:t>
            </w:r>
            <w:r>
              <w:rPr>
                <w:rFonts w:cs="Arial"/>
                <w:color w:val="000000"/>
                <w:szCs w:val="20"/>
              </w:rPr>
              <w:t>………………………………………………………</w:t>
            </w:r>
            <w:r w:rsidR="00FA499A">
              <w:rPr>
                <w:rFonts w:cs="Arial"/>
                <w:color w:val="000000"/>
                <w:szCs w:val="20"/>
              </w:rPr>
              <w:t>..</w:t>
            </w:r>
            <w:r>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930E84" w:rsidP="00FA499A">
            <w:pPr>
              <w:spacing w:line="240" w:lineRule="auto"/>
              <w:rPr>
                <w:rFonts w:cs="Arial"/>
                <w:color w:val="000000"/>
                <w:szCs w:val="20"/>
              </w:rPr>
            </w:pPr>
            <w:r>
              <w:rPr>
                <w:rFonts w:cs="Arial"/>
                <w:color w:val="000000"/>
                <w:szCs w:val="20"/>
              </w:rPr>
              <w:t>2</w:t>
            </w:r>
            <w:r w:rsidR="00FA499A">
              <w:rPr>
                <w:rFonts w:cs="Arial"/>
                <w:color w:val="000000"/>
                <w:szCs w:val="20"/>
              </w:rPr>
              <w:t>2</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 xml:space="preserve">3.1.1. </w:t>
            </w:r>
            <w:r w:rsidR="00930E84">
              <w:rPr>
                <w:rFonts w:cs="Arial"/>
                <w:color w:val="000000"/>
                <w:szCs w:val="20"/>
              </w:rPr>
              <w:t>Celkové výdaje zdravotních pojišťoven</w:t>
            </w:r>
            <w:r>
              <w:rPr>
                <w:rFonts w:cs="Arial"/>
                <w:color w:val="000000"/>
                <w:szCs w:val="20"/>
              </w:rPr>
              <w:t>………………………………………</w:t>
            </w:r>
            <w:r w:rsidR="00FA499A">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930E84" w:rsidP="00FA499A">
            <w:pPr>
              <w:spacing w:line="240" w:lineRule="auto"/>
              <w:rPr>
                <w:rFonts w:cs="Arial"/>
                <w:color w:val="000000"/>
                <w:szCs w:val="20"/>
              </w:rPr>
            </w:pPr>
            <w:r>
              <w:rPr>
                <w:rFonts w:cs="Arial"/>
                <w:color w:val="000000"/>
                <w:szCs w:val="20"/>
              </w:rPr>
              <w:t>2</w:t>
            </w:r>
            <w:r w:rsidR="00FA499A">
              <w:rPr>
                <w:rFonts w:cs="Arial"/>
                <w:color w:val="000000"/>
                <w:szCs w:val="20"/>
              </w:rPr>
              <w:t>2</w:t>
            </w:r>
          </w:p>
        </w:tc>
      </w:tr>
      <w:tr w:rsidR="00290F1C" w:rsidRPr="00D96D99" w:rsidTr="00290F1C">
        <w:trPr>
          <w:trHeight w:val="303"/>
        </w:trPr>
        <w:tc>
          <w:tcPr>
            <w:tcW w:w="8321" w:type="dxa"/>
            <w:tcBorders>
              <w:top w:val="nil"/>
              <w:left w:val="nil"/>
              <w:bottom w:val="nil"/>
              <w:right w:val="nil"/>
            </w:tcBorders>
            <w:shd w:val="clear" w:color="auto" w:fill="auto"/>
            <w:noWrap/>
            <w:vAlign w:val="bottom"/>
            <w:hideMark/>
          </w:tcPr>
          <w:p w:rsidR="00290F1C" w:rsidRPr="00D96D99" w:rsidRDefault="00290F1C"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3.1.</w:t>
            </w:r>
            <w:r>
              <w:rPr>
                <w:rFonts w:cs="Arial"/>
                <w:color w:val="000000"/>
                <w:szCs w:val="20"/>
              </w:rPr>
              <w:t>2</w:t>
            </w:r>
            <w:r w:rsidRPr="00D96D99">
              <w:rPr>
                <w:rFonts w:cs="Arial"/>
                <w:color w:val="000000"/>
                <w:szCs w:val="20"/>
              </w:rPr>
              <w:t xml:space="preserve">. </w:t>
            </w:r>
            <w:r>
              <w:t xml:space="preserve"> </w:t>
            </w:r>
            <w:r w:rsidRPr="00290F1C">
              <w:rPr>
                <w:rFonts w:cs="Arial"/>
                <w:color w:val="000000"/>
                <w:szCs w:val="20"/>
              </w:rPr>
              <w:t>Výdaje zdravotních pojišťoven podle diagnóz MKN-10</w:t>
            </w:r>
            <w:r>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290F1C" w:rsidRPr="00D96D99" w:rsidRDefault="00290F1C" w:rsidP="00FA499A">
            <w:pPr>
              <w:spacing w:line="240" w:lineRule="auto"/>
              <w:rPr>
                <w:rFonts w:cs="Arial"/>
                <w:color w:val="000000"/>
                <w:szCs w:val="20"/>
              </w:rPr>
            </w:pPr>
            <w:r>
              <w:rPr>
                <w:rFonts w:cs="Arial"/>
                <w:color w:val="000000"/>
                <w:szCs w:val="20"/>
              </w:rPr>
              <w:t>2</w:t>
            </w:r>
            <w:r w:rsidR="00FA499A">
              <w:rPr>
                <w:rFonts w:cs="Arial"/>
                <w:color w:val="000000"/>
                <w:szCs w:val="20"/>
              </w:rPr>
              <w:t>3</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00FA499A">
              <w:rPr>
                <w:rFonts w:cs="Arial"/>
                <w:color w:val="000000"/>
                <w:szCs w:val="20"/>
              </w:rPr>
              <w:t xml:space="preserve"> </w:t>
            </w:r>
            <w:r w:rsidRPr="00D96D99">
              <w:rPr>
                <w:rFonts w:cs="Arial"/>
                <w:color w:val="000000"/>
                <w:szCs w:val="20"/>
              </w:rPr>
              <w:t>3.2. Výdaje domácností na zdravotní péči</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FA499A" w:rsidP="00FA499A">
            <w:pPr>
              <w:spacing w:line="240" w:lineRule="auto"/>
              <w:rPr>
                <w:rFonts w:cs="Arial"/>
                <w:color w:val="000000"/>
                <w:szCs w:val="20"/>
              </w:rPr>
            </w:pPr>
            <w:r>
              <w:rPr>
                <w:rFonts w:cs="Arial"/>
                <w:color w:val="000000"/>
                <w:szCs w:val="20"/>
              </w:rPr>
              <w:t>30</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 xml:space="preserve">3.2.1. </w:t>
            </w:r>
            <w:r w:rsidR="00930E84">
              <w:rPr>
                <w:rFonts w:cs="Arial"/>
                <w:color w:val="000000"/>
                <w:szCs w:val="20"/>
              </w:rPr>
              <w:t>Celkové výdaje domácností…</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FA499A" w:rsidP="00FA499A">
            <w:pPr>
              <w:spacing w:line="240" w:lineRule="auto"/>
              <w:rPr>
                <w:rFonts w:cs="Arial"/>
                <w:color w:val="000000"/>
                <w:szCs w:val="20"/>
              </w:rPr>
            </w:pPr>
            <w:r>
              <w:rPr>
                <w:rFonts w:cs="Arial"/>
                <w:color w:val="000000"/>
                <w:szCs w:val="20"/>
              </w:rPr>
              <w:t>30</w:t>
            </w:r>
          </w:p>
        </w:tc>
      </w:tr>
      <w:tr w:rsidR="00290F1C" w:rsidRPr="00D96D99" w:rsidTr="00290F1C">
        <w:trPr>
          <w:trHeight w:val="303"/>
        </w:trPr>
        <w:tc>
          <w:tcPr>
            <w:tcW w:w="8321" w:type="dxa"/>
            <w:tcBorders>
              <w:top w:val="nil"/>
              <w:left w:val="nil"/>
              <w:bottom w:val="nil"/>
              <w:right w:val="nil"/>
            </w:tcBorders>
            <w:shd w:val="clear" w:color="auto" w:fill="auto"/>
            <w:noWrap/>
            <w:vAlign w:val="bottom"/>
            <w:hideMark/>
          </w:tcPr>
          <w:p w:rsidR="00290F1C" w:rsidRPr="00D96D99" w:rsidRDefault="00290F1C" w:rsidP="00290F1C">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3.2.</w:t>
            </w:r>
            <w:r>
              <w:rPr>
                <w:rFonts w:cs="Arial"/>
                <w:color w:val="000000"/>
                <w:szCs w:val="20"/>
              </w:rPr>
              <w:t>2.</w:t>
            </w:r>
            <w:r w:rsidRPr="00D96D99">
              <w:rPr>
                <w:rFonts w:cs="Arial"/>
                <w:color w:val="000000"/>
                <w:szCs w:val="20"/>
              </w:rPr>
              <w:t xml:space="preserve"> </w:t>
            </w:r>
            <w:r>
              <w:t xml:space="preserve"> </w:t>
            </w:r>
            <w:r w:rsidRPr="00290F1C">
              <w:rPr>
                <w:rFonts w:cs="Arial"/>
                <w:color w:val="000000"/>
                <w:szCs w:val="20"/>
              </w:rPr>
              <w:t xml:space="preserve">Výdaje domácností podle druhu zdravotní péče </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290F1C" w:rsidRPr="00D96D99" w:rsidRDefault="00290F1C" w:rsidP="00FA499A">
            <w:pPr>
              <w:spacing w:line="240" w:lineRule="auto"/>
              <w:rPr>
                <w:rFonts w:cs="Arial"/>
                <w:color w:val="000000"/>
                <w:szCs w:val="20"/>
              </w:rPr>
            </w:pPr>
            <w:r>
              <w:rPr>
                <w:rFonts w:cs="Arial"/>
                <w:color w:val="000000"/>
                <w:szCs w:val="20"/>
              </w:rPr>
              <w:t>3</w:t>
            </w:r>
            <w:r w:rsidR="00FA499A">
              <w:rPr>
                <w:rFonts w:cs="Arial"/>
                <w:color w:val="000000"/>
                <w:szCs w:val="20"/>
              </w:rPr>
              <w:t>1</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00290F1C">
              <w:rPr>
                <w:rFonts w:cs="Arial"/>
                <w:color w:val="000000"/>
                <w:szCs w:val="20"/>
              </w:rPr>
              <w:t xml:space="preserve">      </w:t>
            </w:r>
            <w:r w:rsidR="00FA499A">
              <w:rPr>
                <w:rFonts w:cs="Arial"/>
                <w:color w:val="000000"/>
                <w:szCs w:val="20"/>
              </w:rPr>
              <w:t xml:space="preserve"> </w:t>
            </w:r>
            <w:r w:rsidRPr="00D96D99">
              <w:rPr>
                <w:rFonts w:cs="Arial"/>
                <w:color w:val="000000"/>
                <w:szCs w:val="20"/>
              </w:rPr>
              <w:t>3.3. Výdaje na dlouhodobou péči</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3</w:t>
            </w:r>
            <w:r w:rsidR="00FA499A">
              <w:rPr>
                <w:rFonts w:cs="Arial"/>
                <w:color w:val="000000"/>
                <w:szCs w:val="20"/>
              </w:rPr>
              <w:t>5</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 xml:space="preserve">3.3.1. </w:t>
            </w:r>
            <w:r w:rsidR="00930E84">
              <w:rPr>
                <w:rFonts w:cs="Arial"/>
                <w:color w:val="000000"/>
                <w:szCs w:val="20"/>
              </w:rPr>
              <w:t>Celkové výdaje na dlouhodobou péči</w:t>
            </w:r>
            <w:r>
              <w:rPr>
                <w:rFonts w:cs="Arial"/>
                <w:color w:val="000000"/>
                <w:szCs w:val="20"/>
              </w:rPr>
              <w:t>…………………………………………</w:t>
            </w:r>
            <w:r w:rsidR="00FA499A">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3</w:t>
            </w:r>
            <w:r w:rsidR="00FA499A">
              <w:rPr>
                <w:rFonts w:cs="Arial"/>
                <w:color w:val="000000"/>
                <w:szCs w:val="20"/>
              </w:rPr>
              <w:t>5</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3.3.2. Výdaje na dlouhodobou zdravotní péči</w:t>
            </w:r>
            <w:r>
              <w:rPr>
                <w:rFonts w:cs="Arial"/>
                <w:color w:val="000000"/>
                <w:szCs w:val="20"/>
              </w:rPr>
              <w:t>…………………………………….....</w:t>
            </w:r>
            <w:r w:rsidR="00FA499A">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3</w:t>
            </w:r>
            <w:r w:rsidR="00FA499A">
              <w:rPr>
                <w:rFonts w:cs="Arial"/>
                <w:color w:val="000000"/>
                <w:szCs w:val="20"/>
              </w:rPr>
              <w:t>7</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3.3.3. Výdaje na dlouhodobou sociální péči</w:t>
            </w:r>
            <w:r>
              <w:rPr>
                <w:rFonts w:cs="Arial"/>
                <w:color w:val="000000"/>
                <w:szCs w:val="20"/>
              </w:rPr>
              <w:t>…………………………………………</w:t>
            </w:r>
            <w:r w:rsidR="00FA499A">
              <w:rPr>
                <w:rFonts w:cs="Arial"/>
                <w:color w:val="000000"/>
                <w:szCs w:val="20"/>
              </w:rPr>
              <w:t>...</w:t>
            </w:r>
            <w:r>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3</w:t>
            </w:r>
            <w:r w:rsidR="00FA499A">
              <w:rPr>
                <w:rFonts w:cs="Arial"/>
                <w:color w:val="000000"/>
                <w:szCs w:val="20"/>
              </w:rPr>
              <w:t>8</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3.4 Výdaje za léky</w:t>
            </w:r>
            <w:r>
              <w:rPr>
                <w:rFonts w:cs="Arial"/>
                <w:color w:val="000000"/>
                <w:szCs w:val="20"/>
              </w:rPr>
              <w:t>…………………………………………………………………………......</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FA499A" w:rsidP="00FA499A">
            <w:pPr>
              <w:spacing w:line="240" w:lineRule="auto"/>
              <w:rPr>
                <w:rFonts w:cs="Arial"/>
                <w:color w:val="000000"/>
                <w:szCs w:val="20"/>
              </w:rPr>
            </w:pPr>
            <w:r>
              <w:rPr>
                <w:rFonts w:cs="Arial"/>
                <w:color w:val="000000"/>
                <w:szCs w:val="20"/>
              </w:rPr>
              <w:t>40</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 xml:space="preserve">3.4.1 </w:t>
            </w:r>
            <w:r w:rsidR="00930E84">
              <w:rPr>
                <w:rFonts w:cs="Arial"/>
                <w:color w:val="000000"/>
                <w:szCs w:val="20"/>
              </w:rPr>
              <w:t>Celkové výdaje na léky..</w:t>
            </w:r>
            <w:r>
              <w:rPr>
                <w:rFonts w:cs="Arial"/>
                <w:color w:val="000000"/>
                <w:szCs w:val="20"/>
              </w:rPr>
              <w:t>…………………………………………………………..</w:t>
            </w:r>
            <w:r w:rsidR="00FA499A">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FA499A" w:rsidP="00FA499A">
            <w:pPr>
              <w:spacing w:line="240" w:lineRule="auto"/>
              <w:rPr>
                <w:rFonts w:cs="Arial"/>
                <w:color w:val="000000"/>
                <w:szCs w:val="20"/>
              </w:rPr>
            </w:pPr>
            <w:r>
              <w:rPr>
                <w:rFonts w:cs="Arial"/>
                <w:color w:val="000000"/>
                <w:szCs w:val="20"/>
              </w:rPr>
              <w:t>40</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3.4.2 Výdaje za léky podle místa jejich spotřeby</w:t>
            </w:r>
            <w:r>
              <w:rPr>
                <w:rFonts w:cs="Arial"/>
                <w:color w:val="000000"/>
                <w:szCs w:val="20"/>
              </w:rPr>
              <w:t>……………………………………</w:t>
            </w:r>
            <w:r w:rsidR="00FA499A">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4</w:t>
            </w:r>
            <w:r w:rsidR="00FA499A">
              <w:rPr>
                <w:rFonts w:cs="Arial"/>
                <w:color w:val="000000"/>
                <w:szCs w:val="20"/>
              </w:rPr>
              <w:t>2</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283AF3">
              <w:rPr>
                <w:rFonts w:cs="Arial"/>
                <w:color w:val="000000"/>
                <w:szCs w:val="20"/>
              </w:rPr>
              <w:t xml:space="preserve">                </w:t>
            </w:r>
            <w:r w:rsidRPr="00D96D99">
              <w:rPr>
                <w:rFonts w:cs="Arial"/>
                <w:color w:val="000000"/>
                <w:szCs w:val="20"/>
              </w:rPr>
              <w:t>3.4.3 Výdaje za léky podle zdrojů jejich financování</w:t>
            </w:r>
            <w:r>
              <w:rPr>
                <w:rFonts w:cs="Arial"/>
                <w:color w:val="000000"/>
                <w:szCs w:val="20"/>
              </w:rPr>
              <w:t>……………………………......</w:t>
            </w:r>
            <w:r w:rsidR="00FA499A">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FA499A">
            <w:pPr>
              <w:spacing w:line="240" w:lineRule="auto"/>
              <w:rPr>
                <w:rFonts w:cs="Arial"/>
                <w:color w:val="000000"/>
                <w:szCs w:val="20"/>
              </w:rPr>
            </w:pPr>
            <w:r w:rsidRPr="00D96D99">
              <w:rPr>
                <w:rFonts w:cs="Arial"/>
                <w:color w:val="000000"/>
                <w:szCs w:val="20"/>
              </w:rPr>
              <w:t>4</w:t>
            </w:r>
            <w:r w:rsidR="00FA499A">
              <w:rPr>
                <w:rFonts w:cs="Arial"/>
                <w:color w:val="000000"/>
                <w:szCs w:val="20"/>
              </w:rPr>
              <w:t>4</w:t>
            </w:r>
          </w:p>
        </w:tc>
      </w:tr>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4. Mezinárodní srovnání výdajů na zdravotní péči……………………………………………</w:t>
            </w:r>
            <w:r w:rsidR="00C274E0">
              <w:rPr>
                <w:rFonts w:cs="Arial"/>
                <w:b/>
                <w:color w:val="000000"/>
                <w:szCs w:val="20"/>
              </w:rPr>
              <w:t>..</w:t>
            </w:r>
          </w:p>
        </w:tc>
        <w:tc>
          <w:tcPr>
            <w:tcW w:w="363" w:type="dxa"/>
            <w:tcBorders>
              <w:top w:val="nil"/>
              <w:left w:val="nil"/>
              <w:bottom w:val="nil"/>
              <w:right w:val="nil"/>
            </w:tcBorders>
            <w:shd w:val="clear" w:color="auto" w:fill="auto"/>
            <w:noWrap/>
            <w:vAlign w:val="bottom"/>
            <w:hideMark/>
          </w:tcPr>
          <w:p w:rsidR="0058445D" w:rsidRPr="00290F1C" w:rsidRDefault="0058445D" w:rsidP="00FA499A">
            <w:pPr>
              <w:spacing w:before="120" w:after="60" w:line="240" w:lineRule="auto"/>
              <w:rPr>
                <w:rFonts w:cs="Arial"/>
                <w:b/>
                <w:color w:val="000000"/>
                <w:szCs w:val="20"/>
              </w:rPr>
            </w:pPr>
            <w:r w:rsidRPr="00290F1C">
              <w:rPr>
                <w:rFonts w:cs="Arial"/>
                <w:b/>
                <w:color w:val="000000"/>
                <w:szCs w:val="20"/>
              </w:rPr>
              <w:t>4</w:t>
            </w:r>
            <w:r w:rsidR="00FA499A">
              <w:rPr>
                <w:rFonts w:cs="Arial"/>
                <w:b/>
                <w:color w:val="000000"/>
                <w:szCs w:val="20"/>
              </w:rPr>
              <w:t>6</w:t>
            </w:r>
          </w:p>
        </w:tc>
      </w:tr>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5. Metodická příloha………………………………………………………………………………….</w:t>
            </w:r>
          </w:p>
        </w:tc>
        <w:tc>
          <w:tcPr>
            <w:tcW w:w="363" w:type="dxa"/>
            <w:tcBorders>
              <w:top w:val="nil"/>
              <w:left w:val="nil"/>
              <w:bottom w:val="nil"/>
              <w:right w:val="nil"/>
            </w:tcBorders>
            <w:shd w:val="clear" w:color="auto" w:fill="auto"/>
            <w:noWrap/>
            <w:vAlign w:val="bottom"/>
            <w:hideMark/>
          </w:tcPr>
          <w:p w:rsidR="0058445D" w:rsidRPr="00290F1C" w:rsidRDefault="0058445D" w:rsidP="00FA499A">
            <w:pPr>
              <w:spacing w:before="120" w:after="60" w:line="240" w:lineRule="auto"/>
              <w:rPr>
                <w:rFonts w:cs="Arial"/>
                <w:b/>
                <w:color w:val="000000"/>
                <w:szCs w:val="20"/>
              </w:rPr>
            </w:pPr>
            <w:r w:rsidRPr="00290F1C">
              <w:rPr>
                <w:rFonts w:cs="Arial"/>
                <w:b/>
                <w:color w:val="000000"/>
                <w:szCs w:val="20"/>
              </w:rPr>
              <w:t>5</w:t>
            </w:r>
            <w:r w:rsidR="00FA499A">
              <w:rPr>
                <w:rFonts w:cs="Arial"/>
                <w:b/>
                <w:color w:val="000000"/>
                <w:szCs w:val="20"/>
              </w:rPr>
              <w:t>1</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C274E0">
            <w:pPr>
              <w:spacing w:line="240" w:lineRule="auto"/>
              <w:rPr>
                <w:rFonts w:cs="Arial"/>
                <w:color w:val="000000"/>
                <w:szCs w:val="20"/>
              </w:rPr>
            </w:pPr>
            <w:r w:rsidRPr="00283AF3">
              <w:rPr>
                <w:rFonts w:cs="Arial"/>
                <w:color w:val="000000"/>
                <w:szCs w:val="20"/>
              </w:rPr>
              <w:t xml:space="preserve">        </w:t>
            </w:r>
            <w:r w:rsidR="00FA499A">
              <w:rPr>
                <w:rFonts w:cs="Arial"/>
                <w:color w:val="000000"/>
                <w:szCs w:val="20"/>
              </w:rPr>
              <w:t>5.1</w:t>
            </w:r>
            <w:r w:rsidRPr="00283AF3">
              <w:rPr>
                <w:rFonts w:cs="Arial"/>
                <w:color w:val="000000"/>
                <w:szCs w:val="20"/>
              </w:rPr>
              <w:t xml:space="preserve"> </w:t>
            </w:r>
            <w:r w:rsidRPr="00D96D99">
              <w:rPr>
                <w:rFonts w:cs="Arial"/>
                <w:color w:val="000000"/>
                <w:szCs w:val="20"/>
              </w:rPr>
              <w:t>Základní rozdíly mezi původní metodikou SHA 1.0 a novou metodikou SHA 2011</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C274E0">
            <w:pPr>
              <w:spacing w:line="240" w:lineRule="auto"/>
              <w:rPr>
                <w:rFonts w:cs="Arial"/>
                <w:color w:val="000000"/>
                <w:szCs w:val="20"/>
              </w:rPr>
            </w:pPr>
            <w:r w:rsidRPr="00D96D99">
              <w:rPr>
                <w:rFonts w:cs="Arial"/>
                <w:color w:val="000000"/>
                <w:szCs w:val="20"/>
              </w:rPr>
              <w:t>5</w:t>
            </w:r>
            <w:r w:rsidR="00C274E0">
              <w:rPr>
                <w:rFonts w:cs="Arial"/>
                <w:color w:val="000000"/>
                <w:szCs w:val="20"/>
              </w:rPr>
              <w:t>1</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00FA499A">
              <w:rPr>
                <w:rFonts w:cs="Arial"/>
                <w:color w:val="000000"/>
                <w:szCs w:val="20"/>
              </w:rPr>
              <w:t>5.2</w:t>
            </w:r>
            <w:r w:rsidRPr="00283AF3">
              <w:rPr>
                <w:rFonts w:cs="Arial"/>
                <w:color w:val="000000"/>
                <w:szCs w:val="20"/>
              </w:rPr>
              <w:t xml:space="preserve"> </w:t>
            </w:r>
            <w:r w:rsidRPr="00D96D99">
              <w:rPr>
                <w:rFonts w:cs="Arial"/>
                <w:color w:val="000000"/>
                <w:szCs w:val="20"/>
              </w:rPr>
              <w:t>Výdaje na dlouhodobou péči</w:t>
            </w:r>
            <w:r w:rsidR="00FA499A">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C274E0">
            <w:pPr>
              <w:spacing w:line="240" w:lineRule="auto"/>
              <w:rPr>
                <w:rFonts w:cs="Arial"/>
                <w:color w:val="000000"/>
                <w:szCs w:val="20"/>
              </w:rPr>
            </w:pPr>
            <w:r w:rsidRPr="00D96D99">
              <w:rPr>
                <w:rFonts w:cs="Arial"/>
                <w:color w:val="000000"/>
                <w:szCs w:val="20"/>
              </w:rPr>
              <w:t>5</w:t>
            </w:r>
            <w:r w:rsidR="00C274E0">
              <w:rPr>
                <w:rFonts w:cs="Arial"/>
                <w:color w:val="000000"/>
                <w:szCs w:val="20"/>
              </w:rPr>
              <w:t>1</w:t>
            </w:r>
          </w:p>
        </w:tc>
      </w:tr>
      <w:tr w:rsidR="0058445D" w:rsidRPr="00D96D99" w:rsidTr="00290F1C">
        <w:trPr>
          <w:trHeight w:val="303"/>
        </w:trPr>
        <w:tc>
          <w:tcPr>
            <w:tcW w:w="8321" w:type="dxa"/>
            <w:tcBorders>
              <w:top w:val="nil"/>
              <w:left w:val="nil"/>
              <w:bottom w:val="nil"/>
              <w:right w:val="nil"/>
            </w:tcBorders>
            <w:shd w:val="clear" w:color="auto" w:fill="auto"/>
            <w:noWrap/>
            <w:vAlign w:val="bottom"/>
            <w:hideMark/>
          </w:tcPr>
          <w:p w:rsidR="0058445D" w:rsidRPr="00D96D99" w:rsidRDefault="0058445D" w:rsidP="00290F1C">
            <w:pPr>
              <w:spacing w:line="240" w:lineRule="auto"/>
              <w:rPr>
                <w:rFonts w:cs="Arial"/>
                <w:color w:val="000000"/>
                <w:szCs w:val="20"/>
              </w:rPr>
            </w:pPr>
            <w:r w:rsidRPr="00283AF3">
              <w:rPr>
                <w:rFonts w:cs="Arial"/>
                <w:color w:val="000000"/>
                <w:szCs w:val="20"/>
              </w:rPr>
              <w:t xml:space="preserve">        </w:t>
            </w:r>
            <w:r w:rsidR="00C274E0">
              <w:rPr>
                <w:rFonts w:cs="Arial"/>
                <w:color w:val="000000"/>
                <w:szCs w:val="20"/>
              </w:rPr>
              <w:t xml:space="preserve">5.3 </w:t>
            </w:r>
            <w:r w:rsidRPr="00D96D99">
              <w:rPr>
                <w:rFonts w:cs="Arial"/>
                <w:color w:val="000000"/>
                <w:szCs w:val="20"/>
              </w:rPr>
              <w:t>Vysvětlení některých pojmů</w:t>
            </w:r>
            <w:r>
              <w:rPr>
                <w:rFonts w:cs="Arial"/>
                <w:color w:val="000000"/>
                <w:szCs w:val="20"/>
              </w:rPr>
              <w:t>………………………………………………</w:t>
            </w:r>
            <w:r w:rsidR="00C274E0">
              <w:rPr>
                <w:rFonts w:cs="Arial"/>
                <w:color w:val="000000"/>
                <w:szCs w:val="20"/>
              </w:rPr>
              <w:t>………………..</w:t>
            </w:r>
          </w:p>
        </w:tc>
        <w:tc>
          <w:tcPr>
            <w:tcW w:w="363" w:type="dxa"/>
            <w:tcBorders>
              <w:top w:val="nil"/>
              <w:left w:val="nil"/>
              <w:bottom w:val="nil"/>
              <w:right w:val="nil"/>
            </w:tcBorders>
            <w:shd w:val="clear" w:color="auto" w:fill="auto"/>
            <w:noWrap/>
            <w:vAlign w:val="bottom"/>
            <w:hideMark/>
          </w:tcPr>
          <w:p w:rsidR="0058445D" w:rsidRPr="00D96D99" w:rsidRDefault="0058445D" w:rsidP="00C274E0">
            <w:pPr>
              <w:spacing w:line="240" w:lineRule="auto"/>
              <w:rPr>
                <w:rFonts w:cs="Arial"/>
                <w:color w:val="000000"/>
                <w:szCs w:val="20"/>
              </w:rPr>
            </w:pPr>
            <w:r w:rsidRPr="00D96D99">
              <w:rPr>
                <w:rFonts w:cs="Arial"/>
                <w:color w:val="000000"/>
                <w:szCs w:val="20"/>
              </w:rPr>
              <w:t>5</w:t>
            </w:r>
            <w:r w:rsidR="00C274E0">
              <w:rPr>
                <w:rFonts w:cs="Arial"/>
                <w:color w:val="000000"/>
                <w:szCs w:val="20"/>
              </w:rPr>
              <w:t>4</w:t>
            </w:r>
          </w:p>
        </w:tc>
      </w:tr>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6. Klasifikace………………………………………………………………………………………….</w:t>
            </w:r>
          </w:p>
        </w:tc>
        <w:tc>
          <w:tcPr>
            <w:tcW w:w="363" w:type="dxa"/>
            <w:tcBorders>
              <w:top w:val="nil"/>
              <w:left w:val="nil"/>
              <w:bottom w:val="nil"/>
              <w:right w:val="nil"/>
            </w:tcBorders>
            <w:shd w:val="clear" w:color="auto" w:fill="auto"/>
            <w:noWrap/>
            <w:vAlign w:val="bottom"/>
            <w:hideMark/>
          </w:tcPr>
          <w:p w:rsidR="0058445D" w:rsidRPr="00290F1C" w:rsidRDefault="0058445D" w:rsidP="00C274E0">
            <w:pPr>
              <w:spacing w:before="120" w:after="60" w:line="240" w:lineRule="auto"/>
              <w:rPr>
                <w:rFonts w:cs="Arial"/>
                <w:b/>
                <w:color w:val="000000"/>
                <w:szCs w:val="20"/>
              </w:rPr>
            </w:pPr>
            <w:r w:rsidRPr="00290F1C">
              <w:rPr>
                <w:rFonts w:cs="Arial"/>
                <w:b/>
                <w:color w:val="000000"/>
                <w:szCs w:val="20"/>
              </w:rPr>
              <w:t>5</w:t>
            </w:r>
            <w:r w:rsidR="00C274E0">
              <w:rPr>
                <w:rFonts w:cs="Arial"/>
                <w:b/>
                <w:color w:val="000000"/>
                <w:szCs w:val="20"/>
              </w:rPr>
              <w:t>7</w:t>
            </w:r>
          </w:p>
        </w:tc>
      </w:tr>
      <w:tr w:rsidR="0058445D" w:rsidRPr="00290F1C" w:rsidTr="00290F1C">
        <w:trPr>
          <w:trHeight w:val="303"/>
        </w:trPr>
        <w:tc>
          <w:tcPr>
            <w:tcW w:w="8321" w:type="dxa"/>
            <w:tcBorders>
              <w:top w:val="nil"/>
              <w:left w:val="nil"/>
              <w:bottom w:val="nil"/>
              <w:right w:val="nil"/>
            </w:tcBorders>
            <w:shd w:val="clear" w:color="auto" w:fill="auto"/>
            <w:noWrap/>
            <w:vAlign w:val="bottom"/>
            <w:hideMark/>
          </w:tcPr>
          <w:p w:rsidR="0058445D" w:rsidRPr="00290F1C" w:rsidRDefault="0058445D" w:rsidP="00290F1C">
            <w:pPr>
              <w:spacing w:before="120" w:after="60" w:line="240" w:lineRule="auto"/>
              <w:rPr>
                <w:rFonts w:cs="Arial"/>
                <w:b/>
                <w:color w:val="000000"/>
                <w:szCs w:val="20"/>
              </w:rPr>
            </w:pPr>
            <w:r w:rsidRPr="00290F1C">
              <w:rPr>
                <w:rFonts w:cs="Arial"/>
                <w:b/>
                <w:color w:val="000000"/>
                <w:szCs w:val="20"/>
              </w:rPr>
              <w:t>7. Tabulková příloha…………………………………………………………………</w:t>
            </w:r>
            <w:r w:rsidR="00290F1C">
              <w:rPr>
                <w:rFonts w:cs="Arial"/>
                <w:b/>
                <w:color w:val="000000"/>
                <w:szCs w:val="20"/>
              </w:rPr>
              <w:t>..</w:t>
            </w:r>
            <w:r w:rsidRPr="00290F1C">
              <w:rPr>
                <w:rFonts w:cs="Arial"/>
                <w:b/>
                <w:color w:val="000000"/>
                <w:szCs w:val="20"/>
              </w:rPr>
              <w:t>…………….</w:t>
            </w:r>
          </w:p>
        </w:tc>
        <w:tc>
          <w:tcPr>
            <w:tcW w:w="363" w:type="dxa"/>
            <w:tcBorders>
              <w:top w:val="nil"/>
              <w:left w:val="nil"/>
              <w:bottom w:val="nil"/>
              <w:right w:val="nil"/>
            </w:tcBorders>
            <w:shd w:val="clear" w:color="auto" w:fill="auto"/>
            <w:noWrap/>
            <w:vAlign w:val="bottom"/>
            <w:hideMark/>
          </w:tcPr>
          <w:p w:rsidR="0058445D" w:rsidRPr="00290F1C" w:rsidRDefault="0058445D" w:rsidP="00C274E0">
            <w:pPr>
              <w:spacing w:before="120" w:after="60" w:line="240" w:lineRule="auto"/>
              <w:rPr>
                <w:rFonts w:cs="Arial"/>
                <w:b/>
                <w:color w:val="000000"/>
                <w:szCs w:val="20"/>
              </w:rPr>
            </w:pPr>
            <w:r w:rsidRPr="00290F1C">
              <w:rPr>
                <w:rFonts w:cs="Arial"/>
                <w:b/>
                <w:color w:val="000000"/>
                <w:szCs w:val="20"/>
              </w:rPr>
              <w:t>6</w:t>
            </w:r>
            <w:r w:rsidR="00C274E0">
              <w:rPr>
                <w:rFonts w:cs="Arial"/>
                <w:b/>
                <w:color w:val="000000"/>
                <w:szCs w:val="20"/>
              </w:rPr>
              <w:t>1</w:t>
            </w:r>
          </w:p>
        </w:tc>
      </w:tr>
    </w:tbl>
    <w:p w:rsidR="0058445D" w:rsidRPr="00D96D99" w:rsidRDefault="00290F1C" w:rsidP="0058445D">
      <w:r>
        <w:br w:type="textWrapping" w:clear="all"/>
      </w:r>
    </w:p>
    <w:p w:rsidR="00542E84" w:rsidRPr="00007BF6" w:rsidRDefault="00193560" w:rsidP="0058445D">
      <w:pPr>
        <w:pStyle w:val="Nadpis1"/>
        <w:keepNext w:val="0"/>
        <w:keepLines w:val="0"/>
      </w:pPr>
      <w:r>
        <w:br w:type="page"/>
      </w:r>
      <w:bookmarkStart w:id="0" w:name="_Toc256065129"/>
      <w:bookmarkStart w:id="1" w:name="_Toc481748779"/>
      <w:r w:rsidR="00542E84" w:rsidRPr="00007BF6">
        <w:lastRenderedPageBreak/>
        <w:t>Úvod</w:t>
      </w:r>
      <w:bookmarkEnd w:id="0"/>
      <w:bookmarkEnd w:id="1"/>
    </w:p>
    <w:p w:rsidR="00AB3CE2" w:rsidRDefault="00AB3CE2" w:rsidP="00BD2BDC">
      <w:pPr>
        <w:jc w:val="both"/>
      </w:pPr>
      <w:r w:rsidRPr="007F107A">
        <w:t>Péče o lidské zdraví je bezesporu jednou z </w:t>
      </w:r>
      <w:r>
        <w:t xml:space="preserve"> </w:t>
      </w:r>
      <w:r w:rsidRPr="007F107A">
        <w:t>nejvýznamnějších společensky organizovaných aktivit. Postupem času – s rozvojem poznání a uplatnění jeho výsledků v praktické činnosti na straně jedné a</w:t>
      </w:r>
      <w:r w:rsidR="00344398">
        <w:t> </w:t>
      </w:r>
      <w:r w:rsidRPr="007F107A">
        <w:t>s</w:t>
      </w:r>
      <w:r w:rsidR="00344398">
        <w:t> </w:t>
      </w:r>
      <w:r w:rsidRPr="007F107A">
        <w:t>prodlužováním lidského života na straně druhé</w:t>
      </w:r>
      <w:r w:rsidR="00EF3E4D">
        <w:t xml:space="preserve"> –</w:t>
      </w:r>
      <w:r w:rsidRPr="007F107A">
        <w:t xml:space="preserve"> se význam zdravotní péče </w:t>
      </w:r>
      <w:r>
        <w:t>stále</w:t>
      </w:r>
      <w:r w:rsidRPr="007F107A">
        <w:t xml:space="preserve"> zvyšuje. Z ekonomického a sociálního pohledu vyžaduje zdravotnictví stále více zdro</w:t>
      </w:r>
      <w:r>
        <w:t>j</w:t>
      </w:r>
      <w:r w:rsidRPr="007F107A">
        <w:t>ů, které čerpá cestou složitých přerozdělovacích vztahů. Konečně s rozvojem globalizace a s ní souvisejících integračních tendencí se</w:t>
      </w:r>
      <w:r w:rsidR="00D10241">
        <w:t xml:space="preserve"> </w:t>
      </w:r>
      <w:r w:rsidRPr="007F107A">
        <w:t>zvýrazňuje potřeba sdílení informací o zdravotnictví a poskytování zdravotní péče v mezinárodním měřítku</w:t>
      </w:r>
      <w:r>
        <w:t xml:space="preserve">. </w:t>
      </w:r>
    </w:p>
    <w:p w:rsidR="00602EF3" w:rsidRPr="00F71B42" w:rsidRDefault="00AB3CE2" w:rsidP="00602EF3">
      <w:pPr>
        <w:spacing w:before="120" w:after="240"/>
        <w:jc w:val="both"/>
        <w:rPr>
          <w:rFonts w:eastAsia="MS Gothic" w:cs="Arial"/>
          <w:bCs/>
          <w:szCs w:val="20"/>
        </w:rPr>
      </w:pPr>
      <w:r w:rsidRPr="007F107A">
        <w:t>V této souvislosti byl v roce 2000 položen metodický základ pro sběr</w:t>
      </w:r>
      <w:r>
        <w:t>,</w:t>
      </w:r>
      <w:r w:rsidR="00B2098B">
        <w:t xml:space="preserve"> </w:t>
      </w:r>
      <w:r w:rsidRPr="007F107A">
        <w:t xml:space="preserve">zpracování a </w:t>
      </w:r>
      <w:r w:rsidR="00B2098B">
        <w:t xml:space="preserve">vyhodnocení </w:t>
      </w:r>
      <w:r w:rsidRPr="007F107A">
        <w:t>mezinárodně srovnatelnýc</w:t>
      </w:r>
      <w:r>
        <w:t xml:space="preserve">h dat v oblasti zdravotnictví </w:t>
      </w:r>
      <w:r w:rsidRPr="007F107A">
        <w:t xml:space="preserve">ve formě tzv. zdravotnických účtů </w:t>
      </w:r>
      <w:r w:rsidR="00542E84">
        <w:t>(dále také „SHA“</w:t>
      </w:r>
      <w:r w:rsidR="005D514D">
        <w:rPr>
          <w:rStyle w:val="Znakapoznpodarou"/>
        </w:rPr>
        <w:t xml:space="preserve">, </w:t>
      </w:r>
      <w:r w:rsidR="005D514D">
        <w:t xml:space="preserve">z anglického </w:t>
      </w:r>
      <w:r w:rsidR="005D514D" w:rsidRPr="00602EF3">
        <w:rPr>
          <w:b/>
        </w:rPr>
        <w:t>System of Health Accounts</w:t>
      </w:r>
      <w:r>
        <w:t xml:space="preserve">) </w:t>
      </w:r>
      <w:r w:rsidR="00542E84">
        <w:t>a</w:t>
      </w:r>
      <w:r w:rsidR="00344398">
        <w:t> </w:t>
      </w:r>
      <w:r>
        <w:t xml:space="preserve">jejich </w:t>
      </w:r>
      <w:r w:rsidR="00542E84">
        <w:t>mezinárodní klasifikace zdravotnických účtů (dále „ICHA“</w:t>
      </w:r>
      <w:r w:rsidR="005D514D">
        <w:t>, z anglického International Classification for Health Accounts</w:t>
      </w:r>
      <w:r w:rsidR="00542E84">
        <w:t xml:space="preserve">). </w:t>
      </w:r>
      <w:r w:rsidR="00602EF3">
        <w:rPr>
          <w:rFonts w:eastAsia="MS Gothic" w:cs="Arial"/>
          <w:bCs/>
          <w:szCs w:val="20"/>
        </w:rPr>
        <w:t xml:space="preserve">Od roku 2016 jsou zdravotnické účty sestavovány na základě </w:t>
      </w:r>
      <w:r w:rsidR="00602EF3" w:rsidRPr="00602EF3">
        <w:rPr>
          <w:rFonts w:eastAsia="MS Gothic" w:cs="Arial"/>
          <w:b/>
          <w:bCs/>
          <w:szCs w:val="20"/>
        </w:rPr>
        <w:t>Nařízení</w:t>
      </w:r>
      <w:r w:rsidR="00602EF3" w:rsidRPr="00602EF3">
        <w:rPr>
          <w:rFonts w:eastAsia="MS Gothic" w:cs="Arial"/>
          <w:bCs/>
          <w:szCs w:val="20"/>
        </w:rPr>
        <w:t xml:space="preserve"> Evropského parlamentu a Rady č.1338/2008 o statistice Společenství v</w:t>
      </w:r>
      <w:r w:rsidR="00E40102">
        <w:rPr>
          <w:rFonts w:eastAsia="MS Gothic" w:cs="Arial"/>
          <w:bCs/>
          <w:szCs w:val="20"/>
        </w:rPr>
        <w:t> </w:t>
      </w:r>
      <w:r w:rsidR="00602EF3" w:rsidRPr="00602EF3">
        <w:rPr>
          <w:rFonts w:eastAsia="MS Gothic" w:cs="Arial"/>
          <w:bCs/>
          <w:szCs w:val="20"/>
        </w:rPr>
        <w:t xml:space="preserve">oblasti veřejného zdraví a bezpečnosti a ochrany zdraví při práci. </w:t>
      </w:r>
    </w:p>
    <w:p w:rsidR="00542E84" w:rsidRPr="0027356A" w:rsidRDefault="005D514D" w:rsidP="00E40102">
      <w:pPr>
        <w:pStyle w:val="Nadpis2"/>
        <w:spacing w:before="240" w:after="120"/>
      </w:pPr>
      <w:bookmarkStart w:id="2" w:name="_Toc481748780"/>
      <w:r>
        <w:t xml:space="preserve">1.1 </w:t>
      </w:r>
      <w:r w:rsidR="00AB3CE2">
        <w:t xml:space="preserve">Trojstranný pohled </w:t>
      </w:r>
      <w:r w:rsidR="00747BB9" w:rsidRPr="00E663CD">
        <w:rPr>
          <w:color w:val="C00000"/>
        </w:rPr>
        <w:t>na výdaje na zdravotní péči</w:t>
      </w:r>
      <w:bookmarkEnd w:id="2"/>
    </w:p>
    <w:p w:rsidR="00542E84" w:rsidRPr="00E663CD" w:rsidRDefault="00542E84" w:rsidP="009233F1">
      <w:pPr>
        <w:jc w:val="both"/>
      </w:pPr>
      <w:r w:rsidRPr="00E663CD">
        <w:t xml:space="preserve">Systém zdravotnických účtů je nástrojem, který slouží ke komplexnímu vyjádření veškerých </w:t>
      </w:r>
      <w:r w:rsidR="00747BB9" w:rsidRPr="00E663CD">
        <w:rPr>
          <w:b/>
        </w:rPr>
        <w:t xml:space="preserve">běžných (neinvestičních) </w:t>
      </w:r>
      <w:r w:rsidRPr="00E663CD">
        <w:rPr>
          <w:b/>
        </w:rPr>
        <w:t>výdajů na</w:t>
      </w:r>
      <w:r w:rsidR="00C3177E" w:rsidRPr="00E663CD">
        <w:rPr>
          <w:b/>
        </w:rPr>
        <w:t> </w:t>
      </w:r>
      <w:r w:rsidRPr="00E663CD">
        <w:rPr>
          <w:b/>
        </w:rPr>
        <w:t>zdravotní péč</w:t>
      </w:r>
      <w:r w:rsidRPr="00E663CD">
        <w:t xml:space="preserve">i, resp. na zdravotnictví v širším slova smyslu. Jeho hlavním specifickým rysem je </w:t>
      </w:r>
      <w:r w:rsidRPr="00E663CD">
        <w:rPr>
          <w:b/>
        </w:rPr>
        <w:t>vícerozměrnost</w:t>
      </w:r>
      <w:r w:rsidRPr="00E663CD">
        <w:t xml:space="preserve"> členění výdajů. Hlavními rozměry jsou: </w:t>
      </w:r>
    </w:p>
    <w:p w:rsidR="00542E84" w:rsidRDefault="00542E84" w:rsidP="00A34DA0">
      <w:pPr>
        <w:pStyle w:val="Poznamkapodcarou"/>
        <w:numPr>
          <w:ilvl w:val="0"/>
          <w:numId w:val="3"/>
        </w:numPr>
        <w:jc w:val="both"/>
        <w:rPr>
          <w:iCs/>
          <w:sz w:val="20"/>
          <w:szCs w:val="17"/>
        </w:rPr>
      </w:pPr>
      <w:r>
        <w:rPr>
          <w:iCs/>
          <w:sz w:val="20"/>
          <w:szCs w:val="17"/>
        </w:rPr>
        <w:t>funkce (druh) poskytované zdravotní péče (ICHA – HC</w:t>
      </w:r>
      <w:r>
        <w:rPr>
          <w:rStyle w:val="Znakapoznpodarou"/>
          <w:iCs/>
          <w:sz w:val="20"/>
          <w:szCs w:val="17"/>
        </w:rPr>
        <w:footnoteReference w:id="1"/>
      </w:r>
      <w:r>
        <w:rPr>
          <w:iCs/>
          <w:sz w:val="20"/>
          <w:szCs w:val="17"/>
        </w:rPr>
        <w:t xml:space="preserve">, viz </w:t>
      </w:r>
      <w:r w:rsidR="00B801AF">
        <w:rPr>
          <w:iCs/>
          <w:sz w:val="20"/>
          <w:szCs w:val="17"/>
        </w:rPr>
        <w:t>klasifikace č.</w:t>
      </w:r>
      <w:r w:rsidR="00B40A03">
        <w:rPr>
          <w:iCs/>
          <w:sz w:val="20"/>
          <w:szCs w:val="17"/>
        </w:rPr>
        <w:t xml:space="preserve"> </w:t>
      </w:r>
      <w:r w:rsidR="00B801AF">
        <w:rPr>
          <w:iCs/>
          <w:sz w:val="20"/>
          <w:szCs w:val="17"/>
        </w:rPr>
        <w:t>2 v příloze</w:t>
      </w:r>
      <w:r>
        <w:rPr>
          <w:iCs/>
          <w:sz w:val="20"/>
          <w:szCs w:val="17"/>
        </w:rPr>
        <w:t xml:space="preserve">, dále jen HC), </w:t>
      </w:r>
    </w:p>
    <w:p w:rsidR="00542E84" w:rsidRDefault="00542E84" w:rsidP="00A34DA0">
      <w:pPr>
        <w:pStyle w:val="Poznamkapodcarou"/>
        <w:numPr>
          <w:ilvl w:val="0"/>
          <w:numId w:val="3"/>
        </w:numPr>
        <w:jc w:val="both"/>
        <w:rPr>
          <w:iCs/>
          <w:sz w:val="20"/>
          <w:szCs w:val="17"/>
        </w:rPr>
      </w:pPr>
      <w:r>
        <w:rPr>
          <w:iCs/>
          <w:sz w:val="20"/>
          <w:szCs w:val="17"/>
        </w:rPr>
        <w:t>typ poskytovatele (ICHA – HP</w:t>
      </w:r>
      <w:r>
        <w:rPr>
          <w:rStyle w:val="Znakapoznpodarou"/>
          <w:iCs/>
          <w:sz w:val="20"/>
          <w:szCs w:val="17"/>
        </w:rPr>
        <w:footnoteReference w:id="2"/>
      </w:r>
      <w:r>
        <w:rPr>
          <w:iCs/>
          <w:sz w:val="20"/>
          <w:szCs w:val="17"/>
        </w:rPr>
        <w:t xml:space="preserve">, viz </w:t>
      </w:r>
      <w:r w:rsidR="00B801AF">
        <w:rPr>
          <w:iCs/>
          <w:sz w:val="20"/>
          <w:szCs w:val="17"/>
        </w:rPr>
        <w:t>klasifikace č. 3 v příloze</w:t>
      </w:r>
      <w:r>
        <w:rPr>
          <w:iCs/>
          <w:sz w:val="20"/>
          <w:szCs w:val="17"/>
        </w:rPr>
        <w:t xml:space="preserve">, dále jen HP), </w:t>
      </w:r>
    </w:p>
    <w:p w:rsidR="00542E84" w:rsidRDefault="00542E84" w:rsidP="00A34DA0">
      <w:pPr>
        <w:pStyle w:val="Poznamkapodcarou"/>
        <w:numPr>
          <w:ilvl w:val="0"/>
          <w:numId w:val="3"/>
        </w:numPr>
        <w:jc w:val="both"/>
        <w:rPr>
          <w:iCs/>
          <w:sz w:val="20"/>
          <w:szCs w:val="17"/>
        </w:rPr>
      </w:pPr>
      <w:r>
        <w:rPr>
          <w:iCs/>
          <w:sz w:val="20"/>
          <w:szCs w:val="17"/>
        </w:rPr>
        <w:t>konečný zdroj financování (ICHA – HF</w:t>
      </w:r>
      <w:r>
        <w:rPr>
          <w:rStyle w:val="Znakapoznpodarou"/>
          <w:iCs/>
          <w:sz w:val="20"/>
          <w:szCs w:val="17"/>
        </w:rPr>
        <w:footnoteReference w:id="3"/>
      </w:r>
      <w:r>
        <w:rPr>
          <w:iCs/>
          <w:sz w:val="20"/>
          <w:szCs w:val="17"/>
        </w:rPr>
        <w:t xml:space="preserve">, viz </w:t>
      </w:r>
      <w:r w:rsidR="00B801AF">
        <w:rPr>
          <w:iCs/>
          <w:sz w:val="20"/>
          <w:szCs w:val="17"/>
        </w:rPr>
        <w:t>klasifikace č. 1 v příloze</w:t>
      </w:r>
      <w:r>
        <w:rPr>
          <w:iCs/>
          <w:sz w:val="20"/>
          <w:szCs w:val="17"/>
        </w:rPr>
        <w:t xml:space="preserve">, dále jen HF). </w:t>
      </w:r>
    </w:p>
    <w:p w:rsidR="00542E84" w:rsidRDefault="00542E84" w:rsidP="003B34FF">
      <w:pPr>
        <w:spacing w:before="120" w:after="120"/>
        <w:jc w:val="both"/>
      </w:pPr>
      <w:r>
        <w:t>Tyto tři základní rozměry se libovolně kombinují, čímž dostáváme maticově uspořádané tabulky zdravotnických výdajů, které jsou hlavním</w:t>
      </w:r>
      <w:r w:rsidR="00344398">
        <w:t>i</w:t>
      </w:r>
      <w:r>
        <w:t xml:space="preserve"> výstup</w:t>
      </w:r>
      <w:r w:rsidR="00344398">
        <w:t>y</w:t>
      </w:r>
      <w:r>
        <w:t xml:space="preserve"> zdravotnických účtů:</w:t>
      </w:r>
    </w:p>
    <w:p w:rsidR="00542E84" w:rsidRDefault="00542E84" w:rsidP="00A34DA0">
      <w:pPr>
        <w:pStyle w:val="Poznamkapodcarou"/>
        <w:numPr>
          <w:ilvl w:val="0"/>
          <w:numId w:val="2"/>
        </w:numPr>
        <w:jc w:val="both"/>
        <w:rPr>
          <w:sz w:val="20"/>
          <w:szCs w:val="17"/>
        </w:rPr>
      </w:pPr>
      <w:r>
        <w:rPr>
          <w:sz w:val="20"/>
          <w:szCs w:val="17"/>
        </w:rPr>
        <w:t>výdaje na zdravotní péči podle druhu péče a zdroje financování (HC x HF)</w:t>
      </w:r>
    </w:p>
    <w:p w:rsidR="00542E84" w:rsidRDefault="00542E84" w:rsidP="00A34DA0">
      <w:pPr>
        <w:pStyle w:val="Poznamkapodcarou"/>
        <w:numPr>
          <w:ilvl w:val="0"/>
          <w:numId w:val="2"/>
        </w:numPr>
        <w:jc w:val="both"/>
        <w:rPr>
          <w:sz w:val="20"/>
          <w:szCs w:val="17"/>
        </w:rPr>
      </w:pPr>
      <w:r>
        <w:rPr>
          <w:sz w:val="20"/>
          <w:szCs w:val="17"/>
        </w:rPr>
        <w:t>výdaje na zdravotní péči podle druhu péče a typu poskytovatele (HC x HP)</w:t>
      </w:r>
    </w:p>
    <w:p w:rsidR="00542E84" w:rsidRDefault="00542E84" w:rsidP="00E40102">
      <w:pPr>
        <w:pStyle w:val="Poznamkapodcarou"/>
        <w:numPr>
          <w:ilvl w:val="0"/>
          <w:numId w:val="2"/>
        </w:numPr>
        <w:jc w:val="both"/>
        <w:rPr>
          <w:sz w:val="20"/>
          <w:szCs w:val="17"/>
        </w:rPr>
      </w:pPr>
      <w:r>
        <w:rPr>
          <w:sz w:val="20"/>
          <w:szCs w:val="17"/>
        </w:rPr>
        <w:t>výdaje na zdravotní péči podle typu poskytovatele a zdroje financování (HP x HF)</w:t>
      </w:r>
    </w:p>
    <w:p w:rsidR="00542E84" w:rsidRDefault="00542E84" w:rsidP="00747BB9">
      <w:pPr>
        <w:spacing w:before="120" w:after="240"/>
        <w:jc w:val="both"/>
      </w:pPr>
      <w:bookmarkStart w:id="3" w:name="OLE_LINK109"/>
      <w:r>
        <w:t xml:space="preserve">Vícerozměrné členění poskytuje uživatelům těchto informací podstatně propracovanější a detailnější pohled na zdravotnické výdaje (užitečná je zejména informace o zastoupení a podílu jednotlivých </w:t>
      </w:r>
      <w:r w:rsidR="00747BB9" w:rsidRPr="00002F19">
        <w:t>zdrojů</w:t>
      </w:r>
      <w:r w:rsidR="00747BB9" w:rsidRPr="00747BB9">
        <w:rPr>
          <w:color w:val="FF0000"/>
        </w:rPr>
        <w:t xml:space="preserve"> </w:t>
      </w:r>
      <w:r>
        <w:t>při financování zdravotní péče), nicméně je také z pochopitelných důvodů náročnější na získáv</w:t>
      </w:r>
      <w:r w:rsidR="00AB3CE2">
        <w:t xml:space="preserve">ání a úpravu požadovaných dat. </w:t>
      </w:r>
    </w:p>
    <w:p w:rsidR="00542E84" w:rsidRDefault="005D514D" w:rsidP="00E40102">
      <w:pPr>
        <w:pStyle w:val="Nadpis2"/>
        <w:spacing w:before="240" w:after="120"/>
      </w:pPr>
      <w:bookmarkStart w:id="4" w:name="_Toc481748781"/>
      <w:bookmarkEnd w:id="3"/>
      <w:r>
        <w:t xml:space="preserve">1.2 </w:t>
      </w:r>
      <w:r w:rsidR="00AB3CE2">
        <w:t xml:space="preserve">Nová mezinárodní metodika </w:t>
      </w:r>
      <w:r w:rsidR="0098715D" w:rsidRPr="00E663CD">
        <w:rPr>
          <w:color w:val="C00000"/>
        </w:rPr>
        <w:t xml:space="preserve">SHA </w:t>
      </w:r>
      <w:bookmarkEnd w:id="4"/>
      <w:r w:rsidR="0098715D" w:rsidRPr="00E663CD">
        <w:rPr>
          <w:color w:val="C00000"/>
        </w:rPr>
        <w:t>2011</w:t>
      </w:r>
    </w:p>
    <w:p w:rsidR="00FD778F" w:rsidRPr="00E663CD" w:rsidRDefault="002A795D" w:rsidP="00747BB9">
      <w:pPr>
        <w:spacing w:before="120"/>
        <w:jc w:val="both"/>
      </w:pPr>
      <w:r w:rsidRPr="00E663CD">
        <w:t xml:space="preserve">Zdravotnické účty </w:t>
      </w:r>
      <w:r w:rsidR="00FD778F" w:rsidRPr="00E663CD">
        <w:t xml:space="preserve">je možné využít na mezinárodní i národní úrovni. Mezinárodní srovnání je umožněno jednotnou metodikou, která vznikla ve spolupráci OECD, WHO a </w:t>
      </w:r>
      <w:r w:rsidR="00B4643E" w:rsidRPr="00E663CD">
        <w:t>E</w:t>
      </w:r>
      <w:r w:rsidR="008B5772" w:rsidRPr="00E663CD">
        <w:t>UROSTATU</w:t>
      </w:r>
      <w:r w:rsidR="00FD778F" w:rsidRPr="00E663CD">
        <w:t>. Stejně tak lze jejich výsledků využít i na úrovni národní, kde mohou poskytovat informace potřebné pro analýzy výdajů na zdravotní péči a</w:t>
      </w:r>
      <w:r w:rsidR="00344398" w:rsidRPr="00E663CD">
        <w:t> </w:t>
      </w:r>
      <w:r w:rsidR="00FD778F" w:rsidRPr="00E663CD">
        <w:t xml:space="preserve">pro přijetí odpovídajících </w:t>
      </w:r>
      <w:r w:rsidR="00747BB9" w:rsidRPr="00E663CD">
        <w:t xml:space="preserve">odborných a politických </w:t>
      </w:r>
      <w:r w:rsidR="00FD778F" w:rsidRPr="00E663CD">
        <w:t>rozhodnutí</w:t>
      </w:r>
      <w:r w:rsidR="00747BB9" w:rsidRPr="00E663CD">
        <w:t xml:space="preserve"> v této oblasti</w:t>
      </w:r>
      <w:r w:rsidR="00FD778F" w:rsidRPr="00E663CD">
        <w:t>.</w:t>
      </w:r>
    </w:p>
    <w:p w:rsidR="00747BB9" w:rsidRDefault="00CA0463" w:rsidP="00747BB9">
      <w:pPr>
        <w:spacing w:before="120"/>
        <w:jc w:val="both"/>
      </w:pPr>
      <w:r>
        <w:t>O</w:t>
      </w:r>
      <w:r w:rsidR="002A795D">
        <w:t>bdobí referenčního roku 2014</w:t>
      </w:r>
      <w:r>
        <w:t xml:space="preserve"> bylo</w:t>
      </w:r>
      <w:r w:rsidR="002A795D">
        <w:t xml:space="preserve"> poznamenáno přechodem od vstupní metodiky zdravotnických účtů (SHA 1.0) z roku 2000 k vyššímu vývojovému stupni představovanému </w:t>
      </w:r>
      <w:r w:rsidR="002A795D" w:rsidRPr="0098715D">
        <w:rPr>
          <w:b/>
        </w:rPr>
        <w:t>metodickým manuálem SHA 2011</w:t>
      </w:r>
      <w:r w:rsidR="002A795D">
        <w:t>. Při zachování základního principu sledování výdajů</w:t>
      </w:r>
      <w:r w:rsidR="00EF3E4D">
        <w:t>,</w:t>
      </w:r>
      <w:r w:rsidR="002A795D">
        <w:t xml:space="preserve"> spočívajícím v kombinaci druhu </w:t>
      </w:r>
      <w:r w:rsidR="00FD778F">
        <w:t>vynakládané</w:t>
      </w:r>
      <w:r w:rsidR="002A795D">
        <w:t xml:space="preserve"> péče, typu jejího poskytovatele a odpovídajícího zdroje financování, přibírá nový metodický přístup do zpracování další data za některé oblasti zdravotnictví. Mezi ně z pohledu obsahu patří zejména </w:t>
      </w:r>
      <w:r w:rsidR="002A795D" w:rsidRPr="0098715D">
        <w:rPr>
          <w:b/>
        </w:rPr>
        <w:t>prevence a dlouhodobá péče</w:t>
      </w:r>
      <w:r w:rsidR="002A795D">
        <w:t xml:space="preserve">. </w:t>
      </w:r>
      <w:r w:rsidR="00FD778F" w:rsidRPr="00FD778F">
        <w:t xml:space="preserve">Tyto druhy zdravotní péče se posouvají více do centra pozornosti v souvislosti s rostoucím významem </w:t>
      </w:r>
      <w:r w:rsidR="00FD778F" w:rsidRPr="00FD778F">
        <w:lastRenderedPageBreak/>
        <w:t>prevence pro zjištění a snazší léčení i vážných onemocnění a dále s prodlužováním</w:t>
      </w:r>
      <w:r w:rsidR="00FD778F">
        <w:t xml:space="preserve"> </w:t>
      </w:r>
      <w:r w:rsidR="00FD778F" w:rsidRPr="00FD778F">
        <w:t xml:space="preserve">délky lidského života. </w:t>
      </w:r>
      <w:r w:rsidR="002A795D">
        <w:t>Výše uvedené nové přístupy přinášejí - v porovnání s dosavadními -  nejen další poznatky a informace o</w:t>
      </w:r>
      <w:r w:rsidR="00344398">
        <w:t> </w:t>
      </w:r>
      <w:r w:rsidR="002A795D">
        <w:t xml:space="preserve">složitých otázkách zdravotní péče, ale současně i úplnější </w:t>
      </w:r>
      <w:r w:rsidR="002A795D" w:rsidRPr="00E663CD">
        <w:t xml:space="preserve">výsledky </w:t>
      </w:r>
      <w:r w:rsidR="00747BB9" w:rsidRPr="00E663CD">
        <w:t>výdajů na zdravotní péči</w:t>
      </w:r>
      <w:r w:rsidR="002A795D" w:rsidRPr="00E663CD">
        <w:t xml:space="preserve">. </w:t>
      </w:r>
      <w:r w:rsidR="00747BB9">
        <w:t xml:space="preserve">V souladu s metodickým manuálem SHA jsou do zdravotnických účtů zahrnovány výdaje související se zdravotní péčí o naše občany na území České republiky. </w:t>
      </w:r>
    </w:p>
    <w:p w:rsidR="0098715D" w:rsidRDefault="00747BB9" w:rsidP="00747BB9">
      <w:pPr>
        <w:spacing w:before="120"/>
        <w:jc w:val="both"/>
      </w:pPr>
      <w:r>
        <w:t xml:space="preserve">Do celkových výdajů na zdravotní péči jsou dle výše uvedené platné metodiky SHA 2011 </w:t>
      </w:r>
      <w:r w:rsidR="0098715D">
        <w:t xml:space="preserve">do celkových výdajů na zdravotní péči </w:t>
      </w:r>
      <w:r>
        <w:t xml:space="preserve">zahrnovány </w:t>
      </w:r>
      <w:r w:rsidRPr="0098715D">
        <w:rPr>
          <w:b/>
        </w:rPr>
        <w:t xml:space="preserve">pouze běžné (neinvestiční) </w:t>
      </w:r>
      <w:r w:rsidR="0098715D" w:rsidRPr="0098715D">
        <w:rPr>
          <w:b/>
        </w:rPr>
        <w:t>náklady</w:t>
      </w:r>
      <w:r>
        <w:t xml:space="preserve">. </w:t>
      </w:r>
      <w:r w:rsidR="0098715D" w:rsidRPr="00F71B42">
        <w:rPr>
          <w:rFonts w:eastAsia="MS Gothic" w:cs="Arial"/>
          <w:bCs/>
          <w:szCs w:val="20"/>
        </w:rPr>
        <w:t xml:space="preserve">Český statistický úřad </w:t>
      </w:r>
      <w:r w:rsidR="0098715D">
        <w:rPr>
          <w:rFonts w:eastAsia="MS Gothic" w:cs="Arial"/>
          <w:bCs/>
          <w:szCs w:val="20"/>
        </w:rPr>
        <w:t xml:space="preserve">(dále jen ČSÚ) </w:t>
      </w:r>
      <w:r w:rsidR="0098715D">
        <w:t>přistoupil k tomuto pohledu plně v roce 2018 právě v rámci této publikace. Cílem bylo zabezpečit co nejlepší mezinárodní srovnatelnost. Pokud tedy není uvedeno jinak, veškeré uvedené údaje za roky 2010 až 2016 tak zahrnují pouze neinvestiční</w:t>
      </w:r>
      <w:r w:rsidR="00E40102">
        <w:t xml:space="preserve"> (běžné)</w:t>
      </w:r>
      <w:r w:rsidR="0098715D">
        <w:t xml:space="preserve"> výdaje</w:t>
      </w:r>
      <w:r w:rsidR="00E40102">
        <w:t xml:space="preserve"> na zdravotní péči</w:t>
      </w:r>
      <w:r w:rsidR="0098715D">
        <w:t xml:space="preserve">. </w:t>
      </w:r>
    </w:p>
    <w:p w:rsidR="00814887" w:rsidRPr="00C107E7" w:rsidRDefault="005D514D" w:rsidP="00E40102">
      <w:pPr>
        <w:pStyle w:val="Nadpis2"/>
        <w:spacing w:before="240" w:after="120"/>
      </w:pPr>
      <w:bookmarkStart w:id="5" w:name="_Toc481748782"/>
      <w:r>
        <w:t xml:space="preserve">1.3 </w:t>
      </w:r>
      <w:r w:rsidR="00814887" w:rsidRPr="00C107E7">
        <w:t>Zdravotnické účty jako součást zdravotnických informací</w:t>
      </w:r>
      <w:bookmarkEnd w:id="5"/>
    </w:p>
    <w:p w:rsidR="001E1749" w:rsidRDefault="00F71B42" w:rsidP="0098715D">
      <w:pPr>
        <w:spacing w:before="120"/>
        <w:jc w:val="both"/>
        <w:rPr>
          <w:rFonts w:eastAsia="MS Gothic" w:cs="Arial"/>
          <w:bCs/>
          <w:szCs w:val="20"/>
        </w:rPr>
      </w:pPr>
      <w:r w:rsidRPr="00F71B42">
        <w:rPr>
          <w:rFonts w:eastAsia="MS Gothic" w:cs="Arial"/>
          <w:bCs/>
          <w:szCs w:val="20"/>
        </w:rPr>
        <w:t>Č</w:t>
      </w:r>
      <w:r w:rsidR="0098715D">
        <w:rPr>
          <w:rFonts w:eastAsia="MS Gothic" w:cs="Arial"/>
          <w:bCs/>
          <w:szCs w:val="20"/>
        </w:rPr>
        <w:t>SÚ</w:t>
      </w:r>
      <w:r w:rsidR="00B4643E">
        <w:rPr>
          <w:rFonts w:eastAsia="MS Gothic" w:cs="Arial"/>
          <w:bCs/>
          <w:szCs w:val="20"/>
        </w:rPr>
        <w:t xml:space="preserve"> </w:t>
      </w:r>
      <w:r w:rsidRPr="00F71B42">
        <w:rPr>
          <w:rFonts w:eastAsia="MS Gothic" w:cs="Arial"/>
          <w:bCs/>
          <w:szCs w:val="20"/>
        </w:rPr>
        <w:t>poprvé zpracoval zdravotnické účty ČR za referenční</w:t>
      </w:r>
      <w:r w:rsidR="00B4643E">
        <w:rPr>
          <w:rFonts w:eastAsia="MS Gothic" w:cs="Arial"/>
          <w:bCs/>
          <w:szCs w:val="20"/>
        </w:rPr>
        <w:t xml:space="preserve"> rok 2000. Před</w:t>
      </w:r>
      <w:r w:rsidR="00C3177E">
        <w:rPr>
          <w:rFonts w:eastAsia="MS Gothic" w:cs="Arial"/>
          <w:bCs/>
          <w:szCs w:val="20"/>
        </w:rPr>
        <w:t> </w:t>
      </w:r>
      <w:r w:rsidR="00B4643E">
        <w:rPr>
          <w:rFonts w:eastAsia="MS Gothic" w:cs="Arial"/>
          <w:bCs/>
          <w:szCs w:val="20"/>
        </w:rPr>
        <w:t>zahájením prací</w:t>
      </w:r>
      <w:r w:rsidRPr="00F71B42">
        <w:rPr>
          <w:rFonts w:eastAsia="MS Gothic" w:cs="Arial"/>
          <w:bCs/>
          <w:szCs w:val="20"/>
        </w:rPr>
        <w:t xml:space="preserve"> bylo nutné vyřešit otázky týkající se zdrojů spolehlivých dat a vhodnosti stávajících metodických nástrojů (zejména klasifikací).</w:t>
      </w:r>
      <w:r w:rsidR="00602EF3">
        <w:rPr>
          <w:rFonts w:eastAsia="MS Gothic" w:cs="Arial"/>
          <w:bCs/>
          <w:szCs w:val="20"/>
        </w:rPr>
        <w:t xml:space="preserve"> </w:t>
      </w:r>
      <w:r w:rsidRPr="00F71B42">
        <w:rPr>
          <w:rFonts w:eastAsia="MS Gothic" w:cs="Arial"/>
          <w:bCs/>
          <w:szCs w:val="20"/>
        </w:rPr>
        <w:t>Ukázalo se, že bude vhodné vycházet především</w:t>
      </w:r>
      <w:r w:rsidR="00B4643E">
        <w:rPr>
          <w:rFonts w:eastAsia="MS Gothic" w:cs="Arial"/>
          <w:bCs/>
          <w:szCs w:val="20"/>
        </w:rPr>
        <w:t xml:space="preserve"> z </w:t>
      </w:r>
      <w:r w:rsidR="00B4643E" w:rsidRPr="0098715D">
        <w:rPr>
          <w:rFonts w:eastAsia="MS Gothic" w:cs="Arial"/>
          <w:b/>
          <w:bCs/>
          <w:szCs w:val="20"/>
        </w:rPr>
        <w:t>administrativních zdrojů dat</w:t>
      </w:r>
      <w:r w:rsidRPr="0098715D">
        <w:rPr>
          <w:rFonts w:eastAsia="MS Gothic" w:cs="Arial"/>
          <w:b/>
          <w:bCs/>
          <w:szCs w:val="20"/>
        </w:rPr>
        <w:t xml:space="preserve"> vedených zdravotními pojišťovnami</w:t>
      </w:r>
      <w:r w:rsidRPr="00F71B42">
        <w:rPr>
          <w:rFonts w:eastAsia="MS Gothic" w:cs="Arial"/>
          <w:bCs/>
          <w:szCs w:val="20"/>
        </w:rPr>
        <w:t xml:space="preserve"> (veřejné zdravotní pojištění), komerčními pojišťovnami (cestovní a jiné zdravotní pojištění) a</w:t>
      </w:r>
      <w:r w:rsidR="00344398">
        <w:rPr>
          <w:rFonts w:eastAsia="MS Gothic" w:cs="Arial"/>
          <w:bCs/>
          <w:szCs w:val="20"/>
        </w:rPr>
        <w:t> </w:t>
      </w:r>
      <w:r w:rsidRPr="00F71B42">
        <w:rPr>
          <w:rFonts w:eastAsia="MS Gothic" w:cs="Arial"/>
          <w:bCs/>
          <w:szCs w:val="20"/>
        </w:rPr>
        <w:t xml:space="preserve">ministerstvem financí ČR (výdaje veřejných rozpočtů). </w:t>
      </w:r>
    </w:p>
    <w:p w:rsidR="00B4643E" w:rsidRDefault="00F71B42" w:rsidP="0098715D">
      <w:pPr>
        <w:spacing w:before="120"/>
        <w:jc w:val="both"/>
        <w:rPr>
          <w:rFonts w:eastAsia="MS Gothic" w:cs="Arial"/>
          <w:bCs/>
          <w:szCs w:val="20"/>
        </w:rPr>
      </w:pPr>
      <w:r w:rsidRPr="00F71B42">
        <w:rPr>
          <w:rFonts w:eastAsia="MS Gothic" w:cs="Arial"/>
          <w:bCs/>
          <w:szCs w:val="20"/>
        </w:rPr>
        <w:t xml:space="preserve">Tam, kde nebyla k dispozici vhodná administrativní data, bylo nutné přistoupit k využití výsledků </w:t>
      </w:r>
      <w:r w:rsidRPr="00E40102">
        <w:rPr>
          <w:rFonts w:eastAsia="MS Gothic" w:cs="Arial"/>
          <w:b/>
          <w:bCs/>
          <w:szCs w:val="20"/>
        </w:rPr>
        <w:t>statistických zjišťování ČSÚ</w:t>
      </w:r>
      <w:r w:rsidRPr="00F71B42">
        <w:rPr>
          <w:rFonts w:eastAsia="MS Gothic" w:cs="Arial"/>
          <w:bCs/>
          <w:szCs w:val="20"/>
        </w:rPr>
        <w:t>. V případě domácností to jsou údaje statistiky rodinných účtů</w:t>
      </w:r>
      <w:r w:rsidR="00344398">
        <w:rPr>
          <w:rFonts w:eastAsia="MS Gothic" w:cs="Arial"/>
          <w:bCs/>
          <w:szCs w:val="20"/>
        </w:rPr>
        <w:t>. V</w:t>
      </w:r>
      <w:r w:rsidRPr="00F71B42">
        <w:rPr>
          <w:rFonts w:eastAsia="MS Gothic" w:cs="Arial"/>
          <w:bCs/>
          <w:szCs w:val="20"/>
        </w:rPr>
        <w:t>ýdaje neziskových institucí na zdravotní péči (např. Červený kříž, Liga proti rakovině atd.) jsou zjišťovány v rámci šetření neziskových institucí a výdaje podnikové sféry (zejména na preventivní péči) pomocí šetření o</w:t>
      </w:r>
      <w:r w:rsidR="00C47265">
        <w:rPr>
          <w:rFonts w:eastAsia="MS Gothic" w:cs="Arial"/>
          <w:bCs/>
          <w:szCs w:val="20"/>
        </w:rPr>
        <w:t> </w:t>
      </w:r>
      <w:r w:rsidRPr="00F71B42">
        <w:rPr>
          <w:rFonts w:eastAsia="MS Gothic" w:cs="Arial"/>
          <w:bCs/>
          <w:szCs w:val="20"/>
        </w:rPr>
        <w:t>úplných nákladech práce. Můžeme říci, že využitím výše zmíněných datových zdrojů byla evidována a</w:t>
      </w:r>
      <w:r w:rsidR="00C47265">
        <w:rPr>
          <w:rFonts w:eastAsia="MS Gothic" w:cs="Arial"/>
          <w:bCs/>
          <w:szCs w:val="20"/>
        </w:rPr>
        <w:t> </w:t>
      </w:r>
      <w:r w:rsidRPr="00F71B42">
        <w:rPr>
          <w:rFonts w:eastAsia="MS Gothic" w:cs="Arial"/>
          <w:bCs/>
          <w:szCs w:val="20"/>
        </w:rPr>
        <w:t xml:space="preserve">zpracována data </w:t>
      </w:r>
      <w:r w:rsidR="00C107E7">
        <w:rPr>
          <w:rFonts w:eastAsia="MS Gothic" w:cs="Arial"/>
          <w:bCs/>
          <w:szCs w:val="20"/>
        </w:rPr>
        <w:t>za naprostou většinu</w:t>
      </w:r>
      <w:r w:rsidRPr="00F71B42">
        <w:rPr>
          <w:rFonts w:eastAsia="MS Gothic" w:cs="Arial"/>
          <w:bCs/>
          <w:szCs w:val="20"/>
        </w:rPr>
        <w:t xml:space="preserve"> z</w:t>
      </w:r>
      <w:r w:rsidR="00C107E7">
        <w:rPr>
          <w:rFonts w:eastAsia="MS Gothic" w:cs="Arial"/>
          <w:bCs/>
          <w:szCs w:val="20"/>
        </w:rPr>
        <w:t xml:space="preserve">dravotnických výdajů. </w:t>
      </w:r>
    </w:p>
    <w:p w:rsidR="00C47265" w:rsidRDefault="00F71B42" w:rsidP="00C47265">
      <w:pPr>
        <w:spacing w:before="120"/>
        <w:jc w:val="both"/>
        <w:rPr>
          <w:rFonts w:eastAsia="MS Gothic" w:cs="Arial"/>
          <w:bCs/>
          <w:szCs w:val="20"/>
        </w:rPr>
      </w:pPr>
      <w:r w:rsidRPr="00F71B42">
        <w:rPr>
          <w:rFonts w:eastAsia="MS Gothic" w:cs="Arial"/>
          <w:bCs/>
          <w:szCs w:val="20"/>
        </w:rPr>
        <w:t>Nutno dodat, že zdravotnické účty zpracovávané ČSÚ nepředstavují jediný přístup ke kvantifikaci výdajů na zdravotnictví</w:t>
      </w:r>
      <w:r w:rsidR="00C47265">
        <w:rPr>
          <w:rFonts w:eastAsia="MS Gothic" w:cs="Arial"/>
          <w:bCs/>
          <w:szCs w:val="20"/>
        </w:rPr>
        <w:t xml:space="preserve"> v České republice</w:t>
      </w:r>
      <w:r w:rsidRPr="00F71B42">
        <w:rPr>
          <w:rFonts w:eastAsia="MS Gothic" w:cs="Arial"/>
          <w:bCs/>
          <w:szCs w:val="20"/>
        </w:rPr>
        <w:t xml:space="preserve">. Tyto výdaje jsou ročně také kalkulovány </w:t>
      </w:r>
      <w:r w:rsidR="00C47265">
        <w:rPr>
          <w:rFonts w:eastAsia="MS Gothic" w:cs="Arial"/>
          <w:bCs/>
          <w:szCs w:val="20"/>
        </w:rPr>
        <w:t xml:space="preserve">například </w:t>
      </w:r>
      <w:r w:rsidRPr="00F71B42">
        <w:rPr>
          <w:rFonts w:eastAsia="MS Gothic" w:cs="Arial"/>
          <w:bCs/>
          <w:szCs w:val="20"/>
        </w:rPr>
        <w:t>ministerstvy financí a</w:t>
      </w:r>
      <w:r w:rsidR="00C47265">
        <w:rPr>
          <w:rFonts w:eastAsia="MS Gothic" w:cs="Arial"/>
          <w:bCs/>
          <w:szCs w:val="20"/>
        </w:rPr>
        <w:t> </w:t>
      </w:r>
      <w:r w:rsidRPr="00F71B42">
        <w:rPr>
          <w:rFonts w:eastAsia="MS Gothic" w:cs="Arial"/>
          <w:bCs/>
          <w:szCs w:val="20"/>
        </w:rPr>
        <w:t>zdravotnictví ČR</w:t>
      </w:r>
      <w:r w:rsidR="00B2098B">
        <w:rPr>
          <w:rFonts w:eastAsia="MS Gothic" w:cs="Arial"/>
          <w:bCs/>
          <w:szCs w:val="20"/>
        </w:rPr>
        <w:t xml:space="preserve"> </w:t>
      </w:r>
      <w:r w:rsidR="00C107E7">
        <w:rPr>
          <w:rFonts w:eastAsia="MS Gothic" w:cs="Arial"/>
          <w:bCs/>
          <w:szCs w:val="20"/>
        </w:rPr>
        <w:t xml:space="preserve">s </w:t>
      </w:r>
      <w:r w:rsidRPr="00F71B42">
        <w:rPr>
          <w:rFonts w:eastAsia="MS Gothic" w:cs="Arial"/>
          <w:bCs/>
          <w:szCs w:val="20"/>
        </w:rPr>
        <w:t>využitím dat zdravotních pojišťoven předkládaných ve čtvrtletní periodicitě dle vyhlášky č. 362/2010 Sb. Mezi uvedenými přístupy a z nich vycházejícími daty jsou některé odlišnosti. Z pohledu času jsou údaje zdravotnických účtů k</w:t>
      </w:r>
      <w:r w:rsidR="00C3177E">
        <w:rPr>
          <w:rFonts w:eastAsia="MS Gothic" w:cs="Arial"/>
          <w:bCs/>
          <w:szCs w:val="20"/>
        </w:rPr>
        <w:t> </w:t>
      </w:r>
      <w:r w:rsidRPr="00F71B42">
        <w:rPr>
          <w:rFonts w:eastAsia="MS Gothic" w:cs="Arial"/>
          <w:bCs/>
          <w:szCs w:val="20"/>
        </w:rPr>
        <w:t xml:space="preserve">dispozici </w:t>
      </w:r>
      <w:r w:rsidR="00B2098B">
        <w:rPr>
          <w:rFonts w:eastAsia="MS Gothic" w:cs="Arial"/>
          <w:bCs/>
          <w:szCs w:val="20"/>
        </w:rPr>
        <w:t xml:space="preserve">zhruba </w:t>
      </w:r>
      <w:r w:rsidR="00D7363A">
        <w:rPr>
          <w:rFonts w:eastAsia="MS Gothic" w:cs="Arial"/>
          <w:bCs/>
          <w:szCs w:val="20"/>
        </w:rPr>
        <w:t>16 měsíců po skončení referenčního období</w:t>
      </w:r>
      <w:r w:rsidRPr="00F71B42">
        <w:rPr>
          <w:rFonts w:eastAsia="MS Gothic" w:cs="Arial"/>
          <w:bCs/>
          <w:szCs w:val="20"/>
        </w:rPr>
        <w:t xml:space="preserve">. Rozdíly jsou také v obsahu obou soustav dat o výdajích na zdravotní péči. </w:t>
      </w:r>
    </w:p>
    <w:p w:rsidR="00C107E7" w:rsidRDefault="00F71B42" w:rsidP="00C47265">
      <w:pPr>
        <w:spacing w:before="120"/>
        <w:jc w:val="both"/>
        <w:rPr>
          <w:rFonts w:eastAsia="MS Gothic" w:cs="Arial"/>
          <w:bCs/>
          <w:szCs w:val="20"/>
        </w:rPr>
      </w:pPr>
      <w:r w:rsidRPr="00F71B42">
        <w:rPr>
          <w:rFonts w:eastAsia="MS Gothic" w:cs="Arial"/>
          <w:bCs/>
          <w:szCs w:val="20"/>
        </w:rPr>
        <w:t xml:space="preserve">Zdravotnické účty </w:t>
      </w:r>
      <w:r w:rsidRPr="0098715D">
        <w:rPr>
          <w:rFonts w:eastAsia="MS Gothic" w:cs="Arial"/>
          <w:b/>
          <w:bCs/>
          <w:szCs w:val="20"/>
        </w:rPr>
        <w:t>mají komplexnější záběr</w:t>
      </w:r>
      <w:r w:rsidRPr="00F71B42">
        <w:rPr>
          <w:rFonts w:eastAsia="MS Gothic" w:cs="Arial"/>
          <w:bCs/>
          <w:szCs w:val="20"/>
        </w:rPr>
        <w:t>, zahrnují veškeré výdaje na prevenci (</w:t>
      </w:r>
      <w:r w:rsidR="009E14B5">
        <w:rPr>
          <w:rFonts w:eastAsia="MS Gothic" w:cs="Arial"/>
          <w:bCs/>
          <w:szCs w:val="20"/>
        </w:rPr>
        <w:t xml:space="preserve">včetně </w:t>
      </w:r>
      <w:r w:rsidRPr="00F71B42">
        <w:rPr>
          <w:rFonts w:eastAsia="MS Gothic" w:cs="Arial"/>
          <w:bCs/>
          <w:szCs w:val="20"/>
        </w:rPr>
        <w:t>podnikové sféry), výdaje dlouhodobé péče poskytované v sociálních zařízeních, sociální dávky a také výdaje režijního charakteru vynakládané v rámci zdravotnictví. Rozhodující rozdíl obou systémů dat však spočívá v tom, že zdravotnické účty jsou sestavovány podle mezinárodně platné metodiky (OECD,</w:t>
      </w:r>
      <w:r w:rsidR="00C3177E">
        <w:rPr>
          <w:rFonts w:eastAsia="MS Gothic" w:cs="Arial"/>
          <w:bCs/>
          <w:szCs w:val="20"/>
        </w:rPr>
        <w:t> </w:t>
      </w:r>
      <w:r w:rsidRPr="00F71B42">
        <w:rPr>
          <w:rFonts w:eastAsia="MS Gothic" w:cs="Arial"/>
          <w:bCs/>
          <w:szCs w:val="20"/>
        </w:rPr>
        <w:t xml:space="preserve">WHO, </w:t>
      </w:r>
      <w:r w:rsidR="00B4643E">
        <w:rPr>
          <w:rFonts w:eastAsia="MS Gothic" w:cs="Arial"/>
          <w:bCs/>
          <w:szCs w:val="20"/>
        </w:rPr>
        <w:t>E</w:t>
      </w:r>
      <w:r w:rsidR="00736D17">
        <w:rPr>
          <w:rFonts w:eastAsia="MS Gothic" w:cs="Arial"/>
          <w:bCs/>
          <w:szCs w:val="20"/>
        </w:rPr>
        <w:t>UROSTAT</w:t>
      </w:r>
      <w:r w:rsidRPr="00F71B42">
        <w:rPr>
          <w:rFonts w:eastAsia="MS Gothic" w:cs="Arial"/>
          <w:bCs/>
          <w:szCs w:val="20"/>
        </w:rPr>
        <w:t xml:space="preserve">). Z této skutečnosti je zřejmé, že přesahují úzké národní pojetí a představují tak jedinou soustavu dat o výdajích na zdravotní péči, která je mezinárodně srovnatelná. </w:t>
      </w:r>
    </w:p>
    <w:p w:rsidR="00542E84" w:rsidRPr="0074736D" w:rsidRDefault="005D514D" w:rsidP="00E40102">
      <w:pPr>
        <w:pStyle w:val="Nadpis2"/>
        <w:spacing w:before="240" w:after="120"/>
      </w:pPr>
      <w:bookmarkStart w:id="6" w:name="_Toc481748783"/>
      <w:bookmarkStart w:id="7" w:name="_Toc66264171"/>
      <w:r>
        <w:t xml:space="preserve">1.4 </w:t>
      </w:r>
      <w:r w:rsidR="009248E3" w:rsidRPr="0074736D">
        <w:t>Co přinášejí další stránky publikace</w:t>
      </w:r>
      <w:bookmarkEnd w:id="6"/>
    </w:p>
    <w:p w:rsidR="00917F10" w:rsidRDefault="009248E3" w:rsidP="00917F10">
      <w:pPr>
        <w:spacing w:before="120"/>
        <w:jc w:val="both"/>
      </w:pPr>
      <w:r>
        <w:t>Po úvodní kapitole charakterizující zdravotnické účty a problematiku jejich uplatnění v našich podmínkách, následují informace o výsledcích zdravotnických účtů ČR</w:t>
      </w:r>
      <w:r w:rsidR="00344398">
        <w:t>,</w:t>
      </w:r>
      <w:r>
        <w:t xml:space="preserve"> a to jak v souhrnném pohledu, tak i v detailnějším členění umožněném zejména využitím dosažitelných administrativních zdrojů dat a výstupů ze statistického šetření výdajů domácností. </w:t>
      </w:r>
    </w:p>
    <w:p w:rsidR="00F71B42" w:rsidRDefault="009248E3" w:rsidP="00917F10">
      <w:pPr>
        <w:spacing w:before="120"/>
        <w:jc w:val="both"/>
      </w:pPr>
      <w:r>
        <w:t>Souhrnné výsledky jsou prezentovány z výše uvedených tří základních pohledů – druhu zdravotní péče, jejího poskytovatele a odpovídajícího zdroje financování. Specif</w:t>
      </w:r>
      <w:r w:rsidR="00D7363A">
        <w:t xml:space="preserve">ické informace </w:t>
      </w:r>
      <w:r>
        <w:t>obsažené v další části publikace se vztahují k výdajům z</w:t>
      </w:r>
      <w:r w:rsidR="00D7363A">
        <w:t xml:space="preserve"> veřejného</w:t>
      </w:r>
      <w:r>
        <w:t xml:space="preserve"> zdravotního pojištění (podle věku, pohlaví a diagnóz), výdajům domácností na zdrav</w:t>
      </w:r>
      <w:r w:rsidR="00D3681A">
        <w:t>otní péči, ke dlouhodobé péči a</w:t>
      </w:r>
      <w:r>
        <w:t xml:space="preserve"> k výdajům na léky. Textová část publikace je zakončena kapitolou uvádějící výsledky zdravotnických účtů v mezinárodním porovnání. Publikaci uzavírají přílohy obsahující metodické poznámky</w:t>
      </w:r>
      <w:r w:rsidR="00B551E6">
        <w:t>, vysvětlení některých pojmů, přehled mezinárodních klasifikací a</w:t>
      </w:r>
      <w:r w:rsidR="00C47265">
        <w:t> </w:t>
      </w:r>
      <w:r>
        <w:t xml:space="preserve">tabulky </w:t>
      </w:r>
      <w:r w:rsidR="00D7363A">
        <w:t>s</w:t>
      </w:r>
      <w:r w:rsidR="00F014FF">
        <w:t> podrobnými výsledky za rok 201</w:t>
      </w:r>
      <w:r w:rsidR="00D3681A">
        <w:t>6</w:t>
      </w:r>
      <w:r w:rsidR="00CD288B">
        <w:t xml:space="preserve"> i s časovými řadami od roku 2010.</w:t>
      </w:r>
      <w:r>
        <w:t xml:space="preserve"> </w:t>
      </w:r>
      <w:bookmarkEnd w:id="7"/>
    </w:p>
    <w:p w:rsidR="00240B6D" w:rsidRPr="00240B6D" w:rsidRDefault="00240B6D" w:rsidP="009F4437">
      <w:pPr>
        <w:keepNext/>
        <w:keepLines/>
        <w:spacing w:after="120"/>
        <w:outlineLvl w:val="0"/>
        <w:rPr>
          <w:rFonts w:eastAsia="MS Gothic"/>
          <w:b/>
          <w:bCs/>
          <w:color w:val="BC091B"/>
          <w:sz w:val="32"/>
          <w:szCs w:val="28"/>
        </w:rPr>
      </w:pPr>
      <w:bookmarkStart w:id="8" w:name="_Toc481748784"/>
      <w:r w:rsidRPr="00240B6D">
        <w:rPr>
          <w:rFonts w:eastAsia="MS Gothic"/>
          <w:b/>
          <w:bCs/>
          <w:color w:val="BC091B"/>
          <w:sz w:val="32"/>
          <w:szCs w:val="28"/>
        </w:rPr>
        <w:lastRenderedPageBreak/>
        <w:t>2. Souhrnné výsledky zdravotnických účtů</w:t>
      </w:r>
      <w:bookmarkEnd w:id="8"/>
    </w:p>
    <w:p w:rsidR="00240B6D" w:rsidRPr="00240B6D" w:rsidRDefault="00240B6D" w:rsidP="002D246F">
      <w:pPr>
        <w:keepNext/>
        <w:spacing w:before="120"/>
        <w:jc w:val="both"/>
        <w:rPr>
          <w:bCs/>
        </w:rPr>
      </w:pPr>
      <w:r w:rsidRPr="00240B6D">
        <w:rPr>
          <w:bCs/>
        </w:rPr>
        <w:t xml:space="preserve">V této části publikace jsou uvedeny základní informace vycházející ze zpracování zdravotnických účtů České republiky za referenční roky 2010 až 2016 z pohledu jejich tří rozměrů, což jsou </w:t>
      </w:r>
      <w:r w:rsidRPr="00240B6D">
        <w:rPr>
          <w:b/>
          <w:bCs/>
        </w:rPr>
        <w:t>zdroje financování, druh zdravotní péče a typ jejího poskytovatele</w:t>
      </w:r>
      <w:r w:rsidRPr="00240B6D">
        <w:rPr>
          <w:bCs/>
        </w:rPr>
        <w:t>. Otázky metodického charakteru týkající se užívaných pojmů či metodických nástrojů (klasifikací apod.), které není nutno s ohledem na srozumitelnost textu řešit bezprostředně na místě, jsou blíže specifikovány v metodické příloze.</w:t>
      </w:r>
    </w:p>
    <w:p w:rsidR="00240B6D" w:rsidRPr="00240B6D" w:rsidRDefault="00240B6D" w:rsidP="002D246F">
      <w:pPr>
        <w:keepNext/>
        <w:keepLines/>
        <w:spacing w:before="240" w:after="120"/>
        <w:outlineLvl w:val="1"/>
        <w:rPr>
          <w:rFonts w:eastAsia="MS Gothic"/>
          <w:b/>
          <w:bCs/>
          <w:color w:val="BC091B"/>
          <w:sz w:val="28"/>
          <w:szCs w:val="26"/>
        </w:rPr>
      </w:pPr>
      <w:bookmarkStart w:id="9" w:name="OLE_LINK9"/>
      <w:bookmarkStart w:id="10" w:name="OLE_LINK116"/>
      <w:r w:rsidRPr="00240B6D">
        <w:rPr>
          <w:rFonts w:eastAsia="MS Gothic"/>
          <w:b/>
          <w:bCs/>
          <w:color w:val="BC091B"/>
          <w:sz w:val="28"/>
          <w:szCs w:val="26"/>
        </w:rPr>
        <w:t>2.1 Celkové výdaje na zdravotní péči</w:t>
      </w:r>
      <w:r w:rsidR="003452B6">
        <w:rPr>
          <w:rFonts w:eastAsia="MS Gothic"/>
          <w:b/>
          <w:bCs/>
          <w:color w:val="BC091B"/>
          <w:sz w:val="28"/>
          <w:szCs w:val="26"/>
        </w:rPr>
        <w:t xml:space="preserve"> – základní údaje</w:t>
      </w:r>
      <w:r w:rsidRPr="00240B6D">
        <w:rPr>
          <w:rFonts w:eastAsia="MS Gothic"/>
          <w:b/>
          <w:bCs/>
          <w:color w:val="BC091B"/>
          <w:sz w:val="28"/>
          <w:szCs w:val="26"/>
        </w:rPr>
        <w:t xml:space="preserve"> </w:t>
      </w:r>
    </w:p>
    <w:p w:rsidR="00240B6D" w:rsidRDefault="00240B6D" w:rsidP="002D246F">
      <w:pPr>
        <w:keepNext/>
        <w:spacing w:before="120"/>
        <w:jc w:val="both"/>
        <w:rPr>
          <w:bCs/>
          <w:szCs w:val="20"/>
        </w:rPr>
      </w:pPr>
      <w:r w:rsidRPr="00240B6D">
        <w:rPr>
          <w:b/>
          <w:bCs/>
          <w:szCs w:val="20"/>
        </w:rPr>
        <w:t>V roce 2016 dosáhly celkové výdaje</w:t>
      </w:r>
      <w:r w:rsidRPr="00240B6D">
        <w:rPr>
          <w:bCs/>
          <w:szCs w:val="20"/>
        </w:rPr>
        <w:t xml:space="preserve"> </w:t>
      </w:r>
      <w:r w:rsidRPr="00240B6D">
        <w:rPr>
          <w:b/>
          <w:bCs/>
          <w:szCs w:val="20"/>
        </w:rPr>
        <w:t>na zdravotní péči</w:t>
      </w:r>
      <w:r w:rsidRPr="00240B6D">
        <w:rPr>
          <w:b/>
          <w:bCs/>
          <w:szCs w:val="20"/>
          <w:vertAlign w:val="superscript"/>
        </w:rPr>
        <w:footnoteReference w:id="4"/>
      </w:r>
      <w:r w:rsidRPr="00240B6D">
        <w:rPr>
          <w:bCs/>
          <w:szCs w:val="20"/>
        </w:rPr>
        <w:t xml:space="preserve"> v České republice </w:t>
      </w:r>
      <w:r w:rsidRPr="00240B6D">
        <w:rPr>
          <w:b/>
          <w:bCs/>
          <w:szCs w:val="20"/>
        </w:rPr>
        <w:t xml:space="preserve">361,6 mld. Kč. </w:t>
      </w:r>
      <w:r w:rsidRPr="00240B6D">
        <w:rPr>
          <w:bCs/>
          <w:szCs w:val="20"/>
        </w:rPr>
        <w:t>Meziročně vzrostly o</w:t>
      </w:r>
      <w:r w:rsidRPr="00240B6D">
        <w:rPr>
          <w:b/>
          <w:bCs/>
          <w:szCs w:val="20"/>
        </w:rPr>
        <w:t xml:space="preserve"> </w:t>
      </w:r>
      <w:r w:rsidRPr="00240B6D">
        <w:rPr>
          <w:bCs/>
          <w:szCs w:val="20"/>
        </w:rPr>
        <w:t xml:space="preserve">9,6 mld. Kč (2,7 %), </w:t>
      </w:r>
      <w:r w:rsidR="00C47265" w:rsidRPr="002E7C59">
        <w:rPr>
          <w:bCs/>
          <w:szCs w:val="20"/>
        </w:rPr>
        <w:t>tj.</w:t>
      </w:r>
      <w:r w:rsidRPr="002E7C59">
        <w:rPr>
          <w:bCs/>
          <w:szCs w:val="20"/>
        </w:rPr>
        <w:t xml:space="preserve"> nejvíce od roku 2010</w:t>
      </w:r>
      <w:r w:rsidR="002E7C59" w:rsidRPr="002E7C59">
        <w:rPr>
          <w:bCs/>
          <w:szCs w:val="20"/>
        </w:rPr>
        <w:t>, kdy</w:t>
      </w:r>
      <w:r w:rsidR="004236AB" w:rsidRPr="002E7C59">
        <w:rPr>
          <w:bCs/>
          <w:szCs w:val="20"/>
        </w:rPr>
        <w:t xml:space="preserve"> má ČSÚ k dispozici srovnatelné údaje o</w:t>
      </w:r>
      <w:r w:rsidR="00CC2E9C" w:rsidRPr="002E7C59">
        <w:rPr>
          <w:bCs/>
          <w:szCs w:val="20"/>
        </w:rPr>
        <w:t> </w:t>
      </w:r>
      <w:r w:rsidR="004236AB" w:rsidRPr="002E7C59">
        <w:rPr>
          <w:bCs/>
          <w:szCs w:val="20"/>
        </w:rPr>
        <w:t>výdajích na zdravotní péči podle mezinárodní metodiky SHA 2011</w:t>
      </w:r>
      <w:r w:rsidRPr="002E7C59">
        <w:rPr>
          <w:bCs/>
          <w:szCs w:val="20"/>
        </w:rPr>
        <w:t>.</w:t>
      </w:r>
      <w:r w:rsidRPr="00240B6D">
        <w:rPr>
          <w:bCs/>
          <w:szCs w:val="20"/>
        </w:rPr>
        <w:t xml:space="preserve"> Výše uvedený meziroční celkový nárůst výdajů na zdravotní péči v ČR byl zapříčiněn téměř stejnou měrou jak nárůstem prostředků ze zdravotního pojištění, tak přímo hrazené péče ze státního rozpočtu. Výdaje zdravotních pojišťoven meziročně vzrostly o 3,2 mld. Kč (1,4 %) a výdaje ze státního rozpočtu o 3,3 mld. Kč (6,2 %).</w:t>
      </w:r>
      <w:r w:rsidR="00406353">
        <w:rPr>
          <w:bCs/>
          <w:szCs w:val="20"/>
        </w:rPr>
        <w:t xml:space="preserve"> Přímé platby domácností (pacientů) – třetí hlavní zdroj financování zdravotní péče v Česku </w:t>
      </w:r>
      <w:r w:rsidR="006A4247">
        <w:rPr>
          <w:bCs/>
          <w:szCs w:val="20"/>
        </w:rPr>
        <w:t xml:space="preserve">– </w:t>
      </w:r>
      <w:r w:rsidR="00406353">
        <w:rPr>
          <w:bCs/>
          <w:szCs w:val="20"/>
        </w:rPr>
        <w:t>meziročně vzrostly o 1,9 mld. Kč (3,8 %).</w:t>
      </w:r>
    </w:p>
    <w:p w:rsidR="00406353" w:rsidRPr="00240B6D" w:rsidRDefault="00406353" w:rsidP="00406353">
      <w:pPr>
        <w:keepNext/>
        <w:spacing w:before="120"/>
        <w:jc w:val="both"/>
        <w:rPr>
          <w:bCs/>
          <w:szCs w:val="20"/>
        </w:rPr>
      </w:pPr>
      <w:r w:rsidRPr="00240B6D">
        <w:rPr>
          <w:bCs/>
          <w:szCs w:val="20"/>
        </w:rPr>
        <w:t>V letech 2010 až 2016 rostly celkové výdaje na zdravotní péči v běžných cenách</w:t>
      </w:r>
      <w:r w:rsidR="00B63AFC" w:rsidRPr="00B63AFC">
        <w:rPr>
          <w:bCs/>
          <w:szCs w:val="20"/>
        </w:rPr>
        <w:t xml:space="preserve"> </w:t>
      </w:r>
      <w:r w:rsidR="00B63AFC" w:rsidRPr="00240B6D">
        <w:rPr>
          <w:bCs/>
          <w:szCs w:val="20"/>
        </w:rPr>
        <w:t>v průměru</w:t>
      </w:r>
      <w:r w:rsidRPr="00240B6D">
        <w:rPr>
          <w:bCs/>
          <w:szCs w:val="20"/>
        </w:rPr>
        <w:t xml:space="preserve"> o 1,33 % ročně. Od roku 2010 včetně bylo za zdravotní péči v Česku vynaloženo celkem téměř 2 421 miliard korun z toho v posledních třech letech (2014 až 2016) to byl cca jeden bilion (1 062 mld. Kč). </w:t>
      </w:r>
    </w:p>
    <w:p w:rsidR="002D246F" w:rsidRPr="00240B6D" w:rsidRDefault="002D246F" w:rsidP="002D246F">
      <w:pPr>
        <w:keepNext/>
        <w:spacing w:before="240"/>
        <w:jc w:val="both"/>
        <w:rPr>
          <w:rFonts w:cs="Arial"/>
          <w:b/>
          <w:sz w:val="18"/>
          <w:szCs w:val="18"/>
        </w:rPr>
      </w:pPr>
      <w:r w:rsidRPr="00240B6D">
        <w:rPr>
          <w:rFonts w:cs="Arial"/>
          <w:b/>
          <w:sz w:val="18"/>
          <w:szCs w:val="18"/>
        </w:rPr>
        <w:t>Graf č. 2.1 Celkové výdaje na zdravotní péči v Česku, 2010 - 2016 (mld. Kč; podíl na HDP)</w:t>
      </w:r>
    </w:p>
    <w:p w:rsidR="002D246F" w:rsidRPr="00240B6D" w:rsidRDefault="002D246F" w:rsidP="009F4437">
      <w:pPr>
        <w:keepNext/>
        <w:jc w:val="both"/>
        <w:rPr>
          <w:rFonts w:cs="Arial"/>
          <w:b/>
          <w:sz w:val="18"/>
          <w:szCs w:val="18"/>
        </w:rPr>
      </w:pPr>
      <w:r w:rsidRPr="00240B6D">
        <w:rPr>
          <w:noProof/>
        </w:rPr>
        <w:drawing>
          <wp:inline distT="0" distB="0" distL="0" distR="0" wp14:anchorId="09C0F850" wp14:editId="4B02B834">
            <wp:extent cx="6084000" cy="29520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246F" w:rsidRPr="00240B6D" w:rsidRDefault="002D246F" w:rsidP="002D246F">
      <w:pPr>
        <w:spacing w:before="120" w:line="240" w:lineRule="auto"/>
        <w:jc w:val="right"/>
        <w:rPr>
          <w:b/>
          <w:bCs/>
          <w:i/>
          <w:sz w:val="16"/>
          <w:szCs w:val="16"/>
        </w:rPr>
      </w:pPr>
      <w:r w:rsidRPr="00240B6D">
        <w:rPr>
          <w:b/>
          <w:bCs/>
          <w:i/>
          <w:sz w:val="16"/>
          <w:szCs w:val="16"/>
        </w:rPr>
        <w:t xml:space="preserve">Zdroj: ČSÚ 2018, Zdravotnické účty ČR 2010 - 2016 </w:t>
      </w:r>
    </w:p>
    <w:p w:rsidR="0038205A" w:rsidRDefault="0038205A" w:rsidP="004236AB">
      <w:pPr>
        <w:widowControl w:val="0"/>
        <w:spacing w:before="120"/>
        <w:jc w:val="both"/>
      </w:pPr>
      <w:r w:rsidRPr="00CC2E9C">
        <w:t xml:space="preserve">Zatímco v absolutních hodnotách každoročně výdaje na zdravotní péči v Česku rostou, v případě </w:t>
      </w:r>
      <w:r w:rsidRPr="00CC2E9C">
        <w:rPr>
          <w:b/>
        </w:rPr>
        <w:t>podílu na HDP</w:t>
      </w:r>
      <w:r w:rsidRPr="00CC2E9C">
        <w:t xml:space="preserve"> – základní poměrový ukazatele používaný pro mezinárodní srovnání – došlo v roce 2014 poprvé k výraznému meziročnímu poklesu z 8,4 % na 8,1 %.</w:t>
      </w:r>
      <w:r w:rsidRPr="00240B6D">
        <w:t xml:space="preserve"> Klesající trend však pokračoval i v dalších letech až na hodnotu 7,6 % v roce 2016. Výdaje na zdravotní péči v posledních letech tedy rostou pomalejším tempem, než roste celá česká ekonomika. </w:t>
      </w:r>
    </w:p>
    <w:p w:rsidR="0038205A" w:rsidRPr="00240B6D" w:rsidRDefault="00B63AFC" w:rsidP="0038205A">
      <w:pPr>
        <w:keepNext/>
        <w:spacing w:before="120"/>
        <w:jc w:val="both"/>
      </w:pPr>
      <w:r>
        <w:t>V</w:t>
      </w:r>
      <w:r w:rsidR="0038205A" w:rsidRPr="00240B6D">
        <w:t xml:space="preserve">ýdaje na zdravotní péči v České republice ve vztahu k jeho HDP patří </w:t>
      </w:r>
      <w:r w:rsidR="0038205A" w:rsidRPr="0038205A">
        <w:rPr>
          <w:b/>
        </w:rPr>
        <w:t>v rámci zemí EU</w:t>
      </w:r>
      <w:r w:rsidR="0038205A" w:rsidRPr="00240B6D">
        <w:t xml:space="preserve"> k těm nižším. V roce 2015 – novější definitivní mezinárodní údaje nejsou k dispozici – jsme se </w:t>
      </w:r>
      <w:r>
        <w:t> hodnotou tohoto</w:t>
      </w:r>
      <w:r w:rsidR="0038205A" w:rsidRPr="00240B6D">
        <w:t xml:space="preserve"> ukazatel</w:t>
      </w:r>
      <w:r>
        <w:t>e</w:t>
      </w:r>
      <w:r w:rsidR="0038205A" w:rsidRPr="00240B6D">
        <w:t xml:space="preserve"> </w:t>
      </w:r>
      <w:r w:rsidR="0038205A" w:rsidRPr="00240B6D">
        <w:lastRenderedPageBreak/>
        <w:t>umístili na pomyslném žebříčku zemí EU až v jeho druhé polovině, a to spolu s Maďarskem na 18</w:t>
      </w:r>
      <w:r>
        <w:t>.</w:t>
      </w:r>
      <w:r w:rsidR="00C47265">
        <w:t xml:space="preserve"> místě</w:t>
      </w:r>
      <w:r>
        <w:t>.</w:t>
      </w:r>
      <w:r w:rsidR="0038205A" w:rsidRPr="00240B6D">
        <w:t xml:space="preserve"> Více jak 11 % ve vztahu k HDP ze zemí EU vydaly na zdravotní péči pouze Německo, Švédsko a Francie. </w:t>
      </w:r>
      <w:r>
        <w:t>Nejméně</w:t>
      </w:r>
      <w:r w:rsidR="0038205A" w:rsidRPr="00240B6D">
        <w:t xml:space="preserve"> vydaly na zdravotní péči </w:t>
      </w:r>
      <w:r w:rsidRPr="00240B6D">
        <w:t>Polsko</w:t>
      </w:r>
      <w:r w:rsidR="00C47265">
        <w:t xml:space="preserve"> (6,3 % jejich HDP), Lotyšsko (5,7 %) a Rumunsko</w:t>
      </w:r>
      <w:r w:rsidRPr="00240B6D">
        <w:t xml:space="preserve"> </w:t>
      </w:r>
      <w:r>
        <w:t>(</w:t>
      </w:r>
      <w:r w:rsidR="00C47265">
        <w:t>5,0 %)</w:t>
      </w:r>
      <w:r w:rsidR="0038205A" w:rsidRPr="00240B6D">
        <w:t>.</w:t>
      </w:r>
    </w:p>
    <w:p w:rsidR="00240B6D" w:rsidRPr="00240B6D" w:rsidRDefault="009D7138" w:rsidP="0038205A">
      <w:pPr>
        <w:keepNext/>
        <w:spacing w:before="120"/>
        <w:jc w:val="both"/>
        <w:rPr>
          <w:bCs/>
          <w:szCs w:val="20"/>
        </w:rPr>
      </w:pPr>
      <w:r>
        <w:rPr>
          <w:bCs/>
          <w:szCs w:val="20"/>
        </w:rPr>
        <w:t>P</w:t>
      </w:r>
      <w:r w:rsidR="00240B6D" w:rsidRPr="00240B6D">
        <w:rPr>
          <w:bCs/>
          <w:szCs w:val="20"/>
        </w:rPr>
        <w:t xml:space="preserve">růměrné výdaje na zdravotní péči vztažené </w:t>
      </w:r>
      <w:r w:rsidR="00240B6D" w:rsidRPr="00240B6D">
        <w:rPr>
          <w:b/>
          <w:bCs/>
          <w:szCs w:val="20"/>
        </w:rPr>
        <w:t>na jednoho obyvatele</w:t>
      </w:r>
      <w:r w:rsidR="00240B6D" w:rsidRPr="00240B6D">
        <w:rPr>
          <w:bCs/>
          <w:szCs w:val="20"/>
        </w:rPr>
        <w:t xml:space="preserve"> ČR vzrostly od roku 2010 z 31 767 Kč na 34 230 Kč v roce 2016 (tj. o 7,8 %). </w:t>
      </w:r>
      <w:r w:rsidR="00711D97">
        <w:rPr>
          <w:bCs/>
          <w:szCs w:val="20"/>
        </w:rPr>
        <w:t>V</w:t>
      </w:r>
      <w:r w:rsidR="0038205A">
        <w:rPr>
          <w:bCs/>
          <w:szCs w:val="20"/>
        </w:rPr>
        <w:t xml:space="preserve">ýdaje na zdravotní péči připadající na 1 obyvatele jsou například </w:t>
      </w:r>
      <w:r w:rsidR="00240B6D" w:rsidRPr="00240B6D">
        <w:rPr>
          <w:bCs/>
          <w:szCs w:val="20"/>
        </w:rPr>
        <w:t>ve Švédsku nebo v</w:t>
      </w:r>
      <w:r w:rsidR="0038205A">
        <w:rPr>
          <w:bCs/>
          <w:szCs w:val="20"/>
        </w:rPr>
        <w:t> </w:t>
      </w:r>
      <w:r w:rsidR="00240B6D" w:rsidRPr="00240B6D">
        <w:rPr>
          <w:bCs/>
          <w:szCs w:val="20"/>
        </w:rPr>
        <w:t>Dánsku</w:t>
      </w:r>
      <w:r w:rsidR="0038205A">
        <w:rPr>
          <w:bCs/>
          <w:szCs w:val="20"/>
        </w:rPr>
        <w:t xml:space="preserve"> </w:t>
      </w:r>
      <w:r w:rsidR="00711D97">
        <w:rPr>
          <w:bCs/>
          <w:szCs w:val="20"/>
        </w:rPr>
        <w:t>–</w:t>
      </w:r>
      <w:r w:rsidR="0038205A">
        <w:rPr>
          <w:bCs/>
          <w:szCs w:val="20"/>
        </w:rPr>
        <w:t xml:space="preserve"> kde v roce 2015 </w:t>
      </w:r>
      <w:r w:rsidR="00240B6D" w:rsidRPr="00240B6D">
        <w:rPr>
          <w:bCs/>
          <w:szCs w:val="20"/>
        </w:rPr>
        <w:t xml:space="preserve">dosáhly 5,0 tisíc EUR </w:t>
      </w:r>
      <w:r w:rsidR="0038205A">
        <w:rPr>
          <w:bCs/>
          <w:szCs w:val="20"/>
        </w:rPr>
        <w:t xml:space="preserve">– cca </w:t>
      </w:r>
      <w:r w:rsidR="00240B6D" w:rsidRPr="00240B6D">
        <w:rPr>
          <w:bCs/>
          <w:szCs w:val="20"/>
        </w:rPr>
        <w:t>4krát vyšší než v případě České republiky (1,2 tisíc EUR na obyvatele)</w:t>
      </w:r>
      <w:r w:rsidR="0038205A">
        <w:rPr>
          <w:bCs/>
          <w:szCs w:val="20"/>
        </w:rPr>
        <w:t>.</w:t>
      </w:r>
      <w:r w:rsidR="00240B6D" w:rsidRPr="00240B6D">
        <w:rPr>
          <w:bCs/>
          <w:szCs w:val="20"/>
        </w:rPr>
        <w:t xml:space="preserve"> I v Německu a v Rakousku je tento ukazatel 3,5krát vyšší než u nás. Naopak v Česku vydáváme na zdravotní péči na </w:t>
      </w:r>
      <w:r w:rsidR="00711D97">
        <w:rPr>
          <w:bCs/>
          <w:szCs w:val="20"/>
        </w:rPr>
        <w:t xml:space="preserve">1 </w:t>
      </w:r>
      <w:r w:rsidR="00240B6D" w:rsidRPr="00240B6D">
        <w:rPr>
          <w:bCs/>
          <w:szCs w:val="20"/>
        </w:rPr>
        <w:t>obyvatele více než na Slovensku</w:t>
      </w:r>
      <w:r w:rsidR="00711D97">
        <w:rPr>
          <w:bCs/>
          <w:szCs w:val="20"/>
        </w:rPr>
        <w:t xml:space="preserve"> (</w:t>
      </w:r>
      <w:r w:rsidR="00711D97" w:rsidRPr="00240B6D">
        <w:rPr>
          <w:bCs/>
          <w:szCs w:val="20"/>
        </w:rPr>
        <w:t>o 16 %</w:t>
      </w:r>
      <w:r w:rsidR="00711D97">
        <w:rPr>
          <w:bCs/>
          <w:szCs w:val="20"/>
        </w:rPr>
        <w:t>)</w:t>
      </w:r>
      <w:r w:rsidR="00240B6D" w:rsidRPr="00240B6D">
        <w:rPr>
          <w:bCs/>
          <w:szCs w:val="20"/>
        </w:rPr>
        <w:t xml:space="preserve">, v Maďarsku </w:t>
      </w:r>
      <w:r w:rsidR="00711D97">
        <w:rPr>
          <w:bCs/>
          <w:szCs w:val="20"/>
        </w:rPr>
        <w:t>(</w:t>
      </w:r>
      <w:r w:rsidR="00711D97" w:rsidRPr="00240B6D">
        <w:rPr>
          <w:bCs/>
          <w:szCs w:val="20"/>
        </w:rPr>
        <w:t>o 44 %</w:t>
      </w:r>
      <w:r w:rsidR="00711D97">
        <w:rPr>
          <w:bCs/>
          <w:szCs w:val="20"/>
        </w:rPr>
        <w:t>)</w:t>
      </w:r>
      <w:r w:rsidR="00711D97" w:rsidRPr="00240B6D">
        <w:rPr>
          <w:bCs/>
          <w:szCs w:val="20"/>
        </w:rPr>
        <w:t xml:space="preserve"> </w:t>
      </w:r>
      <w:r w:rsidR="00240B6D" w:rsidRPr="00240B6D">
        <w:rPr>
          <w:bCs/>
          <w:szCs w:val="20"/>
        </w:rPr>
        <w:t>a v Polsku</w:t>
      </w:r>
      <w:r w:rsidR="00711D97" w:rsidRPr="00711D97">
        <w:rPr>
          <w:bCs/>
          <w:szCs w:val="20"/>
        </w:rPr>
        <w:t xml:space="preserve"> </w:t>
      </w:r>
      <w:r w:rsidR="00711D97">
        <w:rPr>
          <w:bCs/>
          <w:szCs w:val="20"/>
        </w:rPr>
        <w:t>(</w:t>
      </w:r>
      <w:r w:rsidR="00711D97" w:rsidRPr="00240B6D">
        <w:rPr>
          <w:bCs/>
          <w:szCs w:val="20"/>
        </w:rPr>
        <w:t>o 62 %</w:t>
      </w:r>
      <w:r w:rsidR="00711D97">
        <w:rPr>
          <w:bCs/>
          <w:szCs w:val="20"/>
        </w:rPr>
        <w:t>)</w:t>
      </w:r>
      <w:r w:rsidR="00240B6D" w:rsidRPr="00240B6D">
        <w:rPr>
          <w:bCs/>
          <w:szCs w:val="20"/>
        </w:rPr>
        <w:t xml:space="preserve">. </w:t>
      </w:r>
    </w:p>
    <w:p w:rsidR="00240B6D" w:rsidRPr="00240B6D" w:rsidRDefault="00240B6D" w:rsidP="0038205A">
      <w:pPr>
        <w:keepNext/>
        <w:spacing w:before="120"/>
        <w:jc w:val="both"/>
        <w:rPr>
          <w:bCs/>
          <w:szCs w:val="20"/>
        </w:rPr>
      </w:pPr>
      <w:r w:rsidRPr="00240B6D">
        <w:rPr>
          <w:bCs/>
          <w:szCs w:val="20"/>
        </w:rPr>
        <w:t xml:space="preserve">Výše uvedené celkové částky od roku 2010 zahrnují (neinvestiční) běžné výdaje na zdravotní péči. Pro úplnost informací uvádíme, že z veřejných rozpočtů šlo v roce 2016 </w:t>
      </w:r>
      <w:r w:rsidRPr="009F4437">
        <w:rPr>
          <w:b/>
          <w:bCs/>
          <w:szCs w:val="20"/>
        </w:rPr>
        <w:t xml:space="preserve">na investice, vzdělávání zdravotnického personálu či výzkum </w:t>
      </w:r>
      <w:r w:rsidR="00CE26E9" w:rsidRPr="009F4437">
        <w:rPr>
          <w:b/>
          <w:bCs/>
          <w:szCs w:val="20"/>
        </w:rPr>
        <w:t>a vývoj</w:t>
      </w:r>
      <w:r w:rsidR="00CE26E9">
        <w:rPr>
          <w:bCs/>
          <w:szCs w:val="20"/>
        </w:rPr>
        <w:t xml:space="preserve"> v oblasti zdravotní péče </w:t>
      </w:r>
      <w:r w:rsidRPr="00240B6D">
        <w:rPr>
          <w:bCs/>
          <w:szCs w:val="20"/>
        </w:rPr>
        <w:t xml:space="preserve">celkem </w:t>
      </w:r>
      <w:r w:rsidR="00CE26E9">
        <w:rPr>
          <w:bCs/>
          <w:szCs w:val="20"/>
        </w:rPr>
        <w:t xml:space="preserve">dalších </w:t>
      </w:r>
      <w:r w:rsidRPr="00240B6D">
        <w:rPr>
          <w:bCs/>
          <w:szCs w:val="20"/>
        </w:rPr>
        <w:t xml:space="preserve">6,5 mld. Kč. V porovnání s předchozím rokem se </w:t>
      </w:r>
      <w:r w:rsidR="00CE26E9">
        <w:rPr>
          <w:bCs/>
          <w:szCs w:val="20"/>
        </w:rPr>
        <w:t xml:space="preserve">tyto </w:t>
      </w:r>
      <w:r w:rsidRPr="00240B6D">
        <w:rPr>
          <w:bCs/>
          <w:szCs w:val="20"/>
        </w:rPr>
        <w:t xml:space="preserve">investiční výdaje zvýšily o 721 miliónů Kč (tj. o 12,6 %). Téměř 5 mld. Kč </w:t>
      </w:r>
      <w:r w:rsidRPr="00240B6D">
        <w:t xml:space="preserve">bylo použito v roce 2016 na nákup a modernizaci přístrojového vybavení a výstavbu a rekonstrukci zdravotnických zařízení. V meziročním srovnání byl zaznamenán finanční nárůst o jednu pětinu. Naopak o 14 % méně finančních prostředků ze státního rozpočtu (tj. 1,2 mld. Kč) plynulo v roce 2016 na výzkum </w:t>
      </w:r>
      <w:r w:rsidR="00CE26E9">
        <w:t xml:space="preserve">a vývoj </w:t>
      </w:r>
      <w:r w:rsidRPr="00240B6D">
        <w:t>ve zdravotnictví v porovnání s rokem 2015.</w:t>
      </w:r>
    </w:p>
    <w:p w:rsidR="00240B6D" w:rsidRPr="00240B6D" w:rsidRDefault="00240B6D" w:rsidP="009F4437">
      <w:pPr>
        <w:keepNext/>
        <w:keepLines/>
        <w:spacing w:before="240" w:after="120"/>
        <w:outlineLvl w:val="1"/>
        <w:rPr>
          <w:rFonts w:eastAsia="MS Gothic"/>
          <w:b/>
          <w:bCs/>
          <w:color w:val="BC091B"/>
          <w:sz w:val="28"/>
          <w:szCs w:val="26"/>
        </w:rPr>
      </w:pPr>
      <w:bookmarkStart w:id="11" w:name="_Toc481748786"/>
      <w:r w:rsidRPr="00240B6D">
        <w:rPr>
          <w:rFonts w:eastAsia="MS Gothic"/>
          <w:b/>
          <w:bCs/>
          <w:color w:val="BC091B"/>
          <w:sz w:val="28"/>
          <w:szCs w:val="26"/>
        </w:rPr>
        <w:t>2.2 Výdaje na zdravotní péči dle zdrojů financování</w:t>
      </w:r>
      <w:bookmarkEnd w:id="11"/>
      <w:r w:rsidRPr="00240B6D">
        <w:rPr>
          <w:rFonts w:eastAsia="MS Gothic"/>
          <w:b/>
          <w:bCs/>
          <w:color w:val="BC091B"/>
          <w:sz w:val="28"/>
          <w:szCs w:val="26"/>
        </w:rPr>
        <w:t xml:space="preserve"> </w:t>
      </w:r>
    </w:p>
    <w:p w:rsidR="00240B6D" w:rsidRPr="00240B6D" w:rsidRDefault="00240B6D" w:rsidP="009D7138">
      <w:pPr>
        <w:keepNext/>
        <w:jc w:val="both"/>
        <w:rPr>
          <w:bCs/>
          <w:szCs w:val="20"/>
        </w:rPr>
      </w:pPr>
      <w:r w:rsidRPr="00240B6D">
        <w:rPr>
          <w:bCs/>
          <w:szCs w:val="20"/>
        </w:rPr>
        <w:t xml:space="preserve">Manuál SHA 2011 k zdravotnickým účtům </w:t>
      </w:r>
      <w:r w:rsidR="000F6E14">
        <w:rPr>
          <w:bCs/>
          <w:szCs w:val="20"/>
        </w:rPr>
        <w:t>definuje</w:t>
      </w:r>
      <w:r w:rsidR="000F6E14" w:rsidRPr="00240B6D">
        <w:rPr>
          <w:bCs/>
          <w:szCs w:val="20"/>
        </w:rPr>
        <w:t xml:space="preserve"> </w:t>
      </w:r>
      <w:r w:rsidRPr="00240B6D">
        <w:rPr>
          <w:bCs/>
          <w:szCs w:val="20"/>
        </w:rPr>
        <w:t xml:space="preserve">tři základní </w:t>
      </w:r>
      <w:r w:rsidRPr="00240B6D">
        <w:rPr>
          <w:b/>
          <w:bCs/>
          <w:szCs w:val="20"/>
        </w:rPr>
        <w:t>zdroje financování</w:t>
      </w:r>
      <w:r w:rsidRPr="00240B6D">
        <w:rPr>
          <w:bCs/>
          <w:szCs w:val="20"/>
        </w:rPr>
        <w:t xml:space="preserve"> zdravotní péče</w:t>
      </w:r>
      <w:r w:rsidR="000F6E14">
        <w:rPr>
          <w:bCs/>
          <w:szCs w:val="20"/>
        </w:rPr>
        <w:t>,</w:t>
      </w:r>
      <w:r w:rsidRPr="00240B6D">
        <w:rPr>
          <w:bCs/>
          <w:szCs w:val="20"/>
        </w:rPr>
        <w:t xml:space="preserve"> a to: </w:t>
      </w:r>
    </w:p>
    <w:p w:rsidR="00240B6D" w:rsidRPr="00240B6D" w:rsidRDefault="00240B6D" w:rsidP="003452B6">
      <w:pPr>
        <w:keepNext/>
        <w:numPr>
          <w:ilvl w:val="0"/>
          <w:numId w:val="20"/>
        </w:numPr>
        <w:tabs>
          <w:tab w:val="left" w:pos="426"/>
        </w:tabs>
        <w:ind w:left="851" w:hanging="851"/>
        <w:jc w:val="both"/>
        <w:rPr>
          <w:bCs/>
          <w:szCs w:val="20"/>
        </w:rPr>
      </w:pPr>
      <w:r w:rsidRPr="00240B6D">
        <w:rPr>
          <w:bCs/>
          <w:szCs w:val="20"/>
        </w:rPr>
        <w:t>veřejné zdroje</w:t>
      </w:r>
      <w:r w:rsidR="000F6E14">
        <w:rPr>
          <w:bCs/>
          <w:szCs w:val="20"/>
        </w:rPr>
        <w:t>,</w:t>
      </w:r>
      <w:r w:rsidRPr="00240B6D">
        <w:rPr>
          <w:bCs/>
          <w:szCs w:val="20"/>
        </w:rPr>
        <w:t xml:space="preserve"> </w:t>
      </w:r>
    </w:p>
    <w:p w:rsidR="00240B6D" w:rsidRPr="00240B6D" w:rsidRDefault="00240B6D" w:rsidP="003452B6">
      <w:pPr>
        <w:keepNext/>
        <w:numPr>
          <w:ilvl w:val="0"/>
          <w:numId w:val="20"/>
        </w:numPr>
        <w:tabs>
          <w:tab w:val="left" w:pos="426"/>
        </w:tabs>
        <w:ind w:left="851" w:hanging="851"/>
        <w:jc w:val="both"/>
        <w:rPr>
          <w:bCs/>
          <w:szCs w:val="20"/>
        </w:rPr>
      </w:pPr>
      <w:r w:rsidRPr="00240B6D">
        <w:rPr>
          <w:bCs/>
          <w:szCs w:val="20"/>
        </w:rPr>
        <w:t>soukromé zdroje bez přímých plateb domácností</w:t>
      </w:r>
      <w:r w:rsidR="000F6E14">
        <w:rPr>
          <w:bCs/>
          <w:szCs w:val="20"/>
        </w:rPr>
        <w:t>,</w:t>
      </w:r>
    </w:p>
    <w:p w:rsidR="00240B6D" w:rsidRPr="00240B6D" w:rsidRDefault="00240B6D" w:rsidP="003452B6">
      <w:pPr>
        <w:keepNext/>
        <w:numPr>
          <w:ilvl w:val="0"/>
          <w:numId w:val="20"/>
        </w:numPr>
        <w:tabs>
          <w:tab w:val="left" w:pos="426"/>
        </w:tabs>
        <w:ind w:left="851" w:hanging="851"/>
        <w:jc w:val="both"/>
        <w:rPr>
          <w:bCs/>
          <w:szCs w:val="20"/>
        </w:rPr>
      </w:pPr>
      <w:r w:rsidRPr="00240B6D">
        <w:rPr>
          <w:bCs/>
          <w:szCs w:val="20"/>
        </w:rPr>
        <w:t>přímé platby domácností</w:t>
      </w:r>
      <w:r w:rsidR="000F6E14">
        <w:rPr>
          <w:bCs/>
          <w:szCs w:val="20"/>
        </w:rPr>
        <w:t>.</w:t>
      </w:r>
    </w:p>
    <w:p w:rsidR="009F4437" w:rsidRDefault="00240B6D" w:rsidP="00240B6D">
      <w:pPr>
        <w:keepNext/>
        <w:spacing w:before="120"/>
        <w:jc w:val="both"/>
        <w:rPr>
          <w:bCs/>
          <w:szCs w:val="20"/>
        </w:rPr>
      </w:pPr>
      <w:r w:rsidRPr="00240B6D">
        <w:rPr>
          <w:bCs/>
          <w:szCs w:val="20"/>
        </w:rPr>
        <w:t xml:space="preserve">Do prvně jmenované skupiny – veřejné zdroje </w:t>
      </w:r>
      <w:r w:rsidR="000F6E14" w:rsidRPr="00240B6D">
        <w:rPr>
          <w:bCs/>
          <w:szCs w:val="20"/>
        </w:rPr>
        <w:t xml:space="preserve">– </w:t>
      </w:r>
      <w:r w:rsidRPr="00240B6D">
        <w:rPr>
          <w:bCs/>
          <w:szCs w:val="20"/>
        </w:rPr>
        <w:t xml:space="preserve">patří především finanční prostředky získané v rámci </w:t>
      </w:r>
      <w:r w:rsidRPr="00240B6D">
        <w:rPr>
          <w:b/>
          <w:bCs/>
          <w:szCs w:val="20"/>
        </w:rPr>
        <w:t>povinného zdravotního pojištění</w:t>
      </w:r>
      <w:r w:rsidRPr="00240B6D">
        <w:rPr>
          <w:bCs/>
          <w:szCs w:val="20"/>
        </w:rPr>
        <w:t xml:space="preserve"> (podrobněji viz kapitola 3.1) a dále prostředky z veřejných rozpočtů, které zahrnují jak finanční zdroje získané na zdravotní péči přímo ze </w:t>
      </w:r>
      <w:r w:rsidRPr="00240B6D">
        <w:rPr>
          <w:b/>
          <w:bCs/>
          <w:szCs w:val="20"/>
        </w:rPr>
        <w:t>státního rozpočtu</w:t>
      </w:r>
      <w:r w:rsidRPr="00240B6D">
        <w:rPr>
          <w:bCs/>
          <w:szCs w:val="20"/>
        </w:rPr>
        <w:t xml:space="preserve"> - nejčastěji z kapitoly Ministerstva zdravotnictví ČR a MPSV, tak zdroje místních rozpočtů</w:t>
      </w:r>
      <w:r w:rsidR="000F6E14">
        <w:rPr>
          <w:bCs/>
          <w:szCs w:val="20"/>
        </w:rPr>
        <w:t>,</w:t>
      </w:r>
      <w:r w:rsidRPr="00240B6D">
        <w:rPr>
          <w:bCs/>
          <w:szCs w:val="20"/>
        </w:rPr>
        <w:t xml:space="preserve"> kam patří především zdroje získané na zdravotní péči z </w:t>
      </w:r>
      <w:r w:rsidRPr="00240B6D">
        <w:rPr>
          <w:b/>
          <w:bCs/>
          <w:szCs w:val="20"/>
        </w:rPr>
        <w:t>krajských rozpočtů</w:t>
      </w:r>
      <w:r w:rsidRPr="00240B6D">
        <w:rPr>
          <w:bCs/>
          <w:szCs w:val="20"/>
        </w:rPr>
        <w:t>.</w:t>
      </w:r>
    </w:p>
    <w:p w:rsidR="00240B6D" w:rsidRPr="00240B6D" w:rsidRDefault="00240B6D" w:rsidP="00240B6D">
      <w:pPr>
        <w:keepNext/>
        <w:spacing w:before="120"/>
        <w:jc w:val="both"/>
        <w:rPr>
          <w:bCs/>
          <w:szCs w:val="20"/>
        </w:rPr>
      </w:pPr>
      <w:r w:rsidRPr="00240B6D">
        <w:rPr>
          <w:bCs/>
          <w:szCs w:val="20"/>
        </w:rPr>
        <w:t xml:space="preserve">Do soukromých zdrojů (bez přímých plateb domácností) jsou zahrnuty </w:t>
      </w:r>
      <w:r w:rsidRPr="00240B6D">
        <w:rPr>
          <w:b/>
          <w:bCs/>
          <w:szCs w:val="20"/>
        </w:rPr>
        <w:t>dobrovolné platby</w:t>
      </w:r>
      <w:r w:rsidRPr="00240B6D">
        <w:rPr>
          <w:bCs/>
          <w:szCs w:val="20"/>
        </w:rPr>
        <w:t xml:space="preserve"> na zdravotní péči </w:t>
      </w:r>
      <w:r w:rsidRPr="00240B6D">
        <w:rPr>
          <w:b/>
          <w:bCs/>
          <w:szCs w:val="20"/>
        </w:rPr>
        <w:t>neziskových institucí</w:t>
      </w:r>
      <w:r w:rsidRPr="00240B6D">
        <w:rPr>
          <w:bCs/>
          <w:szCs w:val="20"/>
        </w:rPr>
        <w:t xml:space="preserve">, </w:t>
      </w:r>
      <w:r w:rsidRPr="00240B6D">
        <w:rPr>
          <w:b/>
          <w:bCs/>
          <w:szCs w:val="20"/>
        </w:rPr>
        <w:t>soukromé zdravotní pojištění</w:t>
      </w:r>
      <w:r w:rsidRPr="00240B6D">
        <w:rPr>
          <w:bCs/>
          <w:szCs w:val="20"/>
        </w:rPr>
        <w:t xml:space="preserve"> a </w:t>
      </w:r>
      <w:r w:rsidRPr="00240B6D">
        <w:rPr>
          <w:b/>
          <w:bCs/>
          <w:szCs w:val="20"/>
        </w:rPr>
        <w:t>závodní (podniková) preventivní péče</w:t>
      </w:r>
      <w:r w:rsidRPr="00240B6D">
        <w:rPr>
          <w:bCs/>
          <w:szCs w:val="20"/>
        </w:rPr>
        <w:t xml:space="preserve">. Přímé platby domácností (podrobněji viz kapitola 3.2) zahrnují </w:t>
      </w:r>
      <w:r w:rsidRPr="00240B6D">
        <w:rPr>
          <w:b/>
          <w:bCs/>
          <w:szCs w:val="20"/>
        </w:rPr>
        <w:t>přímé výdaje příjemců zdravotní péče (pacientů)</w:t>
      </w:r>
      <w:r w:rsidRPr="00240B6D">
        <w:rPr>
          <w:bCs/>
          <w:szCs w:val="20"/>
        </w:rPr>
        <w:t xml:space="preserve"> nebo jejich případnou </w:t>
      </w:r>
      <w:r w:rsidRPr="00240B6D">
        <w:rPr>
          <w:b/>
          <w:bCs/>
          <w:szCs w:val="20"/>
        </w:rPr>
        <w:t>spoluúčast</w:t>
      </w:r>
      <w:r w:rsidRPr="00240B6D">
        <w:rPr>
          <w:bCs/>
          <w:szCs w:val="20"/>
        </w:rPr>
        <w:t xml:space="preserve">. </w:t>
      </w:r>
    </w:p>
    <w:p w:rsidR="00240B6D" w:rsidRPr="00240B6D" w:rsidRDefault="00240B6D" w:rsidP="00240B6D">
      <w:pPr>
        <w:keepNext/>
        <w:spacing w:before="240" w:after="120" w:line="240" w:lineRule="auto"/>
        <w:jc w:val="both"/>
        <w:rPr>
          <w:b/>
          <w:bCs/>
          <w:sz w:val="18"/>
          <w:szCs w:val="18"/>
        </w:rPr>
      </w:pPr>
      <w:bookmarkStart w:id="12" w:name="OLE_LINK2"/>
      <w:r w:rsidRPr="00240B6D">
        <w:rPr>
          <w:b/>
          <w:bCs/>
          <w:sz w:val="18"/>
          <w:szCs w:val="18"/>
        </w:rPr>
        <w:t>Tab. 2.1 Výdaje na zdravotní péči v Česku podle zdrojů financování, 2010 - 2016 (mil. Kč)</w:t>
      </w:r>
    </w:p>
    <w:tbl>
      <w:tblPr>
        <w:tblW w:w="9654" w:type="dxa"/>
        <w:tblInd w:w="93" w:type="dxa"/>
        <w:tblLayout w:type="fixed"/>
        <w:tblLook w:val="04A0" w:firstRow="1" w:lastRow="0" w:firstColumn="1" w:lastColumn="0" w:noHBand="0" w:noVBand="1"/>
      </w:tblPr>
      <w:tblGrid>
        <w:gridCol w:w="2992"/>
        <w:gridCol w:w="801"/>
        <w:gridCol w:w="802"/>
        <w:gridCol w:w="802"/>
        <w:gridCol w:w="801"/>
        <w:gridCol w:w="802"/>
        <w:gridCol w:w="802"/>
        <w:gridCol w:w="802"/>
        <w:gridCol w:w="1050"/>
      </w:tblGrid>
      <w:tr w:rsidR="00240B6D" w:rsidRPr="00240B6D" w:rsidTr="009D7138">
        <w:trPr>
          <w:trHeight w:val="527"/>
        </w:trPr>
        <w:tc>
          <w:tcPr>
            <w:tcW w:w="299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sz w:val="16"/>
                <w:szCs w:val="16"/>
                <w:lang w:eastAsia="en-US"/>
              </w:rPr>
            </w:pPr>
            <w:r w:rsidRPr="00240B6D">
              <w:rPr>
                <w:rFonts w:cs="Arial"/>
                <w:sz w:val="16"/>
                <w:szCs w:val="16"/>
                <w:lang w:eastAsia="en-US"/>
              </w:rPr>
              <w:t>Ukazatel</w:t>
            </w:r>
          </w:p>
        </w:tc>
        <w:tc>
          <w:tcPr>
            <w:tcW w:w="801"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2010</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2011</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2012</w:t>
            </w:r>
          </w:p>
        </w:tc>
        <w:tc>
          <w:tcPr>
            <w:tcW w:w="801"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2013</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2014</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2015</w:t>
            </w:r>
          </w:p>
        </w:tc>
        <w:tc>
          <w:tcPr>
            <w:tcW w:w="802"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2016</w:t>
            </w:r>
          </w:p>
        </w:tc>
        <w:tc>
          <w:tcPr>
            <w:tcW w:w="1050" w:type="dxa"/>
            <w:tcBorders>
              <w:top w:val="single" w:sz="8" w:space="0" w:color="auto"/>
              <w:left w:val="nil"/>
              <w:bottom w:val="single" w:sz="8" w:space="0" w:color="auto"/>
              <w:right w:val="nil"/>
            </w:tcBorders>
            <w:shd w:val="clear" w:color="auto" w:fill="auto"/>
            <w:vAlign w:val="center"/>
            <w:hideMark/>
          </w:tcPr>
          <w:p w:rsidR="00240B6D" w:rsidRPr="00240B6D" w:rsidRDefault="00240B6D" w:rsidP="00240B6D">
            <w:pPr>
              <w:spacing w:line="240" w:lineRule="auto"/>
              <w:jc w:val="center"/>
              <w:rPr>
                <w:rFonts w:cs="Arial"/>
                <w:b/>
                <w:bCs/>
                <w:i/>
                <w:iCs/>
                <w:color w:val="000000"/>
                <w:sz w:val="16"/>
                <w:szCs w:val="16"/>
                <w:lang w:eastAsia="en-US"/>
              </w:rPr>
            </w:pPr>
            <w:r w:rsidRPr="00240B6D">
              <w:rPr>
                <w:rFonts w:cs="Arial"/>
                <w:b/>
                <w:bCs/>
                <w:i/>
                <w:iCs/>
                <w:color w:val="000000"/>
                <w:sz w:val="16"/>
                <w:szCs w:val="16"/>
                <w:lang w:eastAsia="en-US"/>
              </w:rPr>
              <w:t>Index 2016/2015</w:t>
            </w:r>
          </w:p>
        </w:tc>
      </w:tr>
      <w:tr w:rsidR="00240B6D" w:rsidRPr="00240B6D" w:rsidTr="00370B28">
        <w:trPr>
          <w:trHeight w:val="300"/>
        </w:trPr>
        <w:tc>
          <w:tcPr>
            <w:tcW w:w="299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Veřejné zdroje celkem</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282 166</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284 847</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288 564</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292 053</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291 572</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293 359</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300 210</w:t>
            </w:r>
          </w:p>
        </w:tc>
        <w:tc>
          <w:tcPr>
            <w:tcW w:w="1050"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102,3</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v</w:t>
            </w:r>
            <w:r w:rsidR="00240B6D" w:rsidRPr="00240B6D">
              <w:rPr>
                <w:rFonts w:cs="Arial"/>
                <w:sz w:val="16"/>
                <w:szCs w:val="16"/>
                <w:lang w:eastAsia="en-US"/>
              </w:rPr>
              <w:t xml:space="preserve">eřejné zdravotní pojištění </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231 889</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234 337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237 927</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238 354</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234 602</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234 460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237 700</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101,4</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s</w:t>
            </w:r>
            <w:r w:rsidR="00240B6D" w:rsidRPr="00240B6D">
              <w:rPr>
                <w:rFonts w:cs="Arial"/>
                <w:sz w:val="16"/>
                <w:szCs w:val="16"/>
                <w:lang w:eastAsia="en-US"/>
              </w:rPr>
              <w:t>tátní rozpočet</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45 187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44 582</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44 638</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47 499</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50 721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52 622</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55 895</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106,2</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k</w:t>
            </w:r>
            <w:r w:rsidR="00240B6D" w:rsidRPr="00240B6D">
              <w:rPr>
                <w:rFonts w:cs="Arial"/>
                <w:sz w:val="16"/>
                <w:szCs w:val="16"/>
                <w:lang w:eastAsia="en-US"/>
              </w:rPr>
              <w:t>rajské a obecní rozpočty</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5 091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5 928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5 998</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6 200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6 250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6 277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6 614</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105,4</w:t>
            </w:r>
          </w:p>
        </w:tc>
      </w:tr>
      <w:tr w:rsidR="00240B6D" w:rsidRPr="00240B6D" w:rsidTr="00370B28">
        <w:trPr>
          <w:trHeight w:val="300"/>
        </w:trPr>
        <w:tc>
          <w:tcPr>
            <w:tcW w:w="299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Soukromé zdroje celkem</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9 217</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9 205</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9 110</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9 202</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10 668</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9 322</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10 222</w:t>
            </w:r>
          </w:p>
        </w:tc>
        <w:tc>
          <w:tcPr>
            <w:tcW w:w="1050"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109,7</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s</w:t>
            </w:r>
            <w:r w:rsidR="00240B6D" w:rsidRPr="00240B6D">
              <w:rPr>
                <w:rFonts w:cs="Arial"/>
                <w:sz w:val="16"/>
                <w:szCs w:val="16"/>
                <w:lang w:eastAsia="en-US"/>
              </w:rPr>
              <w:t xml:space="preserve">oukromé zdravotní pojištění </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427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520</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475</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537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484</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101,3</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A5222D" w:rsidP="009D7138">
            <w:pPr>
              <w:spacing w:line="240" w:lineRule="auto"/>
              <w:ind w:firstLineChars="119" w:firstLine="190"/>
              <w:rPr>
                <w:rFonts w:cs="Arial"/>
                <w:sz w:val="16"/>
                <w:szCs w:val="16"/>
                <w:lang w:eastAsia="en-US"/>
              </w:rPr>
            </w:pPr>
            <w:r>
              <w:rPr>
                <w:rFonts w:cs="Arial"/>
                <w:sz w:val="16"/>
                <w:szCs w:val="16"/>
                <w:lang w:eastAsia="en-US"/>
              </w:rPr>
              <w:t>n</w:t>
            </w:r>
            <w:r w:rsidR="00240B6D" w:rsidRPr="00240B6D">
              <w:rPr>
                <w:rFonts w:cs="Arial"/>
                <w:sz w:val="16"/>
                <w:szCs w:val="16"/>
                <w:lang w:eastAsia="en-US"/>
              </w:rPr>
              <w:t>eziskové</w:t>
            </w:r>
            <w:r w:rsidR="009D7138">
              <w:rPr>
                <w:rFonts w:cs="Arial"/>
                <w:sz w:val="16"/>
                <w:szCs w:val="16"/>
                <w:lang w:eastAsia="en-US"/>
              </w:rPr>
              <w:t xml:space="preserve"> </w:t>
            </w:r>
            <w:r w:rsidR="00240B6D" w:rsidRPr="00240B6D">
              <w:rPr>
                <w:rFonts w:cs="Arial"/>
                <w:sz w:val="16"/>
                <w:szCs w:val="16"/>
                <w:lang w:eastAsia="en-US"/>
              </w:rPr>
              <w:t>instituce</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7 888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7 820</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7 719</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7 726</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7 757</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7 929</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8 479</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106,9</w:t>
            </w:r>
          </w:p>
        </w:tc>
      </w:tr>
      <w:tr w:rsidR="00240B6D" w:rsidRPr="00240B6D" w:rsidTr="00370B28">
        <w:trPr>
          <w:trHeight w:val="300"/>
        </w:trPr>
        <w:tc>
          <w:tcPr>
            <w:tcW w:w="2992" w:type="dxa"/>
            <w:tcBorders>
              <w:top w:val="nil"/>
              <w:left w:val="nil"/>
              <w:bottom w:val="nil"/>
              <w:right w:val="single" w:sz="4" w:space="0" w:color="auto"/>
            </w:tcBorders>
            <w:shd w:val="clear" w:color="auto" w:fill="auto"/>
            <w:noWrap/>
            <w:vAlign w:val="bottom"/>
            <w:hideMark/>
          </w:tcPr>
          <w:p w:rsidR="00240B6D" w:rsidRPr="00240B6D" w:rsidRDefault="009D7138" w:rsidP="009D7138">
            <w:pPr>
              <w:spacing w:line="240" w:lineRule="auto"/>
              <w:ind w:firstLineChars="119" w:firstLine="190"/>
              <w:rPr>
                <w:rFonts w:cs="Arial"/>
                <w:sz w:val="16"/>
                <w:szCs w:val="16"/>
                <w:lang w:eastAsia="en-US"/>
              </w:rPr>
            </w:pPr>
            <w:r>
              <w:rPr>
                <w:rFonts w:cs="Arial"/>
                <w:sz w:val="16"/>
                <w:szCs w:val="16"/>
                <w:lang w:eastAsia="en-US"/>
              </w:rPr>
              <w:t>p</w:t>
            </w:r>
            <w:r w:rsidR="00240B6D" w:rsidRPr="00240B6D">
              <w:rPr>
                <w:rFonts w:cs="Arial"/>
                <w:sz w:val="16"/>
                <w:szCs w:val="16"/>
                <w:lang w:eastAsia="en-US"/>
              </w:rPr>
              <w:t>odniky</w:t>
            </w:r>
            <w:r>
              <w:rPr>
                <w:rFonts w:cs="Arial"/>
                <w:sz w:val="16"/>
                <w:szCs w:val="16"/>
                <w:lang w:eastAsia="en-US"/>
              </w:rPr>
              <w:t xml:space="preserve"> - závodní </w:t>
            </w:r>
            <w:r w:rsidR="00240B6D" w:rsidRPr="00240B6D">
              <w:rPr>
                <w:rFonts w:cs="Arial"/>
                <w:sz w:val="16"/>
                <w:szCs w:val="16"/>
                <w:lang w:eastAsia="en-US"/>
              </w:rPr>
              <w:t>preventivní péče</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901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908</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871</w:t>
            </w:r>
          </w:p>
        </w:tc>
        <w:tc>
          <w:tcPr>
            <w:tcW w:w="801"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1 001</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2 374</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915</w:t>
            </w:r>
          </w:p>
        </w:tc>
        <w:tc>
          <w:tcPr>
            <w:tcW w:w="802"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1 259</w:t>
            </w:r>
          </w:p>
        </w:tc>
        <w:tc>
          <w:tcPr>
            <w:tcW w:w="1050"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137,6</w:t>
            </w:r>
          </w:p>
        </w:tc>
      </w:tr>
      <w:tr w:rsidR="00240B6D" w:rsidRPr="00240B6D" w:rsidTr="00370B28">
        <w:trPr>
          <w:trHeight w:val="300"/>
        </w:trPr>
        <w:tc>
          <w:tcPr>
            <w:tcW w:w="299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Přímé platby domácností</w:t>
            </w:r>
            <w:r w:rsidR="009F4437">
              <w:rPr>
                <w:rFonts w:cs="Arial"/>
                <w:b/>
                <w:bCs/>
                <w:sz w:val="18"/>
                <w:szCs w:val="16"/>
                <w:vertAlign w:val="superscript"/>
                <w:lang w:eastAsia="en-US"/>
              </w:rPr>
              <w:t>1</w:t>
            </w:r>
            <w:r w:rsidRPr="00240B6D">
              <w:rPr>
                <w:rFonts w:cs="Arial"/>
                <w:b/>
                <w:bCs/>
                <w:sz w:val="18"/>
                <w:szCs w:val="16"/>
                <w:vertAlign w:val="superscript"/>
                <w:lang w:eastAsia="en-US"/>
              </w:rPr>
              <w:t>)</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42 705</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44 028</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44 239</w:t>
            </w:r>
          </w:p>
        </w:tc>
        <w:tc>
          <w:tcPr>
            <w:tcW w:w="801"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43 465</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46 490</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49 358</w:t>
            </w:r>
          </w:p>
        </w:tc>
        <w:tc>
          <w:tcPr>
            <w:tcW w:w="802"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51 215</w:t>
            </w:r>
          </w:p>
        </w:tc>
        <w:tc>
          <w:tcPr>
            <w:tcW w:w="1050"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103,8</w:t>
            </w:r>
          </w:p>
        </w:tc>
      </w:tr>
      <w:tr w:rsidR="00240B6D" w:rsidRPr="00240B6D" w:rsidTr="00370B28">
        <w:trPr>
          <w:trHeight w:val="300"/>
        </w:trPr>
        <w:tc>
          <w:tcPr>
            <w:tcW w:w="299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9D7138" w:rsidP="009D7138">
            <w:pPr>
              <w:spacing w:line="240" w:lineRule="auto"/>
              <w:rPr>
                <w:rFonts w:cs="Arial"/>
                <w:b/>
                <w:bCs/>
                <w:sz w:val="16"/>
                <w:szCs w:val="16"/>
                <w:lang w:eastAsia="en-US"/>
              </w:rPr>
            </w:pPr>
            <w:r>
              <w:rPr>
                <w:rFonts w:cs="Arial"/>
                <w:b/>
                <w:bCs/>
                <w:sz w:val="16"/>
                <w:szCs w:val="16"/>
                <w:lang w:eastAsia="en-US"/>
              </w:rPr>
              <w:t>Výdaje na z</w:t>
            </w:r>
            <w:r w:rsidR="00240B6D" w:rsidRPr="00240B6D">
              <w:rPr>
                <w:rFonts w:cs="Arial"/>
                <w:b/>
                <w:bCs/>
                <w:sz w:val="16"/>
                <w:szCs w:val="16"/>
                <w:lang w:eastAsia="en-US"/>
              </w:rPr>
              <w:t>dravotní péč</w:t>
            </w:r>
            <w:r>
              <w:rPr>
                <w:rFonts w:cs="Arial"/>
                <w:b/>
                <w:bCs/>
                <w:sz w:val="16"/>
                <w:szCs w:val="16"/>
                <w:lang w:eastAsia="en-US"/>
              </w:rPr>
              <w:t>i</w:t>
            </w:r>
            <w:r w:rsidR="00240B6D" w:rsidRPr="00240B6D">
              <w:rPr>
                <w:rFonts w:cs="Arial"/>
                <w:b/>
                <w:bCs/>
                <w:sz w:val="16"/>
                <w:szCs w:val="16"/>
                <w:lang w:eastAsia="en-US"/>
              </w:rPr>
              <w:t xml:space="preserve"> celkem</w:t>
            </w:r>
          </w:p>
        </w:tc>
        <w:tc>
          <w:tcPr>
            <w:tcW w:w="801"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334 088</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338 080</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341 913</w:t>
            </w:r>
          </w:p>
        </w:tc>
        <w:tc>
          <w:tcPr>
            <w:tcW w:w="801"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344 720</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348 730</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352 039</w:t>
            </w:r>
          </w:p>
        </w:tc>
        <w:tc>
          <w:tcPr>
            <w:tcW w:w="802" w:type="dxa"/>
            <w:tcBorders>
              <w:top w:val="single" w:sz="8" w:space="0" w:color="auto"/>
              <w:left w:val="nil"/>
              <w:bottom w:val="single" w:sz="8" w:space="0" w:color="auto"/>
              <w:right w:val="single" w:sz="4" w:space="0" w:color="auto"/>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361 647</w:t>
            </w:r>
          </w:p>
        </w:tc>
        <w:tc>
          <w:tcPr>
            <w:tcW w:w="1050" w:type="dxa"/>
            <w:tcBorders>
              <w:top w:val="single" w:sz="8" w:space="0" w:color="auto"/>
              <w:left w:val="nil"/>
              <w:bottom w:val="single" w:sz="8" w:space="0" w:color="auto"/>
              <w:right w:val="nil"/>
            </w:tcBorders>
            <w:shd w:val="clear" w:color="auto" w:fill="D99594" w:themeFill="accent2" w:themeFillTint="99"/>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bl>
    <w:p w:rsidR="00240B6D" w:rsidRPr="00240B6D" w:rsidRDefault="009F4437" w:rsidP="00240B6D">
      <w:pPr>
        <w:keepNext/>
        <w:spacing w:before="60" w:line="240" w:lineRule="auto"/>
        <w:jc w:val="both"/>
        <w:rPr>
          <w:sz w:val="16"/>
        </w:rPr>
      </w:pPr>
      <w:r>
        <w:rPr>
          <w:sz w:val="16"/>
        </w:rPr>
        <w:t>1</w:t>
      </w:r>
      <w:r w:rsidR="00240B6D" w:rsidRPr="00240B6D">
        <w:rPr>
          <w:sz w:val="16"/>
        </w:rPr>
        <w:t>) údaje za rok 2016 jsou předběžné</w:t>
      </w:r>
    </w:p>
    <w:bookmarkEnd w:id="12"/>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9D7138" w:rsidRDefault="00240B6D" w:rsidP="00240B6D">
      <w:pPr>
        <w:spacing w:before="120"/>
        <w:jc w:val="both"/>
        <w:rPr>
          <w:bCs/>
          <w:i/>
          <w:szCs w:val="20"/>
        </w:rPr>
      </w:pPr>
      <w:r w:rsidRPr="00240B6D">
        <w:rPr>
          <w:bCs/>
          <w:szCs w:val="20"/>
        </w:rPr>
        <w:lastRenderedPageBreak/>
        <w:t xml:space="preserve">V podrobnějším členění v rámci výše uvedených konečných zdrojů financování měly v letech 2010 až 2016 největší podíl na celkových výdajích na zdravotní péči </w:t>
      </w:r>
      <w:r w:rsidRPr="009D7138">
        <w:rPr>
          <w:b/>
          <w:bCs/>
          <w:szCs w:val="20"/>
        </w:rPr>
        <w:t>platby hrazené zdravotními pojišťovnami z veřejného pojištění</w:t>
      </w:r>
      <w:r w:rsidRPr="00240B6D">
        <w:rPr>
          <w:bCs/>
          <w:szCs w:val="20"/>
        </w:rPr>
        <w:t xml:space="preserve"> (237,7 mld. Kč; 65,7 % podíl v roce 2016), následované </w:t>
      </w:r>
      <w:r w:rsidRPr="009D7138">
        <w:rPr>
          <w:b/>
          <w:bCs/>
          <w:szCs w:val="20"/>
        </w:rPr>
        <w:t>státním rozpočtem</w:t>
      </w:r>
      <w:r w:rsidRPr="00240B6D">
        <w:rPr>
          <w:bCs/>
          <w:szCs w:val="20"/>
        </w:rPr>
        <w:t xml:space="preserve"> (55,9 mld. Kč; 15,5 %) a </w:t>
      </w:r>
      <w:r w:rsidRPr="009D7138">
        <w:rPr>
          <w:b/>
          <w:bCs/>
          <w:szCs w:val="20"/>
        </w:rPr>
        <w:t xml:space="preserve">domácnostmi </w:t>
      </w:r>
      <w:r w:rsidRPr="00240B6D">
        <w:rPr>
          <w:bCs/>
          <w:szCs w:val="20"/>
        </w:rPr>
        <w:t>(51,2 mld. Kč; 14,</w:t>
      </w:r>
      <w:r w:rsidR="000F6E14">
        <w:rPr>
          <w:bCs/>
          <w:szCs w:val="20"/>
        </w:rPr>
        <w:t>2</w:t>
      </w:r>
      <w:r w:rsidRPr="00240B6D">
        <w:rPr>
          <w:bCs/>
          <w:szCs w:val="20"/>
        </w:rPr>
        <w:t xml:space="preserve"> %). </w:t>
      </w:r>
      <w:r w:rsidRPr="009D7138">
        <w:rPr>
          <w:bCs/>
          <w:i/>
          <w:szCs w:val="20"/>
        </w:rPr>
        <w:t>Podrobnější údaje za posledních pět let přináší následující graf 2.2.</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2.2 Výdaje na zdravotní péči v Česku podle hlavních zdrojů financování, 2012 – 2016 (mld. Kč; %)</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9D2120" w:rsidP="009D2120">
      <w:pPr>
        <w:keepNext/>
        <w:jc w:val="both"/>
      </w:pPr>
      <w:r>
        <w:rPr>
          <w:noProof/>
        </w:rPr>
        <w:drawing>
          <wp:inline distT="0" distB="0" distL="0" distR="0" wp14:anchorId="6449A8FD" wp14:editId="01F276AB">
            <wp:extent cx="3600000" cy="25200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40B6D" w:rsidRPr="00240B6D">
        <w:rPr>
          <w:noProof/>
        </w:rPr>
        <w:drawing>
          <wp:inline distT="0" distB="0" distL="0" distR="0" wp14:anchorId="6CA8AA17" wp14:editId="1D9226EC">
            <wp:extent cx="2484000" cy="25200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B6D" w:rsidRPr="00240B6D" w:rsidRDefault="000F6E14" w:rsidP="00240B6D">
      <w:pPr>
        <w:keepNext/>
        <w:spacing w:before="60" w:line="240" w:lineRule="auto"/>
        <w:jc w:val="both"/>
        <w:rPr>
          <w:sz w:val="16"/>
        </w:rPr>
      </w:pPr>
      <w:r>
        <w:rPr>
          <w:sz w:val="16"/>
        </w:rPr>
        <w:t>(</w:t>
      </w:r>
      <w:r w:rsidR="00240B6D" w:rsidRPr="00240B6D">
        <w:rPr>
          <w:sz w:val="16"/>
        </w:rPr>
        <w:t xml:space="preserve">1) zahrnují přímé výdaje na zdravotní péči ze státního rozpočtu ČR a z místních rozpočtů </w:t>
      </w:r>
    </w:p>
    <w:p w:rsidR="00240B6D" w:rsidRPr="00240B6D" w:rsidRDefault="000F6E14" w:rsidP="00240B6D">
      <w:pPr>
        <w:keepNext/>
        <w:spacing w:before="60" w:line="240" w:lineRule="auto"/>
        <w:jc w:val="both"/>
        <w:rPr>
          <w:sz w:val="16"/>
        </w:rPr>
      </w:pPr>
      <w:r>
        <w:rPr>
          <w:sz w:val="16"/>
        </w:rPr>
        <w:t>(</w:t>
      </w:r>
      <w:r w:rsidR="00240B6D" w:rsidRPr="00240B6D">
        <w:rPr>
          <w:sz w:val="16"/>
        </w:rPr>
        <w:t xml:space="preserve">2) zahrnují </w:t>
      </w:r>
      <w:r w:rsidR="00240B6D" w:rsidRPr="00240B6D">
        <w:rPr>
          <w:bCs/>
          <w:sz w:val="16"/>
          <w:szCs w:val="16"/>
        </w:rPr>
        <w:t>dobrovolné platby na zdravotní péči neziskových institucí, soukromé zdravotní pojištění a podnikov</w:t>
      </w:r>
      <w:r w:rsidR="009D2120">
        <w:rPr>
          <w:bCs/>
          <w:sz w:val="16"/>
          <w:szCs w:val="16"/>
        </w:rPr>
        <w:t>ou</w:t>
      </w:r>
      <w:r w:rsidR="00240B6D" w:rsidRPr="00240B6D">
        <w:rPr>
          <w:bCs/>
          <w:sz w:val="16"/>
          <w:szCs w:val="16"/>
        </w:rPr>
        <w:t xml:space="preserve"> preventivní péč</w:t>
      </w:r>
      <w:r w:rsidR="009D2120">
        <w:rPr>
          <w:bCs/>
          <w:sz w:val="16"/>
          <w:szCs w:val="16"/>
        </w:rPr>
        <w:t>i</w:t>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240B6D">
      <w:pPr>
        <w:spacing w:before="240" w:after="120"/>
        <w:rPr>
          <w:rFonts w:eastAsia="MS Gothic"/>
          <w:b/>
          <w:i/>
        </w:rPr>
      </w:pPr>
      <w:r w:rsidRPr="00240B6D">
        <w:rPr>
          <w:rFonts w:eastAsia="MS Gothic"/>
          <w:b/>
          <w:i/>
        </w:rPr>
        <w:t>Podíl veřejných zdrojů na financování zdravotní péče je v Česku čtvrtý nejvyšší ze zemí EU</w:t>
      </w:r>
    </w:p>
    <w:p w:rsidR="00EF5416" w:rsidRDefault="00240B6D" w:rsidP="00240B6D">
      <w:pPr>
        <w:spacing w:before="120"/>
        <w:jc w:val="both"/>
        <w:rPr>
          <w:bCs/>
          <w:szCs w:val="20"/>
        </w:rPr>
      </w:pPr>
      <w:r w:rsidRPr="002E7C59">
        <w:rPr>
          <w:bCs/>
          <w:szCs w:val="20"/>
        </w:rPr>
        <w:t>České zdravotnictví je dlouhodobě financováno primárně z veřejných zdrojů</w:t>
      </w:r>
      <w:r w:rsidR="00D76ECF" w:rsidRPr="002E7C59">
        <w:rPr>
          <w:bCs/>
          <w:szCs w:val="20"/>
        </w:rPr>
        <w:t>, a to především z veřejného zdravotního pojištění. V</w:t>
      </w:r>
      <w:r w:rsidRPr="002E7C59">
        <w:rPr>
          <w:bCs/>
          <w:szCs w:val="20"/>
        </w:rPr>
        <w:t xml:space="preserve"> sledovaném období let 2010 až 2016 </w:t>
      </w:r>
      <w:r w:rsidR="00D76ECF" w:rsidRPr="002E7C59">
        <w:rPr>
          <w:bCs/>
          <w:szCs w:val="20"/>
        </w:rPr>
        <w:t xml:space="preserve">se </w:t>
      </w:r>
      <w:r w:rsidR="00D76ECF" w:rsidRPr="002E7C59">
        <w:rPr>
          <w:b/>
          <w:bCs/>
          <w:szCs w:val="20"/>
        </w:rPr>
        <w:t>veřejné zdroje</w:t>
      </w:r>
      <w:r w:rsidR="00D76ECF" w:rsidRPr="002E7C59">
        <w:rPr>
          <w:bCs/>
          <w:szCs w:val="20"/>
        </w:rPr>
        <w:t xml:space="preserve"> </w:t>
      </w:r>
      <w:r w:rsidRPr="002E7C59">
        <w:rPr>
          <w:bCs/>
          <w:szCs w:val="20"/>
        </w:rPr>
        <w:t>podílely z 83 až 85 % na financování na zdravotní péči v</w:t>
      </w:r>
      <w:r w:rsidR="00D76ECF" w:rsidRPr="002E7C59">
        <w:rPr>
          <w:bCs/>
          <w:szCs w:val="20"/>
        </w:rPr>
        <w:t> </w:t>
      </w:r>
      <w:r w:rsidRPr="002E7C59">
        <w:rPr>
          <w:bCs/>
          <w:szCs w:val="20"/>
        </w:rPr>
        <w:t>ČR</w:t>
      </w:r>
      <w:r w:rsidR="00D76ECF" w:rsidRPr="002E7C59">
        <w:rPr>
          <w:bCs/>
          <w:szCs w:val="20"/>
        </w:rPr>
        <w:t>.</w:t>
      </w:r>
      <w:r w:rsidRPr="002E7C59">
        <w:rPr>
          <w:bCs/>
          <w:szCs w:val="20"/>
        </w:rPr>
        <w:t xml:space="preserve"> Tento podíl </w:t>
      </w:r>
      <w:r w:rsidR="005E316C" w:rsidRPr="002E7C59">
        <w:rPr>
          <w:bCs/>
          <w:szCs w:val="20"/>
        </w:rPr>
        <w:t>byl v roce 2015</w:t>
      </w:r>
      <w:r w:rsidRPr="002E7C59">
        <w:rPr>
          <w:bCs/>
          <w:szCs w:val="20"/>
        </w:rPr>
        <w:t xml:space="preserve"> čtvrtý nejvyšší v rámci zemí EU. Obdobně vysoký podíl veřejných zdrojů na financování zdravotní péče jako v České republice je i v Dánsku</w:t>
      </w:r>
      <w:r w:rsidR="004236AB" w:rsidRPr="002E7C59">
        <w:rPr>
          <w:bCs/>
          <w:szCs w:val="20"/>
        </w:rPr>
        <w:t>,</w:t>
      </w:r>
      <w:r w:rsidRPr="002E7C59">
        <w:rPr>
          <w:bCs/>
          <w:szCs w:val="20"/>
        </w:rPr>
        <w:t xml:space="preserve"> Švédsku</w:t>
      </w:r>
      <w:r w:rsidR="004236AB" w:rsidRPr="002E7C59">
        <w:rPr>
          <w:bCs/>
          <w:szCs w:val="20"/>
        </w:rPr>
        <w:t xml:space="preserve"> nebo v sousedním Německu nebo na Slovensku</w:t>
      </w:r>
      <w:r w:rsidR="00CC2E9C" w:rsidRPr="002E7C59">
        <w:rPr>
          <w:bCs/>
          <w:szCs w:val="20"/>
        </w:rPr>
        <w:t>.</w:t>
      </w:r>
      <w:r w:rsidRPr="002E7C59">
        <w:rPr>
          <w:bCs/>
          <w:szCs w:val="20"/>
        </w:rPr>
        <w:t xml:space="preserve"> Naopak v</w:t>
      </w:r>
      <w:r w:rsidR="004236AB" w:rsidRPr="002E7C59">
        <w:rPr>
          <w:bCs/>
          <w:szCs w:val="20"/>
        </w:rPr>
        <w:t> např. v </w:t>
      </w:r>
      <w:r w:rsidRPr="002E7C59">
        <w:rPr>
          <w:bCs/>
          <w:szCs w:val="20"/>
        </w:rPr>
        <w:t>Polsku</w:t>
      </w:r>
      <w:r w:rsidR="004236AB" w:rsidRPr="002E7C59">
        <w:rPr>
          <w:bCs/>
          <w:szCs w:val="20"/>
        </w:rPr>
        <w:t xml:space="preserve"> nebo ve </w:t>
      </w:r>
      <w:r w:rsidRPr="002E7C59">
        <w:rPr>
          <w:bCs/>
          <w:szCs w:val="20"/>
        </w:rPr>
        <w:t>Slov</w:t>
      </w:r>
      <w:r w:rsidR="004236AB" w:rsidRPr="002E7C59">
        <w:rPr>
          <w:bCs/>
          <w:szCs w:val="20"/>
        </w:rPr>
        <w:t>i</w:t>
      </w:r>
      <w:r w:rsidRPr="002E7C59">
        <w:rPr>
          <w:bCs/>
          <w:szCs w:val="20"/>
        </w:rPr>
        <w:t>nsku se veřejné zdroje podílely na financování zdravotní péče přibližně ze 70 % a v Maďarsku ze dvou třetin.</w:t>
      </w:r>
    </w:p>
    <w:p w:rsidR="00240B6D" w:rsidRPr="005E316C" w:rsidRDefault="00EF5416" w:rsidP="00240B6D">
      <w:pPr>
        <w:spacing w:before="120"/>
        <w:jc w:val="both"/>
        <w:rPr>
          <w:bCs/>
          <w:i/>
          <w:szCs w:val="20"/>
        </w:rPr>
      </w:pPr>
      <w:r>
        <w:rPr>
          <w:bCs/>
          <w:szCs w:val="20"/>
        </w:rPr>
        <w:t>I když se j</w:t>
      </w:r>
      <w:r w:rsidRPr="00EF5416">
        <w:rPr>
          <w:bCs/>
          <w:szCs w:val="20"/>
        </w:rPr>
        <w:t xml:space="preserve">ednotlivé státy </w:t>
      </w:r>
      <w:r>
        <w:rPr>
          <w:bCs/>
          <w:szCs w:val="20"/>
        </w:rPr>
        <w:t xml:space="preserve">EU a OECD </w:t>
      </w:r>
      <w:r w:rsidRPr="00EF5416">
        <w:rPr>
          <w:bCs/>
          <w:szCs w:val="20"/>
        </w:rPr>
        <w:t xml:space="preserve">výrazně odlišují ve způsobu financování zdravotní péče, obecně lze říci, že ve všech sledovaných zemích převládá financování z veřejných zdrojů nad soukromými. </w:t>
      </w:r>
      <w:r>
        <w:rPr>
          <w:bCs/>
          <w:szCs w:val="20"/>
        </w:rPr>
        <w:t>Výjimkou jsou pouze Spojené státy</w:t>
      </w:r>
      <w:r w:rsidRPr="00EF5416">
        <w:rPr>
          <w:bCs/>
          <w:szCs w:val="20"/>
        </w:rPr>
        <w:t xml:space="preserve"> spolu s</w:t>
      </w:r>
      <w:r>
        <w:rPr>
          <w:bCs/>
          <w:szCs w:val="20"/>
        </w:rPr>
        <w:t> </w:t>
      </w:r>
      <w:r w:rsidRPr="00EF5416">
        <w:rPr>
          <w:bCs/>
          <w:szCs w:val="20"/>
        </w:rPr>
        <w:t>Mexikem</w:t>
      </w:r>
      <w:r>
        <w:rPr>
          <w:bCs/>
          <w:szCs w:val="20"/>
        </w:rPr>
        <w:t xml:space="preserve">, </w:t>
      </w:r>
      <w:r w:rsidRPr="00EF5416">
        <w:rPr>
          <w:bCs/>
          <w:szCs w:val="20"/>
        </w:rPr>
        <w:t xml:space="preserve">kde jsou výdaje z veřejných a soukromých zdrojů zhruba rovnoměrně rozděleny. </w:t>
      </w:r>
    </w:p>
    <w:p w:rsidR="00C6634F" w:rsidRPr="00240B6D" w:rsidRDefault="00C6634F" w:rsidP="00C6634F">
      <w:pPr>
        <w:keepNext/>
        <w:spacing w:before="120"/>
        <w:jc w:val="both"/>
        <w:rPr>
          <w:bCs/>
          <w:szCs w:val="20"/>
        </w:rPr>
      </w:pPr>
      <w:r w:rsidRPr="00240B6D">
        <w:rPr>
          <w:bCs/>
          <w:szCs w:val="20"/>
        </w:rPr>
        <w:t xml:space="preserve">V roce 2016 šlo z veřejných zdrojů na zdravotní péči v Česku </w:t>
      </w:r>
      <w:r w:rsidRPr="00C6634F">
        <w:rPr>
          <w:b/>
          <w:bCs/>
          <w:szCs w:val="20"/>
        </w:rPr>
        <w:t>celkem</w:t>
      </w:r>
      <w:r w:rsidRPr="00240B6D">
        <w:rPr>
          <w:bCs/>
          <w:szCs w:val="20"/>
        </w:rPr>
        <w:t xml:space="preserve"> 300,2 mld. Kč. Od roku 2010 včetně to bylo dohromady 2 033 miliard korun, z toho v posledních třech letech (2014 až 2016) 885 miliard. </w:t>
      </w:r>
      <w:r w:rsidRPr="003452B6">
        <w:rPr>
          <w:b/>
          <w:bCs/>
          <w:szCs w:val="20"/>
        </w:rPr>
        <w:t>Na jednoho obyvatele</w:t>
      </w:r>
      <w:r w:rsidRPr="00240B6D">
        <w:rPr>
          <w:bCs/>
          <w:szCs w:val="20"/>
        </w:rPr>
        <w:t xml:space="preserve"> šlo </w:t>
      </w:r>
      <w:r>
        <w:rPr>
          <w:bCs/>
          <w:szCs w:val="20"/>
        </w:rPr>
        <w:t xml:space="preserve">z veřejných zdrojů </w:t>
      </w:r>
      <w:r w:rsidRPr="00240B6D">
        <w:rPr>
          <w:bCs/>
          <w:szCs w:val="20"/>
        </w:rPr>
        <w:t>na zdravotní péči v</w:t>
      </w:r>
      <w:r>
        <w:rPr>
          <w:bCs/>
          <w:szCs w:val="20"/>
        </w:rPr>
        <w:t xml:space="preserve"> letech </w:t>
      </w:r>
      <w:r w:rsidRPr="00240B6D">
        <w:rPr>
          <w:bCs/>
          <w:szCs w:val="20"/>
        </w:rPr>
        <w:t xml:space="preserve">2010 až 2016 v průměru 27,6 tis. Kč ročně </w:t>
      </w:r>
      <w:r>
        <w:rPr>
          <w:bCs/>
          <w:szCs w:val="20"/>
        </w:rPr>
        <w:t xml:space="preserve">- </w:t>
      </w:r>
      <w:r w:rsidRPr="00240B6D">
        <w:rPr>
          <w:bCs/>
          <w:szCs w:val="20"/>
        </w:rPr>
        <w:t>v roce 2016 to bylo 28,4 tis.</w:t>
      </w:r>
      <w:r>
        <w:rPr>
          <w:bCs/>
          <w:szCs w:val="20"/>
        </w:rPr>
        <w:t xml:space="preserve"> Kč.</w:t>
      </w:r>
      <w:r w:rsidRPr="00240B6D">
        <w:rPr>
          <w:bCs/>
          <w:szCs w:val="20"/>
        </w:rPr>
        <w:t xml:space="preserve"> Ve vztahu k celkovým výdajům veřejných rozpočtu tvořily v roce 2016 výdaje na zdravotní péči v pojetí SHA 16 %.</w:t>
      </w:r>
    </w:p>
    <w:p w:rsidR="00BF26C4" w:rsidRDefault="00BF26C4" w:rsidP="00BF26C4">
      <w:pPr>
        <w:spacing w:before="120"/>
        <w:jc w:val="both"/>
        <w:rPr>
          <w:bCs/>
          <w:szCs w:val="20"/>
        </w:rPr>
      </w:pPr>
      <w:r w:rsidRPr="00240B6D">
        <w:rPr>
          <w:bCs/>
          <w:szCs w:val="20"/>
        </w:rPr>
        <w:t xml:space="preserve">V rámci veřejného financování zdravotní péče u nás jednoznačně převládá jeho financování prostřednictvím </w:t>
      </w:r>
      <w:r w:rsidRPr="00D76ECF">
        <w:rPr>
          <w:b/>
          <w:bCs/>
          <w:szCs w:val="20"/>
        </w:rPr>
        <w:t>plateb z veřejného zdravotního pojištění</w:t>
      </w:r>
      <w:r w:rsidRPr="00240B6D">
        <w:rPr>
          <w:bCs/>
          <w:szCs w:val="20"/>
        </w:rPr>
        <w:t>. Veřejné zdravotní pojišťovny se v roce 2016 podílely ze 79,2 % (237,7 mld. Kč) na financování zdravotní péče z veřejných zdrojů</w:t>
      </w:r>
      <w:r>
        <w:rPr>
          <w:bCs/>
          <w:szCs w:val="20"/>
        </w:rPr>
        <w:t>. V</w:t>
      </w:r>
      <w:r w:rsidRPr="00240B6D">
        <w:rPr>
          <w:bCs/>
          <w:szCs w:val="20"/>
        </w:rPr>
        <w:t> posledních letech podíl tohoto zdroje však klesá</w:t>
      </w:r>
      <w:r>
        <w:rPr>
          <w:bCs/>
          <w:szCs w:val="20"/>
        </w:rPr>
        <w:t xml:space="preserve">. </w:t>
      </w:r>
    </w:p>
    <w:p w:rsidR="00BF26C4" w:rsidRPr="00240B6D" w:rsidRDefault="00BF26C4" w:rsidP="00BF26C4">
      <w:pPr>
        <w:spacing w:before="120"/>
        <w:jc w:val="both"/>
        <w:rPr>
          <w:bCs/>
          <w:szCs w:val="17"/>
        </w:rPr>
      </w:pPr>
      <w:r w:rsidRPr="00240B6D">
        <w:rPr>
          <w:bCs/>
          <w:szCs w:val="20"/>
        </w:rPr>
        <w:t xml:space="preserve">Naopak od roku 2012 vzrostl podíl </w:t>
      </w:r>
      <w:r w:rsidRPr="00D76ECF">
        <w:rPr>
          <w:b/>
          <w:bCs/>
          <w:szCs w:val="20"/>
        </w:rPr>
        <w:t>státního rozpočtu</w:t>
      </w:r>
      <w:r w:rsidRPr="00240B6D">
        <w:rPr>
          <w:bCs/>
          <w:szCs w:val="20"/>
        </w:rPr>
        <w:t xml:space="preserve"> na financování zdravotní péče z veřejných zdrojů z 15,5 % (44,6 mld. Kč) na 18,6 % (55,9 mld. Kč) v roce 2016. </w:t>
      </w:r>
      <w:r w:rsidRPr="00D76ECF">
        <w:rPr>
          <w:b/>
          <w:bCs/>
          <w:szCs w:val="20"/>
        </w:rPr>
        <w:t>Místní (krajské a obecní) rozpočty</w:t>
      </w:r>
      <w:r w:rsidRPr="00240B6D">
        <w:rPr>
          <w:bCs/>
          <w:szCs w:val="20"/>
        </w:rPr>
        <w:t xml:space="preserve"> jsou v Česku pouze doplňkovým zdrojem financování zdravotní péče. </w:t>
      </w:r>
      <w:r w:rsidRPr="00240B6D">
        <w:rPr>
          <w:bCs/>
          <w:szCs w:val="17"/>
        </w:rPr>
        <w:t xml:space="preserve">Z 6,6 mld. Kč výdajů na zdravotní péči </w:t>
      </w:r>
      <w:r w:rsidRPr="00240B6D">
        <w:rPr>
          <w:bCs/>
          <w:szCs w:val="17"/>
        </w:rPr>
        <w:lastRenderedPageBreak/>
        <w:t>v roce 2016, která byla hrazena z krajských a obecních rozpočtů, polovina (3,3 mld. Kč) připadla na dopravu pacientů – záchrannou službu.</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2.3 Výdaje na zdravotní péči v Česku financované z veřejných zdrojů, 2012 – 2016 (mld. Kč; %)</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240B6D" w:rsidP="009D7138">
      <w:pPr>
        <w:keepNext/>
        <w:jc w:val="both"/>
        <w:rPr>
          <w:bCs/>
          <w:szCs w:val="20"/>
        </w:rPr>
      </w:pPr>
      <w:r w:rsidRPr="00240B6D">
        <w:rPr>
          <w:noProof/>
        </w:rPr>
        <w:drawing>
          <wp:inline distT="0" distB="0" distL="0" distR="0" wp14:anchorId="0AEBFB3D" wp14:editId="1A11FBEC">
            <wp:extent cx="3419475" cy="25200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40B6D">
        <w:rPr>
          <w:noProof/>
          <w:lang w:val="en-US" w:eastAsia="en-US"/>
        </w:rPr>
        <w:t xml:space="preserve"> </w:t>
      </w:r>
      <w:r w:rsidRPr="00240B6D">
        <w:rPr>
          <w:noProof/>
        </w:rPr>
        <w:drawing>
          <wp:inline distT="0" distB="0" distL="0" distR="0" wp14:anchorId="3EFA5F61" wp14:editId="2629F37E">
            <wp:extent cx="2628000" cy="25200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240B6D">
      <w:pPr>
        <w:spacing w:before="240" w:after="120"/>
        <w:rPr>
          <w:rFonts w:eastAsia="MS Gothic"/>
          <w:b/>
          <w:i/>
        </w:rPr>
      </w:pPr>
      <w:r w:rsidRPr="00240B6D">
        <w:rPr>
          <w:rFonts w:eastAsia="MS Gothic"/>
          <w:b/>
          <w:i/>
        </w:rPr>
        <w:t xml:space="preserve">Platby z povinného zdravotního pojištění se </w:t>
      </w:r>
      <w:r w:rsidR="009D2120">
        <w:rPr>
          <w:rFonts w:eastAsia="MS Gothic"/>
          <w:b/>
          <w:i/>
        </w:rPr>
        <w:t xml:space="preserve">v Česku </w:t>
      </w:r>
      <w:r w:rsidRPr="00240B6D">
        <w:rPr>
          <w:rFonts w:eastAsia="MS Gothic"/>
          <w:b/>
          <w:i/>
        </w:rPr>
        <w:t>podílejí 2/3 na financování zdravotní péče</w:t>
      </w:r>
    </w:p>
    <w:p w:rsidR="00240B6D" w:rsidRPr="009D2120" w:rsidRDefault="00240B6D" w:rsidP="00240B6D">
      <w:pPr>
        <w:keepNext/>
        <w:jc w:val="both"/>
        <w:rPr>
          <w:i/>
        </w:rPr>
      </w:pPr>
      <w:r w:rsidRPr="009D2120">
        <w:rPr>
          <w:i/>
        </w:rPr>
        <w:t xml:space="preserve">V České republice mají klíčové postavení z hlediska financování zdravotní péče </w:t>
      </w:r>
      <w:r w:rsidRPr="009D2120">
        <w:rPr>
          <w:b/>
          <w:i/>
        </w:rPr>
        <w:t>zdravotní pojišťovny</w:t>
      </w:r>
      <w:r w:rsidRPr="009D2120">
        <w:rPr>
          <w:i/>
        </w:rPr>
        <w:t>, jejichž příjmy plynou z veřejného zdravotního pojištění, kterého je povinně účastna každá osoba s trvalým pobytem na našem území. Hlavní zásadou veřejného zdravotního pojištění je solidarita a rovnost přístupu ke zdravotní péči. Veřejné zdravotní pojištění financuje veškerou zdravotní péči garantovanou zákonem č. 48/1997 Sb.</w:t>
      </w:r>
      <w:r w:rsidR="00BB0015" w:rsidRPr="009D2120">
        <w:rPr>
          <w:i/>
        </w:rPr>
        <w:t>,</w:t>
      </w:r>
      <w:r w:rsidRPr="009D2120">
        <w:rPr>
          <w:i/>
        </w:rPr>
        <w:t xml:space="preserve"> o veřejném zdravotním pojištění (v platném znění). </w:t>
      </w:r>
    </w:p>
    <w:p w:rsidR="00240B6D" w:rsidRPr="000353CA" w:rsidRDefault="003452B6" w:rsidP="00240B6D">
      <w:pPr>
        <w:spacing w:before="120"/>
        <w:jc w:val="both"/>
        <w:rPr>
          <w:bCs/>
          <w:i/>
          <w:szCs w:val="20"/>
        </w:rPr>
      </w:pPr>
      <w:r>
        <w:rPr>
          <w:bCs/>
          <w:szCs w:val="20"/>
        </w:rPr>
        <w:t>V</w:t>
      </w:r>
      <w:r w:rsidR="00240B6D" w:rsidRPr="00240B6D">
        <w:rPr>
          <w:bCs/>
          <w:szCs w:val="20"/>
        </w:rPr>
        <w:t>eřejné zdravotní pojišťovny se </w:t>
      </w:r>
      <w:r w:rsidR="009D2120">
        <w:rPr>
          <w:bCs/>
          <w:szCs w:val="20"/>
        </w:rPr>
        <w:t xml:space="preserve">v roce 2016 </w:t>
      </w:r>
      <w:r>
        <w:rPr>
          <w:bCs/>
          <w:szCs w:val="20"/>
        </w:rPr>
        <w:t>podíle</w:t>
      </w:r>
      <w:r w:rsidR="009D2120">
        <w:rPr>
          <w:bCs/>
          <w:szCs w:val="20"/>
        </w:rPr>
        <w:t xml:space="preserve">ly </w:t>
      </w:r>
      <w:r>
        <w:rPr>
          <w:bCs/>
          <w:szCs w:val="20"/>
        </w:rPr>
        <w:t xml:space="preserve">jí </w:t>
      </w:r>
      <w:r w:rsidR="00240B6D" w:rsidRPr="00240B6D">
        <w:rPr>
          <w:bCs/>
          <w:szCs w:val="20"/>
        </w:rPr>
        <w:t>podstatnou částí na krytí výdajů na zdravotní péči v České republice</w:t>
      </w:r>
      <w:r w:rsidR="00855FB6">
        <w:rPr>
          <w:bCs/>
          <w:szCs w:val="20"/>
        </w:rPr>
        <w:t xml:space="preserve">. V roce 2016 to bylo ze </w:t>
      </w:r>
      <w:r w:rsidR="00240B6D" w:rsidRPr="00240B6D">
        <w:rPr>
          <w:bCs/>
          <w:szCs w:val="20"/>
        </w:rPr>
        <w:t>dvou</w:t>
      </w:r>
      <w:r w:rsidR="00855FB6">
        <w:rPr>
          <w:bCs/>
          <w:szCs w:val="20"/>
        </w:rPr>
        <w:t xml:space="preserve"> </w:t>
      </w:r>
      <w:r w:rsidR="00240B6D" w:rsidRPr="00240B6D">
        <w:rPr>
          <w:bCs/>
          <w:szCs w:val="20"/>
        </w:rPr>
        <w:t>třetin</w:t>
      </w:r>
      <w:r w:rsidR="00855FB6">
        <w:rPr>
          <w:bCs/>
          <w:szCs w:val="20"/>
        </w:rPr>
        <w:t xml:space="preserve"> – v roce 2012 dokonce ze </w:t>
      </w:r>
      <w:r w:rsidR="00240B6D" w:rsidRPr="00240B6D">
        <w:rPr>
          <w:bCs/>
          <w:szCs w:val="20"/>
        </w:rPr>
        <w:t>70 %</w:t>
      </w:r>
      <w:r w:rsidR="00855FB6">
        <w:rPr>
          <w:bCs/>
          <w:szCs w:val="20"/>
        </w:rPr>
        <w:t>.</w:t>
      </w:r>
      <w:r w:rsidR="00240B6D" w:rsidRPr="00240B6D">
        <w:rPr>
          <w:bCs/>
          <w:szCs w:val="20"/>
        </w:rPr>
        <w:t xml:space="preserve"> V absolutním vyjádření šlo za posledních </w:t>
      </w:r>
      <w:r w:rsidR="00855FB6">
        <w:rPr>
          <w:bCs/>
          <w:szCs w:val="20"/>
        </w:rPr>
        <w:t xml:space="preserve">pět </w:t>
      </w:r>
      <w:r w:rsidR="00240B6D" w:rsidRPr="00240B6D">
        <w:rPr>
          <w:bCs/>
          <w:szCs w:val="20"/>
        </w:rPr>
        <w:t xml:space="preserve">let na zdravotní péči z veřejného </w:t>
      </w:r>
      <w:r w:rsidR="00855FB6">
        <w:rPr>
          <w:bCs/>
          <w:szCs w:val="20"/>
        </w:rPr>
        <w:t xml:space="preserve">zdravotního </w:t>
      </w:r>
      <w:r w:rsidR="00240B6D" w:rsidRPr="00240B6D">
        <w:rPr>
          <w:bCs/>
          <w:szCs w:val="20"/>
        </w:rPr>
        <w:t xml:space="preserve">pojištění nejvíce finančních prostředků v roce 2013 (238,4 mld. Kč) a nejméně pak v roce 2015 (234,5 mld. Kč). Lze tedy konstatovat, že financování zdravotní péče z toho zdroje je v posledních letech poměrně stabilní. V těchto částkách </w:t>
      </w:r>
      <w:r w:rsidR="00BB0015">
        <w:rPr>
          <w:bCs/>
          <w:szCs w:val="20"/>
        </w:rPr>
        <w:t>jsou</w:t>
      </w:r>
      <w:r w:rsidR="00BB0015" w:rsidRPr="00240B6D">
        <w:rPr>
          <w:bCs/>
          <w:szCs w:val="20"/>
        </w:rPr>
        <w:t xml:space="preserve"> </w:t>
      </w:r>
      <w:r w:rsidR="00240B6D" w:rsidRPr="00240B6D">
        <w:rPr>
          <w:bCs/>
          <w:szCs w:val="20"/>
        </w:rPr>
        <w:t>kromě peněz, které jdou přímo na zdravotní péči</w:t>
      </w:r>
      <w:r w:rsidR="00BB0015">
        <w:rPr>
          <w:bCs/>
          <w:szCs w:val="20"/>
        </w:rPr>
        <w:t>,</w:t>
      </w:r>
      <w:r w:rsidR="00240B6D" w:rsidRPr="00240B6D">
        <w:rPr>
          <w:bCs/>
          <w:szCs w:val="20"/>
        </w:rPr>
        <w:t xml:space="preserve"> zahrnuty i výdaje na programy preventivní péče </w:t>
      </w:r>
      <w:r>
        <w:rPr>
          <w:bCs/>
          <w:szCs w:val="20"/>
        </w:rPr>
        <w:t xml:space="preserve">a vlastní provoz </w:t>
      </w:r>
      <w:r w:rsidR="00240B6D" w:rsidRPr="00240B6D">
        <w:rPr>
          <w:bCs/>
          <w:szCs w:val="20"/>
        </w:rPr>
        <w:t>zdravotních pojišťoven</w:t>
      </w:r>
      <w:r>
        <w:rPr>
          <w:bCs/>
          <w:szCs w:val="20"/>
        </w:rPr>
        <w:t>.</w:t>
      </w:r>
      <w:r w:rsidR="00240B6D" w:rsidRPr="00240B6D">
        <w:rPr>
          <w:bCs/>
          <w:szCs w:val="20"/>
        </w:rPr>
        <w:t xml:space="preserve"> </w:t>
      </w:r>
      <w:r w:rsidR="00240B6D" w:rsidRPr="000353CA">
        <w:rPr>
          <w:bCs/>
          <w:i/>
          <w:szCs w:val="20"/>
        </w:rPr>
        <w:t>Podrobněji viz kapitola 3.1 této publikace.</w:t>
      </w:r>
    </w:p>
    <w:p w:rsidR="00240B6D" w:rsidRPr="00240B6D" w:rsidRDefault="00240B6D" w:rsidP="00240B6D">
      <w:pPr>
        <w:spacing w:before="240" w:after="120"/>
        <w:rPr>
          <w:rFonts w:eastAsia="MS Gothic"/>
          <w:b/>
          <w:i/>
        </w:rPr>
      </w:pPr>
      <w:r w:rsidRPr="00240B6D">
        <w:rPr>
          <w:rFonts w:eastAsia="MS Gothic"/>
          <w:b/>
          <w:i/>
        </w:rPr>
        <w:t xml:space="preserve">Výdaje státního rozpočtu na zdravotní péči </w:t>
      </w:r>
      <w:r w:rsidR="008D1923">
        <w:rPr>
          <w:rFonts w:eastAsia="MS Gothic"/>
          <w:b/>
          <w:i/>
        </w:rPr>
        <w:t xml:space="preserve">v roce 2016 </w:t>
      </w:r>
      <w:r w:rsidRPr="00240B6D">
        <w:rPr>
          <w:rFonts w:eastAsia="MS Gothic"/>
          <w:b/>
          <w:i/>
        </w:rPr>
        <w:t>meziročně stouply o více než 3 miliardy Kč</w:t>
      </w:r>
    </w:p>
    <w:p w:rsidR="00240B6D" w:rsidRPr="00240B6D" w:rsidRDefault="00240B6D" w:rsidP="00240B6D">
      <w:pPr>
        <w:spacing w:before="120" w:after="120"/>
        <w:jc w:val="both"/>
        <w:rPr>
          <w:bCs/>
          <w:szCs w:val="17"/>
        </w:rPr>
      </w:pPr>
      <w:r w:rsidRPr="00240B6D">
        <w:rPr>
          <w:bCs/>
          <w:szCs w:val="17"/>
        </w:rPr>
        <w:t xml:space="preserve">V roce 2016 šlo </w:t>
      </w:r>
      <w:r w:rsidR="008D1923">
        <w:rPr>
          <w:bCs/>
          <w:szCs w:val="17"/>
        </w:rPr>
        <w:t xml:space="preserve">přímo </w:t>
      </w:r>
      <w:r w:rsidRPr="00240B6D">
        <w:rPr>
          <w:bCs/>
          <w:szCs w:val="17"/>
        </w:rPr>
        <w:t xml:space="preserve">ze </w:t>
      </w:r>
      <w:r w:rsidRPr="00240B6D">
        <w:rPr>
          <w:b/>
          <w:bCs/>
          <w:szCs w:val="17"/>
        </w:rPr>
        <w:t>státního rozpočtu</w:t>
      </w:r>
      <w:r w:rsidRPr="00240B6D">
        <w:rPr>
          <w:bCs/>
          <w:szCs w:val="17"/>
        </w:rPr>
        <w:t xml:space="preserve"> na zdravotní péči celkem 55,9 mld. Kč</w:t>
      </w:r>
      <w:r w:rsidR="000353CA">
        <w:rPr>
          <w:rStyle w:val="Znakapoznpodarou"/>
          <w:bCs/>
          <w:szCs w:val="17"/>
        </w:rPr>
        <w:footnoteReference w:id="5"/>
      </w:r>
      <w:r w:rsidRPr="00240B6D">
        <w:rPr>
          <w:bCs/>
          <w:szCs w:val="17"/>
        </w:rPr>
        <w:t xml:space="preserve">, tj. o 3,3 mld. Kč (6,2 %) více </w:t>
      </w:r>
      <w:r w:rsidR="00855FB6">
        <w:rPr>
          <w:bCs/>
          <w:szCs w:val="17"/>
        </w:rPr>
        <w:t xml:space="preserve">finančních prostředků </w:t>
      </w:r>
      <w:r w:rsidRPr="00240B6D">
        <w:rPr>
          <w:bCs/>
          <w:szCs w:val="17"/>
        </w:rPr>
        <w:t>než v roce 2015. Od roku 2013 lze pozorovat poměrně výrazné meziroční nárůsty výdajů na zdravotní péči financovan</w:t>
      </w:r>
      <w:r w:rsidR="008D1923">
        <w:rPr>
          <w:bCs/>
          <w:szCs w:val="17"/>
        </w:rPr>
        <w:t>é</w:t>
      </w:r>
      <w:r w:rsidRPr="00240B6D">
        <w:rPr>
          <w:bCs/>
          <w:szCs w:val="17"/>
        </w:rPr>
        <w:t xml:space="preserve"> přímo ze státního rozpočtu. Jestliže v</w:t>
      </w:r>
      <w:r w:rsidR="008D1923">
        <w:rPr>
          <w:bCs/>
          <w:szCs w:val="17"/>
        </w:rPr>
        <w:t> letech 2010 až 2012 ze státního rozpočtu směřovalo každoročně do českého zdravotnic</w:t>
      </w:r>
      <w:r w:rsidR="00855FB6">
        <w:rPr>
          <w:bCs/>
          <w:szCs w:val="17"/>
        </w:rPr>
        <w:t xml:space="preserve">tví </w:t>
      </w:r>
      <w:r w:rsidR="008D1923">
        <w:rPr>
          <w:bCs/>
          <w:szCs w:val="17"/>
        </w:rPr>
        <w:t xml:space="preserve">cca 45 mld. Kč, </w:t>
      </w:r>
      <w:r w:rsidRPr="00240B6D">
        <w:rPr>
          <w:bCs/>
          <w:szCs w:val="17"/>
        </w:rPr>
        <w:t>tak v roce 2016 to bylo o</w:t>
      </w:r>
      <w:r w:rsidR="00F85872">
        <w:rPr>
          <w:bCs/>
          <w:szCs w:val="17"/>
        </w:rPr>
        <w:t> </w:t>
      </w:r>
      <w:r w:rsidRPr="00240B6D">
        <w:rPr>
          <w:bCs/>
          <w:szCs w:val="17"/>
        </w:rPr>
        <w:t xml:space="preserve">čtvrtinu (11 mld. Kč) více finančních prostředků. </w:t>
      </w:r>
      <w:r w:rsidR="008D1923" w:rsidRPr="00240B6D">
        <w:rPr>
          <w:bCs/>
          <w:szCs w:val="17"/>
        </w:rPr>
        <w:t xml:space="preserve">V roce 2016 </w:t>
      </w:r>
      <w:r w:rsidR="008D1923">
        <w:rPr>
          <w:bCs/>
          <w:szCs w:val="17"/>
        </w:rPr>
        <w:t xml:space="preserve">se </w:t>
      </w:r>
      <w:r w:rsidR="00855FB6">
        <w:rPr>
          <w:bCs/>
          <w:szCs w:val="17"/>
        </w:rPr>
        <w:t xml:space="preserve">státní rozpočet </w:t>
      </w:r>
      <w:r w:rsidR="008D1923">
        <w:rPr>
          <w:bCs/>
          <w:szCs w:val="17"/>
        </w:rPr>
        <w:t xml:space="preserve">podílel </w:t>
      </w:r>
      <w:r w:rsidR="008D1923" w:rsidRPr="00240B6D">
        <w:rPr>
          <w:bCs/>
          <w:szCs w:val="17"/>
        </w:rPr>
        <w:t>1</w:t>
      </w:r>
      <w:r w:rsidR="00855FB6">
        <w:rPr>
          <w:bCs/>
          <w:szCs w:val="17"/>
        </w:rPr>
        <w:t>5</w:t>
      </w:r>
      <w:r w:rsidR="008D1923" w:rsidRPr="00240B6D">
        <w:rPr>
          <w:bCs/>
          <w:szCs w:val="17"/>
        </w:rPr>
        <w:t>,</w:t>
      </w:r>
      <w:r w:rsidR="00855FB6">
        <w:rPr>
          <w:bCs/>
          <w:szCs w:val="17"/>
        </w:rPr>
        <w:t>5</w:t>
      </w:r>
      <w:r w:rsidR="008D1923" w:rsidRPr="00240B6D">
        <w:rPr>
          <w:bCs/>
          <w:szCs w:val="17"/>
        </w:rPr>
        <w:t xml:space="preserve"> %</w:t>
      </w:r>
      <w:r w:rsidR="008D1923">
        <w:rPr>
          <w:bCs/>
          <w:szCs w:val="17"/>
        </w:rPr>
        <w:t xml:space="preserve"> na financování </w:t>
      </w:r>
      <w:r w:rsidR="008D1923" w:rsidRPr="00240B6D">
        <w:rPr>
          <w:rFonts w:cs="Arial"/>
          <w:bCs/>
          <w:color w:val="000000"/>
          <w:szCs w:val="20"/>
        </w:rPr>
        <w:t>zdravotní péč</w:t>
      </w:r>
      <w:r w:rsidR="008D1923">
        <w:rPr>
          <w:rFonts w:cs="Arial"/>
          <w:bCs/>
          <w:color w:val="000000"/>
          <w:szCs w:val="20"/>
        </w:rPr>
        <w:t>e</w:t>
      </w:r>
      <w:r w:rsidR="008D1923" w:rsidRPr="00240B6D">
        <w:rPr>
          <w:rFonts w:cs="Arial"/>
          <w:bCs/>
          <w:color w:val="000000"/>
          <w:szCs w:val="20"/>
        </w:rPr>
        <w:t xml:space="preserve"> v České republice</w:t>
      </w:r>
      <w:r w:rsidR="008D1923" w:rsidRPr="00240B6D">
        <w:rPr>
          <w:rFonts w:cs="Arial"/>
          <w:b/>
          <w:bCs/>
          <w:color w:val="000000"/>
          <w:szCs w:val="20"/>
        </w:rPr>
        <w:t>.</w:t>
      </w:r>
    </w:p>
    <w:p w:rsidR="00240B6D" w:rsidRPr="00240B6D" w:rsidRDefault="00240B6D" w:rsidP="00157587">
      <w:pPr>
        <w:widowControl w:val="0"/>
        <w:spacing w:before="120" w:after="120"/>
        <w:jc w:val="both"/>
        <w:rPr>
          <w:bCs/>
          <w:szCs w:val="17"/>
        </w:rPr>
      </w:pPr>
      <w:r w:rsidRPr="00240B6D">
        <w:rPr>
          <w:bCs/>
          <w:szCs w:val="17"/>
        </w:rPr>
        <w:t>Za posledních pět let šlo ze státního rozpočtu na zdravotní péči celkem 251 mld. Kč. Pokud vztáhneme tyto prostředky k celkovému státnímu rozpočtu, tak zdravotní péče v pojetí SHA 2011 se v roce 2016 podílel</w:t>
      </w:r>
      <w:r w:rsidR="000353CA">
        <w:rPr>
          <w:bCs/>
          <w:szCs w:val="17"/>
        </w:rPr>
        <w:t>a</w:t>
      </w:r>
      <w:r w:rsidRPr="00240B6D">
        <w:rPr>
          <w:bCs/>
          <w:szCs w:val="17"/>
        </w:rPr>
        <w:t xml:space="preserve"> 4,0 % na celkových výdajích státního rozpočtu v porovnání s 3,8 % v roce předchozím.  </w:t>
      </w:r>
    </w:p>
    <w:p w:rsidR="00240B6D" w:rsidRPr="00240B6D" w:rsidRDefault="00240B6D" w:rsidP="000353CA">
      <w:pPr>
        <w:spacing w:before="240" w:after="120"/>
        <w:jc w:val="both"/>
        <w:rPr>
          <w:b/>
        </w:rPr>
      </w:pPr>
      <w:r w:rsidRPr="00240B6D">
        <w:rPr>
          <w:b/>
        </w:rPr>
        <w:lastRenderedPageBreak/>
        <w:t xml:space="preserve">Graf 2.4. Výdaje na zdravotní péči v Česku financované </w:t>
      </w:r>
      <w:r w:rsidR="000353CA">
        <w:rPr>
          <w:b/>
        </w:rPr>
        <w:t xml:space="preserve">přímo </w:t>
      </w:r>
      <w:r w:rsidRPr="00240B6D">
        <w:rPr>
          <w:b/>
        </w:rPr>
        <w:t xml:space="preserve">ze státního rozpočtu, 2012 – 2016 </w:t>
      </w:r>
    </w:p>
    <w:p w:rsidR="00240B6D" w:rsidRPr="00240B6D" w:rsidRDefault="00240B6D" w:rsidP="00240B6D">
      <w:pPr>
        <w:keepNext/>
        <w:tabs>
          <w:tab w:val="left" w:pos="142"/>
          <w:tab w:val="left" w:pos="5812"/>
        </w:tabs>
        <w:spacing w:before="120"/>
        <w:jc w:val="both"/>
        <w:rPr>
          <w:b/>
          <w:i/>
          <w:sz w:val="18"/>
        </w:rPr>
      </w:pPr>
      <w:r w:rsidRPr="00240B6D">
        <w:rPr>
          <w:b/>
          <w:i/>
          <w:sz w:val="18"/>
        </w:rPr>
        <w:tab/>
        <w:t xml:space="preserve">a) v mld. Kč </w:t>
      </w:r>
      <w:r w:rsidRPr="00240B6D">
        <w:rPr>
          <w:b/>
          <w:i/>
          <w:sz w:val="18"/>
        </w:rPr>
        <w:tab/>
        <w:t>b) struktura v %</w:t>
      </w:r>
    </w:p>
    <w:p w:rsidR="00240B6D" w:rsidRPr="00240B6D" w:rsidRDefault="00240B6D" w:rsidP="00240B6D">
      <w:pPr>
        <w:keepNext/>
        <w:jc w:val="both"/>
      </w:pPr>
      <w:r w:rsidRPr="00240B6D">
        <w:rPr>
          <w:noProof/>
        </w:rPr>
        <w:drawing>
          <wp:inline distT="0" distB="0" distL="0" distR="0" wp14:anchorId="326EE7CA" wp14:editId="63BF0101">
            <wp:extent cx="3600450" cy="25200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40B6D">
        <w:rPr>
          <w:noProof/>
          <w:lang w:val="en-US" w:eastAsia="en-US"/>
        </w:rPr>
        <w:t xml:space="preserve"> </w:t>
      </w:r>
      <w:r w:rsidRPr="00240B6D">
        <w:rPr>
          <w:noProof/>
        </w:rPr>
        <w:drawing>
          <wp:inline distT="0" distB="0" distL="0" distR="0" wp14:anchorId="31966E4A" wp14:editId="7311C813">
            <wp:extent cx="2447925" cy="25200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0B6D" w:rsidRPr="00240B6D" w:rsidRDefault="00BB0015" w:rsidP="00240B6D">
      <w:pPr>
        <w:keepNext/>
        <w:spacing w:before="60" w:line="240" w:lineRule="auto"/>
        <w:jc w:val="both"/>
        <w:rPr>
          <w:sz w:val="16"/>
        </w:rPr>
      </w:pPr>
      <w:r>
        <w:rPr>
          <w:sz w:val="16"/>
        </w:rPr>
        <w:t>(</w:t>
      </w:r>
      <w:r w:rsidR="00240B6D" w:rsidRPr="00240B6D">
        <w:rPr>
          <w:sz w:val="16"/>
        </w:rPr>
        <w:t xml:space="preserve">1) zahrnuje lůžkovou, denní a domácí dlouhodobou péči </w:t>
      </w:r>
    </w:p>
    <w:p w:rsidR="00240B6D" w:rsidRPr="00240B6D" w:rsidRDefault="00BB0015" w:rsidP="00240B6D">
      <w:pPr>
        <w:keepNext/>
        <w:spacing w:before="60" w:line="240" w:lineRule="auto"/>
        <w:jc w:val="both"/>
        <w:rPr>
          <w:sz w:val="16"/>
        </w:rPr>
      </w:pPr>
      <w:r>
        <w:rPr>
          <w:sz w:val="16"/>
        </w:rPr>
        <w:t>(</w:t>
      </w:r>
      <w:r w:rsidR="00240B6D" w:rsidRPr="00240B6D">
        <w:rPr>
          <w:sz w:val="16"/>
        </w:rPr>
        <w:t xml:space="preserve">2) zahrnuje příspěvek na péči, na mobilitu, na kompenzační pomůcky a sociální služby </w:t>
      </w:r>
    </w:p>
    <w:p w:rsidR="00240B6D" w:rsidRPr="00240B6D" w:rsidRDefault="00BB0015" w:rsidP="00240B6D">
      <w:pPr>
        <w:keepNext/>
        <w:spacing w:before="60" w:line="240" w:lineRule="auto"/>
        <w:jc w:val="both"/>
        <w:rPr>
          <w:sz w:val="16"/>
        </w:rPr>
      </w:pPr>
      <w:r>
        <w:rPr>
          <w:sz w:val="16"/>
        </w:rPr>
        <w:t>(</w:t>
      </w:r>
      <w:r w:rsidR="00240B6D" w:rsidRPr="00240B6D">
        <w:rPr>
          <w:sz w:val="16"/>
        </w:rPr>
        <w:t xml:space="preserve">3) zahrnuje lůžkovou a ambulantní akutní péči, dopravu pacientů, preventivní programy, řízení a správu systému zdravotnictví  </w:t>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C6634F" w:rsidRDefault="00240B6D" w:rsidP="000353CA">
      <w:pPr>
        <w:spacing w:before="120" w:after="120"/>
        <w:jc w:val="both"/>
        <w:rPr>
          <w:bCs/>
          <w:i/>
          <w:szCs w:val="17"/>
        </w:rPr>
      </w:pPr>
      <w:r w:rsidRPr="00C6634F">
        <w:rPr>
          <w:b/>
          <w:bCs/>
          <w:i/>
          <w:szCs w:val="17"/>
        </w:rPr>
        <w:t xml:space="preserve">Úloha státního rozpočtu </w:t>
      </w:r>
      <w:r w:rsidRPr="00C6634F">
        <w:rPr>
          <w:bCs/>
          <w:i/>
          <w:szCs w:val="17"/>
        </w:rPr>
        <w:t>v oblasti přímého financování zdravotní péče</w:t>
      </w:r>
      <w:r w:rsidRPr="00C6634F">
        <w:rPr>
          <w:b/>
          <w:bCs/>
          <w:i/>
          <w:szCs w:val="17"/>
        </w:rPr>
        <w:t xml:space="preserve"> </w:t>
      </w:r>
      <w:r w:rsidRPr="00C6634F">
        <w:rPr>
          <w:bCs/>
          <w:i/>
          <w:szCs w:val="17"/>
        </w:rPr>
        <w:t>spočívá především v podpoře zařízení dlouhodobé sociálně-zdravotní péče</w:t>
      </w:r>
      <w:r w:rsidRPr="00C6634F">
        <w:rPr>
          <w:b/>
          <w:bCs/>
          <w:i/>
          <w:szCs w:val="17"/>
        </w:rPr>
        <w:t xml:space="preserve"> </w:t>
      </w:r>
      <w:r w:rsidRPr="00C6634F">
        <w:rPr>
          <w:bCs/>
          <w:i/>
          <w:szCs w:val="17"/>
        </w:rPr>
        <w:t xml:space="preserve">(domovy pro seniory, domovy se zvláštním režimem, domovy pro zdravotně postižné a týdenní stacionáře) a poskytování peněžitých dávek pro osoby dlouhodobě nemocné či zdravotně postižené. Ze státního rozpočtu je navíc hrazena i správa rezortu zdravotnictví, tj. provoz Ministerstva zdravotnictví, Státního zdravotního ústavu, Státního ústavu pro kontrolu léčiv a Ústavu zdravotnických informací a statistiky. </w:t>
      </w:r>
    </w:p>
    <w:p w:rsidR="00240B6D" w:rsidRPr="00240B6D" w:rsidRDefault="00240B6D" w:rsidP="000353CA">
      <w:pPr>
        <w:spacing w:before="120" w:after="120"/>
        <w:jc w:val="both"/>
        <w:rPr>
          <w:bCs/>
          <w:szCs w:val="17"/>
        </w:rPr>
      </w:pPr>
      <w:r w:rsidRPr="00240B6D">
        <w:rPr>
          <w:bCs/>
          <w:szCs w:val="17"/>
        </w:rPr>
        <w:t xml:space="preserve">V roce 2016 šlo na </w:t>
      </w:r>
      <w:r w:rsidRPr="00213704">
        <w:rPr>
          <w:b/>
          <w:bCs/>
          <w:szCs w:val="17"/>
        </w:rPr>
        <w:t>dlouhodobou zdravotní</w:t>
      </w:r>
      <w:r w:rsidRPr="00240B6D">
        <w:rPr>
          <w:bCs/>
          <w:szCs w:val="17"/>
        </w:rPr>
        <w:t xml:space="preserve"> </w:t>
      </w:r>
      <w:r w:rsidRPr="00213704">
        <w:rPr>
          <w:b/>
          <w:bCs/>
          <w:szCs w:val="17"/>
        </w:rPr>
        <w:t xml:space="preserve">péči </w:t>
      </w:r>
      <w:r w:rsidRPr="00240B6D">
        <w:rPr>
          <w:bCs/>
          <w:szCs w:val="17"/>
        </w:rPr>
        <w:t xml:space="preserve">ze státního rozpočtu celkem 29,9 mld. Kč. </w:t>
      </w:r>
      <w:r w:rsidR="00C6634F">
        <w:rPr>
          <w:bCs/>
          <w:szCs w:val="17"/>
        </w:rPr>
        <w:t>Touto částkou se tak s</w:t>
      </w:r>
      <w:r w:rsidRPr="00240B6D">
        <w:rPr>
          <w:bCs/>
          <w:szCs w:val="17"/>
        </w:rPr>
        <w:t>tát prostřednictvím státního rozpočtu podíl</w:t>
      </w:r>
      <w:r w:rsidR="00C6634F">
        <w:rPr>
          <w:bCs/>
          <w:szCs w:val="17"/>
        </w:rPr>
        <w:t xml:space="preserve">el </w:t>
      </w:r>
      <w:r w:rsidRPr="00240B6D">
        <w:rPr>
          <w:bCs/>
          <w:szCs w:val="17"/>
        </w:rPr>
        <w:t>ze dvou třetin na financování této dlouhodobé zdravotní péče. Většina z těchto finančních prostředků (23,7 mld. Kč; 79 %) bylo v roce 2016 určeno na dlouhodobou lůžkovou zdravotní péči, na domácí dlouhodobou zdravotní péči směřovalo „jen“ 4,5 mld. Kč.</w:t>
      </w:r>
    </w:p>
    <w:p w:rsidR="00240B6D" w:rsidRPr="000353CA" w:rsidRDefault="00240B6D" w:rsidP="000353CA">
      <w:pPr>
        <w:spacing w:before="120" w:after="120"/>
        <w:jc w:val="both"/>
        <w:rPr>
          <w:bCs/>
          <w:i/>
          <w:szCs w:val="17"/>
        </w:rPr>
      </w:pPr>
      <w:r w:rsidRPr="00240B6D">
        <w:rPr>
          <w:bCs/>
          <w:szCs w:val="17"/>
        </w:rPr>
        <w:t xml:space="preserve">Na </w:t>
      </w:r>
      <w:r w:rsidRPr="00213704">
        <w:rPr>
          <w:b/>
          <w:bCs/>
          <w:szCs w:val="17"/>
        </w:rPr>
        <w:t>sociáln</w:t>
      </w:r>
      <w:r w:rsidR="00213704">
        <w:rPr>
          <w:b/>
          <w:bCs/>
          <w:szCs w:val="17"/>
        </w:rPr>
        <w:t>í</w:t>
      </w:r>
      <w:r w:rsidRPr="00213704">
        <w:rPr>
          <w:b/>
          <w:bCs/>
          <w:szCs w:val="17"/>
        </w:rPr>
        <w:t xml:space="preserve"> dlouhodobou péči</w:t>
      </w:r>
      <w:r w:rsidRPr="00240B6D">
        <w:rPr>
          <w:bCs/>
          <w:szCs w:val="17"/>
        </w:rPr>
        <w:t xml:space="preserve"> vynaložil stát v roce 2016 ze státního rozpočtu poprvé více jak 20 miliard korun (20,1 mld. Kč). Jde především o příspěvky na péči pro zdravotně postižené a seniory (16,2 mld. Kč) a</w:t>
      </w:r>
      <w:r w:rsidR="00C6634F">
        <w:rPr>
          <w:bCs/>
          <w:szCs w:val="17"/>
        </w:rPr>
        <w:t> </w:t>
      </w:r>
      <w:r w:rsidRPr="00240B6D">
        <w:rPr>
          <w:bCs/>
          <w:szCs w:val="17"/>
        </w:rPr>
        <w:t>příspěvky na mobilitu a na zvláštní kompenzační pomůcku pro zdravotně postižené (téměř 2 mld. Kč mld. Kč). Téměř dvě miliardy (1,9 mld. Kč) směřovalo v roce 2016 ze státního rozpočtu i na sociální služby související s dlouhodobou péčí. Jde především o financování chráněného bydlení či sociální rehabilitace a</w:t>
      </w:r>
      <w:r w:rsidR="00C6634F">
        <w:rPr>
          <w:bCs/>
          <w:szCs w:val="17"/>
        </w:rPr>
        <w:t> </w:t>
      </w:r>
      <w:r w:rsidRPr="00240B6D">
        <w:rPr>
          <w:bCs/>
          <w:szCs w:val="17"/>
        </w:rPr>
        <w:t xml:space="preserve">sociální akviziční služby pro osoby se zdravotním postižením. </w:t>
      </w:r>
      <w:r w:rsidRPr="000353CA">
        <w:rPr>
          <w:bCs/>
          <w:i/>
          <w:szCs w:val="17"/>
        </w:rPr>
        <w:t xml:space="preserve">Podrobněji se k otázce dlouhodobé sociálně-zdravotní péče vrátíme v kapitole 3.3. </w:t>
      </w:r>
    </w:p>
    <w:p w:rsidR="00240B6D" w:rsidRPr="00240B6D" w:rsidRDefault="00240B6D" w:rsidP="000353CA">
      <w:pPr>
        <w:spacing w:before="120" w:after="120"/>
        <w:jc w:val="both"/>
        <w:rPr>
          <w:bCs/>
          <w:szCs w:val="17"/>
        </w:rPr>
      </w:pPr>
      <w:r w:rsidRPr="00240B6D">
        <w:rPr>
          <w:bCs/>
          <w:szCs w:val="17"/>
        </w:rPr>
        <w:t xml:space="preserve">Mezi ostatní výdaje na zdravotní péči hrazené ze státního rozpočtu patří především </w:t>
      </w:r>
      <w:r w:rsidRPr="00213704">
        <w:rPr>
          <w:b/>
          <w:bCs/>
          <w:szCs w:val="17"/>
        </w:rPr>
        <w:t>preventivní zdravotní péče,</w:t>
      </w:r>
      <w:r w:rsidRPr="00240B6D">
        <w:rPr>
          <w:bCs/>
          <w:szCs w:val="17"/>
        </w:rPr>
        <w:t xml:space="preserve"> do které stát v roce 2016 investoval 1,3 mld. Kč</w:t>
      </w:r>
      <w:r w:rsidR="00BB0015">
        <w:rPr>
          <w:bCs/>
          <w:szCs w:val="17"/>
        </w:rPr>
        <w:t>,</w:t>
      </w:r>
      <w:r w:rsidRPr="00240B6D">
        <w:rPr>
          <w:bCs/>
          <w:szCs w:val="17"/>
        </w:rPr>
        <w:t xml:space="preserve"> a výše uvedené výdaje související se </w:t>
      </w:r>
      <w:r w:rsidRPr="00213704">
        <w:rPr>
          <w:b/>
          <w:bCs/>
          <w:szCs w:val="17"/>
        </w:rPr>
        <w:t>správou rezortu zdravotnictv</w:t>
      </w:r>
      <w:r w:rsidRPr="00240B6D">
        <w:rPr>
          <w:bCs/>
          <w:szCs w:val="17"/>
        </w:rPr>
        <w:t>í (2,1 mld. Kč ve stejném roce).</w:t>
      </w:r>
    </w:p>
    <w:p w:rsidR="00240B6D" w:rsidRPr="00213704" w:rsidRDefault="00240B6D" w:rsidP="000353CA">
      <w:pPr>
        <w:spacing w:before="120" w:after="120"/>
        <w:jc w:val="both"/>
        <w:rPr>
          <w:bCs/>
          <w:i/>
          <w:szCs w:val="17"/>
        </w:rPr>
      </w:pPr>
      <w:r w:rsidRPr="00213704">
        <w:rPr>
          <w:bCs/>
          <w:i/>
          <w:szCs w:val="17"/>
        </w:rPr>
        <w:t xml:space="preserve">Ze státního rozpočtu jsou rovněž hrazeny </w:t>
      </w:r>
      <w:r w:rsidRPr="00213704">
        <w:rPr>
          <w:b/>
          <w:bCs/>
          <w:i/>
          <w:szCs w:val="17"/>
        </w:rPr>
        <w:t>platby na zdravotní pojištění za nevýdělečně činné skupiny obyvatelstva</w:t>
      </w:r>
      <w:r w:rsidRPr="00213704">
        <w:rPr>
          <w:bCs/>
          <w:i/>
          <w:szCs w:val="17"/>
        </w:rPr>
        <w:t xml:space="preserve"> (děti do ukončení jejich povinné školní docházky, studenty do 26 let, osoby na mateřské a</w:t>
      </w:r>
      <w:r w:rsidR="00C6634F">
        <w:rPr>
          <w:bCs/>
          <w:i/>
          <w:szCs w:val="17"/>
        </w:rPr>
        <w:t> </w:t>
      </w:r>
      <w:r w:rsidRPr="00213704">
        <w:rPr>
          <w:bCs/>
          <w:i/>
          <w:szCs w:val="17"/>
        </w:rPr>
        <w:t>rodičovské dovolené, osoby, které pobírají některý z důchodů, uchazeče o zaměstnání, pokud jsou v</w:t>
      </w:r>
      <w:r w:rsidR="00C6634F">
        <w:rPr>
          <w:bCs/>
          <w:i/>
          <w:szCs w:val="17"/>
        </w:rPr>
        <w:t> </w:t>
      </w:r>
      <w:r w:rsidRPr="00213704">
        <w:rPr>
          <w:bCs/>
          <w:i/>
          <w:szCs w:val="17"/>
        </w:rPr>
        <w:t xml:space="preserve">evidenci úřadu práce atd.). Konečným zdrojem financování zdravotní péče (ať již lůžkové, ambulantní či jiné) o tyto osoby jsou většinou zdravotní pojišťovny, které jsou primárním příjemcem těchto finančních prostředků. </w:t>
      </w:r>
      <w:r w:rsidRPr="00C6634F">
        <w:rPr>
          <w:b/>
          <w:bCs/>
          <w:i/>
          <w:szCs w:val="17"/>
        </w:rPr>
        <w:t>Tyto prostředky jsou tedy dle metodiky SHA alokovány do zdrojů zdravotních pojišťoven, které s nimi dále hospodaří.</w:t>
      </w:r>
      <w:r w:rsidRPr="00213704">
        <w:rPr>
          <w:bCs/>
          <w:i/>
          <w:szCs w:val="17"/>
        </w:rPr>
        <w:t xml:space="preserve"> </w:t>
      </w:r>
      <w:r w:rsidRPr="00213704">
        <w:rPr>
          <w:i/>
        </w:rPr>
        <w:t xml:space="preserve">Platba pojistného od státu se </w:t>
      </w:r>
      <w:r w:rsidR="00C6634F">
        <w:rPr>
          <w:i/>
        </w:rPr>
        <w:t xml:space="preserve">v roce 2016 </w:t>
      </w:r>
      <w:r w:rsidRPr="00213704">
        <w:rPr>
          <w:i/>
        </w:rPr>
        <w:t>v porovnání s rokem 2015 zvýšila o</w:t>
      </w:r>
      <w:r w:rsidR="00C6634F">
        <w:rPr>
          <w:i/>
        </w:rPr>
        <w:t> </w:t>
      </w:r>
      <w:r w:rsidRPr="00213704">
        <w:rPr>
          <w:i/>
        </w:rPr>
        <w:t>25 Kč na stávajících 870 Kč za osobu a měsíc. Z všeobecné pokladní správy šlo celkem za rok 2016 na tuto platbu 62,3 mld. Kč, v roce 2015 to bylo 60,9 mld. Kč.</w:t>
      </w:r>
    </w:p>
    <w:p w:rsidR="00240B6D" w:rsidRPr="00240B6D" w:rsidRDefault="00240B6D" w:rsidP="007C740E">
      <w:pPr>
        <w:spacing w:before="240" w:after="120"/>
        <w:ind w:right="-1"/>
        <w:rPr>
          <w:rFonts w:eastAsia="MS Gothic"/>
          <w:b/>
          <w:i/>
        </w:rPr>
      </w:pPr>
      <w:r w:rsidRPr="00240B6D">
        <w:rPr>
          <w:rFonts w:eastAsia="MS Gothic"/>
          <w:b/>
          <w:i/>
        </w:rPr>
        <w:lastRenderedPageBreak/>
        <w:t xml:space="preserve">České domácnosti zaplatily za zdravotní péči v roce 2016 </w:t>
      </w:r>
      <w:r w:rsidR="00591143">
        <w:rPr>
          <w:rFonts w:eastAsia="MS Gothic"/>
          <w:b/>
          <w:i/>
        </w:rPr>
        <w:t xml:space="preserve">poprvé </w:t>
      </w:r>
      <w:r w:rsidRPr="00240B6D">
        <w:rPr>
          <w:rFonts w:eastAsia="MS Gothic"/>
          <w:b/>
          <w:i/>
        </w:rPr>
        <w:t>více než 50 m</w:t>
      </w:r>
      <w:r w:rsidR="007C740E">
        <w:rPr>
          <w:rFonts w:eastAsia="MS Gothic"/>
          <w:b/>
          <w:i/>
        </w:rPr>
        <w:t>iliard korun</w:t>
      </w:r>
    </w:p>
    <w:p w:rsidR="00240B6D" w:rsidRPr="00240B6D" w:rsidRDefault="00240B6D" w:rsidP="00240B6D">
      <w:pPr>
        <w:spacing w:before="120"/>
        <w:jc w:val="both"/>
        <w:rPr>
          <w:bCs/>
          <w:szCs w:val="20"/>
        </w:rPr>
      </w:pPr>
      <w:r w:rsidRPr="00240B6D">
        <w:rPr>
          <w:bCs/>
          <w:szCs w:val="20"/>
        </w:rPr>
        <w:t xml:space="preserve">V posledních třech letech roste v Česku nepatrně podíl financování zdravotní péče ze </w:t>
      </w:r>
      <w:r w:rsidRPr="00213704">
        <w:rPr>
          <w:b/>
          <w:bCs/>
          <w:szCs w:val="20"/>
        </w:rPr>
        <w:t>soukromých zdrojů</w:t>
      </w:r>
      <w:r w:rsidRPr="00240B6D">
        <w:rPr>
          <w:bCs/>
          <w:szCs w:val="20"/>
        </w:rPr>
        <w:t xml:space="preserve">, a to z 15,3 % (52,7 mld. Kč) v roce 2013 na 17,0 % (61,4 mld. Kč) v roce 2016. Nejvýznamnější položkou v rámci těchto soukromých zdrojů tvoří </w:t>
      </w:r>
      <w:r w:rsidRPr="00591143">
        <w:rPr>
          <w:b/>
          <w:bCs/>
          <w:szCs w:val="20"/>
        </w:rPr>
        <w:t>přímé platby a spoluúčast domácností (pacientů)</w:t>
      </w:r>
      <w:r w:rsidRPr="00240B6D">
        <w:rPr>
          <w:bCs/>
          <w:szCs w:val="20"/>
        </w:rPr>
        <w:t xml:space="preserve"> za poskytnutou zdravotní péči včetně výdajů za léky a ostatní zdravotní materiál.  </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2.5 Výdaje na zdravotní péči v Česku financované ze soukromých zdrojů, 2012 – 2016 (mld. Kč; %)</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240B6D" w:rsidP="00591143">
      <w:pPr>
        <w:keepNext/>
        <w:jc w:val="both"/>
        <w:rPr>
          <w:bCs/>
          <w:szCs w:val="20"/>
        </w:rPr>
      </w:pPr>
      <w:r w:rsidRPr="00240B6D">
        <w:rPr>
          <w:noProof/>
        </w:rPr>
        <w:drawing>
          <wp:inline distT="0" distB="0" distL="0" distR="0" wp14:anchorId="0C356DC7" wp14:editId="78C11BEB">
            <wp:extent cx="3420000" cy="25200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40B6D">
        <w:rPr>
          <w:noProof/>
          <w:lang w:val="en-US" w:eastAsia="en-US"/>
        </w:rPr>
        <w:t xml:space="preserve"> </w:t>
      </w:r>
      <w:r w:rsidRPr="00240B6D">
        <w:rPr>
          <w:noProof/>
        </w:rPr>
        <w:drawing>
          <wp:inline distT="0" distB="0" distL="0" distR="0" wp14:anchorId="23590228" wp14:editId="28B46EB5">
            <wp:extent cx="2664000" cy="25200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40B6D">
        <w:rPr>
          <w:noProof/>
          <w:lang w:val="en-US" w:eastAsia="en-US"/>
        </w:rPr>
        <w:t xml:space="preserve"> </w:t>
      </w:r>
    </w:p>
    <w:p w:rsidR="00240B6D" w:rsidRPr="00240B6D" w:rsidRDefault="00240B6D" w:rsidP="007572C9">
      <w:pPr>
        <w:spacing w:before="120" w:after="240" w:line="240" w:lineRule="auto"/>
        <w:jc w:val="right"/>
        <w:rPr>
          <w:b/>
          <w:bCs/>
          <w:i/>
          <w:sz w:val="16"/>
          <w:szCs w:val="16"/>
        </w:rPr>
      </w:pPr>
      <w:r w:rsidRPr="00240B6D">
        <w:rPr>
          <w:b/>
          <w:bCs/>
          <w:i/>
          <w:sz w:val="16"/>
          <w:szCs w:val="16"/>
        </w:rPr>
        <w:t xml:space="preserve">Zdroj: ČSÚ 2018, Zdravotnické účty ČR 2010 - 2016 </w:t>
      </w:r>
    </w:p>
    <w:p w:rsidR="00CC2E9C" w:rsidRPr="002E7C59" w:rsidRDefault="00240B6D" w:rsidP="00240B6D">
      <w:pPr>
        <w:spacing w:before="120" w:after="120"/>
        <w:jc w:val="both"/>
        <w:rPr>
          <w:bCs/>
          <w:szCs w:val="17"/>
        </w:rPr>
      </w:pPr>
      <w:r w:rsidRPr="002E7C59">
        <w:rPr>
          <w:bCs/>
          <w:szCs w:val="17"/>
        </w:rPr>
        <w:t xml:space="preserve">Skupina </w:t>
      </w:r>
      <w:r w:rsidRPr="002E7C59">
        <w:rPr>
          <w:b/>
          <w:bCs/>
          <w:szCs w:val="17"/>
        </w:rPr>
        <w:t>dobrovolných plateb</w:t>
      </w:r>
      <w:r w:rsidRPr="002E7C59">
        <w:rPr>
          <w:bCs/>
          <w:szCs w:val="17"/>
        </w:rPr>
        <w:t xml:space="preserve"> na zdravotní péči, přes vysokou dynamiku růstu, představuje spíše doplňkový finanční zdroj. Na celkových výdajích na zdravotní péči v ČR se tyto soukromé zdroje</w:t>
      </w:r>
      <w:r w:rsidRPr="002E7C59">
        <w:rPr>
          <w:b/>
          <w:bCs/>
          <w:szCs w:val="17"/>
        </w:rPr>
        <w:t xml:space="preserve"> </w:t>
      </w:r>
      <w:r w:rsidRPr="002E7C59">
        <w:rPr>
          <w:bCs/>
          <w:szCs w:val="17"/>
        </w:rPr>
        <w:t>(bez přímých výdajů domácností) v roce 2016 podílely necelými 3 % (10,2 mld. Kč) a na celkových soukromých zdrojích pak 1</w:t>
      </w:r>
      <w:r w:rsidR="002E7C59" w:rsidRPr="002E7C59">
        <w:rPr>
          <w:bCs/>
          <w:szCs w:val="17"/>
        </w:rPr>
        <w:t>6,6</w:t>
      </w:r>
      <w:r w:rsidRPr="002E7C59">
        <w:rPr>
          <w:bCs/>
          <w:szCs w:val="17"/>
        </w:rPr>
        <w:t> %. Tato skupina zahrnuje různorodé finanční zdroje.</w:t>
      </w:r>
      <w:r w:rsidR="00591143" w:rsidRPr="002E7C59">
        <w:rPr>
          <w:bCs/>
          <w:szCs w:val="17"/>
        </w:rPr>
        <w:t xml:space="preserve"> </w:t>
      </w:r>
    </w:p>
    <w:p w:rsidR="00591143" w:rsidRPr="002E7C59" w:rsidRDefault="00CC2E9C" w:rsidP="00240B6D">
      <w:pPr>
        <w:spacing w:before="120" w:after="120"/>
        <w:jc w:val="both"/>
        <w:rPr>
          <w:bCs/>
          <w:szCs w:val="17"/>
        </w:rPr>
      </w:pPr>
      <w:r w:rsidRPr="002E7C59">
        <w:rPr>
          <w:b/>
          <w:bCs/>
          <w:szCs w:val="17"/>
        </w:rPr>
        <w:t>S</w:t>
      </w:r>
      <w:r w:rsidR="00240B6D" w:rsidRPr="002E7C59">
        <w:rPr>
          <w:b/>
          <w:bCs/>
          <w:szCs w:val="17"/>
        </w:rPr>
        <w:t>oukromé zdravotní pojišťovny</w:t>
      </w:r>
      <w:r w:rsidR="00240B6D" w:rsidRPr="002E7C59">
        <w:rPr>
          <w:bCs/>
          <w:szCs w:val="17"/>
        </w:rPr>
        <w:t xml:space="preserve"> jsou </w:t>
      </w:r>
      <w:r w:rsidR="00213704" w:rsidRPr="002E7C59">
        <w:rPr>
          <w:bCs/>
          <w:szCs w:val="17"/>
        </w:rPr>
        <w:t xml:space="preserve">v Česku </w:t>
      </w:r>
      <w:r w:rsidR="00240B6D" w:rsidRPr="002E7C59">
        <w:rPr>
          <w:bCs/>
          <w:szCs w:val="17"/>
        </w:rPr>
        <w:t xml:space="preserve">založeny </w:t>
      </w:r>
      <w:r w:rsidR="00591143" w:rsidRPr="002E7C59">
        <w:rPr>
          <w:bCs/>
          <w:szCs w:val="17"/>
        </w:rPr>
        <w:t xml:space="preserve">pouze </w:t>
      </w:r>
      <w:r w:rsidR="00240B6D" w:rsidRPr="002E7C59">
        <w:rPr>
          <w:bCs/>
          <w:szCs w:val="17"/>
        </w:rPr>
        <w:t>na principu cestovního pojištění</w:t>
      </w:r>
      <w:r w:rsidR="00591143" w:rsidRPr="002E7C59">
        <w:rPr>
          <w:bCs/>
          <w:szCs w:val="17"/>
        </w:rPr>
        <w:t xml:space="preserve">. Na rozdíl od některých jiných </w:t>
      </w:r>
      <w:r w:rsidRPr="002E7C59">
        <w:rPr>
          <w:bCs/>
          <w:szCs w:val="17"/>
        </w:rPr>
        <w:t xml:space="preserve">evropských </w:t>
      </w:r>
      <w:r w:rsidR="00591143" w:rsidRPr="002E7C59">
        <w:rPr>
          <w:bCs/>
          <w:szCs w:val="17"/>
        </w:rPr>
        <w:t xml:space="preserve">států např. Slovinska, Francie </w:t>
      </w:r>
      <w:r w:rsidRPr="002E7C59">
        <w:rPr>
          <w:bCs/>
          <w:szCs w:val="17"/>
        </w:rPr>
        <w:t>či</w:t>
      </w:r>
      <w:r w:rsidR="00591143" w:rsidRPr="002E7C59">
        <w:rPr>
          <w:bCs/>
          <w:szCs w:val="17"/>
        </w:rPr>
        <w:t xml:space="preserve"> Irska, ve kterých j</w:t>
      </w:r>
      <w:r w:rsidRPr="002E7C59">
        <w:rPr>
          <w:bCs/>
          <w:szCs w:val="17"/>
        </w:rPr>
        <w:t>e</w:t>
      </w:r>
      <w:r w:rsidR="00591143" w:rsidRPr="002E7C59">
        <w:rPr>
          <w:bCs/>
          <w:szCs w:val="17"/>
        </w:rPr>
        <w:t xml:space="preserve"> </w:t>
      </w:r>
      <w:r w:rsidRPr="002E7C59">
        <w:rPr>
          <w:bCs/>
          <w:szCs w:val="17"/>
        </w:rPr>
        <w:t xml:space="preserve">podíl </w:t>
      </w:r>
      <w:r w:rsidR="00591143" w:rsidRPr="002E7C59">
        <w:rPr>
          <w:bCs/>
          <w:szCs w:val="17"/>
        </w:rPr>
        <w:t>výdaj</w:t>
      </w:r>
      <w:r w:rsidRPr="002E7C59">
        <w:rPr>
          <w:bCs/>
          <w:szCs w:val="17"/>
        </w:rPr>
        <w:t>ů</w:t>
      </w:r>
      <w:r w:rsidR="00591143" w:rsidRPr="002E7C59">
        <w:rPr>
          <w:bCs/>
          <w:szCs w:val="17"/>
        </w:rPr>
        <w:t xml:space="preserve"> na zdravotní péči financovan</w:t>
      </w:r>
      <w:r w:rsidRPr="002E7C59">
        <w:rPr>
          <w:bCs/>
          <w:szCs w:val="17"/>
        </w:rPr>
        <w:t>ý</w:t>
      </w:r>
      <w:r w:rsidR="00591143" w:rsidRPr="002E7C59">
        <w:rPr>
          <w:bCs/>
          <w:szCs w:val="17"/>
        </w:rPr>
        <w:t xml:space="preserve"> </w:t>
      </w:r>
      <w:r w:rsidR="00591143" w:rsidRPr="002E7C59">
        <w:rPr>
          <w:b/>
          <w:bCs/>
          <w:szCs w:val="17"/>
        </w:rPr>
        <w:t>ze soukromého pojištění</w:t>
      </w:r>
      <w:r w:rsidR="00591143" w:rsidRPr="002E7C59">
        <w:rPr>
          <w:bCs/>
          <w:szCs w:val="17"/>
        </w:rPr>
        <w:t xml:space="preserve"> </w:t>
      </w:r>
      <w:r w:rsidRPr="002E7C59">
        <w:rPr>
          <w:bCs/>
          <w:szCs w:val="17"/>
        </w:rPr>
        <w:t xml:space="preserve">přibližně </w:t>
      </w:r>
      <w:r w:rsidR="00591143" w:rsidRPr="002E7C59">
        <w:rPr>
          <w:bCs/>
          <w:szCs w:val="17"/>
        </w:rPr>
        <w:t xml:space="preserve">15 </w:t>
      </w:r>
      <w:r w:rsidRPr="002E7C59">
        <w:rPr>
          <w:bCs/>
          <w:szCs w:val="17"/>
        </w:rPr>
        <w:t>%</w:t>
      </w:r>
      <w:r w:rsidR="00591143" w:rsidRPr="002E7C59">
        <w:rPr>
          <w:bCs/>
          <w:szCs w:val="17"/>
        </w:rPr>
        <w:t xml:space="preserve">, </w:t>
      </w:r>
      <w:r w:rsidRPr="002E7C59">
        <w:rPr>
          <w:bCs/>
          <w:szCs w:val="17"/>
        </w:rPr>
        <w:t xml:space="preserve">i z výše uvedeného, </w:t>
      </w:r>
      <w:r w:rsidR="00591143" w:rsidRPr="002E7C59">
        <w:rPr>
          <w:bCs/>
          <w:szCs w:val="17"/>
        </w:rPr>
        <w:t xml:space="preserve">v Česku dosahuje jeho podíl </w:t>
      </w:r>
      <w:r w:rsidRPr="002E7C59">
        <w:rPr>
          <w:bCs/>
          <w:szCs w:val="17"/>
        </w:rPr>
        <w:t>jen 0,</w:t>
      </w:r>
      <w:r w:rsidR="00591143" w:rsidRPr="002E7C59">
        <w:rPr>
          <w:bCs/>
          <w:szCs w:val="17"/>
        </w:rPr>
        <w:t>1 %.</w:t>
      </w:r>
      <w:r w:rsidR="00240B6D" w:rsidRPr="002E7C59">
        <w:rPr>
          <w:bCs/>
          <w:szCs w:val="17"/>
        </w:rPr>
        <w:t xml:space="preserve"> </w:t>
      </w:r>
    </w:p>
    <w:p w:rsidR="00213704" w:rsidRDefault="00591143" w:rsidP="00240B6D">
      <w:pPr>
        <w:spacing w:before="120" w:after="120"/>
        <w:jc w:val="both"/>
        <w:rPr>
          <w:bCs/>
          <w:szCs w:val="17"/>
        </w:rPr>
      </w:pPr>
      <w:r w:rsidRPr="002E7C59">
        <w:rPr>
          <w:b/>
          <w:bCs/>
          <w:szCs w:val="17"/>
        </w:rPr>
        <w:t>N</w:t>
      </w:r>
      <w:r w:rsidR="00240B6D" w:rsidRPr="002E7C59">
        <w:rPr>
          <w:b/>
          <w:bCs/>
          <w:szCs w:val="17"/>
        </w:rPr>
        <w:t>eziskové instituce</w:t>
      </w:r>
      <w:r w:rsidR="00240B6D" w:rsidRPr="002E7C59">
        <w:rPr>
          <w:bCs/>
          <w:szCs w:val="17"/>
        </w:rPr>
        <w:t xml:space="preserve"> (např. Červený kříž) jsou </w:t>
      </w:r>
      <w:r w:rsidRPr="002E7C59">
        <w:rPr>
          <w:bCs/>
          <w:szCs w:val="17"/>
        </w:rPr>
        <w:t xml:space="preserve">v Česku </w:t>
      </w:r>
      <w:r w:rsidR="00240B6D" w:rsidRPr="002E7C59">
        <w:rPr>
          <w:bCs/>
          <w:szCs w:val="17"/>
        </w:rPr>
        <w:t>orientovány zejména charitativně</w:t>
      </w:r>
      <w:r w:rsidRPr="002E7C59">
        <w:rPr>
          <w:bCs/>
          <w:szCs w:val="17"/>
        </w:rPr>
        <w:t xml:space="preserve"> a jejich podíl na financování zdravotní péče je poměrně vysoký – v roce 2015 s 2,</w:t>
      </w:r>
      <w:r w:rsidR="002E7C59" w:rsidRPr="002E7C59">
        <w:rPr>
          <w:bCs/>
          <w:szCs w:val="17"/>
        </w:rPr>
        <w:t>3</w:t>
      </w:r>
      <w:r w:rsidRPr="002E7C59">
        <w:rPr>
          <w:bCs/>
          <w:szCs w:val="17"/>
        </w:rPr>
        <w:t>% podílem na financování zdravotní péče jsme byly v rámci zemí EU na prvním místě v tomto poměrovém ukazateli.</w:t>
      </w:r>
      <w:r w:rsidR="00240B6D" w:rsidRPr="002E7C59">
        <w:rPr>
          <w:bCs/>
          <w:szCs w:val="17"/>
        </w:rPr>
        <w:t xml:space="preserve"> Pro </w:t>
      </w:r>
      <w:r w:rsidR="00240B6D" w:rsidRPr="002E7C59">
        <w:rPr>
          <w:b/>
          <w:bCs/>
          <w:szCs w:val="17"/>
        </w:rPr>
        <w:t>podnikovou sféru</w:t>
      </w:r>
      <w:r w:rsidR="00240B6D" w:rsidRPr="002E7C59">
        <w:rPr>
          <w:bCs/>
          <w:szCs w:val="17"/>
        </w:rPr>
        <w:t xml:space="preserve"> je účast na financování zdravotní péče, zejména péče preventivní, spíše vedlejší, i když (z pohledu právních norem) nutnou aktivitou.</w:t>
      </w:r>
      <w:r w:rsidR="00240B6D" w:rsidRPr="00240B6D">
        <w:rPr>
          <w:bCs/>
          <w:szCs w:val="17"/>
        </w:rPr>
        <w:t xml:space="preserve"> </w:t>
      </w:r>
    </w:p>
    <w:p w:rsidR="00240B6D" w:rsidRPr="00A5222D" w:rsidRDefault="00240B6D" w:rsidP="00240B6D">
      <w:pPr>
        <w:spacing w:before="120" w:after="120"/>
        <w:jc w:val="both"/>
        <w:rPr>
          <w:bCs/>
          <w:i/>
          <w:szCs w:val="17"/>
        </w:rPr>
      </w:pPr>
      <w:r w:rsidRPr="00240B6D">
        <w:rPr>
          <w:bCs/>
          <w:szCs w:val="17"/>
        </w:rPr>
        <w:t xml:space="preserve">V případě výdajů </w:t>
      </w:r>
      <w:r w:rsidRPr="00240B6D">
        <w:rPr>
          <w:b/>
          <w:bCs/>
          <w:szCs w:val="17"/>
        </w:rPr>
        <w:t>domácností</w:t>
      </w:r>
      <w:r w:rsidRPr="00240B6D">
        <w:rPr>
          <w:bCs/>
          <w:szCs w:val="17"/>
        </w:rPr>
        <w:t xml:space="preserve"> přicházejí v úvahu přímé platby či spoluúčast na úhradách zdravotní péče. V převážné většině případů si domácnosti platí ambulantně užívané léky (ať už se jedná o doplatky u předepsaných léčiv či platby plných cen u volně prodejných léků) a terapeutické pomůcky. Významný podíl výdajů domácností představují též platby za nadstandardní služby a materiál. Další</w:t>
      </w:r>
      <w:r w:rsidR="00157587">
        <w:rPr>
          <w:bCs/>
          <w:szCs w:val="17"/>
        </w:rPr>
        <w:t>,</w:t>
      </w:r>
      <w:r w:rsidRPr="00240B6D">
        <w:rPr>
          <w:bCs/>
          <w:szCs w:val="17"/>
        </w:rPr>
        <w:t xml:space="preserve"> byť méně významné</w:t>
      </w:r>
      <w:r w:rsidR="00157587">
        <w:rPr>
          <w:bCs/>
          <w:szCs w:val="17"/>
        </w:rPr>
        <w:t>,</w:t>
      </w:r>
      <w:r w:rsidRPr="00240B6D">
        <w:rPr>
          <w:bCs/>
          <w:szCs w:val="17"/>
        </w:rPr>
        <w:t xml:space="preserve"> jsou platby za lázeňské pobyty, nadstandardně vybavené pokoje v nemocnicích a platby za různá potvrzení</w:t>
      </w:r>
      <w:r w:rsidR="00157587">
        <w:rPr>
          <w:bCs/>
          <w:szCs w:val="17"/>
        </w:rPr>
        <w:t xml:space="preserve"> např. </w:t>
      </w:r>
      <w:r w:rsidRPr="00240B6D">
        <w:rPr>
          <w:bCs/>
          <w:szCs w:val="17"/>
        </w:rPr>
        <w:t>u praktických lékařů. Od roku 2008 také přibyly regulační poplatky za ošetření u lékařů, za recepty v lékárnách, návštěvu pohotovosti nebo za hospitalizaci v nemocnicích a ostatních lůžkových zařízeních. V průběhu svojí existence prošly regulační poplatky různými změnami a postupně byly tři z nich zrušeny. Od ledna 2015 hradí pacienti pouze regulační poplatek za pohotovostní služby</w:t>
      </w:r>
      <w:r w:rsidR="00A5222D">
        <w:rPr>
          <w:bCs/>
          <w:szCs w:val="17"/>
        </w:rPr>
        <w:t xml:space="preserve">. </w:t>
      </w:r>
      <w:r w:rsidR="00A5222D" w:rsidRPr="00A5222D">
        <w:rPr>
          <w:bCs/>
          <w:i/>
          <w:szCs w:val="17"/>
        </w:rPr>
        <w:t>P</w:t>
      </w:r>
      <w:r w:rsidRPr="00A5222D">
        <w:rPr>
          <w:bCs/>
          <w:i/>
          <w:szCs w:val="17"/>
        </w:rPr>
        <w:t>odrobněj</w:t>
      </w:r>
      <w:r w:rsidR="00A5222D" w:rsidRPr="00A5222D">
        <w:rPr>
          <w:bCs/>
          <w:i/>
          <w:szCs w:val="17"/>
        </w:rPr>
        <w:t>ší informace jsou k dispozici v k</w:t>
      </w:r>
      <w:r w:rsidRPr="00A5222D">
        <w:rPr>
          <w:bCs/>
          <w:i/>
          <w:szCs w:val="17"/>
        </w:rPr>
        <w:t>apitol</w:t>
      </w:r>
      <w:r w:rsidR="00A5222D" w:rsidRPr="00A5222D">
        <w:rPr>
          <w:bCs/>
          <w:i/>
          <w:szCs w:val="17"/>
        </w:rPr>
        <w:t>e</w:t>
      </w:r>
      <w:r w:rsidRPr="00A5222D">
        <w:rPr>
          <w:bCs/>
          <w:i/>
          <w:szCs w:val="17"/>
        </w:rPr>
        <w:t xml:space="preserve"> 3.2 Výdaje domácností na zdravotní péči.</w:t>
      </w:r>
    </w:p>
    <w:p w:rsidR="001319EB" w:rsidRPr="00240B6D" w:rsidRDefault="001319EB" w:rsidP="007572C9">
      <w:pPr>
        <w:keepNext/>
        <w:keepLines/>
        <w:pageBreakBefore/>
        <w:spacing w:before="360" w:after="120"/>
        <w:outlineLvl w:val="1"/>
        <w:rPr>
          <w:rFonts w:eastAsia="MS Gothic"/>
          <w:b/>
          <w:bCs/>
          <w:color w:val="BC091B"/>
          <w:sz w:val="28"/>
          <w:szCs w:val="26"/>
        </w:rPr>
      </w:pPr>
      <w:bookmarkStart w:id="13" w:name="_Toc481748787"/>
      <w:bookmarkStart w:id="14" w:name="_Toc130184754"/>
      <w:bookmarkStart w:id="15" w:name="_Toc256065138"/>
      <w:bookmarkEnd w:id="9"/>
      <w:bookmarkEnd w:id="10"/>
      <w:r w:rsidRPr="00240B6D">
        <w:rPr>
          <w:rFonts w:eastAsia="MS Gothic"/>
          <w:b/>
          <w:bCs/>
          <w:color w:val="BC091B"/>
          <w:sz w:val="28"/>
          <w:szCs w:val="26"/>
        </w:rPr>
        <w:lastRenderedPageBreak/>
        <w:t>2.3 Výdaje na zdravotnictví podle druhů péče</w:t>
      </w:r>
      <w:bookmarkEnd w:id="13"/>
      <w:r w:rsidRPr="00240B6D">
        <w:rPr>
          <w:rFonts w:eastAsia="MS Gothic"/>
          <w:b/>
          <w:bCs/>
          <w:color w:val="BC091B"/>
          <w:sz w:val="28"/>
          <w:szCs w:val="26"/>
        </w:rPr>
        <w:t xml:space="preserve"> </w:t>
      </w:r>
      <w:bookmarkEnd w:id="14"/>
      <w:bookmarkEnd w:id="15"/>
    </w:p>
    <w:p w:rsidR="00696417" w:rsidRDefault="00240B6D" w:rsidP="00213704">
      <w:pPr>
        <w:spacing w:before="120"/>
        <w:jc w:val="both"/>
        <w:rPr>
          <w:rFonts w:cs="Arial"/>
          <w:szCs w:val="20"/>
        </w:rPr>
      </w:pPr>
      <w:r w:rsidRPr="00240B6D">
        <w:rPr>
          <w:rFonts w:cs="Arial"/>
          <w:szCs w:val="20"/>
        </w:rPr>
        <w:t xml:space="preserve">Druhý významný pohled na problematiku zdravotní péče souvisí s druhem péče, která je poskytována. Zdravotní péče může být spotřebovávána dvěma způsoby: individuálně nebo kolektivně. Vzhledem ke skutečnosti, že zdravotní stav je vlastností jednotlivců, většina spotřeby zdravotních služeb se vztahuje k soukromé spotřebě. </w:t>
      </w:r>
    </w:p>
    <w:p w:rsidR="008E41B4" w:rsidRDefault="00240B6D" w:rsidP="00213704">
      <w:pPr>
        <w:spacing w:before="120"/>
        <w:jc w:val="both"/>
        <w:rPr>
          <w:rFonts w:cs="Arial"/>
          <w:szCs w:val="20"/>
        </w:rPr>
      </w:pPr>
      <w:r w:rsidRPr="00696417">
        <w:rPr>
          <w:rFonts w:cs="Arial"/>
          <w:b/>
          <w:szCs w:val="20"/>
        </w:rPr>
        <w:t>Individuální</w:t>
      </w:r>
      <w:r w:rsidRPr="00696417">
        <w:rPr>
          <w:rFonts w:cs="Arial"/>
          <w:szCs w:val="20"/>
        </w:rPr>
        <w:t xml:space="preserve"> spotřeba obsahuje standardní kroky léčebného procesu – stanovení diagnózy, formace léčebného plánu, předepsání léku či terapie, diagnostiku a lékařské hodnocení, provedení léčby a hodnocení výsledků. Osobní zdravotní péče zahrnuje léčebnou, rehabilitační, dlouhodobou zdravotní péči a také podpůrné služby (laboratoře, zobrazovací metody a dopravu pacientů) a v neposlední řadě léky a</w:t>
      </w:r>
      <w:r w:rsidR="007C740E">
        <w:rPr>
          <w:rFonts w:cs="Arial"/>
          <w:szCs w:val="20"/>
        </w:rPr>
        <w:t> </w:t>
      </w:r>
      <w:r w:rsidRPr="00696417">
        <w:rPr>
          <w:rFonts w:cs="Arial"/>
          <w:szCs w:val="20"/>
        </w:rPr>
        <w:t>terapeutické pomůcky.</w:t>
      </w:r>
      <w:r w:rsidRPr="00240B6D">
        <w:rPr>
          <w:rFonts w:cs="Arial"/>
          <w:szCs w:val="20"/>
        </w:rPr>
        <w:t xml:space="preserve"> </w:t>
      </w:r>
      <w:r w:rsidR="008E41B4" w:rsidRPr="00240B6D">
        <w:rPr>
          <w:rFonts w:eastAsia="Calibri" w:cs="Arial"/>
          <w:szCs w:val="20"/>
          <w:lang w:eastAsia="en-US"/>
        </w:rPr>
        <w:t xml:space="preserve">Výdaje na individuální spotřebu pokrývají </w:t>
      </w:r>
      <w:r w:rsidR="008E41B4">
        <w:rPr>
          <w:rFonts w:eastAsia="Calibri" w:cs="Arial"/>
          <w:szCs w:val="20"/>
          <w:lang w:eastAsia="en-US"/>
        </w:rPr>
        <w:t xml:space="preserve">v Česku </w:t>
      </w:r>
      <w:r w:rsidR="008E41B4" w:rsidRPr="00240B6D">
        <w:rPr>
          <w:rFonts w:eastAsia="Calibri" w:cs="Arial"/>
          <w:szCs w:val="20"/>
          <w:lang w:eastAsia="en-US"/>
        </w:rPr>
        <w:t>dlouhodobě 89</w:t>
      </w:r>
      <w:r w:rsidR="008E41B4">
        <w:rPr>
          <w:rFonts w:eastAsia="Calibri" w:cs="Arial"/>
          <w:szCs w:val="20"/>
          <w:lang w:eastAsia="en-US"/>
        </w:rPr>
        <w:t> </w:t>
      </w:r>
      <w:r w:rsidR="008E41B4" w:rsidRPr="00240B6D">
        <w:rPr>
          <w:rFonts w:eastAsia="Calibri" w:cs="Arial"/>
          <w:szCs w:val="20"/>
          <w:lang w:eastAsia="en-US"/>
        </w:rPr>
        <w:t>% celkových výdajů na zdravotní péči</w:t>
      </w:r>
    </w:p>
    <w:p w:rsidR="00240B6D" w:rsidRPr="00240B6D" w:rsidRDefault="00240B6D" w:rsidP="0026319A">
      <w:pPr>
        <w:keepNext/>
        <w:spacing w:before="240" w:after="120" w:line="240" w:lineRule="auto"/>
        <w:jc w:val="both"/>
        <w:rPr>
          <w:b/>
          <w:bCs/>
          <w:sz w:val="18"/>
          <w:szCs w:val="18"/>
        </w:rPr>
      </w:pPr>
      <w:r w:rsidRPr="00240B6D">
        <w:rPr>
          <w:b/>
          <w:bCs/>
          <w:sz w:val="18"/>
          <w:szCs w:val="18"/>
        </w:rPr>
        <w:t>Tabulka č. 2.2 Výdaje na zdravotnictví v Česku podle druhů péče, 2010 - 2016 (mil. Kč)</w:t>
      </w:r>
    </w:p>
    <w:tbl>
      <w:tblPr>
        <w:tblW w:w="9670" w:type="dxa"/>
        <w:tblInd w:w="93" w:type="dxa"/>
        <w:tblLook w:val="04A0" w:firstRow="1" w:lastRow="0" w:firstColumn="1" w:lastColumn="0" w:noHBand="0" w:noVBand="1"/>
      </w:tblPr>
      <w:tblGrid>
        <w:gridCol w:w="2778"/>
        <w:gridCol w:w="844"/>
        <w:gridCol w:w="845"/>
        <w:gridCol w:w="846"/>
        <w:gridCol w:w="846"/>
        <w:gridCol w:w="846"/>
        <w:gridCol w:w="846"/>
        <w:gridCol w:w="846"/>
        <w:gridCol w:w="973"/>
      </w:tblGrid>
      <w:tr w:rsidR="00240B6D" w:rsidRPr="00240B6D" w:rsidTr="008E41B4">
        <w:trPr>
          <w:trHeight w:val="305"/>
        </w:trPr>
        <w:tc>
          <w:tcPr>
            <w:tcW w:w="2778"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sz w:val="16"/>
                <w:szCs w:val="16"/>
                <w:lang w:eastAsia="en-US"/>
              </w:rPr>
            </w:pPr>
            <w:r w:rsidRPr="00240B6D">
              <w:rPr>
                <w:rFonts w:cs="Arial"/>
                <w:sz w:val="16"/>
                <w:szCs w:val="16"/>
                <w:lang w:eastAsia="en-US"/>
              </w:rPr>
              <w:t>Ukazatel</w:t>
            </w:r>
          </w:p>
        </w:tc>
        <w:tc>
          <w:tcPr>
            <w:tcW w:w="844"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2010</w:t>
            </w:r>
          </w:p>
        </w:tc>
        <w:tc>
          <w:tcPr>
            <w:tcW w:w="84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2011</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2012</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2013</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2014</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2015</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2016</w:t>
            </w:r>
          </w:p>
        </w:tc>
        <w:tc>
          <w:tcPr>
            <w:tcW w:w="973" w:type="dxa"/>
            <w:tcBorders>
              <w:top w:val="single" w:sz="8" w:space="0" w:color="auto"/>
              <w:left w:val="nil"/>
              <w:bottom w:val="single" w:sz="8" w:space="0" w:color="auto"/>
              <w:right w:val="nil"/>
            </w:tcBorders>
            <w:shd w:val="clear" w:color="auto" w:fill="auto"/>
            <w:vAlign w:val="center"/>
            <w:hideMark/>
          </w:tcPr>
          <w:p w:rsidR="00240B6D" w:rsidRPr="00240B6D" w:rsidRDefault="00240B6D" w:rsidP="00240B6D">
            <w:pPr>
              <w:spacing w:line="240" w:lineRule="auto"/>
              <w:jc w:val="center"/>
              <w:rPr>
                <w:rFonts w:cs="Arial"/>
                <w:b/>
                <w:bCs/>
                <w:i/>
                <w:iCs/>
                <w:color w:val="000000"/>
                <w:sz w:val="16"/>
                <w:szCs w:val="16"/>
                <w:lang w:eastAsia="en-US"/>
              </w:rPr>
            </w:pPr>
            <w:r w:rsidRPr="00240B6D">
              <w:rPr>
                <w:rFonts w:cs="Arial"/>
                <w:b/>
                <w:bCs/>
                <w:i/>
                <w:iCs/>
                <w:color w:val="000000"/>
                <w:sz w:val="16"/>
                <w:szCs w:val="16"/>
                <w:lang w:eastAsia="en-US"/>
              </w:rPr>
              <w:t>Index 2016/2015</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Léčebná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137 302</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137 826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137 987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140 948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137 311</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141 600</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142 437</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100,6</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lůžková </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55 948</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55 740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54 422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53 489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52 473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51 431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50 938</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99,0</w:t>
            </w:r>
          </w:p>
        </w:tc>
      </w:tr>
      <w:tr w:rsidR="00370B28"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370B28" w:rsidRPr="00240B6D" w:rsidRDefault="00370B28" w:rsidP="00370B28">
            <w:pPr>
              <w:spacing w:line="240" w:lineRule="auto"/>
              <w:ind w:firstLineChars="100" w:firstLine="160"/>
              <w:rPr>
                <w:rFonts w:cs="Arial"/>
                <w:sz w:val="16"/>
                <w:szCs w:val="16"/>
                <w:lang w:eastAsia="en-US"/>
              </w:rPr>
            </w:pPr>
            <w:r>
              <w:rPr>
                <w:rFonts w:cs="Arial"/>
                <w:sz w:val="16"/>
                <w:szCs w:val="16"/>
                <w:lang w:eastAsia="en-US"/>
              </w:rPr>
              <w:t>a</w:t>
            </w:r>
            <w:r w:rsidRPr="00240B6D">
              <w:rPr>
                <w:rFonts w:cs="Arial"/>
                <w:sz w:val="16"/>
                <w:szCs w:val="16"/>
                <w:lang w:eastAsia="en-US"/>
              </w:rPr>
              <w:t>mbulantní</w:t>
            </w:r>
            <w:r>
              <w:rPr>
                <w:rFonts w:cs="Arial"/>
                <w:sz w:val="16"/>
                <w:szCs w:val="16"/>
                <w:lang w:eastAsia="en-US"/>
              </w:rPr>
              <w:t xml:space="preserve"> (bez stomatologické)</w:t>
            </w:r>
          </w:p>
        </w:tc>
        <w:tc>
          <w:tcPr>
            <w:tcW w:w="844"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59 101</w:t>
            </w:r>
          </w:p>
        </w:tc>
        <w:tc>
          <w:tcPr>
            <w:tcW w:w="845"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59 364</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61 826</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65 040</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61 609</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66 461</w:t>
            </w:r>
          </w:p>
        </w:tc>
        <w:tc>
          <w:tcPr>
            <w:tcW w:w="846" w:type="dxa"/>
            <w:tcBorders>
              <w:top w:val="nil"/>
              <w:left w:val="nil"/>
              <w:bottom w:val="nil"/>
              <w:right w:val="single" w:sz="4" w:space="0" w:color="auto"/>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67 361</w:t>
            </w:r>
          </w:p>
        </w:tc>
        <w:tc>
          <w:tcPr>
            <w:tcW w:w="973" w:type="dxa"/>
            <w:tcBorders>
              <w:top w:val="nil"/>
              <w:left w:val="nil"/>
              <w:bottom w:val="nil"/>
              <w:right w:val="nil"/>
            </w:tcBorders>
            <w:shd w:val="clear" w:color="auto" w:fill="auto"/>
            <w:noWrap/>
            <w:vAlign w:val="bottom"/>
          </w:tcPr>
          <w:p w:rsidR="00370B28" w:rsidRPr="00370B28" w:rsidRDefault="00370B28" w:rsidP="00370B28">
            <w:pPr>
              <w:spacing w:line="240" w:lineRule="auto"/>
              <w:jc w:val="right"/>
              <w:rPr>
                <w:rFonts w:cs="Arial"/>
                <w:sz w:val="16"/>
                <w:szCs w:val="16"/>
                <w:lang w:eastAsia="en-US"/>
              </w:rPr>
            </w:pPr>
            <w:r w:rsidRPr="00370B28">
              <w:rPr>
                <w:rFonts w:cs="Arial"/>
                <w:sz w:val="16"/>
                <w:szCs w:val="16"/>
                <w:lang w:eastAsia="en-US"/>
              </w:rPr>
              <w:t>101,4</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stomatologická</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16 829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17 402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16 378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16 900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17 491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17 781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18 230</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102,5</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enní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5 238</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5 137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5 185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5 333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5 561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5 735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5 720</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99,7</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omácí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186</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192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187</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97,7</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Rehabilitační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12 808</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13 696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13 652</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13 753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13 738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14 764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15 018</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101,7</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ůžková</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5 886</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6 485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6 266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6 255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6 407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6 911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7 483</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108,3</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ambulantní </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6 922</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7 211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7 498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7 331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7 853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7 535</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95,9</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Dlouhodobá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52 761</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53 055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53 007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55 837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62 113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61 018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65 264</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107,0</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z</w:t>
            </w:r>
            <w:r w:rsidR="00240B6D" w:rsidRPr="00240B6D">
              <w:rPr>
                <w:rFonts w:cs="Arial"/>
                <w:sz w:val="16"/>
                <w:szCs w:val="16"/>
                <w:lang w:eastAsia="en-US"/>
              </w:rPr>
              <w:t>dravotní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35 762</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37 005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37 081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38 596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44 035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42 407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45 116</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106,4</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A5222D" w:rsidP="00A5222D">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ociální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16 999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16 050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15 926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17 241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18 078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18 611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20 148</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108,3</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Doplňkové služby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37 039</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37 525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38 213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38 469</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38 883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40 020</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41 081</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laboratorní služby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19 917</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20 149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21 001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21 215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21 454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22 037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22 527</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102,2</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zobrazovací metody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9 729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9 855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9 861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10 044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10 490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10 484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10 698</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102,0</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doprava pacientů</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7 393</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7 521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7 351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7 210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6 939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7 499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7 856</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104,8</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Léčiva a zdrav. výrobky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66 231</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67 626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70 676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66 784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67 021</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67 831</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69 285</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102,1</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léčiva a zdravotnický materiál (1)</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57 091</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58 298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61 390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56 221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56 957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58 061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59 365</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102,2</w:t>
            </w:r>
          </w:p>
        </w:tc>
      </w:tr>
      <w:tr w:rsidR="00240B6D" w:rsidRPr="00240B6D" w:rsidTr="00370B28">
        <w:trPr>
          <w:trHeight w:val="300"/>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terapeutické pomůcky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9 141</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9 329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9 286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10 563</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10 064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9 770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9 921</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101,5</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Preventivní péče celkem</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9 990</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10 364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10 595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10 765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11 433</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9 027</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9 739</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107,9</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programy pro sledování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zdravotního stavu</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6 541</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6 881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6 900</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7 034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7 561</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5 455</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6 121</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112,2</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programy pro včasné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odhalení nemocí</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1 573</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1 554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1 586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1 644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1 659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1 637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1 746</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106,6</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imunizační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programy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1 389</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1 432</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1 484</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1 458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1 576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1 267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1 172</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92,5</w:t>
            </w:r>
          </w:p>
        </w:tc>
      </w:tr>
      <w:tr w:rsidR="00240B6D" w:rsidRPr="00240B6D" w:rsidTr="00240B6D">
        <w:trPr>
          <w:trHeight w:val="397"/>
        </w:trPr>
        <w:tc>
          <w:tcPr>
            <w:tcW w:w="2778"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 xml:space="preserve">informační a poradenské </w:t>
            </w:r>
          </w:p>
          <w:p w:rsidR="00240B6D" w:rsidRPr="00240B6D" w:rsidRDefault="00240B6D" w:rsidP="00240B6D">
            <w:pPr>
              <w:spacing w:line="240" w:lineRule="auto"/>
              <w:ind w:firstLineChars="100" w:firstLine="160"/>
              <w:rPr>
                <w:rFonts w:cs="Arial"/>
                <w:sz w:val="16"/>
                <w:szCs w:val="16"/>
                <w:lang w:eastAsia="en-US"/>
              </w:rPr>
            </w:pPr>
            <w:r w:rsidRPr="00240B6D">
              <w:rPr>
                <w:rFonts w:cs="Arial"/>
                <w:sz w:val="16"/>
                <w:szCs w:val="16"/>
                <w:lang w:eastAsia="en-US"/>
              </w:rPr>
              <w:t>programy</w:t>
            </w:r>
          </w:p>
        </w:tc>
        <w:tc>
          <w:tcPr>
            <w:tcW w:w="844"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487</w:t>
            </w:r>
          </w:p>
        </w:tc>
        <w:tc>
          <w:tcPr>
            <w:tcW w:w="84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497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626</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629</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637</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668</w:t>
            </w:r>
          </w:p>
        </w:tc>
        <w:tc>
          <w:tcPr>
            <w:tcW w:w="846"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700</w:t>
            </w:r>
          </w:p>
        </w:tc>
        <w:tc>
          <w:tcPr>
            <w:tcW w:w="973"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104,8</w:t>
            </w:r>
          </w:p>
        </w:tc>
      </w:tr>
      <w:tr w:rsidR="00240B6D" w:rsidRPr="00240B6D" w:rsidTr="00370B28">
        <w:trPr>
          <w:trHeight w:val="300"/>
        </w:trPr>
        <w:tc>
          <w:tcPr>
            <w:tcW w:w="2778"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Správa systému zdravotní péče</w:t>
            </w:r>
          </w:p>
        </w:tc>
        <w:tc>
          <w:tcPr>
            <w:tcW w:w="844"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8 649</w:t>
            </w:r>
          </w:p>
        </w:tc>
        <w:tc>
          <w:tcPr>
            <w:tcW w:w="84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8 758</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8 634</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9 005</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9 040</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8 536</w:t>
            </w:r>
          </w:p>
        </w:tc>
        <w:tc>
          <w:tcPr>
            <w:tcW w:w="84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8 583</w:t>
            </w:r>
          </w:p>
        </w:tc>
        <w:tc>
          <w:tcPr>
            <w:tcW w:w="973"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100,6</w:t>
            </w:r>
          </w:p>
        </w:tc>
      </w:tr>
      <w:tr w:rsidR="00240B6D" w:rsidRPr="00240B6D" w:rsidTr="00370B28">
        <w:trPr>
          <w:trHeight w:val="300"/>
        </w:trPr>
        <w:tc>
          <w:tcPr>
            <w:tcW w:w="2778"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A5222D">
            <w:pPr>
              <w:spacing w:line="240" w:lineRule="auto"/>
              <w:rPr>
                <w:rFonts w:cs="Arial"/>
                <w:bCs/>
                <w:i/>
                <w:iCs/>
                <w:sz w:val="16"/>
                <w:szCs w:val="16"/>
                <w:lang w:eastAsia="en-US"/>
              </w:rPr>
            </w:pPr>
            <w:r w:rsidRPr="00240B6D">
              <w:rPr>
                <w:rFonts w:cs="Arial"/>
                <w:bCs/>
                <w:i/>
                <w:iCs/>
                <w:sz w:val="16"/>
                <w:szCs w:val="16"/>
                <w:lang w:eastAsia="en-US"/>
              </w:rPr>
              <w:t xml:space="preserve">  </w:t>
            </w:r>
            <w:r w:rsidR="00A5222D">
              <w:rPr>
                <w:rFonts w:cs="Arial"/>
                <w:bCs/>
                <w:i/>
                <w:iCs/>
                <w:sz w:val="16"/>
                <w:szCs w:val="16"/>
                <w:lang w:eastAsia="en-US"/>
              </w:rPr>
              <w:t>o</w:t>
            </w:r>
            <w:r w:rsidRPr="00240B6D">
              <w:rPr>
                <w:rFonts w:cs="Arial"/>
                <w:bCs/>
                <w:i/>
                <w:iCs/>
                <w:sz w:val="16"/>
                <w:szCs w:val="16"/>
                <w:lang w:eastAsia="en-US"/>
              </w:rPr>
              <w:t>statní či nespecifikováno (2)</w:t>
            </w:r>
          </w:p>
        </w:tc>
        <w:tc>
          <w:tcPr>
            <w:tcW w:w="844"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9 307</w:t>
            </w:r>
          </w:p>
        </w:tc>
        <w:tc>
          <w:tcPr>
            <w:tcW w:w="845"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9 232</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9 149</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9 159</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9 192</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9 245</w:t>
            </w:r>
          </w:p>
        </w:tc>
        <w:tc>
          <w:tcPr>
            <w:tcW w:w="84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jc w:val="right"/>
              <w:rPr>
                <w:rFonts w:cs="Arial"/>
                <w:bCs/>
                <w:i/>
                <w:iCs/>
                <w:sz w:val="16"/>
                <w:szCs w:val="16"/>
                <w:lang w:eastAsia="en-US"/>
              </w:rPr>
            </w:pPr>
            <w:r w:rsidRPr="00240B6D">
              <w:rPr>
                <w:rFonts w:cs="Arial"/>
                <w:bCs/>
                <w:i/>
                <w:iCs/>
                <w:sz w:val="16"/>
                <w:szCs w:val="16"/>
                <w:lang w:eastAsia="en-US"/>
              </w:rPr>
              <w:t>10 240</w:t>
            </w:r>
          </w:p>
        </w:tc>
        <w:tc>
          <w:tcPr>
            <w:tcW w:w="973" w:type="dxa"/>
            <w:tcBorders>
              <w:top w:val="nil"/>
              <w:left w:val="nil"/>
              <w:bottom w:val="single" w:sz="8" w:space="0" w:color="auto"/>
              <w:right w:val="nil"/>
            </w:tcBorders>
            <w:shd w:val="clear" w:color="auto" w:fill="auto"/>
            <w:noWrap/>
            <w:vAlign w:val="bottom"/>
            <w:hideMark/>
          </w:tcPr>
          <w:p w:rsidR="00240B6D" w:rsidRPr="00240B6D" w:rsidRDefault="00240B6D" w:rsidP="00240B6D">
            <w:pPr>
              <w:spacing w:line="240" w:lineRule="auto"/>
              <w:jc w:val="right"/>
              <w:rPr>
                <w:rFonts w:cs="Arial"/>
                <w:bCs/>
                <w:i/>
                <w:iCs/>
                <w:color w:val="000000"/>
                <w:sz w:val="16"/>
                <w:szCs w:val="16"/>
                <w:lang w:eastAsia="en-US"/>
              </w:rPr>
            </w:pPr>
            <w:r w:rsidRPr="00240B6D">
              <w:rPr>
                <w:rFonts w:cs="Arial"/>
                <w:bCs/>
                <w:i/>
                <w:iCs/>
                <w:color w:val="000000"/>
                <w:sz w:val="16"/>
                <w:szCs w:val="16"/>
                <w:lang w:eastAsia="en-US"/>
              </w:rPr>
              <w:t>110,8</w:t>
            </w:r>
          </w:p>
        </w:tc>
      </w:tr>
      <w:tr w:rsidR="00240B6D" w:rsidRPr="00240B6D" w:rsidTr="00A52B44">
        <w:trPr>
          <w:trHeight w:val="300"/>
        </w:trPr>
        <w:tc>
          <w:tcPr>
            <w:tcW w:w="2778"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Zdravotní péče celkem</w:t>
            </w:r>
          </w:p>
        </w:tc>
        <w:tc>
          <w:tcPr>
            <w:tcW w:w="844"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334 088</w:t>
            </w:r>
          </w:p>
        </w:tc>
        <w:tc>
          <w:tcPr>
            <w:tcW w:w="84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338 080</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341 913</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344 720</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348 730</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352 039</w:t>
            </w:r>
          </w:p>
        </w:tc>
        <w:tc>
          <w:tcPr>
            <w:tcW w:w="84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361 647</w:t>
            </w:r>
          </w:p>
        </w:tc>
        <w:tc>
          <w:tcPr>
            <w:tcW w:w="973" w:type="dxa"/>
            <w:tcBorders>
              <w:top w:val="nil"/>
              <w:left w:val="nil"/>
              <w:bottom w:val="single" w:sz="8" w:space="0" w:color="auto"/>
              <w:right w:val="nil"/>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bl>
    <w:p w:rsidR="00240B6D" w:rsidRPr="00240B6D" w:rsidRDefault="00240B6D" w:rsidP="00240B6D">
      <w:pPr>
        <w:keepNext/>
        <w:spacing w:before="40" w:line="240" w:lineRule="auto"/>
        <w:jc w:val="both"/>
        <w:rPr>
          <w:bCs/>
          <w:sz w:val="16"/>
          <w:szCs w:val="16"/>
        </w:rPr>
      </w:pPr>
      <w:r w:rsidRPr="00240B6D">
        <w:rPr>
          <w:bCs/>
          <w:sz w:val="16"/>
          <w:szCs w:val="16"/>
        </w:rPr>
        <w:t>(1) zahrnují léky na předpis, volně prodejné léky a další zboží krátkodobé spotřeby např. obvazy, elastické kompresivní punčochy, inkontinenční pomůcky atd</w:t>
      </w:r>
      <w:r w:rsidR="00696417">
        <w:rPr>
          <w:bCs/>
          <w:sz w:val="16"/>
          <w:szCs w:val="16"/>
        </w:rPr>
        <w:t xml:space="preserve">. </w:t>
      </w:r>
      <w:r w:rsidR="00696417" w:rsidRPr="001D189A">
        <w:rPr>
          <w:b/>
          <w:bCs/>
          <w:sz w:val="16"/>
          <w:szCs w:val="16"/>
        </w:rPr>
        <w:t>Nezahrnuje</w:t>
      </w:r>
      <w:r w:rsidR="00696417">
        <w:rPr>
          <w:bCs/>
          <w:sz w:val="16"/>
          <w:szCs w:val="16"/>
        </w:rPr>
        <w:t>, dle manuálu SHA,</w:t>
      </w:r>
      <w:r w:rsidR="00696417" w:rsidRPr="00696417">
        <w:rPr>
          <w:bCs/>
          <w:sz w:val="16"/>
          <w:szCs w:val="16"/>
        </w:rPr>
        <w:t xml:space="preserve"> </w:t>
      </w:r>
      <w:r w:rsidR="00696417">
        <w:rPr>
          <w:bCs/>
          <w:sz w:val="16"/>
          <w:szCs w:val="16"/>
        </w:rPr>
        <w:t xml:space="preserve">výdaje na léky </w:t>
      </w:r>
      <w:r w:rsidR="00696417" w:rsidRPr="006374C2">
        <w:rPr>
          <w:b/>
          <w:bCs/>
          <w:sz w:val="16"/>
          <w:szCs w:val="16"/>
        </w:rPr>
        <w:t>spotřebované přímo</w:t>
      </w:r>
      <w:r w:rsidR="00696417">
        <w:rPr>
          <w:bCs/>
          <w:sz w:val="16"/>
          <w:szCs w:val="16"/>
        </w:rPr>
        <w:t xml:space="preserve"> ve zdravotnických zařízeních. </w:t>
      </w:r>
    </w:p>
    <w:p w:rsidR="00240B6D" w:rsidRPr="00240B6D" w:rsidRDefault="00240B6D" w:rsidP="00240B6D">
      <w:pPr>
        <w:keepNext/>
        <w:spacing w:before="40" w:line="240" w:lineRule="auto"/>
        <w:jc w:val="both"/>
        <w:rPr>
          <w:bCs/>
          <w:sz w:val="16"/>
          <w:szCs w:val="16"/>
        </w:rPr>
      </w:pPr>
      <w:r w:rsidRPr="00240B6D">
        <w:rPr>
          <w:bCs/>
          <w:sz w:val="16"/>
          <w:szCs w:val="16"/>
        </w:rPr>
        <w:t xml:space="preserve">(2) zahrnuje programy na podporu zdraví v širším pohledu např. kontrolu a zavádění nových předpisů na ochranu pitné vody, potravin, bezpečnostní opatření spojená s nakládání s odpady, znečistění půdy a také </w:t>
      </w:r>
      <w:r w:rsidR="008E41B4">
        <w:rPr>
          <w:bCs/>
          <w:sz w:val="16"/>
          <w:szCs w:val="16"/>
        </w:rPr>
        <w:t xml:space="preserve">nespecifikované </w:t>
      </w:r>
      <w:r w:rsidRPr="00240B6D">
        <w:rPr>
          <w:bCs/>
          <w:sz w:val="16"/>
          <w:szCs w:val="16"/>
        </w:rPr>
        <w:t xml:space="preserve">druhy zdravotní péče </w:t>
      </w:r>
    </w:p>
    <w:p w:rsidR="00240B6D" w:rsidRPr="00240B6D" w:rsidRDefault="00240B6D" w:rsidP="0026319A">
      <w:pPr>
        <w:spacing w:before="120" w:line="240" w:lineRule="auto"/>
        <w:ind w:right="-425"/>
        <w:rPr>
          <w:b/>
          <w:bCs/>
          <w:i/>
          <w:sz w:val="16"/>
          <w:szCs w:val="16"/>
        </w:rPr>
      </w:pPr>
      <w:r w:rsidRPr="00240B6D">
        <w:rPr>
          <w:b/>
          <w:bCs/>
          <w:i/>
          <w:sz w:val="16"/>
          <w:szCs w:val="16"/>
        </w:rPr>
        <w:t xml:space="preserve">                                                                                                                                 Zdroj: ČSÚ 2018, Zdravotnické účty ČR 2010 - 2016</w:t>
      </w:r>
    </w:p>
    <w:p w:rsidR="0026319A" w:rsidRDefault="0026319A" w:rsidP="0026319A">
      <w:pPr>
        <w:spacing w:before="120"/>
        <w:jc w:val="both"/>
        <w:rPr>
          <w:rFonts w:eastAsia="Calibri" w:cs="Arial"/>
          <w:szCs w:val="20"/>
          <w:lang w:eastAsia="en-US"/>
        </w:rPr>
      </w:pPr>
      <w:r w:rsidRPr="00240B6D">
        <w:rPr>
          <w:rFonts w:cs="Arial"/>
          <w:szCs w:val="20"/>
        </w:rPr>
        <w:lastRenderedPageBreak/>
        <w:t xml:space="preserve">Do pojmu zdravotní péče podle metodiky SHA patří také služby, které jsou zaměřeny na zlepšení celkového zdravotního stavu populace či efektivity systému zdravotnictví. </w:t>
      </w:r>
      <w:r w:rsidRPr="00240B6D">
        <w:rPr>
          <w:rFonts w:eastAsia="Calibri" w:cs="Arial"/>
          <w:b/>
          <w:szCs w:val="20"/>
          <w:lang w:eastAsia="en-US"/>
        </w:rPr>
        <w:t>Kolektivní</w:t>
      </w:r>
      <w:r w:rsidRPr="00240B6D">
        <w:rPr>
          <w:rFonts w:eastAsia="Calibri" w:cs="Arial"/>
          <w:szCs w:val="20"/>
          <w:lang w:eastAsia="en-US"/>
        </w:rPr>
        <w:t xml:space="preserve"> služby jsou zacíleny na celou populaci (nebo části populace) a mají zlepšit celkové zdravotní standardy nebo efektivitu a výkonnost systému zdravotnictví, To se týká zejména některých preventivních služeb a provádění a finanční správy zdravotnických programů. </w:t>
      </w:r>
    </w:p>
    <w:p w:rsidR="00240B6D" w:rsidRPr="00240B6D" w:rsidRDefault="00240B6D" w:rsidP="00240B6D">
      <w:pPr>
        <w:widowControl w:val="0"/>
        <w:spacing w:before="120" w:after="120"/>
        <w:rPr>
          <w:b/>
          <w:i/>
        </w:rPr>
      </w:pPr>
      <w:r w:rsidRPr="00240B6D">
        <w:rPr>
          <w:b/>
          <w:i/>
        </w:rPr>
        <w:t xml:space="preserve">Léčebná péče tvoří dvě pětiny z celkových výdajů na zdravotní péči </w:t>
      </w:r>
    </w:p>
    <w:p w:rsidR="00A5222D" w:rsidRDefault="00240B6D" w:rsidP="00240B6D">
      <w:pPr>
        <w:spacing w:before="120"/>
        <w:jc w:val="both"/>
        <w:rPr>
          <w:bCs/>
          <w:szCs w:val="20"/>
        </w:rPr>
      </w:pPr>
      <w:r w:rsidRPr="00240B6D">
        <w:rPr>
          <w:bCs/>
          <w:szCs w:val="20"/>
        </w:rPr>
        <w:t xml:space="preserve">Z hlediska </w:t>
      </w:r>
      <w:r w:rsidR="00A5222D">
        <w:rPr>
          <w:bCs/>
          <w:szCs w:val="20"/>
        </w:rPr>
        <w:t xml:space="preserve">výše </w:t>
      </w:r>
      <w:r w:rsidRPr="00240B6D">
        <w:rPr>
          <w:bCs/>
          <w:szCs w:val="20"/>
        </w:rPr>
        <w:t xml:space="preserve">běžných (neinvestičních) výdajů na zdravotní péči v Česku, je dlouhodobě na prvním místě </w:t>
      </w:r>
      <w:r w:rsidRPr="00A5222D">
        <w:rPr>
          <w:b/>
          <w:bCs/>
          <w:szCs w:val="20"/>
        </w:rPr>
        <w:t>péče léčebná</w:t>
      </w:r>
      <w:r w:rsidR="00A5222D">
        <w:rPr>
          <w:bCs/>
          <w:szCs w:val="20"/>
        </w:rPr>
        <w:t xml:space="preserve">. V letech 2010 až 2016 na léčebnou péči v průměru směřovalo </w:t>
      </w:r>
      <w:r w:rsidRPr="00240B6D">
        <w:rPr>
          <w:bCs/>
          <w:szCs w:val="20"/>
        </w:rPr>
        <w:t xml:space="preserve">40 % </w:t>
      </w:r>
      <w:r w:rsidR="00A5222D">
        <w:rPr>
          <w:bCs/>
          <w:szCs w:val="20"/>
        </w:rPr>
        <w:t xml:space="preserve">z finančních prostředků určených na celkovou zdravotní péči. Tento podíl se v čase </w:t>
      </w:r>
      <w:r w:rsidRPr="00240B6D">
        <w:rPr>
          <w:bCs/>
          <w:szCs w:val="20"/>
        </w:rPr>
        <w:t xml:space="preserve">téměř nemění. </w:t>
      </w:r>
    </w:p>
    <w:p w:rsidR="00A5222D" w:rsidRPr="00240B6D" w:rsidRDefault="00A5222D" w:rsidP="00A5222D">
      <w:pPr>
        <w:spacing w:before="240" w:line="240" w:lineRule="auto"/>
        <w:rPr>
          <w:b/>
          <w:sz w:val="18"/>
          <w:szCs w:val="18"/>
        </w:rPr>
      </w:pPr>
      <w:r w:rsidRPr="00240B6D">
        <w:rPr>
          <w:b/>
          <w:sz w:val="18"/>
          <w:szCs w:val="18"/>
        </w:rPr>
        <w:t>Graf č. 2.6 Výdaje na zdravotní péči v Česku podle vybraných druhů péče; 2010-2016</w:t>
      </w:r>
    </w:p>
    <w:p w:rsidR="00A5222D" w:rsidRPr="00240B6D" w:rsidRDefault="00A5222D" w:rsidP="00A5222D">
      <w:pPr>
        <w:keepNext/>
        <w:numPr>
          <w:ilvl w:val="0"/>
          <w:numId w:val="27"/>
        </w:numPr>
        <w:spacing w:before="120" w:after="120" w:line="240" w:lineRule="auto"/>
        <w:jc w:val="both"/>
        <w:rPr>
          <w:b/>
          <w:bCs/>
          <w:sz w:val="18"/>
          <w:szCs w:val="18"/>
        </w:rPr>
      </w:pPr>
      <w:r w:rsidRPr="00240B6D">
        <w:rPr>
          <w:b/>
          <w:bCs/>
          <w:sz w:val="18"/>
          <w:szCs w:val="18"/>
        </w:rPr>
        <w:t>v mld. Kč</w:t>
      </w:r>
    </w:p>
    <w:p w:rsidR="00A5222D" w:rsidRPr="00240B6D" w:rsidRDefault="00A5222D" w:rsidP="003D5919">
      <w:pPr>
        <w:spacing w:line="240" w:lineRule="auto"/>
        <w:rPr>
          <w:b/>
          <w:bCs/>
          <w:sz w:val="18"/>
          <w:szCs w:val="18"/>
        </w:rPr>
      </w:pPr>
      <w:r w:rsidRPr="00240B6D">
        <w:rPr>
          <w:noProof/>
        </w:rPr>
        <w:drawing>
          <wp:inline distT="0" distB="0" distL="0" distR="0">
            <wp:extent cx="6084000" cy="28800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222D" w:rsidRPr="00240B6D" w:rsidRDefault="00A5222D" w:rsidP="00A5222D">
      <w:pPr>
        <w:keepNext/>
        <w:numPr>
          <w:ilvl w:val="0"/>
          <w:numId w:val="27"/>
        </w:numPr>
        <w:spacing w:before="120" w:after="120" w:line="240" w:lineRule="auto"/>
        <w:contextualSpacing/>
        <w:rPr>
          <w:rFonts w:cs="Arial"/>
          <w:b/>
          <w:color w:val="000000"/>
          <w:sz w:val="18"/>
          <w:szCs w:val="18"/>
        </w:rPr>
      </w:pPr>
      <w:r w:rsidRPr="00240B6D">
        <w:rPr>
          <w:rFonts w:cs="Arial"/>
          <w:b/>
          <w:color w:val="000000"/>
          <w:sz w:val="18"/>
          <w:szCs w:val="18"/>
        </w:rPr>
        <w:t>struktura (%)</w:t>
      </w:r>
    </w:p>
    <w:p w:rsidR="00A5222D" w:rsidRPr="00240B6D" w:rsidRDefault="00A5222D" w:rsidP="00A5222D">
      <w:pPr>
        <w:spacing w:before="40" w:line="240" w:lineRule="auto"/>
        <w:rPr>
          <w:b/>
          <w:bCs/>
          <w:sz w:val="18"/>
          <w:szCs w:val="18"/>
        </w:rPr>
      </w:pPr>
    </w:p>
    <w:p w:rsidR="00A5222D" w:rsidRPr="00240B6D" w:rsidRDefault="00A5222D" w:rsidP="00A5222D">
      <w:pPr>
        <w:keepNext/>
        <w:spacing w:line="240" w:lineRule="auto"/>
        <w:rPr>
          <w:bCs/>
          <w:i/>
          <w:sz w:val="16"/>
          <w:szCs w:val="16"/>
        </w:rPr>
      </w:pPr>
      <w:r w:rsidRPr="00240B6D">
        <w:rPr>
          <w:noProof/>
        </w:rPr>
        <w:drawing>
          <wp:inline distT="0" distB="0" distL="0" distR="0">
            <wp:extent cx="6084000" cy="18000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74C2" w:rsidRDefault="006374C2" w:rsidP="00A5222D">
      <w:pPr>
        <w:keepNext/>
        <w:spacing w:line="240" w:lineRule="auto"/>
        <w:rPr>
          <w:bCs/>
          <w:sz w:val="16"/>
          <w:szCs w:val="16"/>
        </w:rPr>
      </w:pPr>
      <w:r w:rsidRPr="00240B6D">
        <w:rPr>
          <w:bCs/>
          <w:sz w:val="16"/>
          <w:szCs w:val="16"/>
        </w:rPr>
        <w:t>1) zahrnují léky na předpis, volně prodejné léky a další zboží krátkodobé spotřeby např. obvazy, elastické kompresivní punčochy, inkontinenční pomůcky atd</w:t>
      </w:r>
      <w:r>
        <w:rPr>
          <w:bCs/>
          <w:sz w:val="16"/>
          <w:szCs w:val="16"/>
        </w:rPr>
        <w:t xml:space="preserve">. </w:t>
      </w:r>
      <w:r w:rsidRPr="001D189A">
        <w:rPr>
          <w:b/>
          <w:bCs/>
          <w:sz w:val="16"/>
          <w:szCs w:val="16"/>
        </w:rPr>
        <w:t>Nezahrnuje</w:t>
      </w:r>
      <w:r>
        <w:rPr>
          <w:bCs/>
          <w:sz w:val="16"/>
          <w:szCs w:val="16"/>
        </w:rPr>
        <w:t>, dle manuálu SHA,</w:t>
      </w:r>
      <w:r w:rsidRPr="00696417">
        <w:rPr>
          <w:bCs/>
          <w:sz w:val="16"/>
          <w:szCs w:val="16"/>
        </w:rPr>
        <w:t xml:space="preserve"> </w:t>
      </w:r>
      <w:r>
        <w:rPr>
          <w:bCs/>
          <w:sz w:val="16"/>
          <w:szCs w:val="16"/>
        </w:rPr>
        <w:t xml:space="preserve">výdaje na léky </w:t>
      </w:r>
      <w:r w:rsidRPr="006374C2">
        <w:rPr>
          <w:b/>
          <w:bCs/>
          <w:sz w:val="16"/>
          <w:szCs w:val="16"/>
        </w:rPr>
        <w:t>spotřebované přímo ve zdravotnických zařízeních</w:t>
      </w:r>
      <w:r>
        <w:rPr>
          <w:bCs/>
          <w:sz w:val="16"/>
          <w:szCs w:val="16"/>
        </w:rPr>
        <w:t>.</w:t>
      </w:r>
    </w:p>
    <w:p w:rsidR="00A5222D" w:rsidRPr="00A5222D" w:rsidRDefault="00A5222D" w:rsidP="00A5222D">
      <w:pPr>
        <w:keepNext/>
        <w:spacing w:line="240" w:lineRule="auto"/>
        <w:rPr>
          <w:bCs/>
          <w:sz w:val="16"/>
          <w:szCs w:val="16"/>
        </w:rPr>
      </w:pPr>
      <w:r w:rsidRPr="00A5222D">
        <w:rPr>
          <w:bCs/>
          <w:sz w:val="16"/>
          <w:szCs w:val="16"/>
        </w:rPr>
        <w:t>(</w:t>
      </w:r>
      <w:r w:rsidR="006374C2">
        <w:rPr>
          <w:bCs/>
          <w:sz w:val="16"/>
          <w:szCs w:val="16"/>
        </w:rPr>
        <w:t>2</w:t>
      </w:r>
      <w:r w:rsidRPr="00A5222D">
        <w:rPr>
          <w:bCs/>
          <w:sz w:val="16"/>
          <w:szCs w:val="16"/>
        </w:rPr>
        <w:t>)</w:t>
      </w:r>
      <w:r w:rsidRPr="00A5222D">
        <w:rPr>
          <w:rFonts w:eastAsia="Calibri" w:cs="Arial"/>
          <w:sz w:val="16"/>
          <w:szCs w:val="16"/>
          <w:lang w:eastAsia="en-US"/>
        </w:rPr>
        <w:t xml:space="preserve"> zahrnují, zpracování zákonů a norem, vydávání licencí, dohled nad poskytovateli zdravotní péče, správu vládní politiky apod.</w:t>
      </w:r>
    </w:p>
    <w:p w:rsidR="00A5222D" w:rsidRDefault="00A5222D" w:rsidP="00A5222D">
      <w:pPr>
        <w:keepNext/>
        <w:spacing w:line="240" w:lineRule="auto"/>
        <w:rPr>
          <w:bCs/>
          <w:sz w:val="16"/>
          <w:szCs w:val="16"/>
        </w:rPr>
      </w:pPr>
      <w:r w:rsidRPr="00A5222D">
        <w:rPr>
          <w:bCs/>
          <w:sz w:val="16"/>
          <w:szCs w:val="16"/>
        </w:rPr>
        <w:t>(</w:t>
      </w:r>
      <w:r w:rsidR="006374C2">
        <w:rPr>
          <w:bCs/>
          <w:sz w:val="16"/>
          <w:szCs w:val="16"/>
        </w:rPr>
        <w:t>3</w:t>
      </w:r>
      <w:r w:rsidRPr="00A5222D">
        <w:rPr>
          <w:bCs/>
          <w:sz w:val="16"/>
          <w:szCs w:val="16"/>
        </w:rPr>
        <w:t>) zahrnují programy na podporu zdraví v širším pohledu např. kontrolu a zavádění nových předpisů na ochranu pitné vody, potravin, bezpečnostní opatření spojená s nakládání s odpady, znečistění půdy a také ostatní blíže nespecifikované druhy zdravotní péče</w:t>
      </w:r>
    </w:p>
    <w:p w:rsidR="006374C2" w:rsidRPr="00A5222D" w:rsidRDefault="006374C2" w:rsidP="00A5222D">
      <w:pPr>
        <w:keepNext/>
        <w:spacing w:line="240" w:lineRule="auto"/>
        <w:rPr>
          <w:bCs/>
          <w:sz w:val="16"/>
          <w:szCs w:val="16"/>
        </w:rPr>
      </w:pPr>
      <w:r>
        <w:rPr>
          <w:bCs/>
          <w:sz w:val="16"/>
          <w:szCs w:val="16"/>
        </w:rPr>
        <w:t>ZP – zdravotní péče</w:t>
      </w:r>
    </w:p>
    <w:p w:rsidR="00A5222D" w:rsidRPr="00240B6D" w:rsidRDefault="00A5222D" w:rsidP="009E3D07">
      <w:pPr>
        <w:spacing w:before="120" w:after="240" w:line="240" w:lineRule="auto"/>
        <w:jc w:val="right"/>
        <w:rPr>
          <w:b/>
          <w:bCs/>
          <w:i/>
          <w:sz w:val="16"/>
          <w:szCs w:val="16"/>
        </w:rPr>
      </w:pPr>
      <w:r w:rsidRPr="00240B6D">
        <w:rPr>
          <w:b/>
          <w:bCs/>
          <w:i/>
          <w:sz w:val="16"/>
          <w:szCs w:val="16"/>
        </w:rPr>
        <w:t xml:space="preserve">Zdroj: ČSÚ 2018, Zdravotnické účty ČR 2010 - 2016 </w:t>
      </w:r>
    </w:p>
    <w:p w:rsidR="00A5222D" w:rsidRDefault="00240B6D" w:rsidP="00240B6D">
      <w:pPr>
        <w:spacing w:before="120"/>
        <w:jc w:val="both"/>
        <w:rPr>
          <w:bCs/>
          <w:szCs w:val="20"/>
        </w:rPr>
      </w:pPr>
      <w:r w:rsidRPr="00240B6D">
        <w:rPr>
          <w:bCs/>
          <w:szCs w:val="20"/>
        </w:rPr>
        <w:t>V</w:t>
      </w:r>
      <w:r w:rsidR="00A5222D">
        <w:rPr>
          <w:bCs/>
          <w:szCs w:val="20"/>
        </w:rPr>
        <w:t> posledních letech r</w:t>
      </w:r>
      <w:r w:rsidRPr="00240B6D">
        <w:rPr>
          <w:bCs/>
          <w:szCs w:val="20"/>
        </w:rPr>
        <w:t xml:space="preserve">oste význam </w:t>
      </w:r>
      <w:r w:rsidRPr="00A5222D">
        <w:rPr>
          <w:b/>
          <w:bCs/>
          <w:szCs w:val="20"/>
        </w:rPr>
        <w:t>dlouhodobé péče</w:t>
      </w:r>
      <w:r w:rsidRPr="00240B6D">
        <w:rPr>
          <w:bCs/>
          <w:szCs w:val="20"/>
        </w:rPr>
        <w:t xml:space="preserve"> s již téměř pětinovým podílem (18 %) na celkov</w:t>
      </w:r>
      <w:r w:rsidR="006374C2">
        <w:rPr>
          <w:bCs/>
          <w:szCs w:val="20"/>
        </w:rPr>
        <w:t xml:space="preserve">ých výdajích vynaložených na </w:t>
      </w:r>
      <w:r w:rsidRPr="00240B6D">
        <w:rPr>
          <w:bCs/>
          <w:szCs w:val="20"/>
        </w:rPr>
        <w:t xml:space="preserve">zdravotní péči </w:t>
      </w:r>
      <w:r w:rsidR="006374C2">
        <w:rPr>
          <w:bCs/>
          <w:szCs w:val="20"/>
        </w:rPr>
        <w:t xml:space="preserve">v Česku </w:t>
      </w:r>
      <w:r w:rsidRPr="00240B6D">
        <w:rPr>
          <w:bCs/>
          <w:szCs w:val="20"/>
        </w:rPr>
        <w:t xml:space="preserve">v roce 2016 – průměr za roky 2010 až 2016 dosáhl 16,6 %. V rámci dlouhodobé péče jde </w:t>
      </w:r>
      <w:r w:rsidR="006374C2">
        <w:rPr>
          <w:bCs/>
          <w:szCs w:val="20"/>
        </w:rPr>
        <w:t>nej</w:t>
      </w:r>
      <w:r w:rsidRPr="00240B6D">
        <w:rPr>
          <w:bCs/>
          <w:szCs w:val="20"/>
        </w:rPr>
        <w:t xml:space="preserve">více finančních prostředků </w:t>
      </w:r>
      <w:r w:rsidRPr="006374C2">
        <w:rPr>
          <w:bCs/>
          <w:szCs w:val="20"/>
        </w:rPr>
        <w:t>do dlouhodob</w:t>
      </w:r>
      <w:r w:rsidR="00A5222D" w:rsidRPr="006374C2">
        <w:rPr>
          <w:bCs/>
          <w:szCs w:val="20"/>
        </w:rPr>
        <w:t>é</w:t>
      </w:r>
      <w:r w:rsidRPr="006374C2">
        <w:rPr>
          <w:bCs/>
          <w:szCs w:val="20"/>
        </w:rPr>
        <w:t xml:space="preserve"> zdravotní péče – </w:t>
      </w:r>
      <w:r w:rsidRPr="006374C2">
        <w:rPr>
          <w:bCs/>
          <w:szCs w:val="20"/>
        </w:rPr>
        <w:lastRenderedPageBreak/>
        <w:t>45,1</w:t>
      </w:r>
      <w:r w:rsidR="00F85872">
        <w:rPr>
          <w:bCs/>
          <w:szCs w:val="20"/>
        </w:rPr>
        <w:t> </w:t>
      </w:r>
      <w:r w:rsidRPr="006374C2">
        <w:rPr>
          <w:bCs/>
          <w:szCs w:val="20"/>
        </w:rPr>
        <w:t xml:space="preserve">mld. Kč (12,5 %) v roce 2016. V čase však roste </w:t>
      </w:r>
      <w:r w:rsidR="00A5222D" w:rsidRPr="006374C2">
        <w:rPr>
          <w:bCs/>
          <w:szCs w:val="20"/>
        </w:rPr>
        <w:t xml:space="preserve">především </w:t>
      </w:r>
      <w:r w:rsidRPr="006374C2">
        <w:rPr>
          <w:bCs/>
          <w:szCs w:val="20"/>
        </w:rPr>
        <w:t>význam dlouhodobé sociální péče,</w:t>
      </w:r>
      <w:r w:rsidRPr="00240B6D">
        <w:rPr>
          <w:bCs/>
          <w:szCs w:val="20"/>
        </w:rPr>
        <w:t xml:space="preserve"> kam ve stejném roce směřovalo 20,2 mld. Kč (5,6 %). </w:t>
      </w:r>
    </w:p>
    <w:p w:rsidR="00240B6D" w:rsidRPr="00240B6D" w:rsidRDefault="00240B6D" w:rsidP="00240B6D">
      <w:pPr>
        <w:spacing w:before="120"/>
        <w:jc w:val="both"/>
        <w:rPr>
          <w:bCs/>
          <w:szCs w:val="20"/>
        </w:rPr>
      </w:pPr>
      <w:r w:rsidRPr="00A5222D">
        <w:rPr>
          <w:b/>
          <w:bCs/>
          <w:szCs w:val="20"/>
        </w:rPr>
        <w:t xml:space="preserve">Rehabilitační </w:t>
      </w:r>
      <w:r w:rsidRPr="00A5222D">
        <w:rPr>
          <w:bCs/>
          <w:szCs w:val="20"/>
        </w:rPr>
        <w:t>a především</w:t>
      </w:r>
      <w:r w:rsidRPr="00A5222D">
        <w:rPr>
          <w:b/>
          <w:bCs/>
          <w:szCs w:val="20"/>
        </w:rPr>
        <w:t xml:space="preserve"> preventivní péče</w:t>
      </w:r>
      <w:r w:rsidRPr="00240B6D">
        <w:rPr>
          <w:bCs/>
          <w:szCs w:val="20"/>
        </w:rPr>
        <w:t xml:space="preserve"> tvořila v Česku v letech 2010 až 2016 </w:t>
      </w:r>
      <w:r w:rsidR="00A5222D">
        <w:rPr>
          <w:bCs/>
          <w:szCs w:val="20"/>
        </w:rPr>
        <w:t xml:space="preserve">v průměru </w:t>
      </w:r>
      <w:r w:rsidRPr="00240B6D">
        <w:rPr>
          <w:bCs/>
          <w:szCs w:val="20"/>
        </w:rPr>
        <w:t xml:space="preserve">jen 7% podíl na celkových výdajích na zdravotní péči. V roce 2016 šlo na rehabilitační péči 15,0 mld. Kč (4,2 %) a na preventivní péči 9,7 mld. Kč (2,7 %). </w:t>
      </w:r>
    </w:p>
    <w:p w:rsidR="00240B6D" w:rsidRPr="00240B6D" w:rsidRDefault="00240B6D" w:rsidP="00240B6D">
      <w:pPr>
        <w:spacing w:before="120"/>
        <w:jc w:val="both"/>
        <w:rPr>
          <w:bCs/>
          <w:szCs w:val="20"/>
        </w:rPr>
      </w:pPr>
      <w:r w:rsidRPr="00A5222D">
        <w:rPr>
          <w:bCs/>
          <w:szCs w:val="20"/>
        </w:rPr>
        <w:t xml:space="preserve">Pětina výdajů na zdravotní péči v letech 2010 - 2016 byla vynaložena na </w:t>
      </w:r>
      <w:r w:rsidRPr="00A5222D">
        <w:rPr>
          <w:b/>
          <w:bCs/>
          <w:szCs w:val="20"/>
        </w:rPr>
        <w:t>léčiva</w:t>
      </w:r>
      <w:r w:rsidRPr="00A5222D">
        <w:rPr>
          <w:b/>
          <w:bCs/>
          <w:szCs w:val="20"/>
          <w:vertAlign w:val="superscript"/>
        </w:rPr>
        <w:footnoteReference w:id="6"/>
      </w:r>
      <w:r w:rsidRPr="00A5222D">
        <w:rPr>
          <w:b/>
          <w:bCs/>
          <w:szCs w:val="20"/>
        </w:rPr>
        <w:t>, zdravotnický materiál a</w:t>
      </w:r>
      <w:r w:rsidR="007C740E">
        <w:rPr>
          <w:b/>
          <w:bCs/>
          <w:szCs w:val="20"/>
        </w:rPr>
        <w:t> </w:t>
      </w:r>
      <w:r w:rsidRPr="00A5222D">
        <w:rPr>
          <w:b/>
          <w:bCs/>
          <w:szCs w:val="20"/>
        </w:rPr>
        <w:t>terapeutické výrobky</w:t>
      </w:r>
      <w:r w:rsidRPr="00A5222D">
        <w:rPr>
          <w:bCs/>
          <w:szCs w:val="20"/>
        </w:rPr>
        <w:t xml:space="preserve"> – v roce 2016 to bylo 19,2 %. Přibližně jedna desetina (11 %) z finančních prostředků určených na zdravotní péči v Česku v celém sledovaném období směřovalo na </w:t>
      </w:r>
      <w:r w:rsidRPr="00A5222D">
        <w:rPr>
          <w:b/>
          <w:bCs/>
          <w:szCs w:val="20"/>
        </w:rPr>
        <w:t xml:space="preserve">laboratorní služby, zobrazovací metody a dopravu pacientů (doplňkové služby). </w:t>
      </w:r>
      <w:r w:rsidRPr="00A5222D">
        <w:rPr>
          <w:bCs/>
          <w:szCs w:val="20"/>
        </w:rPr>
        <w:t>Necelých deset (8,6) miliard (2,4</w:t>
      </w:r>
      <w:r w:rsidR="00F85872">
        <w:rPr>
          <w:bCs/>
          <w:szCs w:val="20"/>
        </w:rPr>
        <w:t> </w:t>
      </w:r>
      <w:r w:rsidRPr="00A5222D">
        <w:rPr>
          <w:bCs/>
          <w:szCs w:val="20"/>
        </w:rPr>
        <w:t xml:space="preserve">%) v roce 2016 směřovalo na </w:t>
      </w:r>
      <w:r w:rsidRPr="00A5222D">
        <w:rPr>
          <w:b/>
          <w:bCs/>
          <w:szCs w:val="20"/>
        </w:rPr>
        <w:t>správu systému zdravotní péče</w:t>
      </w:r>
      <w:r w:rsidR="00A5222D" w:rsidRPr="00A5222D">
        <w:rPr>
          <w:b/>
          <w:bCs/>
          <w:szCs w:val="20"/>
        </w:rPr>
        <w:t>.</w:t>
      </w:r>
      <w:r w:rsidR="00A5222D">
        <w:rPr>
          <w:b/>
          <w:bCs/>
          <w:szCs w:val="20"/>
        </w:rPr>
        <w:t xml:space="preserve"> </w:t>
      </w:r>
    </w:p>
    <w:p w:rsidR="00240B6D" w:rsidRPr="00240B6D" w:rsidRDefault="006374C2" w:rsidP="00A5222D">
      <w:pPr>
        <w:widowControl w:val="0"/>
        <w:spacing w:before="240" w:after="120"/>
        <w:rPr>
          <w:b/>
          <w:i/>
        </w:rPr>
      </w:pPr>
      <w:r>
        <w:rPr>
          <w:b/>
          <w:i/>
        </w:rPr>
        <w:t xml:space="preserve">Výdaje na lůžkovou léčebnou péči </w:t>
      </w:r>
      <w:r w:rsidR="00520DCA">
        <w:rPr>
          <w:b/>
          <w:i/>
        </w:rPr>
        <w:t xml:space="preserve">mezi roky </w:t>
      </w:r>
      <w:r>
        <w:rPr>
          <w:b/>
          <w:i/>
        </w:rPr>
        <w:t xml:space="preserve">2010 </w:t>
      </w:r>
      <w:r w:rsidR="00520DCA">
        <w:rPr>
          <w:b/>
          <w:i/>
        </w:rPr>
        <w:t xml:space="preserve">až 2016 </w:t>
      </w:r>
      <w:r>
        <w:rPr>
          <w:b/>
          <w:i/>
        </w:rPr>
        <w:t xml:space="preserve">klesly o </w:t>
      </w:r>
      <w:r w:rsidR="00520DCA">
        <w:rPr>
          <w:b/>
          <w:i/>
        </w:rPr>
        <w:t xml:space="preserve">téměř desetinu - </w:t>
      </w:r>
      <w:r>
        <w:rPr>
          <w:b/>
          <w:i/>
        </w:rPr>
        <w:t xml:space="preserve">5 </w:t>
      </w:r>
      <w:r w:rsidR="00520DCA">
        <w:rPr>
          <w:b/>
          <w:i/>
        </w:rPr>
        <w:t>mld. Kč</w:t>
      </w:r>
      <w:r w:rsidR="00240B6D" w:rsidRPr="00240B6D">
        <w:rPr>
          <w:b/>
          <w:i/>
        </w:rPr>
        <w:t xml:space="preserve"> </w:t>
      </w:r>
    </w:p>
    <w:p w:rsidR="00240B6D" w:rsidRPr="00A5222D" w:rsidRDefault="00240B6D" w:rsidP="00240B6D">
      <w:pPr>
        <w:spacing w:before="120"/>
        <w:jc w:val="both"/>
        <w:rPr>
          <w:bCs/>
          <w:i/>
          <w:szCs w:val="17"/>
        </w:rPr>
      </w:pPr>
      <w:r w:rsidRPr="00240B6D">
        <w:rPr>
          <w:bCs/>
          <w:szCs w:val="17"/>
        </w:rPr>
        <w:t xml:space="preserve">V roce 2016 dosáhly v Česku výdaje na </w:t>
      </w:r>
      <w:r w:rsidRPr="00520DCA">
        <w:rPr>
          <w:b/>
          <w:bCs/>
          <w:szCs w:val="17"/>
        </w:rPr>
        <w:t>léčebnou péči celkem</w:t>
      </w:r>
      <w:r w:rsidRPr="00240B6D">
        <w:rPr>
          <w:bCs/>
          <w:szCs w:val="17"/>
        </w:rPr>
        <w:t xml:space="preserve"> 142,4 mld. Kč. Meziročně výdaje na léčebnou péči vzrostly o 0,6 % (0,8 mld. Kč). Léčebná péče je v Česku z 85 % financovaná z veřejného zdravotního pojištění. Přibližně z desetiny (11,8 %; 16,9 mld. Kč v roce 2016) si pak na léčebnou péči přispívají sami pacienti, a to nejčastěji na péči stomatologickou (9,6 mld. Kč). </w:t>
      </w:r>
      <w:r w:rsidRPr="00A5222D">
        <w:rPr>
          <w:bCs/>
          <w:i/>
          <w:szCs w:val="17"/>
        </w:rPr>
        <w:t xml:space="preserve">Podrobněji viz kapitola č.3.2 Výdaje domácností na zdravotní péči.  </w:t>
      </w:r>
    </w:p>
    <w:p w:rsidR="00240B6D" w:rsidRPr="00520DCA" w:rsidRDefault="00240B6D" w:rsidP="00240B6D">
      <w:pPr>
        <w:spacing w:before="120"/>
        <w:jc w:val="both"/>
        <w:rPr>
          <w:i/>
          <w:szCs w:val="17"/>
        </w:rPr>
      </w:pPr>
      <w:r w:rsidRPr="00240B6D">
        <w:rPr>
          <w:szCs w:val="17"/>
        </w:rPr>
        <w:t xml:space="preserve">Z hlediska typu léčebné péče, v roce 2016 stále více jak třetinu (35,8 %) tvořila </w:t>
      </w:r>
      <w:r w:rsidRPr="00A5222D">
        <w:rPr>
          <w:b/>
          <w:szCs w:val="17"/>
        </w:rPr>
        <w:t>péče lůžková</w:t>
      </w:r>
      <w:r w:rsidRPr="00240B6D">
        <w:rPr>
          <w:szCs w:val="17"/>
        </w:rPr>
        <w:t xml:space="preserve"> poskytovaná v nemocnicích. Výdaje na tuto </w:t>
      </w:r>
      <w:r w:rsidRPr="00240B6D">
        <w:rPr>
          <w:b/>
          <w:szCs w:val="17"/>
        </w:rPr>
        <w:t>péči</w:t>
      </w:r>
      <w:r w:rsidRPr="00240B6D">
        <w:rPr>
          <w:szCs w:val="17"/>
        </w:rPr>
        <w:t xml:space="preserve"> však od roku 2010, kdy představovaly 41 % celkové léčebné péče, postupně klesají, a </w:t>
      </w:r>
      <w:r w:rsidR="00A5222D">
        <w:rPr>
          <w:szCs w:val="17"/>
        </w:rPr>
        <w:t xml:space="preserve">to </w:t>
      </w:r>
      <w:r w:rsidRPr="00240B6D">
        <w:rPr>
          <w:szCs w:val="17"/>
        </w:rPr>
        <w:t xml:space="preserve">z 55,9 mld. Kč v roce 2010 na 50,9 mld. Kč v roce 2016. </w:t>
      </w:r>
      <w:r w:rsidRPr="00BC2F06">
        <w:rPr>
          <w:i/>
          <w:szCs w:val="17"/>
        </w:rPr>
        <w:t>To částečně dokreslují i čísla o počtu případů hospitalizace v nemocnicích a počtu ošetřovacích dnů</w:t>
      </w:r>
      <w:r w:rsidR="003D5919" w:rsidRPr="00BC2F06">
        <w:rPr>
          <w:i/>
          <w:szCs w:val="17"/>
        </w:rPr>
        <w:t>, které souvisí i s úsporami prostřednictvím redukce počtu lůžek akutní péče v nemocnicích a v menší míře i ostatních lůžkových zařízeních.</w:t>
      </w:r>
      <w:r w:rsidRPr="00BC2F06">
        <w:rPr>
          <w:i/>
          <w:szCs w:val="17"/>
        </w:rPr>
        <w:t xml:space="preserve"> Např. v porovnání s rokem 2010, kdy dosáhl počet ošetřovacích dnů v nemocnicích 15,2 miliónů, klesl jejich počet během následujících šesti let o</w:t>
      </w:r>
      <w:r w:rsidR="007C740E" w:rsidRPr="00BC2F06">
        <w:rPr>
          <w:i/>
          <w:szCs w:val="17"/>
        </w:rPr>
        <w:t> </w:t>
      </w:r>
      <w:r w:rsidRPr="00BC2F06">
        <w:rPr>
          <w:i/>
          <w:szCs w:val="17"/>
        </w:rPr>
        <w:t xml:space="preserve">více jak milión na 13,8 milióny ošetřovacích dnů v roce 2016. Ve stejné období se snížila </w:t>
      </w:r>
      <w:r w:rsidR="00A5222D" w:rsidRPr="00BC2F06">
        <w:rPr>
          <w:i/>
          <w:szCs w:val="17"/>
        </w:rPr>
        <w:t xml:space="preserve">i </w:t>
      </w:r>
      <w:r w:rsidRPr="00BC2F06">
        <w:rPr>
          <w:i/>
          <w:szCs w:val="17"/>
        </w:rPr>
        <w:t>průměrná ošetřovací doba v nemocnicích z 6,8 dne v roce 2010 na 6,6</w:t>
      </w:r>
      <w:r w:rsidR="00F85872" w:rsidRPr="00BC2F06">
        <w:rPr>
          <w:i/>
          <w:szCs w:val="17"/>
        </w:rPr>
        <w:t> </w:t>
      </w:r>
      <w:r w:rsidRPr="00BC2F06">
        <w:rPr>
          <w:i/>
          <w:szCs w:val="17"/>
        </w:rPr>
        <w:t>dne v roce 2016.</w:t>
      </w:r>
      <w:r w:rsidRPr="00520DCA">
        <w:rPr>
          <w:i/>
          <w:szCs w:val="17"/>
        </w:rPr>
        <w:t xml:space="preserve"> </w:t>
      </w:r>
    </w:p>
    <w:p w:rsidR="00A5222D" w:rsidRPr="00240B6D" w:rsidRDefault="00A5222D" w:rsidP="005F2EE2">
      <w:pPr>
        <w:spacing w:before="240" w:after="120"/>
        <w:jc w:val="both"/>
        <w:rPr>
          <w:b/>
          <w:bCs/>
          <w:sz w:val="18"/>
          <w:szCs w:val="18"/>
        </w:rPr>
      </w:pPr>
      <w:r w:rsidRPr="00240B6D">
        <w:rPr>
          <w:b/>
          <w:bCs/>
          <w:sz w:val="18"/>
          <w:szCs w:val="18"/>
        </w:rPr>
        <w:t>Graf č: 2.7 Výdaje na léčebnou péči v Česku podle jejího typu, 2014 – 2016</w:t>
      </w:r>
    </w:p>
    <w:p w:rsidR="00A5222D" w:rsidRPr="00240B6D" w:rsidRDefault="00A5222D" w:rsidP="00A5222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A5222D" w:rsidRPr="00240B6D" w:rsidRDefault="00A5222D" w:rsidP="009A76CB">
      <w:pPr>
        <w:keepNext/>
        <w:tabs>
          <w:tab w:val="left" w:pos="142"/>
          <w:tab w:val="left" w:pos="5812"/>
        </w:tabs>
        <w:jc w:val="both"/>
        <w:rPr>
          <w:b/>
          <w:i/>
          <w:sz w:val="18"/>
        </w:rPr>
      </w:pPr>
      <w:r w:rsidRPr="00240B6D">
        <w:rPr>
          <w:noProof/>
        </w:rPr>
        <w:drawing>
          <wp:inline distT="0" distB="0" distL="0" distR="0" wp14:anchorId="6A5990E6" wp14:editId="0918B6AD">
            <wp:extent cx="3420000" cy="270000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40B6D">
        <w:rPr>
          <w:noProof/>
          <w:lang w:val="en-US" w:eastAsia="en-US"/>
        </w:rPr>
        <w:t xml:space="preserve"> </w:t>
      </w:r>
      <w:r w:rsidRPr="00240B6D">
        <w:rPr>
          <w:noProof/>
        </w:rPr>
        <w:drawing>
          <wp:inline distT="0" distB="0" distL="0" distR="0">
            <wp:extent cx="2664000" cy="27000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22D" w:rsidRPr="00240B6D" w:rsidRDefault="00A5222D" w:rsidP="003D5919">
      <w:pPr>
        <w:keepNext/>
        <w:jc w:val="both"/>
        <w:rPr>
          <w:bCs/>
          <w:sz w:val="16"/>
          <w:szCs w:val="16"/>
        </w:rPr>
      </w:pPr>
      <w:r w:rsidRPr="00BC2F06">
        <w:rPr>
          <w:bCs/>
          <w:sz w:val="16"/>
          <w:szCs w:val="16"/>
        </w:rPr>
        <w:t xml:space="preserve">(1) zahrnuje </w:t>
      </w:r>
      <w:r w:rsidR="009A76CB" w:rsidRPr="00BC2F06">
        <w:rPr>
          <w:bCs/>
          <w:sz w:val="16"/>
          <w:szCs w:val="16"/>
        </w:rPr>
        <w:t xml:space="preserve">jak </w:t>
      </w:r>
      <w:r w:rsidR="003D5919" w:rsidRPr="00BC2F06">
        <w:rPr>
          <w:bCs/>
          <w:sz w:val="16"/>
          <w:szCs w:val="16"/>
        </w:rPr>
        <w:t xml:space="preserve">všeobecnou </w:t>
      </w:r>
      <w:r w:rsidR="009A76CB" w:rsidRPr="00BC2F06">
        <w:rPr>
          <w:bCs/>
          <w:sz w:val="16"/>
          <w:szCs w:val="16"/>
        </w:rPr>
        <w:t xml:space="preserve">ambulantní péči poskytovanou nejčastěji praktickými lékaři pro děti a dospělé, tak i </w:t>
      </w:r>
      <w:r w:rsidRPr="00BC2F06">
        <w:rPr>
          <w:bCs/>
          <w:sz w:val="16"/>
          <w:szCs w:val="16"/>
        </w:rPr>
        <w:t xml:space="preserve">specializovanou </w:t>
      </w:r>
      <w:r w:rsidR="009A76CB" w:rsidRPr="00BC2F06">
        <w:rPr>
          <w:bCs/>
          <w:sz w:val="16"/>
          <w:szCs w:val="16"/>
        </w:rPr>
        <w:t xml:space="preserve">(bez stomatologické) </w:t>
      </w:r>
      <w:r w:rsidRPr="00BC2F06">
        <w:rPr>
          <w:bCs/>
          <w:sz w:val="16"/>
          <w:szCs w:val="16"/>
        </w:rPr>
        <w:t>ambulantní péči</w:t>
      </w:r>
      <w:r w:rsidR="009A76CB" w:rsidRPr="00BC2F06">
        <w:rPr>
          <w:bCs/>
          <w:sz w:val="16"/>
          <w:szCs w:val="16"/>
        </w:rPr>
        <w:t xml:space="preserve"> poskytovanou nejčastěji specialisty v nemocnicích nebo samostatných ordinacích lékaře</w:t>
      </w:r>
      <w:r w:rsidR="006374C2">
        <w:rPr>
          <w:bCs/>
          <w:sz w:val="16"/>
          <w:szCs w:val="16"/>
        </w:rPr>
        <w:t xml:space="preserve"> </w:t>
      </w:r>
    </w:p>
    <w:p w:rsidR="00A5222D" w:rsidRPr="00240B6D" w:rsidRDefault="00A5222D" w:rsidP="00A5222D">
      <w:pPr>
        <w:spacing w:before="120" w:line="240" w:lineRule="auto"/>
        <w:jc w:val="right"/>
        <w:rPr>
          <w:b/>
          <w:bCs/>
          <w:i/>
          <w:sz w:val="16"/>
          <w:szCs w:val="16"/>
        </w:rPr>
      </w:pPr>
      <w:r w:rsidRPr="00240B6D">
        <w:rPr>
          <w:b/>
          <w:bCs/>
          <w:i/>
          <w:sz w:val="16"/>
          <w:szCs w:val="16"/>
        </w:rPr>
        <w:t xml:space="preserve">Zdroj: ČSÚ 2018, Zdravotnické účty ČR 2010 - 2016 </w:t>
      </w:r>
    </w:p>
    <w:p w:rsidR="009D15E0" w:rsidRPr="00240B6D" w:rsidRDefault="007C740E" w:rsidP="009D15E0">
      <w:pPr>
        <w:widowControl w:val="0"/>
        <w:spacing w:before="240" w:after="120"/>
        <w:rPr>
          <w:b/>
          <w:i/>
        </w:rPr>
      </w:pPr>
      <w:r>
        <w:rPr>
          <w:b/>
          <w:i/>
        </w:rPr>
        <w:lastRenderedPageBreak/>
        <w:t>Domácnosti se podílejí z více jak poloviny na hrazení své stomatologické péče</w:t>
      </w:r>
      <w:r w:rsidR="009D15E0" w:rsidRPr="00240B6D">
        <w:rPr>
          <w:b/>
          <w:i/>
        </w:rPr>
        <w:t xml:space="preserve"> </w:t>
      </w:r>
    </w:p>
    <w:p w:rsidR="00240B6D" w:rsidRPr="009A76CB" w:rsidRDefault="00240B6D" w:rsidP="005F2EE2">
      <w:pPr>
        <w:spacing w:before="120"/>
        <w:jc w:val="both"/>
        <w:rPr>
          <w:i/>
          <w:szCs w:val="17"/>
        </w:rPr>
      </w:pPr>
      <w:r w:rsidRPr="00240B6D">
        <w:rPr>
          <w:szCs w:val="17"/>
        </w:rPr>
        <w:t xml:space="preserve">Naopak výdaje na </w:t>
      </w:r>
      <w:r w:rsidRPr="005F2EE2">
        <w:rPr>
          <w:b/>
          <w:szCs w:val="17"/>
        </w:rPr>
        <w:t>ambulantní péči</w:t>
      </w:r>
      <w:r w:rsidRPr="00240B6D">
        <w:rPr>
          <w:szCs w:val="17"/>
        </w:rPr>
        <w:t>, jak na specializovanou</w:t>
      </w:r>
      <w:r w:rsidR="003D5919">
        <w:rPr>
          <w:szCs w:val="17"/>
        </w:rPr>
        <w:t xml:space="preserve"> (bez stomatologické)</w:t>
      </w:r>
      <w:r w:rsidRPr="00240B6D">
        <w:rPr>
          <w:szCs w:val="17"/>
        </w:rPr>
        <w:t>, tak všeobecnou</w:t>
      </w:r>
      <w:r w:rsidR="005F2EE2">
        <w:rPr>
          <w:szCs w:val="17"/>
        </w:rPr>
        <w:t xml:space="preserve"> -</w:t>
      </w:r>
      <w:r w:rsidRPr="00240B6D">
        <w:rPr>
          <w:szCs w:val="17"/>
        </w:rPr>
        <w:t xml:space="preserve"> především v posledních dvou letech </w:t>
      </w:r>
      <w:r w:rsidR="005F2EE2">
        <w:rPr>
          <w:szCs w:val="17"/>
        </w:rPr>
        <w:t xml:space="preserve">- </w:t>
      </w:r>
      <w:r w:rsidRPr="00240B6D">
        <w:rPr>
          <w:szCs w:val="17"/>
        </w:rPr>
        <w:t xml:space="preserve">rostou. V roce 2016 dosáhl objem finančních prostředků určených na specializovanou ambulantní péči 45,4 mld. Kč a na všeobecnou ambulantní péči 22,0 mld. Kč. </w:t>
      </w:r>
      <w:r w:rsidRPr="009A76CB">
        <w:rPr>
          <w:i/>
          <w:szCs w:val="17"/>
        </w:rPr>
        <w:t xml:space="preserve">Jestliže specializovaná ambulantní péče je poskytována především v nemocnicích, tak všeobecná v samostatných ordinacích lékaře </w:t>
      </w:r>
      <w:r w:rsidR="005F2EE2" w:rsidRPr="009A76CB">
        <w:rPr>
          <w:i/>
          <w:szCs w:val="17"/>
        </w:rPr>
        <w:t xml:space="preserve">- </w:t>
      </w:r>
      <w:r w:rsidRPr="009A76CB">
        <w:rPr>
          <w:i/>
          <w:szCs w:val="17"/>
        </w:rPr>
        <w:t xml:space="preserve">např. </w:t>
      </w:r>
      <w:r w:rsidR="005F2EE2" w:rsidRPr="009A76CB">
        <w:rPr>
          <w:i/>
          <w:szCs w:val="17"/>
        </w:rPr>
        <w:t xml:space="preserve">na </w:t>
      </w:r>
      <w:r w:rsidRPr="009A76CB">
        <w:rPr>
          <w:i/>
          <w:szCs w:val="17"/>
        </w:rPr>
        <w:t>pracovišt</w:t>
      </w:r>
      <w:r w:rsidR="005F2EE2" w:rsidRPr="009A76CB">
        <w:rPr>
          <w:i/>
          <w:szCs w:val="17"/>
        </w:rPr>
        <w:t>ích</w:t>
      </w:r>
      <w:r w:rsidRPr="009A76CB">
        <w:rPr>
          <w:i/>
          <w:szCs w:val="17"/>
        </w:rPr>
        <w:t xml:space="preserve"> praktického lékaře pro dospělé, pro děti a dorost, pracovišt</w:t>
      </w:r>
      <w:r w:rsidR="005F2EE2" w:rsidRPr="009A76CB">
        <w:rPr>
          <w:i/>
          <w:szCs w:val="17"/>
        </w:rPr>
        <w:t>ích</w:t>
      </w:r>
      <w:r w:rsidRPr="009A76CB">
        <w:rPr>
          <w:i/>
          <w:szCs w:val="17"/>
        </w:rPr>
        <w:t xml:space="preserve"> lékařské pohotovostní služby</w:t>
      </w:r>
      <w:r w:rsidR="005F2EE2" w:rsidRPr="009A76CB">
        <w:rPr>
          <w:i/>
          <w:szCs w:val="17"/>
        </w:rPr>
        <w:t xml:space="preserve"> atd.</w:t>
      </w:r>
    </w:p>
    <w:p w:rsidR="009E3D07" w:rsidRPr="009D15E0" w:rsidRDefault="009E3D07" w:rsidP="005F2EE2">
      <w:pPr>
        <w:spacing w:before="120"/>
        <w:jc w:val="both"/>
        <w:rPr>
          <w:i/>
          <w:szCs w:val="20"/>
        </w:rPr>
      </w:pPr>
      <w:r w:rsidRPr="009E3D07">
        <w:rPr>
          <w:szCs w:val="20"/>
        </w:rPr>
        <w:t xml:space="preserve">Výdaje na </w:t>
      </w:r>
      <w:r w:rsidRPr="009E3D07">
        <w:rPr>
          <w:b/>
          <w:szCs w:val="20"/>
        </w:rPr>
        <w:t>denní léčebnou péči</w:t>
      </w:r>
      <w:r w:rsidRPr="009E3D07">
        <w:rPr>
          <w:szCs w:val="20"/>
        </w:rPr>
        <w:t xml:space="preserve"> se v období 2010 - 2016 pohybují stabilně nad hranicí 5 miliard Kč</w:t>
      </w:r>
      <w:r>
        <w:rPr>
          <w:szCs w:val="20"/>
        </w:rPr>
        <w:t xml:space="preserve">, s tím, že v roce </w:t>
      </w:r>
      <w:r w:rsidR="003D5919">
        <w:rPr>
          <w:szCs w:val="20"/>
        </w:rPr>
        <w:t xml:space="preserve">2016 </w:t>
      </w:r>
      <w:r>
        <w:rPr>
          <w:szCs w:val="20"/>
        </w:rPr>
        <w:t>šlo o částku 5,7 mld. Kč</w:t>
      </w:r>
      <w:r w:rsidRPr="009E3D07">
        <w:rPr>
          <w:szCs w:val="20"/>
        </w:rPr>
        <w:t xml:space="preserve">. </w:t>
      </w:r>
      <w:r w:rsidRPr="009D15E0">
        <w:rPr>
          <w:i/>
          <w:szCs w:val="20"/>
        </w:rPr>
        <w:t>To však zatím plně neodpovídá současné snaze o zkrácení doby hospitalizace na nezbytné minimum a provádění některých zákroků, jejichž povaha to umožňuje</w:t>
      </w:r>
      <w:r w:rsidR="009A76CB" w:rsidRPr="009D15E0">
        <w:rPr>
          <w:i/>
          <w:szCs w:val="20"/>
        </w:rPr>
        <w:t>, ambulantně či prostřednictvím denní léčebné péče.</w:t>
      </w:r>
      <w:r w:rsidRPr="009D15E0">
        <w:rPr>
          <w:i/>
          <w:szCs w:val="20"/>
        </w:rPr>
        <w:t xml:space="preserve"> V současné době lze poskytovat jednodenní péči v šesti smluvních odbornostech: chirurgie (včetně dětské, úrazové a cévní chirurgie), plastická chirurgie (zahrnuje i</w:t>
      </w:r>
      <w:r w:rsidR="007C740E">
        <w:rPr>
          <w:i/>
          <w:szCs w:val="20"/>
        </w:rPr>
        <w:t> </w:t>
      </w:r>
      <w:r w:rsidRPr="009D15E0">
        <w:rPr>
          <w:i/>
          <w:szCs w:val="20"/>
        </w:rPr>
        <w:t>popáleniny), gynekologie, urologie, ortopedie a ORL. Péče je poskytována vždy plánovaně, v žádném případě se nejedná o akutní péči. Obecně je při výběru výkonů vhodných k jednodenní péči na lůžku kladen důraz na minimálně invazivní výkony.</w:t>
      </w:r>
    </w:p>
    <w:p w:rsidR="00240B6D" w:rsidRPr="00240B6D" w:rsidRDefault="00240B6D" w:rsidP="005F2EE2">
      <w:pPr>
        <w:spacing w:before="120"/>
        <w:jc w:val="both"/>
        <w:rPr>
          <w:szCs w:val="20"/>
        </w:rPr>
      </w:pPr>
      <w:r w:rsidRPr="00240B6D">
        <w:rPr>
          <w:szCs w:val="20"/>
        </w:rPr>
        <w:t xml:space="preserve">Od roku 2012 roste objem výdajů na </w:t>
      </w:r>
      <w:r w:rsidRPr="005F2EE2">
        <w:rPr>
          <w:b/>
          <w:szCs w:val="20"/>
        </w:rPr>
        <w:t>stomatologickou péči</w:t>
      </w:r>
      <w:r w:rsidRPr="00240B6D">
        <w:rPr>
          <w:szCs w:val="20"/>
        </w:rPr>
        <w:t xml:space="preserve">, kterou si z velké části hradí domácnosti samy. V roce 2016 šlo </w:t>
      </w:r>
      <w:r w:rsidR="005F2EE2">
        <w:rPr>
          <w:szCs w:val="20"/>
        </w:rPr>
        <w:t xml:space="preserve">na </w:t>
      </w:r>
      <w:r w:rsidRPr="00240B6D">
        <w:rPr>
          <w:szCs w:val="20"/>
        </w:rPr>
        <w:t xml:space="preserve">ambulantní stomatologickou péči celkem 18,2 mld. Kč, z nichž si </w:t>
      </w:r>
      <w:r w:rsidRPr="009D15E0">
        <w:rPr>
          <w:b/>
          <w:szCs w:val="20"/>
        </w:rPr>
        <w:t>domácnosti hradily</w:t>
      </w:r>
      <w:r w:rsidRPr="00240B6D">
        <w:rPr>
          <w:szCs w:val="20"/>
        </w:rPr>
        <w:t xml:space="preserve"> </w:t>
      </w:r>
      <w:r w:rsidR="005F2EE2">
        <w:rPr>
          <w:szCs w:val="20"/>
        </w:rPr>
        <w:t xml:space="preserve">více jak polovinu (52,9 %; </w:t>
      </w:r>
      <w:r w:rsidRPr="00240B6D">
        <w:rPr>
          <w:szCs w:val="20"/>
        </w:rPr>
        <w:t xml:space="preserve">9,6 mld. Kč). V porovnání s rokem 2012, kdy podíl domácností na financování zubařské péče činil 41,5 %, tak vzrostly jejich výdaje na tuto péči o 2,8 mld. Kč (41,9 %).  </w:t>
      </w:r>
    </w:p>
    <w:p w:rsidR="00240B6D" w:rsidRPr="00240B6D" w:rsidRDefault="00240B6D" w:rsidP="005F2EE2">
      <w:pPr>
        <w:spacing w:before="240"/>
        <w:jc w:val="both"/>
        <w:rPr>
          <w:b/>
          <w:i/>
          <w:szCs w:val="20"/>
        </w:rPr>
      </w:pPr>
      <w:r w:rsidRPr="00240B6D">
        <w:rPr>
          <w:b/>
          <w:i/>
          <w:szCs w:val="20"/>
        </w:rPr>
        <w:t xml:space="preserve">Výdaje na lůžkovou rehabilitační péči vzrostly </w:t>
      </w:r>
      <w:r w:rsidR="007C740E">
        <w:rPr>
          <w:b/>
          <w:i/>
          <w:szCs w:val="20"/>
        </w:rPr>
        <w:t xml:space="preserve">mezi </w:t>
      </w:r>
      <w:r w:rsidRPr="00240B6D">
        <w:rPr>
          <w:b/>
          <w:i/>
          <w:szCs w:val="20"/>
        </w:rPr>
        <w:t>rok</w:t>
      </w:r>
      <w:r w:rsidR="007C740E">
        <w:rPr>
          <w:b/>
          <w:i/>
          <w:szCs w:val="20"/>
        </w:rPr>
        <w:t>y</w:t>
      </w:r>
      <w:r w:rsidRPr="00240B6D">
        <w:rPr>
          <w:b/>
          <w:i/>
          <w:szCs w:val="20"/>
        </w:rPr>
        <w:t xml:space="preserve"> 2010</w:t>
      </w:r>
      <w:r w:rsidR="007C740E">
        <w:rPr>
          <w:b/>
          <w:i/>
          <w:szCs w:val="20"/>
        </w:rPr>
        <w:t xml:space="preserve"> a 2016</w:t>
      </w:r>
      <w:r w:rsidRPr="00240B6D">
        <w:rPr>
          <w:b/>
          <w:i/>
          <w:szCs w:val="20"/>
        </w:rPr>
        <w:t xml:space="preserve"> o čtvrtinu</w:t>
      </w:r>
    </w:p>
    <w:p w:rsidR="00240B6D" w:rsidRPr="007C740E" w:rsidRDefault="00240B6D" w:rsidP="00240B6D">
      <w:pPr>
        <w:spacing w:before="120"/>
        <w:jc w:val="both"/>
        <w:rPr>
          <w:i/>
          <w:szCs w:val="17"/>
        </w:rPr>
      </w:pPr>
      <w:r w:rsidRPr="00240B6D">
        <w:rPr>
          <w:szCs w:val="17"/>
        </w:rPr>
        <w:t xml:space="preserve">Výdaje za </w:t>
      </w:r>
      <w:r w:rsidRPr="00240B6D">
        <w:rPr>
          <w:b/>
          <w:szCs w:val="17"/>
        </w:rPr>
        <w:t>rehabilitační péči</w:t>
      </w:r>
      <w:r w:rsidRPr="00240B6D">
        <w:rPr>
          <w:szCs w:val="17"/>
        </w:rPr>
        <w:t xml:space="preserve"> se v roce 2016 z poloviny týkal</w:t>
      </w:r>
      <w:r w:rsidR="00527720">
        <w:rPr>
          <w:szCs w:val="17"/>
        </w:rPr>
        <w:t>y</w:t>
      </w:r>
      <w:r w:rsidRPr="00240B6D">
        <w:rPr>
          <w:szCs w:val="17"/>
        </w:rPr>
        <w:t xml:space="preserve"> léčby lůžkové, kam spadá především </w:t>
      </w:r>
      <w:r w:rsidRPr="00240B6D">
        <w:rPr>
          <w:b/>
          <w:szCs w:val="17"/>
        </w:rPr>
        <w:t>lázeňská</w:t>
      </w:r>
      <w:r w:rsidR="005F2EE2">
        <w:rPr>
          <w:b/>
          <w:szCs w:val="17"/>
        </w:rPr>
        <w:t xml:space="preserve"> péče</w:t>
      </w:r>
      <w:r w:rsidRPr="00240B6D">
        <w:rPr>
          <w:szCs w:val="17"/>
        </w:rPr>
        <w:t>. Na lůžkovou rehabilitační péči bylo v roce 2016 celkem vydáno 7,5 mld. Kč, tj. meziročně o</w:t>
      </w:r>
      <w:r w:rsidR="00F85872">
        <w:rPr>
          <w:szCs w:val="17"/>
        </w:rPr>
        <w:t> </w:t>
      </w:r>
      <w:r w:rsidRPr="00240B6D">
        <w:rPr>
          <w:szCs w:val="17"/>
        </w:rPr>
        <w:t xml:space="preserve">572 mil. Kč (8,3 %) více finančních prostředků. </w:t>
      </w:r>
      <w:r w:rsidRPr="007C740E">
        <w:rPr>
          <w:i/>
          <w:szCs w:val="17"/>
        </w:rPr>
        <w:t xml:space="preserve">Pravidla pro úhradu lázeňské péče ze zdravotního pojištění se změnila v říjnu 2012 a tato změna se projevila naplno v roce 2013, kdy poklesl počet přijatých pacientů pro komplexní lázeňskou péči na náklad zdravotního pojištění z 80,4 tisíc v roce 2012 na 59,6 tisíc v roce 2013 – pro zajímavost v roce 2010 byla takových pacientů 107 tisíc.  Vyhláška zkrátila u dospělých pacientů zdravotními </w:t>
      </w:r>
      <w:r w:rsidRPr="007C740E">
        <w:rPr>
          <w:rFonts w:cs="Arial"/>
          <w:i/>
          <w:szCs w:val="20"/>
        </w:rPr>
        <w:t>pojišťovnami plně hrazené pobyty ze čtyř týdnů na tři, upravila indikační seznam a u některých diagnóz odstranila možnost opakování hrazeného pobytu. K opětovnému zvýšení výdajů došlo až v roce 2014, kdy od dubna začali lékaři předepisovat poukazy podle nových pravidel a mírný nárůst pokračoval i</w:t>
      </w:r>
      <w:r w:rsidR="00F85872">
        <w:rPr>
          <w:rFonts w:cs="Arial"/>
          <w:i/>
          <w:szCs w:val="20"/>
        </w:rPr>
        <w:t> </w:t>
      </w:r>
      <w:r w:rsidRPr="007C740E">
        <w:rPr>
          <w:rFonts w:cs="Arial"/>
          <w:i/>
          <w:szCs w:val="20"/>
        </w:rPr>
        <w:t>v</w:t>
      </w:r>
      <w:r w:rsidR="00FD730E" w:rsidRPr="007C740E">
        <w:rPr>
          <w:rFonts w:cs="Arial"/>
          <w:i/>
          <w:szCs w:val="20"/>
        </w:rPr>
        <w:t> následujících dvou letech</w:t>
      </w:r>
      <w:r w:rsidRPr="007C740E">
        <w:rPr>
          <w:rFonts w:cs="Arial"/>
          <w:i/>
          <w:szCs w:val="20"/>
        </w:rPr>
        <w:t xml:space="preserve">. </w:t>
      </w:r>
    </w:p>
    <w:p w:rsidR="0016731E" w:rsidRPr="00240B6D" w:rsidRDefault="00240B6D" w:rsidP="0016731E">
      <w:pPr>
        <w:spacing w:before="120"/>
        <w:jc w:val="both"/>
        <w:rPr>
          <w:rFonts w:cs="Arial"/>
          <w:szCs w:val="20"/>
        </w:rPr>
      </w:pPr>
      <w:r w:rsidRPr="00CC14C1">
        <w:rPr>
          <w:rFonts w:cs="Arial"/>
          <w:szCs w:val="20"/>
        </w:rPr>
        <w:t xml:space="preserve">Podle údajů zdravotních pojišťoven vzrostly </w:t>
      </w:r>
      <w:r w:rsidR="00FD730E" w:rsidRPr="00CC14C1">
        <w:rPr>
          <w:rFonts w:cs="Arial"/>
          <w:szCs w:val="20"/>
        </w:rPr>
        <w:t xml:space="preserve">v roce 2016 </w:t>
      </w:r>
      <w:r w:rsidRPr="00CC14C1">
        <w:rPr>
          <w:rFonts w:cs="Arial"/>
          <w:szCs w:val="20"/>
        </w:rPr>
        <w:t xml:space="preserve">meziročně o jednu čtvrtinu výdaje na </w:t>
      </w:r>
      <w:r w:rsidRPr="00CC14C1">
        <w:rPr>
          <w:rFonts w:cs="Arial"/>
          <w:b/>
          <w:szCs w:val="20"/>
        </w:rPr>
        <w:t>komplexní lázeňskou léčbu pacientů</w:t>
      </w:r>
      <w:r w:rsidRPr="00CC14C1">
        <w:rPr>
          <w:rFonts w:cs="Arial"/>
          <w:szCs w:val="20"/>
        </w:rPr>
        <w:t xml:space="preserve"> (z 2,4 mld. Kč v roce 2015 na 3,1 mld. Kč v roce 2016)</w:t>
      </w:r>
      <w:r w:rsidR="007C740E">
        <w:rPr>
          <w:rFonts w:cs="Arial"/>
          <w:szCs w:val="20"/>
        </w:rPr>
        <w:t>, která je</w:t>
      </w:r>
      <w:r w:rsidR="00FD730E" w:rsidRPr="00CC14C1">
        <w:rPr>
          <w:rFonts w:cs="Arial"/>
          <w:szCs w:val="20"/>
        </w:rPr>
        <w:t xml:space="preserve"> plně hrazen</w:t>
      </w:r>
      <w:r w:rsidR="007C740E">
        <w:rPr>
          <w:rFonts w:cs="Arial"/>
          <w:szCs w:val="20"/>
        </w:rPr>
        <w:t>a</w:t>
      </w:r>
      <w:r w:rsidR="00FD730E" w:rsidRPr="00CC14C1">
        <w:rPr>
          <w:rFonts w:cs="Arial"/>
          <w:szCs w:val="20"/>
        </w:rPr>
        <w:t xml:space="preserve"> ze zdravotního pojištění</w:t>
      </w:r>
      <w:r w:rsidR="0016731E" w:rsidRPr="00CC14C1">
        <w:rPr>
          <w:rFonts w:cs="Arial"/>
          <w:szCs w:val="20"/>
        </w:rPr>
        <w:t>. Lázeňská péče se ovšem nehradí jen ze zdravotního pojištění, ale velkou měrou si na ni přispívají i pacienti sami. V roce 2016 šlo z jejich kapes na lůžkovou rehabilitační péči celkem 2,7 mld. Kč, tj. 36 % z celkových výdajů na tuto péči.</w:t>
      </w:r>
    </w:p>
    <w:p w:rsidR="009E3D07" w:rsidRPr="00F1671D" w:rsidRDefault="009E3D07" w:rsidP="009E3D07">
      <w:pPr>
        <w:spacing w:before="120"/>
        <w:jc w:val="both"/>
        <w:rPr>
          <w:rFonts w:cs="Arial"/>
          <w:szCs w:val="20"/>
        </w:rPr>
      </w:pPr>
      <w:r w:rsidRPr="00F1671D">
        <w:rPr>
          <w:rFonts w:cs="Arial"/>
          <w:szCs w:val="20"/>
        </w:rPr>
        <w:t xml:space="preserve">Druhá polovina výdajů na rehabilitační péči připadá na její </w:t>
      </w:r>
      <w:r w:rsidRPr="009E3D07">
        <w:rPr>
          <w:rFonts w:cs="Arial"/>
          <w:b/>
          <w:szCs w:val="20"/>
        </w:rPr>
        <w:t>ambulantní formu</w:t>
      </w:r>
      <w:r w:rsidRPr="00F1671D">
        <w:rPr>
          <w:rFonts w:cs="Arial"/>
          <w:szCs w:val="20"/>
        </w:rPr>
        <w:t>, kdy pacienti docházejí na procedury do rehabilitačních zařízení popř. do lázní bez možnosti ubytování</w:t>
      </w:r>
      <w:r>
        <w:rPr>
          <w:rFonts w:cs="Arial"/>
          <w:szCs w:val="20"/>
        </w:rPr>
        <w:t xml:space="preserve">. </w:t>
      </w:r>
      <w:r w:rsidRPr="00F1671D">
        <w:rPr>
          <w:rFonts w:cs="Arial"/>
          <w:szCs w:val="20"/>
        </w:rPr>
        <w:t>Na rozdíl od lůžkové rehabilitační péče, byl zde zaznamenán 4,1% meziroční pokles v jejím financování. Tento pokles se však netýkal části, která je financovaná domácnostmi, které za tuto péči poprvé utratily více jak miliardu korun – 1 006 mil. Kč v roce 2016 v porovnání s 626 mil. Kč v roce 2010.</w:t>
      </w:r>
    </w:p>
    <w:p w:rsidR="00240B6D" w:rsidRPr="00240B6D" w:rsidRDefault="00240B6D" w:rsidP="00240B6D">
      <w:pPr>
        <w:spacing w:before="120"/>
        <w:jc w:val="both"/>
        <w:rPr>
          <w:rFonts w:cs="Arial"/>
          <w:b/>
          <w:i/>
          <w:szCs w:val="20"/>
        </w:rPr>
      </w:pPr>
      <w:r w:rsidRPr="002B4648">
        <w:rPr>
          <w:rFonts w:cs="Arial"/>
          <w:b/>
          <w:i/>
          <w:szCs w:val="20"/>
        </w:rPr>
        <w:t>Zdravotní pojišťovny zaplatily v roce 2016 za screeningová vyšetření a diagnostické testy 1,5 mld. Kč</w:t>
      </w:r>
    </w:p>
    <w:p w:rsidR="00240B6D" w:rsidRPr="00B85CB1" w:rsidRDefault="00240B6D" w:rsidP="0016731E">
      <w:pPr>
        <w:spacing w:before="120"/>
        <w:jc w:val="both"/>
        <w:rPr>
          <w:rFonts w:cs="Arial"/>
          <w:i/>
          <w:szCs w:val="20"/>
        </w:rPr>
      </w:pPr>
      <w:r w:rsidRPr="00B85CB1">
        <w:rPr>
          <w:rFonts w:cs="Arial"/>
          <w:i/>
          <w:szCs w:val="20"/>
        </w:rPr>
        <w:t>Cílem</w:t>
      </w:r>
      <w:r w:rsidRPr="00B85CB1">
        <w:rPr>
          <w:rFonts w:cs="Arial"/>
          <w:b/>
          <w:i/>
          <w:szCs w:val="20"/>
        </w:rPr>
        <w:t xml:space="preserve"> preventivní péče </w:t>
      </w:r>
      <w:r w:rsidRPr="00B85CB1">
        <w:rPr>
          <w:rFonts w:cs="Arial"/>
          <w:i/>
          <w:szCs w:val="20"/>
        </w:rPr>
        <w:t>je celkově dobrý zdravotní stav obyvatel a nebývá proto zaměřena na konkrétní onemocnění. Preventivní programy jsou více zaměřeny na ty skupiny obyvatel, které jsou považovány za ohrožené (děti, senioři, těhotné ženy) případně na určité zdravotní oblasti (např. zubní a všeobecné preventivní prohlídky). V rámci těchto programů je zvyšována informovanost a vzdělanost obyvatel v oblasti zdravotní péče. Lidé jsou seznamováni s metodami a postupy, které jim umožňují převzít aktivní roli v ochraně jejich vlastního zdraví.</w:t>
      </w:r>
      <w:r w:rsidRPr="00B85CB1">
        <w:rPr>
          <w:i/>
        </w:rPr>
        <w:t xml:space="preserve"> </w:t>
      </w:r>
    </w:p>
    <w:p w:rsidR="0016731E" w:rsidRDefault="00240B6D" w:rsidP="0016731E">
      <w:pPr>
        <w:spacing w:before="120"/>
        <w:jc w:val="both"/>
        <w:rPr>
          <w:rFonts w:cs="Arial"/>
          <w:szCs w:val="20"/>
        </w:rPr>
      </w:pPr>
      <w:r w:rsidRPr="00240B6D">
        <w:rPr>
          <w:rFonts w:cs="Arial"/>
          <w:szCs w:val="20"/>
        </w:rPr>
        <w:lastRenderedPageBreak/>
        <w:t xml:space="preserve">Významné místo v preventivní péči mají </w:t>
      </w:r>
      <w:r w:rsidRPr="0016731E">
        <w:rPr>
          <w:rFonts w:cs="Arial"/>
          <w:b/>
          <w:szCs w:val="20"/>
        </w:rPr>
        <w:t>imunizační programy</w:t>
      </w:r>
      <w:r w:rsidRPr="00240B6D">
        <w:rPr>
          <w:rFonts w:cs="Arial"/>
          <w:szCs w:val="20"/>
        </w:rPr>
        <w:t xml:space="preserve">. Výčet povinných očkování a nepovinných očkování hrazených z veřejného pojištění se mění a s ním i výdaje na preventivní péči. Stejně tak nabídka dalších očkování, mimo jiné i pro cestování do tropických oblastí a další, se během doby vyvíjí. </w:t>
      </w:r>
      <w:r w:rsidR="00B85CB1">
        <w:rPr>
          <w:rFonts w:cs="Arial"/>
          <w:szCs w:val="20"/>
        </w:rPr>
        <w:t>V roce 2016 bylo v </w:t>
      </w:r>
      <w:r w:rsidR="00F12246">
        <w:rPr>
          <w:rFonts w:cs="Arial"/>
          <w:szCs w:val="20"/>
        </w:rPr>
        <w:t>Č</w:t>
      </w:r>
      <w:r w:rsidR="00B85CB1">
        <w:rPr>
          <w:rFonts w:cs="Arial"/>
          <w:szCs w:val="20"/>
        </w:rPr>
        <w:t>esku na tyto imunizační programy vynaloženo celkem 1,2 mld. Kč, tj. nejméně od roku 2010.</w:t>
      </w:r>
      <w:r w:rsidR="00F12246">
        <w:rPr>
          <w:rFonts w:cs="Arial"/>
          <w:szCs w:val="20"/>
        </w:rPr>
        <w:t xml:space="preserve"> Většina těchto výdajů (96 % v roce 2016) je hrazena přímo ze státního rozpočtu.</w:t>
      </w:r>
    </w:p>
    <w:p w:rsidR="00240B6D" w:rsidRPr="00240B6D" w:rsidRDefault="00240B6D" w:rsidP="0016731E">
      <w:pPr>
        <w:spacing w:before="120"/>
        <w:jc w:val="both"/>
        <w:rPr>
          <w:rFonts w:cs="Arial"/>
          <w:szCs w:val="20"/>
        </w:rPr>
      </w:pPr>
      <w:r w:rsidRPr="00240B6D">
        <w:rPr>
          <w:rFonts w:cs="Arial"/>
          <w:szCs w:val="20"/>
        </w:rPr>
        <w:t xml:space="preserve">Výdajově nejvýznamnější položkou preventivní péče jsou </w:t>
      </w:r>
      <w:r w:rsidRPr="00B85CB1">
        <w:rPr>
          <w:rFonts w:cs="Arial"/>
          <w:b/>
          <w:szCs w:val="20"/>
        </w:rPr>
        <w:t>programy pro sledování zdravotního stavu obyvatelstva</w:t>
      </w:r>
      <w:r w:rsidRPr="00240B6D">
        <w:rPr>
          <w:rFonts w:cs="Arial"/>
          <w:szCs w:val="20"/>
        </w:rPr>
        <w:t xml:space="preserve"> zahrnující </w:t>
      </w:r>
      <w:r w:rsidRPr="00B85CB1">
        <w:rPr>
          <w:rFonts w:cs="Arial"/>
          <w:szCs w:val="20"/>
        </w:rPr>
        <w:t>aktivní monitoring</w:t>
      </w:r>
      <w:r w:rsidRPr="00240B6D">
        <w:rPr>
          <w:rFonts w:cs="Arial"/>
          <w:szCs w:val="20"/>
        </w:rPr>
        <w:t xml:space="preserve"> celkového zdravotního stavu i jeho dílčích aspektů. Preventivní programy z této skupiny se zaměřují </w:t>
      </w:r>
      <w:r w:rsidRPr="00240B6D">
        <w:rPr>
          <w:rFonts w:eastAsia="Calibri" w:cs="Arial"/>
          <w:szCs w:val="20"/>
        </w:rPr>
        <w:t xml:space="preserve">na určitá období života jako je těhotenství (předporodní a poporodní péči), růst a vývoj dítěte, skupiny stárnoucích lidí nebo na zubní a všeobecné preventivní prohlídky, na které bylo </w:t>
      </w:r>
      <w:r w:rsidR="00B85CB1">
        <w:rPr>
          <w:rFonts w:eastAsia="Calibri" w:cs="Arial"/>
          <w:szCs w:val="20"/>
        </w:rPr>
        <w:t xml:space="preserve">v roce 2016 </w:t>
      </w:r>
      <w:r w:rsidRPr="00240B6D">
        <w:rPr>
          <w:rFonts w:cs="Arial"/>
          <w:szCs w:val="20"/>
        </w:rPr>
        <w:t>vydáno</w:t>
      </w:r>
      <w:r w:rsidRPr="00240B6D">
        <w:rPr>
          <w:rFonts w:eastAsia="Calibri" w:cs="Arial"/>
          <w:szCs w:val="20"/>
        </w:rPr>
        <w:t xml:space="preserve"> </w:t>
      </w:r>
      <w:r w:rsidR="00F12246">
        <w:rPr>
          <w:rFonts w:eastAsia="Calibri" w:cs="Arial"/>
          <w:szCs w:val="20"/>
        </w:rPr>
        <w:t xml:space="preserve">celkem </w:t>
      </w:r>
      <w:r w:rsidRPr="00240B6D">
        <w:rPr>
          <w:rFonts w:eastAsia="Calibri" w:cs="Arial"/>
          <w:szCs w:val="20"/>
        </w:rPr>
        <w:t xml:space="preserve">6,1 mld. Kč. </w:t>
      </w:r>
      <w:r w:rsidR="00F12246">
        <w:rPr>
          <w:rFonts w:eastAsia="Calibri" w:cs="Arial"/>
          <w:szCs w:val="20"/>
        </w:rPr>
        <w:t>Tato část preventivní péče je z 80 % (údaj za rok 2016) hrazena z veřejného zdravotního pojištění a zbytek připadá na podnikové zdroje v rámci závodní preventivní péče o jejich zaměstnance.</w:t>
      </w:r>
    </w:p>
    <w:p w:rsidR="009E3D07" w:rsidRPr="00240B6D" w:rsidRDefault="009E3D07" w:rsidP="009E3D07">
      <w:pPr>
        <w:spacing w:before="120"/>
        <w:jc w:val="both"/>
        <w:rPr>
          <w:rFonts w:cs="Arial"/>
          <w:szCs w:val="20"/>
        </w:rPr>
      </w:pPr>
      <w:r w:rsidRPr="00F1671D">
        <w:rPr>
          <w:rFonts w:cs="Arial"/>
          <w:szCs w:val="20"/>
        </w:rPr>
        <w:t xml:space="preserve">Další skupinou výdajů preventivní péče jsou </w:t>
      </w:r>
      <w:r w:rsidRPr="00F1671D">
        <w:rPr>
          <w:rFonts w:cs="Arial"/>
          <w:b/>
          <w:szCs w:val="20"/>
        </w:rPr>
        <w:t>programy pro včasné odhalení nemocí</w:t>
      </w:r>
      <w:r w:rsidRPr="00F1671D">
        <w:rPr>
          <w:rFonts w:cs="Arial"/>
          <w:szCs w:val="20"/>
        </w:rPr>
        <w:t xml:space="preserve"> zahrnující různé typy screeningů, diagnostické testy a lékařské prohlídky. </w:t>
      </w:r>
      <w:r w:rsidRPr="00F1671D">
        <w:rPr>
          <w:szCs w:val="20"/>
        </w:rPr>
        <w:t xml:space="preserve">Zdravotní pojišťovny hradí některá preventivní vyšetření např. screening, zhoubných nádorů, </w:t>
      </w:r>
      <w:r w:rsidRPr="00F1671D">
        <w:rPr>
          <w:rFonts w:cs="Arial"/>
          <w:szCs w:val="20"/>
        </w:rPr>
        <w:t>screening sluchu u novorozenců nebo preventivní prohlídky ze základního fondu veřejného zdravotního pojištění.</w:t>
      </w:r>
      <w:r w:rsidR="00F12246">
        <w:rPr>
          <w:rFonts w:cs="Arial"/>
          <w:szCs w:val="20"/>
        </w:rPr>
        <w:t xml:space="preserve"> V roce 2016 bylo na tato preventivní vyšetření z veřejného zdravotního pojištění vynaloženo 1,5 mld. Kč. Ze státního a místních rozpočtů šlo na tuto péči dalších 269 mil. Kč.</w:t>
      </w:r>
    </w:p>
    <w:p w:rsidR="00240B6D" w:rsidRPr="00240B6D" w:rsidRDefault="00240B6D" w:rsidP="0016731E">
      <w:pPr>
        <w:spacing w:before="240"/>
        <w:jc w:val="both"/>
        <w:rPr>
          <w:b/>
          <w:i/>
          <w:szCs w:val="20"/>
        </w:rPr>
      </w:pPr>
      <w:r w:rsidRPr="00240B6D">
        <w:rPr>
          <w:b/>
          <w:i/>
          <w:szCs w:val="20"/>
        </w:rPr>
        <w:t>Meziroční výdaje na dlouhodobou lůžkovou péči se zvýšily o 7 % a dosáhly částky 37,1 mld. Kč</w:t>
      </w:r>
    </w:p>
    <w:p w:rsidR="00A074EF" w:rsidRDefault="00240B6D" w:rsidP="00A074EF">
      <w:pPr>
        <w:keepNext/>
        <w:spacing w:before="120"/>
        <w:jc w:val="both"/>
        <w:rPr>
          <w:szCs w:val="17"/>
        </w:rPr>
      </w:pPr>
      <w:r w:rsidRPr="00240B6D">
        <w:rPr>
          <w:szCs w:val="17"/>
        </w:rPr>
        <w:t xml:space="preserve">Potřeba </w:t>
      </w:r>
      <w:r w:rsidRPr="00240B6D">
        <w:rPr>
          <w:b/>
          <w:szCs w:val="17"/>
        </w:rPr>
        <w:t xml:space="preserve">dlouhodobé </w:t>
      </w:r>
      <w:r w:rsidR="00A074EF">
        <w:rPr>
          <w:b/>
          <w:szCs w:val="17"/>
        </w:rPr>
        <w:t xml:space="preserve">zdravotní </w:t>
      </w:r>
      <w:r w:rsidRPr="00240B6D">
        <w:rPr>
          <w:b/>
          <w:szCs w:val="17"/>
        </w:rPr>
        <w:t>péče</w:t>
      </w:r>
      <w:r w:rsidRPr="00240B6D">
        <w:rPr>
          <w:szCs w:val="17"/>
        </w:rPr>
        <w:t xml:space="preserve"> s ohledem na stárnutí populace </w:t>
      </w:r>
      <w:r w:rsidR="00A074EF">
        <w:rPr>
          <w:szCs w:val="17"/>
        </w:rPr>
        <w:t xml:space="preserve">každoročně </w:t>
      </w:r>
      <w:r w:rsidRPr="00240B6D">
        <w:rPr>
          <w:szCs w:val="17"/>
        </w:rPr>
        <w:t>narůst</w:t>
      </w:r>
      <w:r w:rsidR="00A074EF">
        <w:rPr>
          <w:szCs w:val="17"/>
        </w:rPr>
        <w:t>á</w:t>
      </w:r>
      <w:r w:rsidRPr="00240B6D">
        <w:rPr>
          <w:szCs w:val="17"/>
        </w:rPr>
        <w:t xml:space="preserve"> a s tím souvisí </w:t>
      </w:r>
      <w:r w:rsidR="00A074EF">
        <w:rPr>
          <w:szCs w:val="17"/>
        </w:rPr>
        <w:t>i</w:t>
      </w:r>
      <w:r w:rsidR="00F85872">
        <w:rPr>
          <w:szCs w:val="17"/>
        </w:rPr>
        <w:t> </w:t>
      </w:r>
      <w:r w:rsidRPr="00240B6D">
        <w:rPr>
          <w:szCs w:val="17"/>
        </w:rPr>
        <w:t xml:space="preserve">pozvolné zvyšování výdajů </w:t>
      </w:r>
      <w:r w:rsidR="00A074EF">
        <w:rPr>
          <w:szCs w:val="17"/>
        </w:rPr>
        <w:t>na tuto péči</w:t>
      </w:r>
      <w:r w:rsidRPr="00240B6D">
        <w:rPr>
          <w:szCs w:val="17"/>
        </w:rPr>
        <w:t xml:space="preserve">. </w:t>
      </w:r>
      <w:r w:rsidR="00A074EF" w:rsidRPr="00240B6D">
        <w:rPr>
          <w:szCs w:val="17"/>
        </w:rPr>
        <w:t>V období 2010 – 201</w:t>
      </w:r>
      <w:r w:rsidR="00A074EF">
        <w:rPr>
          <w:szCs w:val="17"/>
        </w:rPr>
        <w:t>6</w:t>
      </w:r>
      <w:r w:rsidR="00A074EF" w:rsidRPr="00240B6D">
        <w:rPr>
          <w:szCs w:val="17"/>
        </w:rPr>
        <w:t xml:space="preserve"> se </w:t>
      </w:r>
      <w:r w:rsidR="00A074EF">
        <w:rPr>
          <w:szCs w:val="17"/>
        </w:rPr>
        <w:t xml:space="preserve">celkové výdaje na dlouhodobou zdravotní péči </w:t>
      </w:r>
      <w:r w:rsidR="00A074EF" w:rsidRPr="00240B6D">
        <w:rPr>
          <w:szCs w:val="17"/>
        </w:rPr>
        <w:t>zvýšily o čtvrtinu</w:t>
      </w:r>
      <w:r w:rsidR="00A074EF">
        <w:rPr>
          <w:szCs w:val="17"/>
        </w:rPr>
        <w:t xml:space="preserve"> – v absolutním vyjádření šlo o nárůst o téměř 10 mld. Kč z 35,8 mld. Kč v roce 2010 na 45,1 mld. Kč v roce 2016.</w:t>
      </w:r>
      <w:r w:rsidR="00A074EF" w:rsidRPr="00240B6D">
        <w:rPr>
          <w:szCs w:val="17"/>
        </w:rPr>
        <w:t xml:space="preserve"> </w:t>
      </w:r>
      <w:r w:rsidR="00A074EF" w:rsidRPr="00A074EF">
        <w:rPr>
          <w:szCs w:val="17"/>
        </w:rPr>
        <w:t>Výdaje na</w:t>
      </w:r>
      <w:r w:rsidR="00A074EF" w:rsidRPr="00240B6D">
        <w:rPr>
          <w:b/>
          <w:szCs w:val="17"/>
        </w:rPr>
        <w:t xml:space="preserve"> dlouhodobou lůžkovou péči</w:t>
      </w:r>
      <w:r w:rsidR="00A074EF" w:rsidRPr="00240B6D">
        <w:rPr>
          <w:szCs w:val="17"/>
        </w:rPr>
        <w:t xml:space="preserve"> představují 82 % z celkových výdajů na dlouhodobou </w:t>
      </w:r>
      <w:r w:rsidR="00A074EF">
        <w:rPr>
          <w:szCs w:val="17"/>
        </w:rPr>
        <w:t xml:space="preserve">zdravotní </w:t>
      </w:r>
      <w:r w:rsidR="00A074EF" w:rsidRPr="00240B6D">
        <w:rPr>
          <w:szCs w:val="17"/>
        </w:rPr>
        <w:t>péči</w:t>
      </w:r>
      <w:r w:rsidR="00A074EF">
        <w:rPr>
          <w:szCs w:val="17"/>
        </w:rPr>
        <w:t xml:space="preserve">. Meziročně tyto výdaje vzrostly o 6,6 % (2,3 mld. Kč) na 37,1 mld. Kč v roce 2016. </w:t>
      </w:r>
      <w:r w:rsidR="00A074EF" w:rsidRPr="00240B6D">
        <w:rPr>
          <w:szCs w:val="20"/>
        </w:rPr>
        <w:t xml:space="preserve">Výdaje na dlouhodobou domácí </w:t>
      </w:r>
      <w:r w:rsidR="00A074EF">
        <w:rPr>
          <w:szCs w:val="20"/>
        </w:rPr>
        <w:t xml:space="preserve">zdravotní </w:t>
      </w:r>
      <w:r w:rsidR="00A074EF" w:rsidRPr="00240B6D">
        <w:rPr>
          <w:szCs w:val="20"/>
        </w:rPr>
        <w:t>péči se od roku 2010 zvýšily téměř o</w:t>
      </w:r>
      <w:r w:rsidR="00F85872">
        <w:rPr>
          <w:szCs w:val="20"/>
        </w:rPr>
        <w:t> </w:t>
      </w:r>
      <w:r w:rsidR="00A074EF" w:rsidRPr="00240B6D">
        <w:rPr>
          <w:szCs w:val="20"/>
        </w:rPr>
        <w:t>jednu třetinu.</w:t>
      </w:r>
    </w:p>
    <w:p w:rsidR="00240B6D" w:rsidRPr="00A074EF" w:rsidRDefault="00240B6D" w:rsidP="00240B6D">
      <w:pPr>
        <w:keepNext/>
        <w:spacing w:before="120"/>
        <w:jc w:val="both"/>
        <w:rPr>
          <w:i/>
          <w:szCs w:val="17"/>
        </w:rPr>
      </w:pPr>
      <w:r w:rsidRPr="00240B6D">
        <w:rPr>
          <w:b/>
          <w:szCs w:val="20"/>
        </w:rPr>
        <w:t>Dlouhodobá d</w:t>
      </w:r>
      <w:r w:rsidRPr="00240B6D">
        <w:rPr>
          <w:b/>
          <w:bCs/>
          <w:szCs w:val="20"/>
        </w:rPr>
        <w:t>omácí péče</w:t>
      </w:r>
      <w:r w:rsidRPr="00240B6D">
        <w:rPr>
          <w:szCs w:val="20"/>
        </w:rPr>
        <w:t xml:space="preserve"> je určena chronicky nemocným klientům, jejichž zdravotní i duševní stav si vyžaduje dlouhodobou a pravidelnou domácí péči kvalifikovaného personálu. V souvislosti se změnou metodiky SHA 2011 se podařilo rozšířit zdroje dat a tím se zaměřit také na výdaje za denní dlouhodobou péči, která byla sledována v minulosti pouze okrajově. </w:t>
      </w:r>
      <w:r w:rsidRPr="00240B6D">
        <w:rPr>
          <w:b/>
          <w:szCs w:val="20"/>
        </w:rPr>
        <w:t>Denní dlouhodobá</w:t>
      </w:r>
      <w:r w:rsidRPr="00240B6D">
        <w:rPr>
          <w:szCs w:val="20"/>
        </w:rPr>
        <w:t xml:space="preserve"> péče, která zahrnuje především denní stacionáře a centra odlehčovacích služeb, ovšem tvoří pouze velmi malou část výdajů na zdravotní péči. </w:t>
      </w:r>
      <w:r w:rsidRPr="00A074EF">
        <w:rPr>
          <w:i/>
          <w:szCs w:val="17"/>
        </w:rPr>
        <w:t xml:space="preserve">Podrobněji se budeme věnovat </w:t>
      </w:r>
      <w:r w:rsidRPr="00A074EF">
        <w:rPr>
          <w:b/>
          <w:i/>
          <w:szCs w:val="17"/>
        </w:rPr>
        <w:t>dlouhodobé zdravotní a sociální péči</w:t>
      </w:r>
      <w:r w:rsidRPr="00A074EF">
        <w:rPr>
          <w:i/>
          <w:szCs w:val="17"/>
        </w:rPr>
        <w:t xml:space="preserve"> v samostatné kapitole č. 3.3.</w:t>
      </w:r>
    </w:p>
    <w:p w:rsidR="00240B6D" w:rsidRPr="00240B6D" w:rsidRDefault="00240B6D" w:rsidP="00005868">
      <w:pPr>
        <w:pageBreakBefore/>
        <w:spacing w:before="120"/>
        <w:jc w:val="both"/>
        <w:rPr>
          <w:b/>
          <w:i/>
          <w:szCs w:val="20"/>
        </w:rPr>
      </w:pPr>
      <w:r w:rsidRPr="00240B6D">
        <w:rPr>
          <w:b/>
          <w:i/>
          <w:szCs w:val="20"/>
        </w:rPr>
        <w:lastRenderedPageBreak/>
        <w:t>Výdaje domácností na volně prodejné léky překročily v roce 2016 hranici 13 mld. Kč</w:t>
      </w:r>
    </w:p>
    <w:p w:rsidR="00CA5A12" w:rsidRDefault="00240B6D" w:rsidP="00240B6D">
      <w:pPr>
        <w:widowControl w:val="0"/>
        <w:spacing w:before="120"/>
        <w:jc w:val="both"/>
        <w:rPr>
          <w:i/>
        </w:rPr>
      </w:pPr>
      <w:r w:rsidRPr="00240B6D">
        <w:rPr>
          <w:b/>
        </w:rPr>
        <w:t>Léčiva a ostatní zdravotnické výrobky</w:t>
      </w:r>
      <w:r w:rsidRPr="00240B6D">
        <w:t xml:space="preserve"> se v roce 2016 podílely  na celkových běžných výdajích na zdravotní péči 19,2 %</w:t>
      </w:r>
      <w:r w:rsidR="00CA5A12">
        <w:t>, v absolutním vyjádření šlo 69,3 mld. Kč</w:t>
      </w:r>
      <w:r w:rsidRPr="00240B6D">
        <w:t xml:space="preserve">. </w:t>
      </w:r>
      <w:r w:rsidRPr="00F12246">
        <w:rPr>
          <w:i/>
        </w:rPr>
        <w:t xml:space="preserve">Výdaje za léčiva a ostatní zdravotnický materiál dle mezinárodní metodiky </w:t>
      </w:r>
      <w:r w:rsidR="00F12246">
        <w:rPr>
          <w:i/>
        </w:rPr>
        <w:t xml:space="preserve">SHA 2011 </w:t>
      </w:r>
      <w:r w:rsidRPr="00F12246">
        <w:rPr>
          <w:i/>
        </w:rPr>
        <w:t xml:space="preserve">neobsahují výdaje za léky spotřebované přímo ve zdravotnických zařízeních. Pokud bychom do této položky zařadili i výdaje za tyto léky – podrobněji viz samostatná kapitola č.3.4 – pak by podíl léčiv a ostatních zdravotnických výrobků na celkových výdajích na zdravotní péči v Česku dosáhl </w:t>
      </w:r>
      <w:r w:rsidR="00CA5A12" w:rsidRPr="00F12246">
        <w:rPr>
          <w:i/>
        </w:rPr>
        <w:t xml:space="preserve">v roce 2016 </w:t>
      </w:r>
      <w:r w:rsidRPr="00F12246">
        <w:rPr>
          <w:i/>
        </w:rPr>
        <w:t xml:space="preserve">jedné čtvrtiny (92,3 mld. Kč). </w:t>
      </w:r>
    </w:p>
    <w:p w:rsidR="002B4648" w:rsidRPr="00240B6D" w:rsidRDefault="002B4648" w:rsidP="002B4648">
      <w:pPr>
        <w:widowControl w:val="0"/>
        <w:spacing w:before="120"/>
        <w:jc w:val="both"/>
      </w:pPr>
      <w:r w:rsidRPr="00A91F5C">
        <w:rPr>
          <w:b/>
        </w:rPr>
        <w:t>Léčiva a zdravotnický materiál</w:t>
      </w:r>
      <w:r w:rsidRPr="00240B6D">
        <w:t xml:space="preserve"> (léky</w:t>
      </w:r>
      <w:r>
        <w:t xml:space="preserve">, </w:t>
      </w:r>
      <w:r w:rsidRPr="00240B6D">
        <w:t>dezinfekce, obvazy, náplasti, teploměry atd.) tvoří dlouhodobě až 86 % výdajů této skupiny</w:t>
      </w:r>
      <w:r>
        <w:t xml:space="preserve">. </w:t>
      </w:r>
      <w:r w:rsidRPr="00A91F5C">
        <w:rPr>
          <w:i/>
        </w:rPr>
        <w:t>Při započtení i výše uvedených léků spotřebovaných přímo ve zdravotnických zařízeních dokonce téměř 90 %.</w:t>
      </w:r>
      <w:r w:rsidRPr="00240B6D">
        <w:t xml:space="preserve"> Meziročně se výdaje v uvedené skupině léčiv zvýšily v roce 2016 o 2,2 % (v</w:t>
      </w:r>
      <w:r>
        <w:t> </w:t>
      </w:r>
      <w:r w:rsidRPr="00240B6D">
        <w:t xml:space="preserve">absolutních hodnotách o 1,3 mld. Kč), což je dáno zejména zvýšením výdajů za volně prodejné léky, které hradí domácnosti, a to o 5,5 %. </w:t>
      </w:r>
      <w:r w:rsidRPr="00A91F5C">
        <w:rPr>
          <w:i/>
        </w:rPr>
        <w:t>Při započtení léků spotřebovaných přímo ve zdravotnických zařízeních, výdaje za léčiva meziročně vzrostla o 3,0 % (2,4 mld. Kč).</w:t>
      </w:r>
      <w:r w:rsidRPr="00240B6D">
        <w:t xml:space="preserve"> </w:t>
      </w:r>
    </w:p>
    <w:p w:rsidR="00CA5A12" w:rsidRPr="00240B6D" w:rsidRDefault="00CA5A12" w:rsidP="00A91F5C">
      <w:pPr>
        <w:keepNext/>
        <w:spacing w:before="240" w:after="240" w:line="240" w:lineRule="auto"/>
        <w:jc w:val="both"/>
        <w:rPr>
          <w:b/>
          <w:bCs/>
          <w:sz w:val="18"/>
          <w:szCs w:val="18"/>
        </w:rPr>
      </w:pPr>
      <w:r w:rsidRPr="00240B6D">
        <w:rPr>
          <w:b/>
          <w:bCs/>
          <w:sz w:val="18"/>
          <w:szCs w:val="18"/>
        </w:rPr>
        <w:t xml:space="preserve">Graf č: 2.8 Výdaje na léčiva a ostatní zdravotnické výrobky v Česku, </w:t>
      </w:r>
      <w:r w:rsidR="00527720">
        <w:rPr>
          <w:b/>
          <w:bCs/>
          <w:sz w:val="18"/>
          <w:szCs w:val="18"/>
        </w:rPr>
        <w:t>2012</w:t>
      </w:r>
      <w:r w:rsidR="00527720" w:rsidRPr="00240B6D">
        <w:rPr>
          <w:b/>
          <w:bCs/>
          <w:sz w:val="18"/>
          <w:szCs w:val="18"/>
        </w:rPr>
        <w:t xml:space="preserve"> </w:t>
      </w:r>
      <w:r w:rsidRPr="00240B6D">
        <w:rPr>
          <w:b/>
          <w:bCs/>
          <w:sz w:val="18"/>
          <w:szCs w:val="18"/>
        </w:rPr>
        <w:t>– 2016</w:t>
      </w:r>
    </w:p>
    <w:p w:rsidR="00CA5A12" w:rsidRPr="00240B6D" w:rsidRDefault="00CA5A12" w:rsidP="00A91F5C">
      <w:pPr>
        <w:keepNext/>
        <w:tabs>
          <w:tab w:val="left" w:pos="142"/>
          <w:tab w:val="left" w:pos="5812"/>
        </w:tabs>
        <w:spacing w:before="120"/>
        <w:jc w:val="both"/>
        <w:rPr>
          <w:b/>
          <w:i/>
          <w:sz w:val="18"/>
        </w:rPr>
      </w:pPr>
      <w:r w:rsidRPr="00240B6D">
        <w:rPr>
          <w:b/>
          <w:i/>
          <w:sz w:val="18"/>
        </w:rPr>
        <w:tab/>
        <w:t xml:space="preserve">a) v mld. Kč </w:t>
      </w:r>
      <w:r w:rsidRPr="00240B6D">
        <w:rPr>
          <w:b/>
          <w:i/>
          <w:sz w:val="18"/>
        </w:rPr>
        <w:tab/>
        <w:t>b) struktura v %</w:t>
      </w:r>
    </w:p>
    <w:p w:rsidR="00CA5A12" w:rsidRPr="00240B6D" w:rsidRDefault="00CA5A12" w:rsidP="00E97C6C">
      <w:pPr>
        <w:keepNext/>
        <w:tabs>
          <w:tab w:val="left" w:pos="142"/>
          <w:tab w:val="left" w:pos="5812"/>
        </w:tabs>
        <w:jc w:val="both"/>
        <w:rPr>
          <w:b/>
          <w:i/>
          <w:sz w:val="18"/>
        </w:rPr>
      </w:pPr>
      <w:r w:rsidRPr="00240B6D">
        <w:rPr>
          <w:noProof/>
        </w:rPr>
        <w:drawing>
          <wp:inline distT="0" distB="0" distL="0" distR="0">
            <wp:extent cx="3420000" cy="2880000"/>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40B6D">
        <w:rPr>
          <w:noProof/>
          <w:lang w:val="en-US" w:eastAsia="en-US"/>
        </w:rPr>
        <w:t xml:space="preserve"> </w:t>
      </w:r>
      <w:r w:rsidRPr="00240B6D">
        <w:rPr>
          <w:noProof/>
        </w:rPr>
        <w:drawing>
          <wp:inline distT="0" distB="0" distL="0" distR="0">
            <wp:extent cx="2664000" cy="288000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4648" w:rsidRDefault="00CA5A12" w:rsidP="00CA5A12">
      <w:pPr>
        <w:keepNext/>
        <w:spacing w:line="240" w:lineRule="auto"/>
        <w:jc w:val="both"/>
        <w:rPr>
          <w:rFonts w:cs="Arial"/>
          <w:sz w:val="16"/>
          <w:szCs w:val="16"/>
        </w:rPr>
      </w:pPr>
      <w:r w:rsidRPr="00240B6D">
        <w:rPr>
          <w:rFonts w:cs="Arial"/>
          <w:bCs/>
          <w:sz w:val="16"/>
          <w:szCs w:val="16"/>
        </w:rPr>
        <w:t xml:space="preserve">(1) zahrnují spotřebu léků např. v </w:t>
      </w:r>
      <w:r w:rsidRPr="00240B6D">
        <w:rPr>
          <w:rFonts w:cs="Arial"/>
          <w:sz w:val="16"/>
          <w:szCs w:val="16"/>
        </w:rPr>
        <w:t>nemocnicích, zařízeních pro dlouhodobě nemocné a hospicového typu, lázeňských léčebnách, poliklinikách</w:t>
      </w:r>
    </w:p>
    <w:p w:rsidR="00005868" w:rsidRPr="002B4648" w:rsidRDefault="00005868" w:rsidP="00CA5A12">
      <w:pPr>
        <w:keepNext/>
        <w:spacing w:line="240" w:lineRule="auto"/>
        <w:jc w:val="both"/>
        <w:rPr>
          <w:rFonts w:cs="Arial"/>
          <w:sz w:val="16"/>
          <w:szCs w:val="16"/>
        </w:rPr>
      </w:pPr>
      <w:r>
        <w:rPr>
          <w:rFonts w:cs="Arial"/>
          <w:sz w:val="16"/>
          <w:szCs w:val="16"/>
        </w:rPr>
        <w:t>ZZ – zdravotnická zařízení</w:t>
      </w:r>
    </w:p>
    <w:p w:rsidR="00CA5A12" w:rsidRPr="00240B6D" w:rsidRDefault="00CA5A12" w:rsidP="00CA5A12">
      <w:pPr>
        <w:spacing w:before="120" w:after="24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B4648" w:rsidP="00240B6D">
      <w:pPr>
        <w:widowControl w:val="0"/>
        <w:spacing w:before="120"/>
        <w:jc w:val="both"/>
      </w:pPr>
      <w:r>
        <w:rPr>
          <w:b/>
        </w:rPr>
        <w:t>V</w:t>
      </w:r>
      <w:r w:rsidR="00240B6D" w:rsidRPr="00240B6D">
        <w:rPr>
          <w:b/>
        </w:rPr>
        <w:t>ýdaje na</w:t>
      </w:r>
      <w:r w:rsidR="00240B6D" w:rsidRPr="00240B6D">
        <w:t xml:space="preserve"> </w:t>
      </w:r>
      <w:r w:rsidR="00240B6D" w:rsidRPr="00240B6D">
        <w:rPr>
          <w:b/>
        </w:rPr>
        <w:t>terapeutické pomůcky</w:t>
      </w:r>
      <w:r w:rsidR="00240B6D" w:rsidRPr="00240B6D">
        <w:t xml:space="preserve"> (brýle, naslouchadla, berle, invalidní vozíky, apod.)</w:t>
      </w:r>
      <w:r>
        <w:t xml:space="preserve"> se podílely 14 % na celkových výdajích na léčiva a ostatní zdravotnický materiál a výrobky </w:t>
      </w:r>
      <w:r w:rsidRPr="002B4648">
        <w:rPr>
          <w:i/>
        </w:rPr>
        <w:t>– při započtení i výdajů za léky přímo spotřebované ve zdravotnických zařízeních by byl tento podíl cca 11 %.</w:t>
      </w:r>
      <w:r w:rsidR="00240B6D" w:rsidRPr="00240B6D">
        <w:t xml:space="preserve"> Za </w:t>
      </w:r>
      <w:r w:rsidR="00240B6D" w:rsidRPr="002B4648">
        <w:rPr>
          <w:b/>
        </w:rPr>
        <w:t>dioptrické brýle, kontaktní čočky a ostatní výrobky oční optiky</w:t>
      </w:r>
      <w:r w:rsidR="00240B6D" w:rsidRPr="00240B6D">
        <w:t xml:space="preserve"> utratí pacienti každoročně v průměru 4 mld. Kč, z čehož 92 % těchto výdajů hradí domácnosti a zbývajících 8 % zdravotní pojišťovny. </w:t>
      </w:r>
    </w:p>
    <w:p w:rsidR="00240B6D" w:rsidRPr="00240B6D" w:rsidRDefault="00240B6D" w:rsidP="00240B6D">
      <w:pPr>
        <w:keepNext/>
        <w:spacing w:before="240" w:after="120"/>
        <w:jc w:val="both"/>
        <w:rPr>
          <w:bCs/>
          <w:szCs w:val="20"/>
        </w:rPr>
      </w:pPr>
      <w:r w:rsidRPr="00240B6D">
        <w:rPr>
          <w:bCs/>
          <w:szCs w:val="20"/>
        </w:rPr>
        <w:t xml:space="preserve">V letech 2010 až 2016 rostly výdaje na </w:t>
      </w:r>
      <w:r w:rsidRPr="00A91F5C">
        <w:rPr>
          <w:b/>
          <w:bCs/>
          <w:szCs w:val="20"/>
        </w:rPr>
        <w:t>léčiva a ostatní zdravotnické výrobky</w:t>
      </w:r>
      <w:r w:rsidRPr="00240B6D">
        <w:rPr>
          <w:bCs/>
          <w:szCs w:val="20"/>
        </w:rPr>
        <w:t xml:space="preserve"> v Česku v průměru v běžných cenách o 0,75 % ročně. Od roku 2010 včetně bylo za tyto položky </w:t>
      </w:r>
      <w:r w:rsidR="00A91F5C">
        <w:rPr>
          <w:bCs/>
          <w:szCs w:val="20"/>
        </w:rPr>
        <w:t xml:space="preserve">vynaloženo </w:t>
      </w:r>
      <w:r w:rsidRPr="00240B6D">
        <w:rPr>
          <w:bCs/>
          <w:szCs w:val="20"/>
        </w:rPr>
        <w:t xml:space="preserve">celkem téměř půl biliónu korun (475,5 mld. Kč), z toho v posledních třech letech (2014 až 2016) to bylo 204,1 miliard. Průměrné výdaje na léčiva a zdravotnické výrobky zdravotní péči vztažené na jednoho obyvatele dosáhly v roce 2016 částky 6 558 Kč. </w:t>
      </w:r>
      <w:r w:rsidRPr="00A91F5C">
        <w:rPr>
          <w:bCs/>
          <w:i/>
          <w:szCs w:val="20"/>
        </w:rPr>
        <w:t>Pokud bychom do této částky započetly i výdaje za léky spotřebované přímo ve zdravotnických zařízeních, pak by šlo o částku 8 773 Kč.</w:t>
      </w:r>
      <w:r w:rsidRPr="00240B6D">
        <w:rPr>
          <w:bCs/>
          <w:szCs w:val="20"/>
        </w:rPr>
        <w:t xml:space="preserve"> </w:t>
      </w:r>
    </w:p>
    <w:p w:rsidR="00005868" w:rsidRDefault="00005868" w:rsidP="00005868">
      <w:pPr>
        <w:widowControl w:val="0"/>
        <w:spacing w:before="120"/>
        <w:jc w:val="both"/>
        <w:rPr>
          <w:b/>
          <w:i/>
          <w:szCs w:val="20"/>
        </w:rPr>
      </w:pPr>
    </w:p>
    <w:p w:rsidR="00240B6D" w:rsidRPr="00240B6D" w:rsidRDefault="00240B6D" w:rsidP="00005868">
      <w:pPr>
        <w:widowControl w:val="0"/>
        <w:spacing w:before="120"/>
        <w:jc w:val="both"/>
        <w:rPr>
          <w:b/>
          <w:i/>
          <w:szCs w:val="20"/>
        </w:rPr>
      </w:pPr>
      <w:r w:rsidRPr="00240B6D">
        <w:rPr>
          <w:b/>
          <w:i/>
          <w:szCs w:val="20"/>
        </w:rPr>
        <w:lastRenderedPageBreak/>
        <w:t>Přeprava pacientů hrazená z veřejného zdravotního pojištění stála téměř 4 mld. Kč</w:t>
      </w:r>
    </w:p>
    <w:p w:rsidR="00240B6D" w:rsidRPr="00240B6D" w:rsidRDefault="00240B6D" w:rsidP="002B4648">
      <w:pPr>
        <w:widowControl w:val="0"/>
        <w:spacing w:before="120"/>
        <w:jc w:val="both"/>
        <w:rPr>
          <w:szCs w:val="20"/>
        </w:rPr>
      </w:pPr>
      <w:r w:rsidRPr="00240B6D">
        <w:rPr>
          <w:b/>
          <w:szCs w:val="20"/>
        </w:rPr>
        <w:t>Doplňkové služby</w:t>
      </w:r>
      <w:r w:rsidRPr="00240B6D">
        <w:rPr>
          <w:szCs w:val="20"/>
        </w:rPr>
        <w:t xml:space="preserve"> tvoří dlouhodobě 11 % celkových výdajů na zdravotnictví. Více než polovinu výdajů (22,5 mld. Kč v roce 2016) z této kategorie představují výdaje na </w:t>
      </w:r>
      <w:r w:rsidRPr="00240B6D">
        <w:rPr>
          <w:b/>
          <w:szCs w:val="20"/>
        </w:rPr>
        <w:t>laboratorní vyšetření</w:t>
      </w:r>
      <w:r w:rsidRPr="00240B6D">
        <w:rPr>
          <w:szCs w:val="20"/>
        </w:rPr>
        <w:t xml:space="preserve">. Výdaje za </w:t>
      </w:r>
      <w:r w:rsidRPr="00240B6D">
        <w:rPr>
          <w:b/>
          <w:szCs w:val="20"/>
        </w:rPr>
        <w:t>zobrazovací metody</w:t>
      </w:r>
      <w:r w:rsidRPr="00240B6D">
        <w:rPr>
          <w:szCs w:val="20"/>
        </w:rPr>
        <w:t xml:space="preserve"> dosáhly ve stejném roce hodnoty 10,7 mld. Kč. Výdaje na</w:t>
      </w:r>
      <w:r w:rsidRPr="00240B6D">
        <w:rPr>
          <w:b/>
          <w:szCs w:val="20"/>
        </w:rPr>
        <w:t xml:space="preserve"> dopravu pacientů</w:t>
      </w:r>
      <w:r w:rsidRPr="00240B6D">
        <w:rPr>
          <w:szCs w:val="20"/>
        </w:rPr>
        <w:t xml:space="preserve"> se po mírném propadu v roce 2014 </w:t>
      </w:r>
      <w:r w:rsidR="003D5919">
        <w:rPr>
          <w:szCs w:val="20"/>
        </w:rPr>
        <w:t xml:space="preserve">v následujícím roce </w:t>
      </w:r>
      <w:r w:rsidRPr="00240B6D">
        <w:rPr>
          <w:szCs w:val="20"/>
        </w:rPr>
        <w:t>zvýšily o 8 % a zaujaly téměř pětinu výdajů ze skupiny doplňkových služeb, přičemž největší podíl na těchto výdajích má pochopitelně zdravotnická záchranná služba (ZZS). Podle metodiky SHA se však výdaje na ZZS nerozlišují zvlášť, ale jsou spojeny s celkovými výdaji na dopravu.</w:t>
      </w:r>
    </w:p>
    <w:p w:rsidR="00240B6D" w:rsidRPr="00240B6D" w:rsidRDefault="00240B6D" w:rsidP="00240B6D">
      <w:pPr>
        <w:keepNext/>
        <w:spacing w:before="120"/>
        <w:jc w:val="both"/>
      </w:pPr>
      <w:r w:rsidRPr="00240B6D">
        <w:t xml:space="preserve">Kromě dopravy pacientů, která je z poloviny hrazena přímo ze státního rozpočtu či místních rozpočtů, jsou výše uvedená laboratorní vyšetření a zobrazovací metody jsou plně hrazeny z veřejného pojištění.  </w:t>
      </w:r>
    </w:p>
    <w:p w:rsidR="00240B6D" w:rsidRPr="00240B6D" w:rsidRDefault="00240B6D" w:rsidP="00240B6D">
      <w:pPr>
        <w:keepNext/>
        <w:spacing w:before="240" w:after="120" w:line="240" w:lineRule="auto"/>
        <w:jc w:val="both"/>
        <w:rPr>
          <w:b/>
          <w:bCs/>
          <w:sz w:val="18"/>
          <w:szCs w:val="18"/>
        </w:rPr>
      </w:pPr>
      <w:r w:rsidRPr="00240B6D">
        <w:rPr>
          <w:b/>
          <w:bCs/>
          <w:sz w:val="18"/>
          <w:szCs w:val="18"/>
        </w:rPr>
        <w:t>Graf č: 2.9 Výdaje na doplňkové služby v oblasti zdravotní péče v Česku, 2012 - 2016</w:t>
      </w:r>
    </w:p>
    <w:p w:rsidR="00240B6D" w:rsidRPr="00240B6D" w:rsidRDefault="00240B6D" w:rsidP="00240B6D">
      <w:pPr>
        <w:keepNext/>
        <w:tabs>
          <w:tab w:val="left" w:pos="142"/>
          <w:tab w:val="left" w:pos="5812"/>
        </w:tabs>
        <w:jc w:val="both"/>
        <w:rPr>
          <w:b/>
          <w:i/>
          <w:sz w:val="18"/>
        </w:rPr>
      </w:pPr>
      <w:r w:rsidRPr="00240B6D">
        <w:rPr>
          <w:b/>
          <w:i/>
          <w:sz w:val="18"/>
        </w:rPr>
        <w:tab/>
        <w:t xml:space="preserve">a) v mld. Kč </w:t>
      </w:r>
      <w:r w:rsidRPr="00240B6D">
        <w:rPr>
          <w:b/>
          <w:i/>
          <w:sz w:val="18"/>
        </w:rPr>
        <w:tab/>
        <w:t>b) struktura v %</w:t>
      </w:r>
    </w:p>
    <w:p w:rsidR="00240B6D" w:rsidRPr="00240B6D" w:rsidRDefault="00240B6D" w:rsidP="00005868">
      <w:pPr>
        <w:keepNext/>
        <w:tabs>
          <w:tab w:val="left" w:pos="142"/>
          <w:tab w:val="left" w:pos="5812"/>
        </w:tabs>
        <w:jc w:val="both"/>
        <w:rPr>
          <w:b/>
          <w:i/>
          <w:sz w:val="18"/>
        </w:rPr>
      </w:pPr>
      <w:r w:rsidRPr="00240B6D">
        <w:rPr>
          <w:noProof/>
        </w:rPr>
        <w:drawing>
          <wp:inline distT="0" distB="0" distL="0" distR="0">
            <wp:extent cx="3600000" cy="28800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40B6D">
        <w:rPr>
          <w:noProof/>
          <w:lang w:val="en-US" w:eastAsia="en-US"/>
        </w:rPr>
        <w:t xml:space="preserve"> </w:t>
      </w:r>
      <w:r w:rsidRPr="00240B6D">
        <w:rPr>
          <w:noProof/>
        </w:rPr>
        <w:drawing>
          <wp:inline distT="0" distB="0" distL="0" distR="0">
            <wp:extent cx="2484000" cy="28800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40B6D">
        <w:rPr>
          <w:noProof/>
          <w:lang w:val="en-US" w:eastAsia="en-US"/>
        </w:rPr>
        <w:t xml:space="preserve"> </w:t>
      </w:r>
    </w:p>
    <w:p w:rsidR="00240B6D" w:rsidRPr="00240B6D" w:rsidRDefault="00240B6D" w:rsidP="00240B6D">
      <w:pPr>
        <w:keepNext/>
        <w:spacing w:line="240" w:lineRule="auto"/>
        <w:jc w:val="both"/>
        <w:rPr>
          <w:sz w:val="16"/>
          <w:szCs w:val="16"/>
        </w:rPr>
      </w:pPr>
      <w:r w:rsidRPr="00240B6D">
        <w:rPr>
          <w:bCs/>
          <w:i/>
          <w:sz w:val="16"/>
          <w:szCs w:val="16"/>
        </w:rPr>
        <w:t xml:space="preserve"> </w:t>
      </w:r>
      <w:r w:rsidRPr="00240B6D">
        <w:rPr>
          <w:bCs/>
          <w:sz w:val="16"/>
          <w:szCs w:val="16"/>
        </w:rPr>
        <w:t>(1)</w:t>
      </w:r>
      <w:r w:rsidRPr="00240B6D">
        <w:rPr>
          <w:sz w:val="16"/>
          <w:szCs w:val="16"/>
        </w:rPr>
        <w:t xml:space="preserve"> laboratorní vyšetření zahrnují především testy z klinické biochemie a mikrobiologie, testy krevní srážlivosti, genetiky, ale také </w:t>
      </w:r>
    </w:p>
    <w:p w:rsidR="00240B6D" w:rsidRPr="00240B6D" w:rsidRDefault="00240B6D" w:rsidP="00240B6D">
      <w:pPr>
        <w:keepNext/>
        <w:spacing w:line="240" w:lineRule="auto"/>
        <w:jc w:val="both"/>
        <w:rPr>
          <w:bCs/>
          <w:i/>
          <w:sz w:val="16"/>
          <w:szCs w:val="16"/>
        </w:rPr>
      </w:pPr>
      <w:r w:rsidRPr="00240B6D">
        <w:rPr>
          <w:sz w:val="16"/>
          <w:szCs w:val="16"/>
        </w:rPr>
        <w:t xml:space="preserve">  z cytologie, která je nezbytnou součástí gynekologických prohlídek</w:t>
      </w:r>
    </w:p>
    <w:p w:rsidR="00240B6D" w:rsidRPr="00240B6D" w:rsidRDefault="00240B6D" w:rsidP="00240B6D">
      <w:pPr>
        <w:keepNext/>
        <w:spacing w:line="240" w:lineRule="auto"/>
        <w:jc w:val="both"/>
        <w:rPr>
          <w:sz w:val="16"/>
          <w:szCs w:val="16"/>
        </w:rPr>
      </w:pPr>
      <w:r w:rsidRPr="00240B6D">
        <w:rPr>
          <w:bCs/>
          <w:sz w:val="16"/>
          <w:szCs w:val="16"/>
        </w:rPr>
        <w:t xml:space="preserve"> (2) do </w:t>
      </w:r>
      <w:r w:rsidRPr="00240B6D">
        <w:rPr>
          <w:sz w:val="16"/>
          <w:szCs w:val="16"/>
        </w:rPr>
        <w:t xml:space="preserve">kategorie zobrazovací metody patří např. klasické, ale i kontrastní RTG snímkování, ultrazvuková diagnostika, vyšetření pomocí </w:t>
      </w:r>
    </w:p>
    <w:p w:rsidR="00240B6D" w:rsidRPr="00240B6D" w:rsidRDefault="00240B6D" w:rsidP="00240B6D">
      <w:pPr>
        <w:keepNext/>
        <w:spacing w:line="240" w:lineRule="auto"/>
        <w:jc w:val="both"/>
        <w:rPr>
          <w:bCs/>
          <w:i/>
          <w:sz w:val="16"/>
          <w:szCs w:val="16"/>
        </w:rPr>
      </w:pPr>
      <w:r w:rsidRPr="00240B6D">
        <w:rPr>
          <w:sz w:val="16"/>
          <w:szCs w:val="16"/>
        </w:rPr>
        <w:t xml:space="preserve"> počítačové tomografie (CT), zobrazování magnetickou rezonancí</w:t>
      </w:r>
    </w:p>
    <w:p w:rsidR="00240B6D" w:rsidRPr="00240B6D" w:rsidRDefault="00240B6D" w:rsidP="00240B6D">
      <w:pPr>
        <w:spacing w:before="120"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5151FB">
      <w:pPr>
        <w:keepNext/>
        <w:keepLines/>
        <w:pageBreakBefore/>
        <w:spacing w:before="120" w:after="120"/>
        <w:outlineLvl w:val="1"/>
        <w:rPr>
          <w:rFonts w:eastAsia="MS Gothic"/>
          <w:b/>
          <w:bCs/>
          <w:color w:val="BC091B"/>
          <w:sz w:val="28"/>
          <w:szCs w:val="17"/>
        </w:rPr>
      </w:pPr>
      <w:bookmarkStart w:id="16" w:name="_Toc481748788"/>
      <w:r w:rsidRPr="00240B6D">
        <w:rPr>
          <w:rFonts w:eastAsia="MS Gothic"/>
          <w:b/>
          <w:bCs/>
          <w:color w:val="BC091B"/>
          <w:sz w:val="28"/>
          <w:szCs w:val="26"/>
        </w:rPr>
        <w:lastRenderedPageBreak/>
        <w:t>2.4 Výdaje na zdravotní péči podle typu poskytovatele</w:t>
      </w:r>
      <w:bookmarkEnd w:id="16"/>
    </w:p>
    <w:p w:rsidR="00240B6D" w:rsidRPr="00240B6D" w:rsidRDefault="00240B6D" w:rsidP="00005868">
      <w:pPr>
        <w:keepNext/>
        <w:spacing w:before="120"/>
        <w:jc w:val="both"/>
      </w:pPr>
      <w:r w:rsidRPr="00240B6D">
        <w:t xml:space="preserve">Konečně třetí pohled na problematiku zdravotní péče nám dává odpověď na otázku, kdo ji poskytuje. Rozhodující je proto typ poskytovatele přiřazený nositeli právní subjektivity, který automaticky přejímají i všechna začleněná zařízení bez vlastní právní subjektivity. </w:t>
      </w:r>
      <w:r w:rsidRPr="00005868">
        <w:rPr>
          <w:i/>
        </w:rPr>
        <w:t>Bude-li například lékárna, specializovaná ambulance nebo léčebna dlouhodobě nemocných zařazena v rámci širšího subjektu nemocnice, pak se veškeré výdaje na toto zařízení objeví ve výdajích nemocnice. Podle druhu péče pak poznáme, za jakou péči byly peníze vydány, což v případě lékárny v nemocnici mohou být například léky na předpis, u ambulance ambulantní léčebná péče a u léčebny dlouhodobě nemocných dlouhodobá lůžková péče.</w:t>
      </w:r>
      <w:r w:rsidRPr="00240B6D">
        <w:t xml:space="preserve"> </w:t>
      </w:r>
    </w:p>
    <w:p w:rsidR="00005868" w:rsidRPr="00005868" w:rsidRDefault="00005868" w:rsidP="00005868">
      <w:pPr>
        <w:keepNext/>
        <w:spacing w:before="120"/>
        <w:jc w:val="both"/>
        <w:rPr>
          <w:i/>
        </w:rPr>
      </w:pPr>
      <w:r w:rsidRPr="00005868">
        <w:rPr>
          <w:i/>
        </w:rPr>
        <w:t>V České republice existuje Národní registr poskytovatelů zdravotních služeb (NRPZS), který poskytuje kompletní přehled o všech poskytovatelích zdravotních služeb, bez ohledu na jejich zřizovatele. Poskytuje údaje o profilu a rozsahu péče poskytované jednotlivými zdravotnickými zařízeními, obsahuje kontaktní údaje na daná zdravotnická zařízení a další podrobnější informace. Správcem a provozovatelem registru je Ústav zdravotnických informací a statistiky ČR (ÚZIS).</w:t>
      </w:r>
    </w:p>
    <w:p w:rsidR="00240B6D" w:rsidRPr="00240B6D" w:rsidRDefault="00240B6D" w:rsidP="00240B6D">
      <w:pPr>
        <w:keepNext/>
        <w:spacing w:line="240" w:lineRule="auto"/>
        <w:jc w:val="both"/>
        <w:rPr>
          <w:b/>
          <w:bCs/>
          <w:sz w:val="2"/>
          <w:szCs w:val="18"/>
        </w:rPr>
      </w:pPr>
    </w:p>
    <w:p w:rsidR="00240B6D" w:rsidRPr="00240B6D" w:rsidRDefault="00240B6D" w:rsidP="00005868">
      <w:pPr>
        <w:keepNext/>
        <w:spacing w:before="240" w:after="120"/>
        <w:jc w:val="both"/>
        <w:rPr>
          <w:b/>
          <w:bCs/>
          <w:sz w:val="18"/>
          <w:szCs w:val="18"/>
        </w:rPr>
      </w:pPr>
      <w:r w:rsidRPr="00240B6D">
        <w:rPr>
          <w:b/>
          <w:bCs/>
          <w:sz w:val="18"/>
          <w:szCs w:val="18"/>
        </w:rPr>
        <w:t>Tabulka č. 2.3 Výdaje na zdravotní péči v Česku podle typu poskytovatele (mil. Kč)</w:t>
      </w:r>
    </w:p>
    <w:tbl>
      <w:tblPr>
        <w:tblW w:w="9633" w:type="dxa"/>
        <w:tblInd w:w="93" w:type="dxa"/>
        <w:tblLayout w:type="fixed"/>
        <w:tblLook w:val="04A0" w:firstRow="1" w:lastRow="0" w:firstColumn="1" w:lastColumn="0" w:noHBand="0" w:noVBand="1"/>
      </w:tblPr>
      <w:tblGrid>
        <w:gridCol w:w="3206"/>
        <w:gridCol w:w="805"/>
        <w:gridCol w:w="805"/>
        <w:gridCol w:w="805"/>
        <w:gridCol w:w="805"/>
        <w:gridCol w:w="805"/>
        <w:gridCol w:w="805"/>
        <w:gridCol w:w="805"/>
        <w:gridCol w:w="792"/>
      </w:tblGrid>
      <w:tr w:rsidR="00240B6D" w:rsidRPr="00240B6D" w:rsidTr="00240B6D">
        <w:trPr>
          <w:trHeight w:val="530"/>
        </w:trPr>
        <w:tc>
          <w:tcPr>
            <w:tcW w:w="3206"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sz w:val="16"/>
                <w:szCs w:val="16"/>
                <w:lang w:eastAsia="en-US"/>
              </w:rPr>
            </w:pPr>
            <w:r w:rsidRPr="00240B6D">
              <w:rPr>
                <w:rFonts w:cs="Arial"/>
                <w:sz w:val="16"/>
                <w:szCs w:val="16"/>
                <w:lang w:eastAsia="en-US"/>
              </w:rPr>
              <w:t>Ukazatel</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2010</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2011</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2012</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2013</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2014</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2015</w:t>
            </w:r>
          </w:p>
        </w:tc>
        <w:tc>
          <w:tcPr>
            <w:tcW w:w="805" w:type="dxa"/>
            <w:tcBorders>
              <w:top w:val="single" w:sz="8" w:space="0" w:color="auto"/>
              <w:left w:val="nil"/>
              <w:bottom w:val="single" w:sz="8" w:space="0" w:color="auto"/>
              <w:right w:val="single" w:sz="4" w:space="0" w:color="auto"/>
            </w:tcBorders>
            <w:shd w:val="clear" w:color="auto" w:fill="auto"/>
            <w:noWrap/>
            <w:vAlign w:val="center"/>
            <w:hideMark/>
          </w:tcPr>
          <w:p w:rsidR="00240B6D" w:rsidRPr="00240B6D" w:rsidRDefault="00240B6D" w:rsidP="00240B6D">
            <w:pPr>
              <w:spacing w:line="240" w:lineRule="auto"/>
              <w:jc w:val="center"/>
              <w:rPr>
                <w:rFonts w:cs="Arial"/>
                <w:b/>
                <w:bCs/>
                <w:sz w:val="16"/>
                <w:szCs w:val="16"/>
                <w:lang w:eastAsia="en-US"/>
              </w:rPr>
            </w:pPr>
            <w:r w:rsidRPr="00240B6D">
              <w:rPr>
                <w:rFonts w:cs="Arial"/>
                <w:b/>
                <w:bCs/>
                <w:sz w:val="16"/>
                <w:szCs w:val="16"/>
                <w:lang w:eastAsia="en-US"/>
              </w:rPr>
              <w:t>2016</w:t>
            </w:r>
          </w:p>
        </w:tc>
        <w:tc>
          <w:tcPr>
            <w:tcW w:w="792" w:type="dxa"/>
            <w:tcBorders>
              <w:top w:val="single" w:sz="8" w:space="0" w:color="auto"/>
              <w:left w:val="nil"/>
              <w:bottom w:val="single" w:sz="8" w:space="0" w:color="auto"/>
              <w:right w:val="nil"/>
            </w:tcBorders>
            <w:shd w:val="clear" w:color="auto" w:fill="auto"/>
            <w:vAlign w:val="center"/>
            <w:hideMark/>
          </w:tcPr>
          <w:p w:rsidR="00240B6D" w:rsidRPr="00240B6D" w:rsidRDefault="00240B6D" w:rsidP="00240B6D">
            <w:pPr>
              <w:spacing w:line="240" w:lineRule="auto"/>
              <w:jc w:val="center"/>
              <w:rPr>
                <w:rFonts w:cs="Arial"/>
                <w:b/>
                <w:bCs/>
                <w:i/>
                <w:iCs/>
                <w:color w:val="000000"/>
                <w:sz w:val="16"/>
                <w:szCs w:val="16"/>
                <w:lang w:eastAsia="en-US"/>
              </w:rPr>
            </w:pPr>
            <w:r w:rsidRPr="00240B6D">
              <w:rPr>
                <w:rFonts w:cs="Arial"/>
                <w:b/>
                <w:bCs/>
                <w:i/>
                <w:iCs/>
                <w:color w:val="000000"/>
                <w:sz w:val="16"/>
                <w:szCs w:val="16"/>
                <w:lang w:eastAsia="en-US"/>
              </w:rPr>
              <w:t>Index 16/15</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Nemocnice</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133 211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133 567</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134 498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136 679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136 872</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137 195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138 935</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101,3</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v</w:t>
            </w:r>
            <w:r w:rsidR="00240B6D" w:rsidRPr="00240B6D">
              <w:rPr>
                <w:rFonts w:cs="Arial"/>
                <w:sz w:val="16"/>
                <w:szCs w:val="16"/>
                <w:lang w:eastAsia="en-US"/>
              </w:rPr>
              <w:t>šeobecné nemocnice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114 664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117 190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116 896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119 020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118 723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122 520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122 602</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100,1</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pecializované nemocnice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18 547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16 377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17 602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17 659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18 149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14 676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16 333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111,3</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Lůžková zařízení dlouhodobé péče (1)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20 756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20 944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21 037</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21 895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22 574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24 426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26 014</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106,5</w:t>
            </w:r>
          </w:p>
        </w:tc>
      </w:tr>
      <w:tr w:rsidR="00240B6D" w:rsidRPr="00240B6D" w:rsidTr="00240B6D">
        <w:trPr>
          <w:trHeight w:val="397"/>
        </w:trPr>
        <w:tc>
          <w:tcPr>
            <w:tcW w:w="3206" w:type="dxa"/>
            <w:tcBorders>
              <w:top w:val="nil"/>
              <w:left w:val="nil"/>
              <w:bottom w:val="nil"/>
              <w:right w:val="single" w:sz="4" w:space="0" w:color="auto"/>
            </w:tcBorders>
            <w:shd w:val="clear" w:color="auto" w:fill="auto"/>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z</w:t>
            </w:r>
            <w:r w:rsidR="00240B6D" w:rsidRPr="00240B6D">
              <w:rPr>
                <w:rFonts w:cs="Arial"/>
                <w:sz w:val="16"/>
                <w:szCs w:val="16"/>
                <w:lang w:eastAsia="en-US"/>
              </w:rPr>
              <w:t xml:space="preserve">ařízení ošetřovatelské </w:t>
            </w:r>
            <w:r w:rsidR="00240B6D" w:rsidRPr="00240B6D">
              <w:rPr>
                <w:rFonts w:cs="Arial"/>
                <w:sz w:val="16"/>
                <w:szCs w:val="16"/>
                <w:lang w:eastAsia="en-US"/>
              </w:rPr>
              <w:br/>
              <w:t xml:space="preserve">   </w:t>
            </w:r>
            <w:r>
              <w:rPr>
                <w:rFonts w:cs="Arial"/>
                <w:sz w:val="16"/>
                <w:szCs w:val="16"/>
                <w:lang w:eastAsia="en-US"/>
              </w:rPr>
              <w:t xml:space="preserve"> </w:t>
            </w:r>
            <w:r w:rsidR="00240B6D" w:rsidRPr="00240B6D">
              <w:rPr>
                <w:rFonts w:cs="Arial"/>
                <w:sz w:val="16"/>
                <w:szCs w:val="16"/>
                <w:lang w:eastAsia="en-US"/>
              </w:rPr>
              <w:t>dlouhodobé péče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11 521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11 662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11 569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11 928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11 890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12 896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13 773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106,8</w:t>
            </w:r>
          </w:p>
        </w:tc>
      </w:tr>
      <w:tr w:rsidR="00240B6D" w:rsidRPr="00240B6D" w:rsidTr="00240B6D">
        <w:trPr>
          <w:trHeight w:val="397"/>
        </w:trPr>
        <w:tc>
          <w:tcPr>
            <w:tcW w:w="3206" w:type="dxa"/>
            <w:tcBorders>
              <w:top w:val="nil"/>
              <w:left w:val="nil"/>
              <w:bottom w:val="nil"/>
              <w:right w:val="single" w:sz="4" w:space="0" w:color="auto"/>
            </w:tcBorders>
            <w:shd w:val="clear" w:color="auto" w:fill="auto"/>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 xml:space="preserve">éčebny pro mentálně postižené, </w:t>
            </w:r>
            <w:r w:rsidR="00240B6D" w:rsidRPr="00240B6D">
              <w:rPr>
                <w:rFonts w:cs="Arial"/>
                <w:sz w:val="16"/>
                <w:szCs w:val="16"/>
                <w:lang w:eastAsia="en-US"/>
              </w:rPr>
              <w:br/>
              <w:t xml:space="preserve">    psychiatrické a závislé     </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8 005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8 183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8 294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8 883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9 695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10 606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11 648</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109,8</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Zařízení ambulantní péče</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66 878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69 798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68 801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71 780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71 988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72 856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74 342</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102,0</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amostatné ordinace lékaře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37 679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37 915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37 764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39 236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38 481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40 159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41 153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102,5</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amostatné ordinace zubních lékařů</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16 674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17 169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16 143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16 704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17 447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17 495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18 030</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103,1</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a</w:t>
            </w:r>
            <w:r w:rsidR="00240B6D" w:rsidRPr="00240B6D">
              <w:rPr>
                <w:rFonts w:cs="Arial"/>
                <w:sz w:val="16"/>
                <w:szCs w:val="16"/>
                <w:lang w:eastAsia="en-US"/>
              </w:rPr>
              <w:t>mbulantní centra a ostatní zařízení (2)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12 525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14 714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14 894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15 840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16 060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15 202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15 159</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99,7</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Ostatní přímí poskytovatelé ZP</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20 167</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19 913</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20 039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21 485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23 970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23 525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25 587</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108,8</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omácnosti (3)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13 788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13 362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13 620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14 593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15 207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15 991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17 393</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108,8</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o</w:t>
            </w:r>
            <w:r w:rsidR="00240B6D" w:rsidRPr="00240B6D">
              <w:rPr>
                <w:rFonts w:cs="Arial"/>
                <w:sz w:val="16"/>
                <w:szCs w:val="16"/>
                <w:lang w:eastAsia="en-US"/>
              </w:rPr>
              <w:t>statní (4)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6 379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6 551</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6 419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6 893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8 763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7 534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8 194</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108,8</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Poskytovatelé doplňkových služeb</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11 116</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11 019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11 381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11 051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11 240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11 960</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12 989</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108,6</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d</w:t>
            </w:r>
            <w:r w:rsidR="00240B6D" w:rsidRPr="00240B6D">
              <w:rPr>
                <w:rFonts w:cs="Arial"/>
                <w:sz w:val="16"/>
                <w:szCs w:val="16"/>
                <w:lang w:eastAsia="en-US"/>
              </w:rPr>
              <w:t>oprava pacientů a záchranná služba</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6 670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6 789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6 738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6 438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6 558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7 093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7 660</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108,0</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aboratoře</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4 446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4 229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4 643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4 613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4 682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4 867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5 329</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109,5</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Lékárny a ostatní prodejci zdrav. zboží</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60 738</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62 654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63 684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59 653</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55 541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56 592</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58 179</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102,8</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l</w:t>
            </w:r>
            <w:r w:rsidR="00240B6D" w:rsidRPr="00240B6D">
              <w:rPr>
                <w:rFonts w:cs="Arial"/>
                <w:sz w:val="16"/>
                <w:szCs w:val="16"/>
                <w:lang w:eastAsia="en-US"/>
              </w:rPr>
              <w:t>ékárny</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51 469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54 193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55 468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50 258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47 159</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48 684</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49 725</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102,1</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o</w:t>
            </w:r>
            <w:r w:rsidR="00240B6D" w:rsidRPr="00240B6D">
              <w:rPr>
                <w:rFonts w:cs="Arial"/>
                <w:sz w:val="16"/>
                <w:szCs w:val="16"/>
                <w:lang w:eastAsia="en-US"/>
              </w:rPr>
              <w:t>st. prodejci zdravotnického zboží (5)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9 268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8 462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8 216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9 395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8 382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7 908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8 454</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106,9</w:t>
            </w:r>
          </w:p>
        </w:tc>
      </w:tr>
      <w:tr w:rsidR="00240B6D" w:rsidRPr="00240B6D" w:rsidTr="00635FC7">
        <w:trPr>
          <w:trHeight w:val="255"/>
        </w:trPr>
        <w:tc>
          <w:tcPr>
            <w:tcW w:w="3206"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 xml:space="preserve"> Správa systému zdravotní péče</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10 794</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11 019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10 539</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11 292</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11 311</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10 845</w:t>
            </w:r>
          </w:p>
        </w:tc>
        <w:tc>
          <w:tcPr>
            <w:tcW w:w="805" w:type="dxa"/>
            <w:tcBorders>
              <w:top w:val="nil"/>
              <w:left w:val="nil"/>
              <w:bottom w:val="nil"/>
              <w:right w:val="single" w:sz="4" w:space="0" w:color="auto"/>
            </w:tcBorders>
            <w:shd w:val="clear" w:color="000000" w:fill="F2DCDB"/>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11 067</w:t>
            </w:r>
          </w:p>
        </w:tc>
        <w:tc>
          <w:tcPr>
            <w:tcW w:w="792" w:type="dxa"/>
            <w:tcBorders>
              <w:top w:val="nil"/>
              <w:left w:val="nil"/>
              <w:bottom w:val="nil"/>
              <w:right w:val="nil"/>
            </w:tcBorders>
            <w:shd w:val="clear" w:color="000000" w:fill="F2DCDB"/>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102,0</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tátní správa</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4 046</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4 075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3 767</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4 192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4 263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4 355</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4 581</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105,2</w:t>
            </w:r>
          </w:p>
        </w:tc>
      </w:tr>
      <w:tr w:rsidR="00240B6D" w:rsidRPr="00240B6D" w:rsidTr="00635FC7">
        <w:trPr>
          <w:trHeight w:val="255"/>
        </w:trPr>
        <w:tc>
          <w:tcPr>
            <w:tcW w:w="3206" w:type="dxa"/>
            <w:tcBorders>
              <w:top w:val="nil"/>
              <w:left w:val="nil"/>
              <w:bottom w:val="nil"/>
              <w:right w:val="single" w:sz="4" w:space="0" w:color="auto"/>
            </w:tcBorders>
            <w:shd w:val="clear" w:color="auto" w:fill="auto"/>
            <w:noWrap/>
            <w:vAlign w:val="bottom"/>
            <w:hideMark/>
          </w:tcPr>
          <w:p w:rsidR="00240B6D" w:rsidRPr="00240B6D" w:rsidRDefault="00635FC7" w:rsidP="00635FC7">
            <w:pPr>
              <w:spacing w:line="240" w:lineRule="auto"/>
              <w:ind w:firstLineChars="100" w:firstLine="160"/>
              <w:rPr>
                <w:rFonts w:cs="Arial"/>
                <w:sz w:val="16"/>
                <w:szCs w:val="16"/>
                <w:lang w:eastAsia="en-US"/>
              </w:rPr>
            </w:pPr>
            <w:r>
              <w:rPr>
                <w:rFonts w:cs="Arial"/>
                <w:sz w:val="16"/>
                <w:szCs w:val="16"/>
                <w:lang w:eastAsia="en-US"/>
              </w:rPr>
              <w:t>s</w:t>
            </w:r>
            <w:r w:rsidR="00240B6D" w:rsidRPr="00240B6D">
              <w:rPr>
                <w:rFonts w:cs="Arial"/>
                <w:sz w:val="16"/>
                <w:szCs w:val="16"/>
                <w:lang w:eastAsia="en-US"/>
              </w:rPr>
              <w:t>práva zdravotních pojišťoven</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6 748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6 943</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6 772</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7 100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7 048</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6 490</w:t>
            </w:r>
          </w:p>
        </w:tc>
        <w:tc>
          <w:tcPr>
            <w:tcW w:w="805" w:type="dxa"/>
            <w:tcBorders>
              <w:top w:val="nil"/>
              <w:left w:val="nil"/>
              <w:bottom w:val="nil"/>
              <w:right w:val="single" w:sz="4" w:space="0" w:color="auto"/>
            </w:tcBorders>
            <w:shd w:val="clear" w:color="auto" w:fill="auto"/>
            <w:noWrap/>
            <w:vAlign w:val="bottom"/>
            <w:hideMark/>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6 486</w:t>
            </w:r>
          </w:p>
        </w:tc>
        <w:tc>
          <w:tcPr>
            <w:tcW w:w="792" w:type="dxa"/>
            <w:tcBorders>
              <w:top w:val="nil"/>
              <w:left w:val="nil"/>
              <w:bottom w:val="nil"/>
              <w:right w:val="nil"/>
            </w:tcBorders>
            <w:shd w:val="clear" w:color="auto" w:fill="auto"/>
            <w:noWrap/>
            <w:vAlign w:val="bottom"/>
            <w:hideMark/>
          </w:tcPr>
          <w:p w:rsidR="00240B6D" w:rsidRPr="00240B6D" w:rsidRDefault="00240B6D" w:rsidP="00240B6D">
            <w:pPr>
              <w:spacing w:line="240" w:lineRule="auto"/>
              <w:jc w:val="right"/>
              <w:rPr>
                <w:rFonts w:cs="Arial"/>
                <w:i/>
                <w:iCs/>
                <w:color w:val="000000"/>
                <w:sz w:val="16"/>
                <w:szCs w:val="16"/>
                <w:lang w:eastAsia="en-US"/>
              </w:rPr>
            </w:pPr>
            <w:r w:rsidRPr="00240B6D">
              <w:rPr>
                <w:rFonts w:cs="Arial"/>
                <w:i/>
                <w:iCs/>
                <w:color w:val="000000"/>
                <w:sz w:val="16"/>
                <w:szCs w:val="16"/>
                <w:lang w:eastAsia="en-US"/>
              </w:rPr>
              <w:t>99,9</w:t>
            </w:r>
          </w:p>
        </w:tc>
      </w:tr>
      <w:tr w:rsidR="00240B6D" w:rsidRPr="00240B6D" w:rsidTr="00635FC7">
        <w:trPr>
          <w:trHeight w:val="255"/>
        </w:trPr>
        <w:tc>
          <w:tcPr>
            <w:tcW w:w="3206" w:type="dxa"/>
            <w:tcBorders>
              <w:top w:val="nil"/>
              <w:left w:val="nil"/>
              <w:bottom w:val="single" w:sz="8" w:space="0" w:color="auto"/>
              <w:right w:val="single" w:sz="4" w:space="0" w:color="auto"/>
            </w:tcBorders>
            <w:shd w:val="clear" w:color="auto" w:fill="auto"/>
            <w:noWrap/>
            <w:vAlign w:val="bottom"/>
            <w:hideMark/>
          </w:tcPr>
          <w:p w:rsidR="00240B6D" w:rsidRPr="00240B6D" w:rsidRDefault="00240B6D" w:rsidP="00240B6D">
            <w:pPr>
              <w:spacing w:line="240" w:lineRule="auto"/>
              <w:rPr>
                <w:rFonts w:cs="Arial"/>
                <w:b/>
                <w:bCs/>
                <w:i/>
                <w:iCs/>
                <w:sz w:val="16"/>
                <w:szCs w:val="16"/>
                <w:lang w:eastAsia="en-US"/>
              </w:rPr>
            </w:pPr>
            <w:r w:rsidRPr="00240B6D">
              <w:rPr>
                <w:rFonts w:cs="Arial"/>
                <w:b/>
                <w:bCs/>
                <w:i/>
                <w:iCs/>
                <w:sz w:val="16"/>
                <w:szCs w:val="16"/>
                <w:lang w:eastAsia="en-US"/>
              </w:rPr>
              <w:t xml:space="preserve"> ostatní nebo nerozlišeno (6)</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10 429</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9 166</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11 933</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10 885</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15 234</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14 639</w:t>
            </w:r>
          </w:p>
        </w:tc>
        <w:tc>
          <w:tcPr>
            <w:tcW w:w="805" w:type="dxa"/>
            <w:tcBorders>
              <w:top w:val="nil"/>
              <w:left w:val="nil"/>
              <w:bottom w:val="single" w:sz="8" w:space="0" w:color="auto"/>
              <w:right w:val="single" w:sz="4" w:space="0" w:color="auto"/>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14 535</w:t>
            </w:r>
          </w:p>
        </w:tc>
        <w:tc>
          <w:tcPr>
            <w:tcW w:w="792" w:type="dxa"/>
            <w:tcBorders>
              <w:top w:val="nil"/>
              <w:left w:val="nil"/>
              <w:bottom w:val="single" w:sz="8" w:space="0" w:color="auto"/>
              <w:right w:val="nil"/>
            </w:tcBorders>
            <w:shd w:val="clear" w:color="auto" w:fill="auto"/>
            <w:noWrap/>
            <w:vAlign w:val="bottom"/>
          </w:tcPr>
          <w:p w:rsidR="00240B6D" w:rsidRPr="00240B6D" w:rsidRDefault="00240B6D" w:rsidP="00240B6D">
            <w:pPr>
              <w:spacing w:line="240" w:lineRule="auto"/>
              <w:jc w:val="right"/>
              <w:rPr>
                <w:rFonts w:cs="Arial"/>
                <w:sz w:val="16"/>
                <w:szCs w:val="16"/>
                <w:lang w:eastAsia="en-US"/>
              </w:rPr>
            </w:pPr>
            <w:r w:rsidRPr="00240B6D">
              <w:rPr>
                <w:rFonts w:cs="Arial"/>
                <w:sz w:val="16"/>
                <w:szCs w:val="16"/>
                <w:lang w:eastAsia="en-US"/>
              </w:rPr>
              <w:t>99,3</w:t>
            </w:r>
          </w:p>
        </w:tc>
      </w:tr>
      <w:tr w:rsidR="00240B6D" w:rsidRPr="00240B6D" w:rsidTr="00A52B44">
        <w:trPr>
          <w:trHeight w:val="255"/>
        </w:trPr>
        <w:tc>
          <w:tcPr>
            <w:tcW w:w="3206"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rPr>
                <w:rFonts w:cs="Arial"/>
                <w:b/>
                <w:bCs/>
                <w:sz w:val="16"/>
                <w:szCs w:val="16"/>
                <w:lang w:eastAsia="en-US"/>
              </w:rPr>
            </w:pPr>
            <w:r w:rsidRPr="00240B6D">
              <w:rPr>
                <w:rFonts w:cs="Arial"/>
                <w:b/>
                <w:bCs/>
                <w:sz w:val="16"/>
                <w:szCs w:val="16"/>
                <w:lang w:eastAsia="en-US"/>
              </w:rPr>
              <w:t>Poskytovatelé zdravotní péče celkem</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334 088</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338 080</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341 913</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344 720</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348 730</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352 039</w:t>
            </w:r>
          </w:p>
        </w:tc>
        <w:tc>
          <w:tcPr>
            <w:tcW w:w="805" w:type="dxa"/>
            <w:tcBorders>
              <w:top w:val="nil"/>
              <w:left w:val="nil"/>
              <w:bottom w:val="single" w:sz="8" w:space="0" w:color="auto"/>
              <w:right w:val="single" w:sz="4" w:space="0" w:color="auto"/>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sz w:val="16"/>
                <w:szCs w:val="16"/>
                <w:lang w:eastAsia="en-US"/>
              </w:rPr>
            </w:pPr>
            <w:r w:rsidRPr="00240B6D">
              <w:rPr>
                <w:rFonts w:cs="Arial"/>
                <w:b/>
                <w:bCs/>
                <w:sz w:val="16"/>
                <w:szCs w:val="16"/>
                <w:lang w:eastAsia="en-US"/>
              </w:rPr>
              <w:t>361 647</w:t>
            </w:r>
          </w:p>
        </w:tc>
        <w:tc>
          <w:tcPr>
            <w:tcW w:w="792" w:type="dxa"/>
            <w:tcBorders>
              <w:top w:val="nil"/>
              <w:left w:val="nil"/>
              <w:bottom w:val="single" w:sz="8" w:space="0" w:color="auto"/>
              <w:right w:val="nil"/>
            </w:tcBorders>
            <w:shd w:val="clear" w:color="auto" w:fill="E5B8B7" w:themeFill="accent2" w:themeFillTint="66"/>
            <w:noWrap/>
            <w:vAlign w:val="bottom"/>
            <w:hideMark/>
          </w:tcPr>
          <w:p w:rsidR="00240B6D" w:rsidRPr="00240B6D" w:rsidRDefault="00240B6D" w:rsidP="00240B6D">
            <w:pPr>
              <w:spacing w:line="240" w:lineRule="auto"/>
              <w:jc w:val="right"/>
              <w:rPr>
                <w:rFonts w:cs="Arial"/>
                <w:b/>
                <w:bCs/>
                <w:i/>
                <w:iCs/>
                <w:color w:val="000000"/>
                <w:sz w:val="16"/>
                <w:szCs w:val="16"/>
                <w:lang w:eastAsia="en-US"/>
              </w:rPr>
            </w:pPr>
            <w:r w:rsidRPr="00240B6D">
              <w:rPr>
                <w:rFonts w:cs="Arial"/>
                <w:b/>
                <w:bCs/>
                <w:i/>
                <w:iCs/>
                <w:color w:val="000000"/>
                <w:sz w:val="16"/>
                <w:szCs w:val="16"/>
                <w:lang w:eastAsia="en-US"/>
              </w:rPr>
              <w:t>102,7</w:t>
            </w:r>
          </w:p>
        </w:tc>
      </w:tr>
    </w:tbl>
    <w:p w:rsidR="00240B6D" w:rsidRPr="00240B6D" w:rsidRDefault="00240B6D" w:rsidP="00240B6D">
      <w:pPr>
        <w:keepNext/>
        <w:spacing w:line="240" w:lineRule="auto"/>
        <w:jc w:val="both"/>
        <w:rPr>
          <w:sz w:val="16"/>
          <w:szCs w:val="18"/>
        </w:rPr>
      </w:pPr>
      <w:r w:rsidRPr="00240B6D">
        <w:rPr>
          <w:sz w:val="16"/>
          <w:szCs w:val="18"/>
        </w:rPr>
        <w:t>(1) zahrnují mj. domovy pro seniory s ošetřovatelskou péčí, léčebny pro dlouhodobě nemocné, zařízení hospicového typu</w:t>
      </w:r>
    </w:p>
    <w:p w:rsidR="00240B6D" w:rsidRPr="00240B6D" w:rsidRDefault="00240B6D" w:rsidP="00240B6D">
      <w:pPr>
        <w:keepNext/>
        <w:spacing w:line="240" w:lineRule="auto"/>
        <w:jc w:val="both"/>
        <w:rPr>
          <w:sz w:val="16"/>
          <w:szCs w:val="18"/>
        </w:rPr>
      </w:pPr>
      <w:r w:rsidRPr="00240B6D">
        <w:rPr>
          <w:sz w:val="16"/>
          <w:szCs w:val="18"/>
        </w:rPr>
        <w:t xml:space="preserve">(2) zahrnují ambulance nelékařů – </w:t>
      </w:r>
      <w:r w:rsidR="005151FB">
        <w:rPr>
          <w:sz w:val="16"/>
          <w:szCs w:val="18"/>
        </w:rPr>
        <w:t xml:space="preserve">např. </w:t>
      </w:r>
      <w:r w:rsidRPr="00240B6D">
        <w:rPr>
          <w:sz w:val="16"/>
          <w:szCs w:val="18"/>
        </w:rPr>
        <w:t>psycholog, ergoterapeut, ambulantní chirurgická centra, zařízení asistované reprodukce</w:t>
      </w:r>
    </w:p>
    <w:p w:rsidR="00240B6D" w:rsidRPr="00240B6D" w:rsidRDefault="00240B6D" w:rsidP="00240B6D">
      <w:pPr>
        <w:keepNext/>
        <w:spacing w:line="240" w:lineRule="auto"/>
        <w:jc w:val="both"/>
        <w:rPr>
          <w:sz w:val="16"/>
          <w:szCs w:val="18"/>
        </w:rPr>
      </w:pPr>
      <w:r w:rsidRPr="00240B6D">
        <w:rPr>
          <w:sz w:val="16"/>
          <w:szCs w:val="18"/>
        </w:rPr>
        <w:t>(3) ve skupině domácnosti jako poskytovatelé zdravotní péče je zahrnuto ošetřovné a příspěvek na péči zajišťovanou osobou blízkou</w:t>
      </w:r>
    </w:p>
    <w:p w:rsidR="00240B6D" w:rsidRPr="00240B6D" w:rsidRDefault="00240B6D" w:rsidP="00240B6D">
      <w:pPr>
        <w:keepNext/>
        <w:spacing w:line="240" w:lineRule="auto"/>
        <w:jc w:val="both"/>
        <w:rPr>
          <w:sz w:val="16"/>
          <w:szCs w:val="18"/>
        </w:rPr>
      </w:pPr>
      <w:r w:rsidRPr="00240B6D">
        <w:rPr>
          <w:sz w:val="16"/>
          <w:szCs w:val="18"/>
        </w:rPr>
        <w:t>(4) zahrnuje poskytovatele, kteří poskytují zdravotní péči jako sekundární produkt své činnosti např. závodní preventivní péče, školní péče, lékařskou péči v zařízeních vězeňské služby</w:t>
      </w:r>
    </w:p>
    <w:p w:rsidR="00240B6D" w:rsidRPr="00240B6D" w:rsidRDefault="00240B6D" w:rsidP="00240B6D">
      <w:pPr>
        <w:keepNext/>
        <w:spacing w:line="240" w:lineRule="auto"/>
        <w:jc w:val="both"/>
        <w:rPr>
          <w:sz w:val="16"/>
          <w:szCs w:val="18"/>
        </w:rPr>
      </w:pPr>
      <w:r w:rsidRPr="00BC2F06">
        <w:rPr>
          <w:sz w:val="16"/>
          <w:szCs w:val="18"/>
        </w:rPr>
        <w:t>(5) e-shopy se zaměřením na prodej léků, zdravotnického materiálu a terapeutických pomůcek</w:t>
      </w:r>
    </w:p>
    <w:p w:rsidR="00005868" w:rsidRDefault="00240B6D" w:rsidP="00240B6D">
      <w:pPr>
        <w:keepNext/>
        <w:spacing w:line="240" w:lineRule="auto"/>
        <w:jc w:val="both"/>
        <w:rPr>
          <w:sz w:val="16"/>
          <w:szCs w:val="18"/>
        </w:rPr>
      </w:pPr>
      <w:r w:rsidRPr="00240B6D">
        <w:rPr>
          <w:sz w:val="16"/>
          <w:szCs w:val="18"/>
        </w:rPr>
        <w:t xml:space="preserve">(6) poskytovatelé preventivní péče a také </w:t>
      </w:r>
      <w:r w:rsidR="00635FC7">
        <w:rPr>
          <w:sz w:val="16"/>
          <w:szCs w:val="18"/>
        </w:rPr>
        <w:t xml:space="preserve">blíže </w:t>
      </w:r>
      <w:r w:rsidRPr="00240B6D">
        <w:rPr>
          <w:sz w:val="16"/>
          <w:szCs w:val="18"/>
        </w:rPr>
        <w:t>ne</w:t>
      </w:r>
      <w:r w:rsidR="00635FC7">
        <w:rPr>
          <w:sz w:val="16"/>
          <w:szCs w:val="18"/>
        </w:rPr>
        <w:t xml:space="preserve">určené či nespecifikované </w:t>
      </w:r>
      <w:r w:rsidRPr="00240B6D">
        <w:rPr>
          <w:sz w:val="16"/>
          <w:szCs w:val="18"/>
        </w:rPr>
        <w:t>typy poskytovatelů</w:t>
      </w:r>
    </w:p>
    <w:p w:rsidR="00240B6D" w:rsidRPr="00005868" w:rsidRDefault="00005868" w:rsidP="00240B6D">
      <w:pPr>
        <w:keepNext/>
        <w:spacing w:line="240" w:lineRule="auto"/>
        <w:jc w:val="both"/>
        <w:rPr>
          <w:b/>
          <w:bCs/>
          <w:i/>
          <w:sz w:val="16"/>
          <w:szCs w:val="16"/>
        </w:rPr>
      </w:pPr>
      <w:r>
        <w:rPr>
          <w:sz w:val="16"/>
        </w:rPr>
        <w:t xml:space="preserve">ZP – zdravotní péče </w:t>
      </w:r>
    </w:p>
    <w:p w:rsidR="00240B6D" w:rsidRPr="00240B6D" w:rsidRDefault="00240B6D" w:rsidP="005151FB">
      <w:pPr>
        <w:spacing w:line="240" w:lineRule="auto"/>
        <w:jc w:val="right"/>
        <w:rPr>
          <w:b/>
          <w:bCs/>
          <w:i/>
          <w:sz w:val="16"/>
          <w:szCs w:val="16"/>
        </w:rPr>
      </w:pPr>
      <w:r w:rsidRPr="00240B6D">
        <w:rPr>
          <w:b/>
          <w:bCs/>
          <w:i/>
          <w:sz w:val="16"/>
          <w:szCs w:val="16"/>
        </w:rPr>
        <w:t xml:space="preserve">Zdroj: ČSÚ 2018, Zdravotnické účty ČR 2010 - 2016 </w:t>
      </w:r>
    </w:p>
    <w:p w:rsidR="00240B6D" w:rsidRPr="00240B6D" w:rsidRDefault="00240B6D" w:rsidP="005151FB">
      <w:pPr>
        <w:widowControl w:val="0"/>
        <w:spacing w:before="240" w:after="120"/>
        <w:jc w:val="both"/>
        <w:rPr>
          <w:b/>
          <w:bCs/>
          <w:i/>
          <w:szCs w:val="17"/>
        </w:rPr>
      </w:pPr>
      <w:r w:rsidRPr="00240B6D">
        <w:rPr>
          <w:b/>
          <w:bCs/>
          <w:i/>
          <w:szCs w:val="17"/>
        </w:rPr>
        <w:t>Od roku 2010 se zvýšily výdaje nemocnic o téměř 6 miliard Kč (o 4,3 %)</w:t>
      </w:r>
    </w:p>
    <w:p w:rsidR="00240B6D" w:rsidRPr="00240B6D" w:rsidRDefault="00240B6D" w:rsidP="005151FB">
      <w:pPr>
        <w:widowControl w:val="0"/>
        <w:spacing w:before="120"/>
        <w:jc w:val="both"/>
        <w:rPr>
          <w:szCs w:val="20"/>
        </w:rPr>
      </w:pPr>
      <w:r w:rsidRPr="00240B6D">
        <w:rPr>
          <w:szCs w:val="20"/>
        </w:rPr>
        <w:t xml:space="preserve">V Česku od roku 2010 téměř dvě pětiny (38,4 % v roce 2016) finančních prostředků ve zdravotnictví směřuje </w:t>
      </w:r>
      <w:r w:rsidRPr="00240B6D">
        <w:rPr>
          <w:szCs w:val="20"/>
        </w:rPr>
        <w:lastRenderedPageBreak/>
        <w:t xml:space="preserve">do </w:t>
      </w:r>
      <w:r w:rsidRPr="00240B6D">
        <w:rPr>
          <w:b/>
          <w:szCs w:val="20"/>
        </w:rPr>
        <w:t>nemocnic</w:t>
      </w:r>
      <w:r w:rsidRPr="00240B6D">
        <w:rPr>
          <w:szCs w:val="20"/>
        </w:rPr>
        <w:t xml:space="preserve">. V roce 2016 z toho 88 % připadalo na </w:t>
      </w:r>
      <w:r w:rsidRPr="00746E1B">
        <w:rPr>
          <w:b/>
          <w:szCs w:val="20"/>
        </w:rPr>
        <w:t>všeobecné nemocnice</w:t>
      </w:r>
      <w:r w:rsidRPr="00240B6D">
        <w:rPr>
          <w:szCs w:val="20"/>
        </w:rPr>
        <w:t xml:space="preserve"> a zbývajících 12 % výdajů na zdravotní péči náleželo </w:t>
      </w:r>
      <w:r w:rsidRPr="00746E1B">
        <w:rPr>
          <w:b/>
          <w:szCs w:val="20"/>
        </w:rPr>
        <w:t>specializovaným nemocnicím</w:t>
      </w:r>
      <w:r w:rsidRPr="00240B6D">
        <w:rPr>
          <w:szCs w:val="20"/>
        </w:rPr>
        <w:t>, kam podle mezinárodní metodologie SHA 2011 patří např. psychiatrické nemocnice, zařízení následné péče, rehabilitační nemocnice a nemocnice léčebně rehabilitační péče včetně lázní.</w:t>
      </w:r>
    </w:p>
    <w:p w:rsidR="00240B6D" w:rsidRPr="00240B6D" w:rsidRDefault="00240B6D" w:rsidP="00635FC7">
      <w:pPr>
        <w:spacing w:before="120"/>
        <w:jc w:val="both"/>
        <w:rPr>
          <w:szCs w:val="20"/>
        </w:rPr>
      </w:pPr>
      <w:r w:rsidRPr="00240B6D">
        <w:rPr>
          <w:szCs w:val="20"/>
        </w:rPr>
        <w:t xml:space="preserve">V pořadí za nimi následovaly výdaje v </w:t>
      </w:r>
      <w:r w:rsidRPr="00240B6D">
        <w:rPr>
          <w:b/>
          <w:szCs w:val="20"/>
        </w:rPr>
        <w:t>zařízeních ambulantní péče</w:t>
      </w:r>
      <w:r w:rsidRPr="00240B6D">
        <w:rPr>
          <w:szCs w:val="20"/>
        </w:rPr>
        <w:t xml:space="preserve"> (v roce 2016 dosahovaly jedné pětiny celkových výdajů). V této skupině  poskytovatelů připadalo 55 % výdajů na </w:t>
      </w:r>
      <w:r w:rsidRPr="00E65D1A">
        <w:rPr>
          <w:b/>
          <w:szCs w:val="20"/>
        </w:rPr>
        <w:t>samostatné</w:t>
      </w:r>
      <w:r w:rsidRPr="00240B6D">
        <w:rPr>
          <w:szCs w:val="20"/>
        </w:rPr>
        <w:t xml:space="preserve"> </w:t>
      </w:r>
      <w:r w:rsidRPr="00240B6D">
        <w:rPr>
          <w:b/>
          <w:szCs w:val="20"/>
        </w:rPr>
        <w:t>ordinace lékařů</w:t>
      </w:r>
      <w:r w:rsidRPr="00240B6D">
        <w:rPr>
          <w:szCs w:val="20"/>
        </w:rPr>
        <w:t xml:space="preserve"> a 24 % na </w:t>
      </w:r>
      <w:r w:rsidRPr="00240B6D">
        <w:rPr>
          <w:b/>
          <w:szCs w:val="20"/>
        </w:rPr>
        <w:t>ordinace stomatologů</w:t>
      </w:r>
      <w:r w:rsidRPr="00240B6D">
        <w:rPr>
          <w:szCs w:val="20"/>
        </w:rPr>
        <w:t xml:space="preserve">. </w:t>
      </w:r>
    </w:p>
    <w:p w:rsidR="00635FC7" w:rsidRPr="00240B6D" w:rsidRDefault="00635FC7" w:rsidP="00635FC7">
      <w:pPr>
        <w:spacing w:before="240" w:line="240" w:lineRule="auto"/>
        <w:rPr>
          <w:b/>
          <w:bCs/>
          <w:noProof/>
          <w:sz w:val="18"/>
          <w:szCs w:val="18"/>
        </w:rPr>
      </w:pPr>
      <w:r w:rsidRPr="00240B6D">
        <w:rPr>
          <w:b/>
          <w:bCs/>
          <w:noProof/>
          <w:sz w:val="18"/>
          <w:szCs w:val="18"/>
        </w:rPr>
        <w:t xml:space="preserve">Graf 2.10 Výdaje na zdravotní péči v Česku podle poskytovatelů, </w:t>
      </w:r>
      <w:r w:rsidR="00527720">
        <w:rPr>
          <w:b/>
          <w:bCs/>
          <w:noProof/>
          <w:sz w:val="18"/>
          <w:szCs w:val="18"/>
        </w:rPr>
        <w:t xml:space="preserve">2014 – 2016 </w:t>
      </w:r>
    </w:p>
    <w:p w:rsidR="00635FC7" w:rsidRPr="00240B6D" w:rsidRDefault="00635FC7" w:rsidP="00635FC7">
      <w:pPr>
        <w:keepNext/>
        <w:tabs>
          <w:tab w:val="left" w:pos="142"/>
          <w:tab w:val="left" w:pos="5812"/>
        </w:tabs>
        <w:spacing w:before="120"/>
        <w:jc w:val="both"/>
        <w:rPr>
          <w:b/>
          <w:i/>
          <w:sz w:val="18"/>
        </w:rPr>
      </w:pPr>
      <w:r w:rsidRPr="00240B6D">
        <w:rPr>
          <w:b/>
          <w:i/>
          <w:sz w:val="18"/>
        </w:rPr>
        <w:tab/>
        <w:t xml:space="preserve">a) v mld. Kč </w:t>
      </w:r>
      <w:r w:rsidRPr="00240B6D">
        <w:rPr>
          <w:b/>
          <w:i/>
          <w:sz w:val="18"/>
        </w:rPr>
        <w:tab/>
        <w:t>b) struktura v %</w:t>
      </w:r>
    </w:p>
    <w:p w:rsidR="00635FC7" w:rsidRPr="00240B6D" w:rsidRDefault="00635FC7" w:rsidP="005151FB">
      <w:pPr>
        <w:keepNext/>
        <w:jc w:val="both"/>
      </w:pPr>
      <w:r w:rsidRPr="00240B6D">
        <w:rPr>
          <w:noProof/>
        </w:rPr>
        <w:drawing>
          <wp:inline distT="0" distB="0" distL="0" distR="0">
            <wp:extent cx="3564000" cy="25200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40B6D">
        <w:rPr>
          <w:noProof/>
          <w:lang w:val="en-US" w:eastAsia="en-US"/>
        </w:rPr>
        <w:t xml:space="preserve"> </w:t>
      </w:r>
      <w:r w:rsidRPr="00240B6D">
        <w:rPr>
          <w:noProof/>
        </w:rPr>
        <w:drawing>
          <wp:inline distT="0" distB="0" distL="0" distR="0">
            <wp:extent cx="2520000" cy="25200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40B6D">
        <w:rPr>
          <w:noProof/>
          <w:lang w:val="en-US" w:eastAsia="en-US"/>
        </w:rPr>
        <w:t xml:space="preserve">   </w:t>
      </w:r>
    </w:p>
    <w:p w:rsidR="00635FC7" w:rsidRPr="00240B6D" w:rsidRDefault="00527720" w:rsidP="00F0328F">
      <w:pPr>
        <w:keepNext/>
        <w:spacing w:line="240" w:lineRule="auto"/>
        <w:jc w:val="both"/>
        <w:rPr>
          <w:sz w:val="16"/>
        </w:rPr>
      </w:pPr>
      <w:r>
        <w:rPr>
          <w:sz w:val="16"/>
        </w:rPr>
        <w:t>(</w:t>
      </w:r>
      <w:r w:rsidR="00635FC7" w:rsidRPr="00240B6D">
        <w:rPr>
          <w:sz w:val="16"/>
        </w:rPr>
        <w:t>1) zahrnují např. domovy pro seniory, domovy se zvláštním režimem, týdenní stacionáře, léčebny pro psychiatrické a závislé pacienty</w:t>
      </w:r>
    </w:p>
    <w:p w:rsidR="00635FC7" w:rsidRPr="00240B6D" w:rsidRDefault="00527720" w:rsidP="00F0328F">
      <w:pPr>
        <w:keepNext/>
        <w:spacing w:line="240" w:lineRule="auto"/>
        <w:jc w:val="both"/>
        <w:rPr>
          <w:sz w:val="16"/>
        </w:rPr>
      </w:pPr>
      <w:r>
        <w:rPr>
          <w:sz w:val="16"/>
        </w:rPr>
        <w:t>(</w:t>
      </w:r>
      <w:r w:rsidR="00635FC7" w:rsidRPr="00240B6D">
        <w:rPr>
          <w:sz w:val="16"/>
        </w:rPr>
        <w:t>2) zahrnují domácnosti, zařízení pro seniory bez ošetřovatelské péče, poskytovatele závodní preventivní péče apod.</w:t>
      </w:r>
    </w:p>
    <w:p w:rsidR="00005868" w:rsidRPr="00240B6D" w:rsidRDefault="00527720" w:rsidP="00F0328F">
      <w:pPr>
        <w:keepNext/>
        <w:spacing w:line="240" w:lineRule="auto"/>
        <w:jc w:val="both"/>
        <w:rPr>
          <w:b/>
          <w:bCs/>
          <w:i/>
          <w:sz w:val="16"/>
          <w:szCs w:val="16"/>
        </w:rPr>
      </w:pPr>
      <w:r>
        <w:rPr>
          <w:sz w:val="16"/>
        </w:rPr>
        <w:t>(</w:t>
      </w:r>
      <w:r w:rsidR="00635FC7" w:rsidRPr="00240B6D">
        <w:rPr>
          <w:sz w:val="16"/>
        </w:rPr>
        <w:t>3) zahrnují dopravu pacientů včetně záchranné služby a laboratoře</w:t>
      </w:r>
      <w:r w:rsidR="0044625F">
        <w:rPr>
          <w:sz w:val="16"/>
        </w:rPr>
        <w:t xml:space="preserve">; </w:t>
      </w:r>
      <w:r w:rsidR="00005868">
        <w:rPr>
          <w:sz w:val="16"/>
        </w:rPr>
        <w:t xml:space="preserve">ZP – zdravotní péče </w:t>
      </w:r>
    </w:p>
    <w:p w:rsidR="00635FC7" w:rsidRPr="00240B6D" w:rsidRDefault="00635FC7" w:rsidP="00F0328F">
      <w:pPr>
        <w:spacing w:line="240" w:lineRule="auto"/>
        <w:jc w:val="right"/>
        <w:rPr>
          <w:b/>
          <w:bCs/>
          <w:i/>
          <w:sz w:val="16"/>
          <w:szCs w:val="16"/>
        </w:rPr>
      </w:pPr>
      <w:r w:rsidRPr="00240B6D">
        <w:rPr>
          <w:b/>
          <w:bCs/>
          <w:i/>
          <w:sz w:val="16"/>
          <w:szCs w:val="16"/>
        </w:rPr>
        <w:tab/>
      </w:r>
      <w:r w:rsidRPr="00240B6D">
        <w:rPr>
          <w:b/>
          <w:bCs/>
          <w:i/>
          <w:sz w:val="16"/>
          <w:szCs w:val="16"/>
        </w:rPr>
        <w:tab/>
        <w:t xml:space="preserve">Zdroj: ČSÚ 2018, Zdravotnické účty ČR 2010 - 2016 </w:t>
      </w:r>
    </w:p>
    <w:p w:rsidR="00240B6D" w:rsidRPr="00240B6D" w:rsidRDefault="00240B6D" w:rsidP="00635FC7">
      <w:pPr>
        <w:spacing w:before="120"/>
        <w:jc w:val="both"/>
        <w:rPr>
          <w:szCs w:val="20"/>
        </w:rPr>
      </w:pPr>
      <w:r w:rsidRPr="00240B6D">
        <w:rPr>
          <w:szCs w:val="20"/>
        </w:rPr>
        <w:t xml:space="preserve">Kategorie poskytovatelů </w:t>
      </w:r>
      <w:r w:rsidRPr="00E65D1A">
        <w:rPr>
          <w:b/>
          <w:i/>
          <w:szCs w:val="20"/>
        </w:rPr>
        <w:t xml:space="preserve">lékárny a </w:t>
      </w:r>
      <w:r w:rsidR="00E65D1A">
        <w:rPr>
          <w:b/>
          <w:i/>
          <w:szCs w:val="20"/>
        </w:rPr>
        <w:t xml:space="preserve">ostatní prodejci zdravotnického zboží </w:t>
      </w:r>
      <w:r w:rsidRPr="00240B6D">
        <w:rPr>
          <w:szCs w:val="20"/>
        </w:rPr>
        <w:t xml:space="preserve">zahrnuje specializované provozovny, které se zaměřují na </w:t>
      </w:r>
      <w:r w:rsidRPr="00E65D1A">
        <w:rPr>
          <w:b/>
          <w:i/>
          <w:szCs w:val="20"/>
        </w:rPr>
        <w:t>maloobchodní prodej</w:t>
      </w:r>
      <w:r w:rsidRPr="00240B6D">
        <w:rPr>
          <w:szCs w:val="20"/>
        </w:rPr>
        <w:t xml:space="preserve"> farmaceutických výrobků nebo zdravotnických prostředků a lékařských nástrojů jako jsou optické brýle, naslouchátka, ortopedické a protetické pomůcky. Rovněž zahrnují montáž a opravy v kombinaci s prodejem </w:t>
      </w:r>
      <w:r w:rsidR="00E65D1A">
        <w:rPr>
          <w:szCs w:val="20"/>
        </w:rPr>
        <w:t xml:space="preserve">těchto </w:t>
      </w:r>
      <w:r w:rsidRPr="00240B6D">
        <w:rPr>
          <w:szCs w:val="20"/>
        </w:rPr>
        <w:t>výrobků. Po</w:t>
      </w:r>
      <w:r w:rsidR="00E65D1A">
        <w:rPr>
          <w:szCs w:val="20"/>
        </w:rPr>
        <w:t xml:space="preserve">kud jde o </w:t>
      </w:r>
      <w:r w:rsidR="00E65D1A" w:rsidRPr="0017751B">
        <w:rPr>
          <w:b/>
          <w:szCs w:val="20"/>
        </w:rPr>
        <w:t>samostatné lékárny</w:t>
      </w:r>
      <w:r w:rsidR="00E65D1A">
        <w:rPr>
          <w:szCs w:val="20"/>
        </w:rPr>
        <w:t xml:space="preserve">, které se v roce 2016 podílely z 86  na této kategorii, došlo po poklesu jejich příjmů </w:t>
      </w:r>
      <w:r w:rsidRPr="00240B6D">
        <w:rPr>
          <w:szCs w:val="20"/>
        </w:rPr>
        <w:t xml:space="preserve">v letech 2013 </w:t>
      </w:r>
      <w:r w:rsidR="00635FC7">
        <w:rPr>
          <w:szCs w:val="20"/>
        </w:rPr>
        <w:t>a</w:t>
      </w:r>
      <w:r w:rsidR="0017751B">
        <w:rPr>
          <w:szCs w:val="20"/>
        </w:rPr>
        <w:t> </w:t>
      </w:r>
      <w:r w:rsidRPr="00240B6D">
        <w:rPr>
          <w:szCs w:val="20"/>
        </w:rPr>
        <w:t>2014</w:t>
      </w:r>
      <w:r w:rsidR="00E65D1A">
        <w:rPr>
          <w:szCs w:val="20"/>
        </w:rPr>
        <w:t xml:space="preserve"> z 55,5 mld. Kč v roce 2012 na 47,2 mld. Kč v roce 2014</w:t>
      </w:r>
      <w:r w:rsidRPr="00240B6D">
        <w:rPr>
          <w:szCs w:val="20"/>
        </w:rPr>
        <w:t xml:space="preserve"> </w:t>
      </w:r>
      <w:r w:rsidR="00E65D1A">
        <w:rPr>
          <w:szCs w:val="20"/>
        </w:rPr>
        <w:t>k</w:t>
      </w:r>
      <w:r w:rsidR="0017751B">
        <w:rPr>
          <w:szCs w:val="20"/>
        </w:rPr>
        <w:t xml:space="preserve"> mírnému navýšení v posledních dvou letech </w:t>
      </w:r>
      <w:r w:rsidRPr="00240B6D">
        <w:rPr>
          <w:szCs w:val="20"/>
        </w:rPr>
        <w:t>na 49,7 mld. Kč v roce 2016.</w:t>
      </w:r>
    </w:p>
    <w:p w:rsidR="0017751B" w:rsidRDefault="00240B6D" w:rsidP="00635FC7">
      <w:pPr>
        <w:spacing w:before="120"/>
        <w:jc w:val="both"/>
        <w:rPr>
          <w:szCs w:val="20"/>
        </w:rPr>
      </w:pPr>
      <w:r w:rsidRPr="00240B6D">
        <w:rPr>
          <w:szCs w:val="20"/>
        </w:rPr>
        <w:t xml:space="preserve">Výdaje v </w:t>
      </w:r>
      <w:r w:rsidRPr="00240B6D">
        <w:rPr>
          <w:b/>
          <w:szCs w:val="20"/>
        </w:rPr>
        <w:t>zařízeních dlouhodobé péče</w:t>
      </w:r>
      <w:r w:rsidRPr="00240B6D">
        <w:rPr>
          <w:szCs w:val="20"/>
        </w:rPr>
        <w:t xml:space="preserve"> se v roce 2016 pohybovaly na úrovni 26 mld. Kč, což je 7</w:t>
      </w:r>
      <w:r w:rsidR="0017751B">
        <w:rPr>
          <w:szCs w:val="20"/>
        </w:rPr>
        <w:t> </w:t>
      </w:r>
      <w:r w:rsidRPr="00240B6D">
        <w:rPr>
          <w:szCs w:val="20"/>
        </w:rPr>
        <w:t>% z celkových nákladů na zdravotní péči. V porovnání s rokem 2010 se jejich výdaje zvýšily o jednu čtvrtinu</w:t>
      </w:r>
      <w:r w:rsidR="0017751B">
        <w:rPr>
          <w:szCs w:val="20"/>
        </w:rPr>
        <w:t>, tj. v absolutním vyjádření o 5,2 mld. Kč</w:t>
      </w:r>
      <w:r w:rsidRPr="00240B6D">
        <w:rPr>
          <w:szCs w:val="20"/>
        </w:rPr>
        <w:t xml:space="preserve">. </w:t>
      </w:r>
    </w:p>
    <w:p w:rsidR="00240B6D" w:rsidRPr="005151FB" w:rsidRDefault="00240B6D" w:rsidP="00635FC7">
      <w:pPr>
        <w:spacing w:before="120"/>
        <w:jc w:val="both"/>
        <w:rPr>
          <w:i/>
          <w:szCs w:val="20"/>
        </w:rPr>
      </w:pPr>
      <w:r w:rsidRPr="00240B6D">
        <w:rPr>
          <w:szCs w:val="20"/>
        </w:rPr>
        <w:t xml:space="preserve">Mezi roky 2015 a 2016 rostly </w:t>
      </w:r>
      <w:r w:rsidR="0017751B">
        <w:rPr>
          <w:szCs w:val="20"/>
        </w:rPr>
        <w:t>procentuálně v rámci této kategorie nejrychleji (</w:t>
      </w:r>
      <w:r w:rsidRPr="00240B6D">
        <w:rPr>
          <w:szCs w:val="20"/>
        </w:rPr>
        <w:t>o 10</w:t>
      </w:r>
      <w:r w:rsidR="0017751B">
        <w:rPr>
          <w:szCs w:val="20"/>
        </w:rPr>
        <w:t> </w:t>
      </w:r>
      <w:r w:rsidRPr="00240B6D">
        <w:rPr>
          <w:szCs w:val="20"/>
        </w:rPr>
        <w:t>%</w:t>
      </w:r>
      <w:r w:rsidR="0017751B">
        <w:rPr>
          <w:szCs w:val="20"/>
        </w:rPr>
        <w:t>)</w:t>
      </w:r>
      <w:r w:rsidRPr="00240B6D">
        <w:rPr>
          <w:szCs w:val="20"/>
        </w:rPr>
        <w:t xml:space="preserve"> výdaje </w:t>
      </w:r>
      <w:r w:rsidRPr="0017751B">
        <w:rPr>
          <w:b/>
          <w:szCs w:val="20"/>
        </w:rPr>
        <w:t>v</w:t>
      </w:r>
      <w:r w:rsidR="0017751B" w:rsidRPr="0017751B">
        <w:rPr>
          <w:b/>
          <w:szCs w:val="20"/>
        </w:rPr>
        <w:t xml:space="preserve"> </w:t>
      </w:r>
      <w:r w:rsidRPr="0017751B">
        <w:rPr>
          <w:b/>
          <w:szCs w:val="20"/>
        </w:rPr>
        <w:t>léčebn</w:t>
      </w:r>
      <w:r w:rsidR="0017751B" w:rsidRPr="0017751B">
        <w:rPr>
          <w:b/>
          <w:szCs w:val="20"/>
        </w:rPr>
        <w:t>ách</w:t>
      </w:r>
      <w:r w:rsidRPr="0017751B">
        <w:rPr>
          <w:b/>
          <w:szCs w:val="20"/>
        </w:rPr>
        <w:t xml:space="preserve"> pro mentálně postižené a psychiatrické pacienty</w:t>
      </w:r>
      <w:r w:rsidRPr="00240B6D">
        <w:rPr>
          <w:szCs w:val="20"/>
        </w:rPr>
        <w:t xml:space="preserve">. </w:t>
      </w:r>
      <w:r w:rsidR="0017751B" w:rsidRPr="0017751B">
        <w:rPr>
          <w:b/>
          <w:szCs w:val="20"/>
        </w:rPr>
        <w:t>L</w:t>
      </w:r>
      <w:r w:rsidRPr="0017751B">
        <w:rPr>
          <w:b/>
          <w:szCs w:val="20"/>
        </w:rPr>
        <w:t>ůžkov</w:t>
      </w:r>
      <w:r w:rsidR="0017751B" w:rsidRPr="0017751B">
        <w:rPr>
          <w:b/>
          <w:szCs w:val="20"/>
        </w:rPr>
        <w:t>á</w:t>
      </w:r>
      <w:r w:rsidRPr="0017751B">
        <w:rPr>
          <w:b/>
          <w:szCs w:val="20"/>
        </w:rPr>
        <w:t xml:space="preserve"> zařízení dlouhodobé péče</w:t>
      </w:r>
      <w:r w:rsidRPr="00240B6D">
        <w:rPr>
          <w:szCs w:val="20"/>
        </w:rPr>
        <w:t xml:space="preserve"> zahrnují</w:t>
      </w:r>
      <w:r w:rsidR="0017751B">
        <w:rPr>
          <w:szCs w:val="20"/>
        </w:rPr>
        <w:t>cí</w:t>
      </w:r>
      <w:r w:rsidRPr="00240B6D">
        <w:rPr>
          <w:szCs w:val="20"/>
        </w:rPr>
        <w:t xml:space="preserve"> domovy pro seniory, jejichž hlavním finančním zdrojem je státní rozpočet (87 %)</w:t>
      </w:r>
      <w:r w:rsidR="0017751B">
        <w:rPr>
          <w:szCs w:val="20"/>
        </w:rPr>
        <w:t>, se v roce 2016 podílely z 53 % (13,8 mld. Kč) na výše uvedených zařízeních dlouhodobé péče. Meziročně zde výdaje na zdravotní péči vzrostly o 6,8 % (877 mil. Kč).</w:t>
      </w:r>
      <w:r w:rsidRPr="00240B6D">
        <w:rPr>
          <w:szCs w:val="20"/>
        </w:rPr>
        <w:t xml:space="preserve"> </w:t>
      </w:r>
      <w:r w:rsidR="005151FB" w:rsidRPr="00BC2F06">
        <w:rPr>
          <w:i/>
          <w:szCs w:val="20"/>
        </w:rPr>
        <w:t>V roce 2016 bylo</w:t>
      </w:r>
      <w:r w:rsidR="005151FB" w:rsidRPr="00BC2F06">
        <w:rPr>
          <w:szCs w:val="20"/>
        </w:rPr>
        <w:t xml:space="preserve"> </w:t>
      </w:r>
      <w:r w:rsidRPr="00BC2F06">
        <w:rPr>
          <w:i/>
          <w:szCs w:val="20"/>
        </w:rPr>
        <w:t xml:space="preserve">v České republice </w:t>
      </w:r>
      <w:r w:rsidR="00BC2F06" w:rsidRPr="00BC2F06">
        <w:rPr>
          <w:i/>
          <w:szCs w:val="20"/>
        </w:rPr>
        <w:t>514</w:t>
      </w:r>
      <w:r w:rsidRPr="00BC2F06">
        <w:rPr>
          <w:i/>
          <w:szCs w:val="20"/>
        </w:rPr>
        <w:t xml:space="preserve"> lůžkových zařízení pro seniory s kapacitou 37 247 lůžek.</w:t>
      </w:r>
    </w:p>
    <w:p w:rsidR="00240B6D" w:rsidRPr="00240B6D" w:rsidRDefault="00240B6D" w:rsidP="00D03353">
      <w:pPr>
        <w:widowControl w:val="0"/>
        <w:spacing w:before="120"/>
        <w:jc w:val="both"/>
        <w:rPr>
          <w:szCs w:val="20"/>
        </w:rPr>
      </w:pPr>
      <w:r w:rsidRPr="00240B6D">
        <w:rPr>
          <w:b/>
          <w:szCs w:val="20"/>
        </w:rPr>
        <w:t>Domácnosti jako poskytovatelé zdravotní péče</w:t>
      </w:r>
      <w:r w:rsidRPr="00240B6D">
        <w:rPr>
          <w:szCs w:val="20"/>
        </w:rPr>
        <w:t xml:space="preserve"> zahrnují výdaje na péči zajišťovanou osobou blízkou v souvislosti s pobíráním ošetřovného</w:t>
      </w:r>
      <w:r w:rsidRPr="00240B6D" w:rsidDel="003E7082">
        <w:rPr>
          <w:szCs w:val="20"/>
        </w:rPr>
        <w:t xml:space="preserve"> </w:t>
      </w:r>
      <w:r w:rsidRPr="00240B6D">
        <w:rPr>
          <w:szCs w:val="20"/>
        </w:rPr>
        <w:t>a příspěvku na péči (blíže viz metodická příloha). Meziroční zvýšení výdajů domácností o 8,8 % souvisí především se zvýšením výdajů ze státního rozpočtu na příspěvky na péči, které dosáhly v roce 2016 částky 16,2 mld. Kč. Výdaje na ošetřovné se v posledních dvou letech pohybují okolo 1,1 mld. Kč.</w:t>
      </w:r>
    </w:p>
    <w:p w:rsidR="00240B6D" w:rsidRPr="00635FC7" w:rsidRDefault="00240B6D" w:rsidP="005151FB">
      <w:pPr>
        <w:widowControl w:val="0"/>
        <w:spacing w:before="120"/>
        <w:jc w:val="both"/>
        <w:rPr>
          <w:i/>
          <w:szCs w:val="20"/>
        </w:rPr>
      </w:pPr>
      <w:r w:rsidRPr="00635FC7">
        <w:rPr>
          <w:i/>
          <w:szCs w:val="20"/>
        </w:rPr>
        <w:t xml:space="preserve">Na ošetřovné má nárok zaměstnanec, který nemůže pracovat z důvodu, že musí ošetřovat nemocného </w:t>
      </w:r>
      <w:r w:rsidRPr="00635FC7">
        <w:rPr>
          <w:i/>
          <w:szCs w:val="20"/>
        </w:rPr>
        <w:lastRenderedPageBreak/>
        <w:t>člena domácnosti, nebo pečovat o zdravé dítě mladší 10 let z důvodů, že školské nebo dětské zařízení bylo uzavřeno z důvodu nepředvídané události, dítěti byla nařízena karanténa, nebo osoba, která jinak o dítě pečuje, sama onemocněla.</w:t>
      </w:r>
      <w:r w:rsidR="00F0328F">
        <w:rPr>
          <w:i/>
          <w:szCs w:val="20"/>
        </w:rPr>
        <w:t xml:space="preserve"> </w:t>
      </w:r>
      <w:r w:rsidRPr="00635FC7">
        <w:rPr>
          <w:i/>
          <w:szCs w:val="20"/>
        </w:rPr>
        <w:t xml:space="preserve">Podpůrčí doba u ošetřovného počíná prvním kalendářním dnem potřeby ošetřování a činí nejdéle 9 kalendářních </w:t>
      </w:r>
      <w:r w:rsidRPr="00931794">
        <w:rPr>
          <w:i/>
          <w:szCs w:val="20"/>
        </w:rPr>
        <w:t>dnů</w:t>
      </w:r>
      <w:r w:rsidR="005151FB" w:rsidRPr="00931794">
        <w:rPr>
          <w:i/>
          <w:szCs w:val="20"/>
        </w:rPr>
        <w:t>.</w:t>
      </w:r>
    </w:p>
    <w:p w:rsidR="00240B6D" w:rsidRPr="00240B6D" w:rsidRDefault="00240B6D" w:rsidP="00635FC7">
      <w:pPr>
        <w:spacing w:before="120"/>
        <w:jc w:val="both"/>
        <w:rPr>
          <w:szCs w:val="20"/>
        </w:rPr>
      </w:pPr>
      <w:r w:rsidRPr="00240B6D">
        <w:rPr>
          <w:b/>
          <w:szCs w:val="20"/>
        </w:rPr>
        <w:t>Ostatní odvětví</w:t>
      </w:r>
      <w:r w:rsidRPr="00240B6D">
        <w:rPr>
          <w:szCs w:val="20"/>
        </w:rPr>
        <w:t xml:space="preserve"> jako poskytovatelé zdravotní péče</w:t>
      </w:r>
      <w:r w:rsidRPr="00240B6D" w:rsidDel="003E7082">
        <w:rPr>
          <w:szCs w:val="20"/>
        </w:rPr>
        <w:t xml:space="preserve"> </w:t>
      </w:r>
      <w:r w:rsidRPr="00240B6D">
        <w:rPr>
          <w:szCs w:val="20"/>
        </w:rPr>
        <w:t>(8,1 mld. Kč</w:t>
      </w:r>
      <w:r w:rsidR="00635FC7">
        <w:rPr>
          <w:szCs w:val="20"/>
        </w:rPr>
        <w:t xml:space="preserve"> za rok 2016</w:t>
      </w:r>
      <w:r w:rsidRPr="00240B6D">
        <w:rPr>
          <w:szCs w:val="20"/>
        </w:rPr>
        <w:t>) zahrnují širokou škálu poskytovatelů zdravotní péče např. závodní preventivní péči, zařízení pro seniory bez ošetřovatelské péče, poskytovatele domácí péče zaměřené na sebeobsluhu a soběstačnost klienta, školy s pracovníky v oblasti zdravotnictví apod.</w:t>
      </w:r>
    </w:p>
    <w:p w:rsidR="00240B6D" w:rsidRPr="00240B6D" w:rsidRDefault="00240B6D" w:rsidP="00635FC7">
      <w:pPr>
        <w:spacing w:before="120"/>
        <w:jc w:val="both"/>
        <w:rPr>
          <w:szCs w:val="20"/>
        </w:rPr>
      </w:pPr>
      <w:r w:rsidRPr="00240B6D">
        <w:rPr>
          <w:szCs w:val="20"/>
        </w:rPr>
        <w:t>Výdaje poskytovatelů</w:t>
      </w:r>
      <w:r w:rsidRPr="00240B6D">
        <w:rPr>
          <w:b/>
          <w:szCs w:val="20"/>
        </w:rPr>
        <w:t xml:space="preserve"> dopravních služeb</w:t>
      </w:r>
      <w:r w:rsidRPr="00240B6D">
        <w:rPr>
          <w:szCs w:val="20"/>
        </w:rPr>
        <w:t xml:space="preserve"> pro pacienty přesáhly poprvé od roku 2010 částku 7,5 mld. Kč, což je nárůst o 15 %. Podobný vývoj mají i výdaje</w:t>
      </w:r>
      <w:r w:rsidRPr="00240B6D">
        <w:rPr>
          <w:b/>
          <w:szCs w:val="20"/>
        </w:rPr>
        <w:t xml:space="preserve"> zdravotnických laboratoří, </w:t>
      </w:r>
      <w:r w:rsidRPr="00240B6D">
        <w:rPr>
          <w:szCs w:val="20"/>
        </w:rPr>
        <w:t xml:space="preserve">které dosáhly výše 5,4 mld. Kč, což je nejvíce od roku 2010. </w:t>
      </w:r>
    </w:p>
    <w:p w:rsidR="00240B6D" w:rsidRPr="00240B6D" w:rsidRDefault="00240B6D" w:rsidP="00635FC7">
      <w:pPr>
        <w:spacing w:before="120"/>
        <w:jc w:val="both"/>
        <w:rPr>
          <w:rFonts w:cs="Arial"/>
          <w:szCs w:val="20"/>
        </w:rPr>
      </w:pPr>
      <w:r w:rsidRPr="00240B6D">
        <w:rPr>
          <w:b/>
          <w:szCs w:val="20"/>
        </w:rPr>
        <w:t>Správa systému zdravotní péče</w:t>
      </w:r>
      <w:r w:rsidRPr="00240B6D">
        <w:rPr>
          <w:szCs w:val="20"/>
        </w:rPr>
        <w:t xml:space="preserve"> zahrnuje vládní instituce, které </w:t>
      </w:r>
      <w:r w:rsidRPr="00240B6D">
        <w:rPr>
          <w:rFonts w:cs="Arial"/>
          <w:szCs w:val="20"/>
        </w:rPr>
        <w:t>naplňují v rámci své činnosti množství strategických dokumentů z oblasti zdravotnictví, normy pro lékaře a ostatní zdravotnický personál a</w:t>
      </w:r>
      <w:r w:rsidR="00F85872">
        <w:rPr>
          <w:rFonts w:cs="Arial"/>
          <w:szCs w:val="20"/>
        </w:rPr>
        <w:t> </w:t>
      </w:r>
      <w:r w:rsidRPr="00240B6D">
        <w:rPr>
          <w:rFonts w:cs="Arial"/>
          <w:szCs w:val="20"/>
        </w:rPr>
        <w:t>přidělování licencí poskytovatelům zdravotní péče (např. Ministerstvo zdravotnictví, Ústav zdravotnických informací a statistik</w:t>
      </w:r>
      <w:r w:rsidR="00E23CFF">
        <w:rPr>
          <w:rFonts w:cs="Arial"/>
          <w:szCs w:val="20"/>
        </w:rPr>
        <w:t>y</w:t>
      </w:r>
      <w:r w:rsidRPr="00240B6D">
        <w:rPr>
          <w:rFonts w:cs="Arial"/>
          <w:szCs w:val="20"/>
        </w:rPr>
        <w:t xml:space="preserve">) a v neposlední řadě zdravotní pojišťovny veřejného zdravotního pojištění. Výdaje na zdravotní péči z hlediska tohoto typu poskytovatelů se dlouhodobě pohybují </w:t>
      </w:r>
      <w:r w:rsidR="005151FB">
        <w:rPr>
          <w:rFonts w:cs="Arial"/>
          <w:szCs w:val="20"/>
        </w:rPr>
        <w:t>mírně přes</w:t>
      </w:r>
      <w:r w:rsidRPr="00240B6D">
        <w:rPr>
          <w:rFonts w:cs="Arial"/>
          <w:szCs w:val="20"/>
        </w:rPr>
        <w:t xml:space="preserve"> 10 mld. Kč.</w:t>
      </w:r>
    </w:p>
    <w:p w:rsidR="00240B6D" w:rsidRPr="00240B6D" w:rsidRDefault="00240B6D" w:rsidP="00FD0F42">
      <w:pPr>
        <w:spacing w:before="240"/>
        <w:jc w:val="both"/>
        <w:rPr>
          <w:b/>
          <w:i/>
          <w:szCs w:val="20"/>
        </w:rPr>
      </w:pPr>
      <w:r w:rsidRPr="00240B6D">
        <w:rPr>
          <w:b/>
          <w:i/>
          <w:szCs w:val="20"/>
        </w:rPr>
        <w:t>Za ambulantní a denní péči zaplatily nemocnice více než čtvrtinu svých celkových nákladů</w:t>
      </w:r>
    </w:p>
    <w:p w:rsidR="00240B6D" w:rsidRPr="00240B6D" w:rsidRDefault="00240B6D" w:rsidP="00240B6D">
      <w:pPr>
        <w:autoSpaceDE w:val="0"/>
        <w:autoSpaceDN w:val="0"/>
        <w:adjustRightInd w:val="0"/>
        <w:spacing w:before="120"/>
        <w:jc w:val="both"/>
        <w:rPr>
          <w:szCs w:val="20"/>
        </w:rPr>
      </w:pPr>
      <w:r w:rsidRPr="00240B6D">
        <w:rPr>
          <w:szCs w:val="20"/>
        </w:rPr>
        <w:t>Většina z finančních prostředků (nejsou zde zahrnuty investiční výdaje na pořízení přístrojového vybavení financovaného ze státního rozpočtu) je v</w:t>
      </w:r>
      <w:r w:rsidR="00A57446">
        <w:rPr>
          <w:szCs w:val="20"/>
        </w:rPr>
        <w:t xml:space="preserve">e všeobecných </w:t>
      </w:r>
      <w:r w:rsidRPr="00240B6D">
        <w:rPr>
          <w:szCs w:val="20"/>
        </w:rPr>
        <w:t xml:space="preserve">nemocnicích vynaložena stále na </w:t>
      </w:r>
      <w:r w:rsidRPr="00240B6D">
        <w:rPr>
          <w:b/>
          <w:szCs w:val="20"/>
        </w:rPr>
        <w:t>lůžkovou léčebnou péči</w:t>
      </w:r>
      <w:r w:rsidRPr="00240B6D">
        <w:rPr>
          <w:szCs w:val="20"/>
        </w:rPr>
        <w:t xml:space="preserve">. V roce 2016 na ni šlo 49,2 mld. Kč, tj. 40,1 %. Před dvěma roky to bylo 50,5 mld. Kč (42,5 %). </w:t>
      </w:r>
      <w:r w:rsidR="00A57446">
        <w:rPr>
          <w:szCs w:val="20"/>
        </w:rPr>
        <w:t>V</w:t>
      </w:r>
      <w:r w:rsidRPr="00240B6D">
        <w:rPr>
          <w:szCs w:val="20"/>
        </w:rPr>
        <w:t xml:space="preserve"> posledních dvou letech roste význam denní a ambulantní léčebné péče. </w:t>
      </w:r>
      <w:r w:rsidR="00746E1B">
        <w:rPr>
          <w:szCs w:val="20"/>
        </w:rPr>
        <w:t>V roce 2016 v</w:t>
      </w:r>
      <w:r w:rsidRPr="00240B6D">
        <w:rPr>
          <w:szCs w:val="20"/>
        </w:rPr>
        <w:t xml:space="preserve">ýdaje </w:t>
      </w:r>
      <w:r w:rsidR="00A57446">
        <w:rPr>
          <w:szCs w:val="20"/>
        </w:rPr>
        <w:t xml:space="preserve">všeobecných </w:t>
      </w:r>
      <w:r w:rsidRPr="00240B6D">
        <w:rPr>
          <w:szCs w:val="20"/>
        </w:rPr>
        <w:t xml:space="preserve">nemocnic na ambulantní a denní péči dosáhly </w:t>
      </w:r>
      <w:r w:rsidR="00746E1B">
        <w:rPr>
          <w:szCs w:val="20"/>
        </w:rPr>
        <w:t xml:space="preserve">hodnoty </w:t>
      </w:r>
      <w:r w:rsidRPr="00240B6D">
        <w:rPr>
          <w:szCs w:val="20"/>
        </w:rPr>
        <w:t xml:space="preserve">32,5 mld. Kč, což je 26,5 % z celkových výdajů </w:t>
      </w:r>
      <w:r w:rsidR="00746E1B">
        <w:rPr>
          <w:szCs w:val="20"/>
        </w:rPr>
        <w:t>těchto nemocnic.</w:t>
      </w:r>
    </w:p>
    <w:p w:rsidR="00240B6D" w:rsidRPr="00240B6D" w:rsidRDefault="00240B6D" w:rsidP="00240B6D">
      <w:pPr>
        <w:keepNext/>
        <w:spacing w:before="240" w:after="120" w:line="240" w:lineRule="auto"/>
        <w:jc w:val="both"/>
        <w:rPr>
          <w:b/>
          <w:bCs/>
          <w:sz w:val="18"/>
          <w:szCs w:val="18"/>
        </w:rPr>
      </w:pPr>
      <w:r w:rsidRPr="00BC2F06">
        <w:rPr>
          <w:b/>
          <w:bCs/>
          <w:sz w:val="18"/>
          <w:szCs w:val="18"/>
        </w:rPr>
        <w:t>Graf č: 2.11 Výdaje na zdravotní péči ve všeobecných nemocnicích v Česku, 2014 – 2016</w:t>
      </w:r>
    </w:p>
    <w:p w:rsidR="00240B6D" w:rsidRPr="00240B6D" w:rsidRDefault="00240B6D" w:rsidP="00240B6D">
      <w:pPr>
        <w:keepNext/>
        <w:tabs>
          <w:tab w:val="left" w:pos="142"/>
          <w:tab w:val="left" w:pos="5812"/>
        </w:tabs>
        <w:rPr>
          <w:b/>
          <w:i/>
          <w:sz w:val="18"/>
        </w:rPr>
      </w:pPr>
      <w:r w:rsidRPr="00240B6D">
        <w:rPr>
          <w:b/>
          <w:i/>
          <w:sz w:val="18"/>
        </w:rPr>
        <w:tab/>
        <w:t xml:space="preserve">a) v mld. Kč </w:t>
      </w:r>
      <w:r w:rsidRPr="00240B6D">
        <w:rPr>
          <w:b/>
          <w:i/>
          <w:sz w:val="18"/>
        </w:rPr>
        <w:tab/>
        <w:t>b) struktura v %</w:t>
      </w:r>
      <w:r w:rsidRPr="00240B6D">
        <w:rPr>
          <w:noProof/>
          <w:lang w:val="en-US" w:eastAsia="en-US"/>
        </w:rPr>
        <w:t xml:space="preserve"> </w:t>
      </w:r>
    </w:p>
    <w:p w:rsidR="00240B6D" w:rsidRPr="00240B6D" w:rsidRDefault="00746E1B" w:rsidP="00931794">
      <w:pPr>
        <w:spacing w:before="120" w:line="240" w:lineRule="auto"/>
        <w:jc w:val="right"/>
        <w:rPr>
          <w:b/>
          <w:bCs/>
          <w:i/>
          <w:sz w:val="16"/>
          <w:szCs w:val="16"/>
        </w:rPr>
      </w:pPr>
      <w:r>
        <w:rPr>
          <w:noProof/>
        </w:rPr>
        <w:drawing>
          <wp:inline distT="0" distB="0" distL="0" distR="0" wp14:anchorId="6E9325F0" wp14:editId="1E2356EF">
            <wp:extent cx="3599815" cy="287972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46E1B">
        <w:rPr>
          <w:noProof/>
          <w:lang w:val="en-US" w:eastAsia="en-US"/>
        </w:rPr>
        <w:t xml:space="preserve"> </w:t>
      </w:r>
      <w:r>
        <w:rPr>
          <w:noProof/>
        </w:rPr>
        <w:drawing>
          <wp:inline distT="0" distB="0" distL="0" distR="0" wp14:anchorId="482A9606" wp14:editId="24CA3687">
            <wp:extent cx="2267585" cy="287972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40B6D" w:rsidRPr="00240B6D">
        <w:rPr>
          <w:b/>
          <w:bCs/>
          <w:i/>
          <w:sz w:val="16"/>
          <w:szCs w:val="16"/>
        </w:rPr>
        <w:t xml:space="preserve">Zdroj: ČSÚ 2018, Zdravotnické účty ČR 2010 - 2016 </w:t>
      </w:r>
    </w:p>
    <w:p w:rsidR="00240B6D" w:rsidRPr="00F0328F" w:rsidRDefault="00240B6D" w:rsidP="00240B6D">
      <w:pPr>
        <w:autoSpaceDE w:val="0"/>
        <w:autoSpaceDN w:val="0"/>
        <w:adjustRightInd w:val="0"/>
        <w:spacing w:before="120"/>
        <w:jc w:val="both"/>
        <w:rPr>
          <w:rFonts w:eastAsia="Calibri" w:cs="Arial"/>
          <w:i/>
          <w:szCs w:val="20"/>
        </w:rPr>
      </w:pPr>
      <w:r w:rsidRPr="00F0328F">
        <w:rPr>
          <w:rFonts w:eastAsia="Calibri" w:cs="Arial"/>
          <w:i/>
          <w:szCs w:val="20"/>
        </w:rPr>
        <w:t>Podle sdělení Ústavu zdravotnických informací a statistik byla koncem roku 2016 síť zdravotnických zařízení ústavní péče složena ze 189 nemocnic (akutní a následné péče) s celkovým počtem 60 221 lůžek a 126 odborných léčebných ústavů (včetně ozdravoven a hospiců, bez lázeňských léčeben) s celkem 17 753 lůžky.</w:t>
      </w:r>
      <w:r w:rsidRPr="00F0328F">
        <w:rPr>
          <w:rFonts w:cs="Arial"/>
          <w:i/>
          <w:szCs w:val="20"/>
        </w:rPr>
        <w:t xml:space="preserve"> </w:t>
      </w:r>
    </w:p>
    <w:p w:rsidR="00214E6F" w:rsidRPr="00214E6F" w:rsidRDefault="00214E6F" w:rsidP="00214E6F">
      <w:pPr>
        <w:keepNext/>
        <w:keepLines/>
        <w:spacing w:after="200"/>
        <w:outlineLvl w:val="0"/>
        <w:rPr>
          <w:rFonts w:eastAsia="MS Gothic"/>
          <w:b/>
          <w:bCs/>
          <w:color w:val="BC091B"/>
          <w:sz w:val="32"/>
          <w:szCs w:val="28"/>
        </w:rPr>
      </w:pPr>
      <w:bookmarkStart w:id="17" w:name="_Toc481748789"/>
      <w:r w:rsidRPr="00214E6F">
        <w:rPr>
          <w:rFonts w:eastAsia="MS Gothic"/>
          <w:b/>
          <w:bCs/>
          <w:color w:val="BC091B"/>
          <w:sz w:val="32"/>
          <w:szCs w:val="28"/>
        </w:rPr>
        <w:lastRenderedPageBreak/>
        <w:t>3. Specifické výsledky o výdajích na zdravotní péči</w:t>
      </w:r>
      <w:bookmarkEnd w:id="17"/>
    </w:p>
    <w:p w:rsidR="00214E6F" w:rsidRPr="00214E6F" w:rsidRDefault="00214E6F" w:rsidP="00214E6F">
      <w:pPr>
        <w:spacing w:before="120"/>
        <w:jc w:val="both"/>
        <w:rPr>
          <w:szCs w:val="17"/>
        </w:rPr>
      </w:pPr>
      <w:r w:rsidRPr="00214E6F">
        <w:rPr>
          <w:szCs w:val="17"/>
        </w:rPr>
        <w:t xml:space="preserve">Všechny zdroje dat potřebné k sestavení zdravotnických účtů nepřinášejí údaje na stejné úrovni podrobnosti a ve stejné kvalitě. V rámci specifických výsledků jsou uvedeny zejména informace vycházející z podrobných údajů, které mají k dispozici </w:t>
      </w:r>
      <w:r w:rsidRPr="00214E6F">
        <w:rPr>
          <w:b/>
          <w:szCs w:val="17"/>
        </w:rPr>
        <w:t>zdravotní pojišťovny</w:t>
      </w:r>
      <w:r w:rsidRPr="00214E6F">
        <w:rPr>
          <w:szCs w:val="17"/>
        </w:rPr>
        <w:t xml:space="preserve">. Patří sem také informace, které přinášejí bližší pohled na sociálně či ekonomicky významnou oblast zdravotní péče - </w:t>
      </w:r>
      <w:r w:rsidRPr="00214E6F">
        <w:rPr>
          <w:b/>
          <w:szCs w:val="17"/>
        </w:rPr>
        <w:t>účast domácností, dlouhodobá péče či výdaje za léky.</w:t>
      </w:r>
    </w:p>
    <w:p w:rsidR="00214E6F" w:rsidRPr="00214E6F" w:rsidRDefault="00214E6F" w:rsidP="00214E6F">
      <w:pPr>
        <w:keepNext/>
        <w:keepLines/>
        <w:spacing w:before="240" w:after="120"/>
        <w:outlineLvl w:val="1"/>
        <w:rPr>
          <w:rFonts w:eastAsia="MS Gothic"/>
          <w:b/>
          <w:bCs/>
          <w:color w:val="BC091B"/>
          <w:sz w:val="28"/>
          <w:szCs w:val="26"/>
        </w:rPr>
      </w:pPr>
      <w:bookmarkStart w:id="18" w:name="_3.1_Výdaje_zdravotních"/>
      <w:bookmarkStart w:id="19" w:name="_Toc481748790"/>
      <w:bookmarkEnd w:id="18"/>
      <w:r w:rsidRPr="00214E6F">
        <w:rPr>
          <w:rFonts w:eastAsia="MS Gothic"/>
          <w:b/>
          <w:bCs/>
          <w:color w:val="BC091B"/>
          <w:sz w:val="28"/>
          <w:szCs w:val="26"/>
        </w:rPr>
        <w:t>3.1 Výdaje zdravotních pojišťoven</w:t>
      </w:r>
      <w:bookmarkEnd w:id="19"/>
    </w:p>
    <w:p w:rsidR="00214E6F" w:rsidRPr="00214E6F" w:rsidRDefault="00214E6F" w:rsidP="00214E6F">
      <w:pPr>
        <w:keepNext/>
        <w:jc w:val="both"/>
      </w:pPr>
      <w:r w:rsidRPr="00214E6F">
        <w:t xml:space="preserve">Zdravotní péče je v našem systému hrazená převážně z veřejného zdravotního pojištění a pouze v některých </w:t>
      </w:r>
      <w:r w:rsidRPr="00381C1A">
        <w:t>případech bývá doplněna o spoluúčast pacientů (např. doplatky za některé léky, stomatologická péče apod</w:t>
      </w:r>
      <w:r w:rsidRPr="00214E6F">
        <w:t xml:space="preserve">.). Následující kapitola podává </w:t>
      </w:r>
      <w:r w:rsidR="00381C1A">
        <w:t xml:space="preserve">jak </w:t>
      </w:r>
      <w:r w:rsidRPr="00214E6F">
        <w:t xml:space="preserve">ucelenou informaci </w:t>
      </w:r>
      <w:r w:rsidRPr="00214E6F">
        <w:rPr>
          <w:b/>
        </w:rPr>
        <w:t>o</w:t>
      </w:r>
      <w:r w:rsidR="00381C1A">
        <w:rPr>
          <w:b/>
        </w:rPr>
        <w:t xml:space="preserve"> celkových </w:t>
      </w:r>
      <w:r w:rsidRPr="00214E6F">
        <w:rPr>
          <w:b/>
        </w:rPr>
        <w:t xml:space="preserve">výdajích </w:t>
      </w:r>
      <w:r w:rsidRPr="00381C1A">
        <w:t>zdravotních pojišťoven na zdravotní péči</w:t>
      </w:r>
      <w:r w:rsidR="00381C1A">
        <w:t xml:space="preserve">, tak i </w:t>
      </w:r>
      <w:r w:rsidRPr="00214E6F">
        <w:t xml:space="preserve">podrobné informace o </w:t>
      </w:r>
      <w:r w:rsidRPr="00381C1A">
        <w:rPr>
          <w:b/>
        </w:rPr>
        <w:t>výdajích na jednotlivé druhy diagnóz</w:t>
      </w:r>
      <w:r w:rsidRPr="00214E6F">
        <w:t xml:space="preserve"> podle Mezinárodní statistické klasifikace nemocí a přidružených zdravotních problémů (dále také „MKN-10“) a</w:t>
      </w:r>
      <w:r w:rsidR="00F85872">
        <w:t> </w:t>
      </w:r>
      <w:r w:rsidRPr="00214E6F">
        <w:t>nechybí ani vý</w:t>
      </w:r>
      <w:r w:rsidRPr="00214E6F">
        <w:rPr>
          <w:bCs/>
        </w:rPr>
        <w:t xml:space="preserve">daje zdravotních pojišťoven na zdravotní péči </w:t>
      </w:r>
      <w:r w:rsidRPr="00381C1A">
        <w:rPr>
          <w:b/>
          <w:bCs/>
        </w:rPr>
        <w:t>na 1 pojištěnce podle pohlaví</w:t>
      </w:r>
      <w:r w:rsidR="00381C1A">
        <w:rPr>
          <w:b/>
          <w:bCs/>
        </w:rPr>
        <w:t>, věku</w:t>
      </w:r>
      <w:r w:rsidRPr="00381C1A">
        <w:rPr>
          <w:b/>
          <w:bCs/>
        </w:rPr>
        <w:t xml:space="preserve"> a</w:t>
      </w:r>
      <w:r w:rsidR="00F85872">
        <w:rPr>
          <w:b/>
          <w:bCs/>
        </w:rPr>
        <w:t> </w:t>
      </w:r>
      <w:r w:rsidRPr="00381C1A">
        <w:rPr>
          <w:b/>
          <w:bCs/>
        </w:rPr>
        <w:t>diagnóz</w:t>
      </w:r>
      <w:r w:rsidRPr="00214E6F">
        <w:rPr>
          <w:bCs/>
        </w:rPr>
        <w:t>.</w:t>
      </w:r>
    </w:p>
    <w:p w:rsidR="00214E6F" w:rsidRPr="00214E6F" w:rsidRDefault="00214E6F" w:rsidP="00214E6F">
      <w:pPr>
        <w:keepNext/>
        <w:keepLines/>
        <w:spacing w:before="240" w:after="120"/>
        <w:outlineLvl w:val="2"/>
        <w:rPr>
          <w:rFonts w:eastAsia="MS Gothic"/>
          <w:b/>
          <w:bCs/>
          <w:color w:val="BC091B"/>
          <w:sz w:val="24"/>
        </w:rPr>
      </w:pPr>
      <w:bookmarkStart w:id="20" w:name="_Toc481748791"/>
      <w:r w:rsidRPr="00214E6F">
        <w:rPr>
          <w:rFonts w:eastAsia="MS Gothic"/>
          <w:b/>
          <w:bCs/>
          <w:color w:val="BC091B"/>
          <w:sz w:val="24"/>
        </w:rPr>
        <w:t>3.1.1. Celkové výdaje zdravotních pojišťoven</w:t>
      </w:r>
      <w:bookmarkEnd w:id="20"/>
    </w:p>
    <w:p w:rsidR="00E81B7C" w:rsidRDefault="00214E6F" w:rsidP="00214E6F">
      <w:pPr>
        <w:spacing w:before="120"/>
        <w:jc w:val="both"/>
        <w:rPr>
          <w:bCs/>
        </w:rPr>
      </w:pPr>
      <w:r w:rsidRPr="00214E6F">
        <w:rPr>
          <w:b/>
        </w:rPr>
        <w:t xml:space="preserve">Zdravotní pojišťovny </w:t>
      </w:r>
      <w:r w:rsidRPr="00214E6F">
        <w:t xml:space="preserve">vydaly v roce 2016 </w:t>
      </w:r>
      <w:r w:rsidRPr="00DD39C0">
        <w:rPr>
          <w:b/>
        </w:rPr>
        <w:t xml:space="preserve">na zdravotní péči </w:t>
      </w:r>
      <w:r w:rsidR="00E81B7C" w:rsidRPr="00DD39C0">
        <w:rPr>
          <w:b/>
        </w:rPr>
        <w:t>celkem</w:t>
      </w:r>
      <w:r w:rsidR="00E81B7C">
        <w:t xml:space="preserve"> </w:t>
      </w:r>
      <w:r w:rsidRPr="00214E6F">
        <w:t>237,7 mld. Kč</w:t>
      </w:r>
      <w:r w:rsidR="00E81B7C">
        <w:t xml:space="preserve"> a touto částkou se tak ze dvou třetin podílely na financování </w:t>
      </w:r>
      <w:r w:rsidRPr="00214E6F">
        <w:t>zdravotní péč</w:t>
      </w:r>
      <w:r w:rsidR="00E81B7C">
        <w:t>e</w:t>
      </w:r>
      <w:r w:rsidRPr="00214E6F">
        <w:t xml:space="preserve"> v České republice.</w:t>
      </w:r>
      <w:r w:rsidRPr="00214E6F">
        <w:rPr>
          <w:szCs w:val="17"/>
        </w:rPr>
        <w:t xml:space="preserve"> </w:t>
      </w:r>
      <w:r w:rsidRPr="00214E6F">
        <w:t>V roce 2014 byl v rámci sledovaného období poprvé zaznamenán meziroční pokles výdajů na zdravotní péči financovan</w:t>
      </w:r>
      <w:r w:rsidR="00FD0F42">
        <w:t>ý</w:t>
      </w:r>
      <w:r w:rsidRPr="00214E6F">
        <w:t xml:space="preserve"> z</w:t>
      </w:r>
      <w:r w:rsidR="00F85872">
        <w:t> </w:t>
      </w:r>
      <w:r w:rsidRPr="00214E6F">
        <w:t xml:space="preserve">povinného zdravotního pojištění. Zatímco v roce 2013 dosáhly celkové výdaje zdravotních pojišťoven na zdravotní péči 238,4 mld. Kč, o rok později to bylo o 3,8 mld. Kč (1,6 %) méně. </w:t>
      </w:r>
      <w:r w:rsidR="00E81B7C">
        <w:t xml:space="preserve">V následujícím roce zůstala výše financování z toho zdroje na </w:t>
      </w:r>
      <w:r w:rsidR="00DD39C0">
        <w:t xml:space="preserve">téměř </w:t>
      </w:r>
      <w:r w:rsidR="00E81B7C">
        <w:t>stejné úrovni. V ro</w:t>
      </w:r>
      <w:r w:rsidRPr="00214E6F">
        <w:t>ce 201</w:t>
      </w:r>
      <w:r w:rsidR="00E81B7C">
        <w:t xml:space="preserve">6 výdaje na zdravotní péči z veřejného zdravotního pojištění meziročně vzrostly o 3,2 mld. Kč (1,4 %) na </w:t>
      </w:r>
      <w:r w:rsidRPr="00214E6F">
        <w:rPr>
          <w:bCs/>
        </w:rPr>
        <w:t>výše zmíněných 237,7 mld. Kč</w:t>
      </w:r>
      <w:r w:rsidR="00E81B7C">
        <w:rPr>
          <w:bCs/>
        </w:rPr>
        <w:t>.</w:t>
      </w:r>
    </w:p>
    <w:p w:rsidR="00F954C5" w:rsidRDefault="00214E6F" w:rsidP="00214E6F">
      <w:pPr>
        <w:spacing w:before="120"/>
        <w:jc w:val="both"/>
        <w:rPr>
          <w:bCs/>
        </w:rPr>
      </w:pPr>
      <w:r w:rsidRPr="00214E6F">
        <w:rPr>
          <w:bCs/>
        </w:rPr>
        <w:t>Za zdravotní péči v</w:t>
      </w:r>
      <w:r w:rsidR="00E81B7C">
        <w:rPr>
          <w:bCs/>
        </w:rPr>
        <w:t xml:space="preserve"> letech </w:t>
      </w:r>
      <w:r w:rsidRPr="00214E6F">
        <w:rPr>
          <w:bCs/>
        </w:rPr>
        <w:t xml:space="preserve">2010 </w:t>
      </w:r>
      <w:r w:rsidR="00E81B7C">
        <w:rPr>
          <w:bCs/>
        </w:rPr>
        <w:t>až</w:t>
      </w:r>
      <w:r w:rsidRPr="00214E6F">
        <w:rPr>
          <w:bCs/>
        </w:rPr>
        <w:t xml:space="preserve"> 2016 zaplatily zdravotní pojišťovny celkem 1 649,3 mld. Kč</w:t>
      </w:r>
      <w:r w:rsidR="00E81B7C">
        <w:rPr>
          <w:bCs/>
        </w:rPr>
        <w:t xml:space="preserve"> a p</w:t>
      </w:r>
      <w:r w:rsidR="005E316C">
        <w:rPr>
          <w:bCs/>
        </w:rPr>
        <w:t>r</w:t>
      </w:r>
      <w:r w:rsidRPr="00214E6F">
        <w:rPr>
          <w:bCs/>
        </w:rPr>
        <w:t xml:space="preserve">ůměrné výdaje zdravotních pojišťoven </w:t>
      </w:r>
      <w:r w:rsidRPr="005E316C">
        <w:rPr>
          <w:b/>
          <w:bCs/>
        </w:rPr>
        <w:t xml:space="preserve">na jednoho </w:t>
      </w:r>
      <w:r w:rsidRPr="00F954C5">
        <w:rPr>
          <w:b/>
          <w:bCs/>
        </w:rPr>
        <w:t>pojištěnce</w:t>
      </w:r>
      <w:r w:rsidRPr="00F954C5">
        <w:rPr>
          <w:bCs/>
        </w:rPr>
        <w:t xml:space="preserve"> </w:t>
      </w:r>
      <w:r w:rsidR="00E81B7C" w:rsidRPr="00F954C5">
        <w:rPr>
          <w:bCs/>
        </w:rPr>
        <w:t xml:space="preserve">v tomto období </w:t>
      </w:r>
      <w:r w:rsidRPr="00F954C5">
        <w:rPr>
          <w:bCs/>
        </w:rPr>
        <w:t xml:space="preserve">dosáhly </w:t>
      </w:r>
      <w:r w:rsidR="005E316C" w:rsidRPr="00F954C5">
        <w:rPr>
          <w:bCs/>
        </w:rPr>
        <w:t xml:space="preserve">částky </w:t>
      </w:r>
      <w:r w:rsidR="00FB007E" w:rsidRPr="00F954C5">
        <w:rPr>
          <w:bCs/>
        </w:rPr>
        <w:t xml:space="preserve">22 </w:t>
      </w:r>
      <w:r w:rsidR="00F954C5" w:rsidRPr="00F954C5">
        <w:rPr>
          <w:bCs/>
        </w:rPr>
        <w:t>652</w:t>
      </w:r>
      <w:r w:rsidR="005E316C" w:rsidRPr="00F954C5">
        <w:rPr>
          <w:bCs/>
        </w:rPr>
        <w:t xml:space="preserve"> </w:t>
      </w:r>
      <w:r w:rsidR="00E23CFF" w:rsidRPr="00F954C5">
        <w:rPr>
          <w:bCs/>
        </w:rPr>
        <w:t>Kč</w:t>
      </w:r>
      <w:r w:rsidR="00F954C5">
        <w:rPr>
          <w:bCs/>
        </w:rPr>
        <w:t>.</w:t>
      </w:r>
      <w:r w:rsidR="00E23CFF" w:rsidRPr="00A52B44">
        <w:rPr>
          <w:bCs/>
          <w:highlight w:val="yellow"/>
        </w:rPr>
        <w:t xml:space="preserve"> </w:t>
      </w:r>
    </w:p>
    <w:p w:rsidR="00214E6F" w:rsidRPr="00214E6F" w:rsidRDefault="00214E6F" w:rsidP="00214E6F">
      <w:pPr>
        <w:spacing w:before="120"/>
        <w:jc w:val="both"/>
        <w:rPr>
          <w:b/>
          <w:bCs/>
          <w:sz w:val="18"/>
          <w:szCs w:val="18"/>
        </w:rPr>
      </w:pPr>
      <w:r w:rsidRPr="006A429F">
        <w:rPr>
          <w:b/>
          <w:bCs/>
          <w:sz w:val="18"/>
          <w:szCs w:val="18"/>
        </w:rPr>
        <w:t xml:space="preserve">Graf č. 3.1.1 </w:t>
      </w:r>
      <w:r w:rsidR="009E3D07" w:rsidRPr="006A429F">
        <w:rPr>
          <w:b/>
          <w:bCs/>
          <w:sz w:val="18"/>
          <w:szCs w:val="18"/>
        </w:rPr>
        <w:t>V</w:t>
      </w:r>
      <w:r w:rsidRPr="006A429F">
        <w:rPr>
          <w:b/>
          <w:bCs/>
          <w:sz w:val="18"/>
          <w:szCs w:val="18"/>
        </w:rPr>
        <w:t xml:space="preserve">ýdaje na zdravotní péči </w:t>
      </w:r>
      <w:r w:rsidR="00A52B44">
        <w:rPr>
          <w:b/>
          <w:bCs/>
          <w:sz w:val="18"/>
          <w:szCs w:val="18"/>
        </w:rPr>
        <w:t xml:space="preserve">v Česku </w:t>
      </w:r>
      <w:r w:rsidR="00561D72" w:rsidRPr="006A429F">
        <w:rPr>
          <w:b/>
          <w:bCs/>
          <w:sz w:val="18"/>
          <w:szCs w:val="18"/>
        </w:rPr>
        <w:t xml:space="preserve">financované </w:t>
      </w:r>
      <w:r w:rsidR="00A52B44">
        <w:rPr>
          <w:b/>
          <w:bCs/>
          <w:sz w:val="18"/>
          <w:szCs w:val="18"/>
        </w:rPr>
        <w:t xml:space="preserve">ze zdrojů </w:t>
      </w:r>
      <w:r w:rsidR="00561D72" w:rsidRPr="006A429F">
        <w:rPr>
          <w:b/>
          <w:bCs/>
          <w:sz w:val="18"/>
          <w:szCs w:val="18"/>
        </w:rPr>
        <w:t>z</w:t>
      </w:r>
      <w:r w:rsidR="00A52B44">
        <w:rPr>
          <w:b/>
          <w:bCs/>
          <w:sz w:val="18"/>
          <w:szCs w:val="18"/>
        </w:rPr>
        <w:t>dravotních pojišťoven</w:t>
      </w:r>
      <w:r w:rsidRPr="006A429F">
        <w:rPr>
          <w:b/>
          <w:bCs/>
          <w:sz w:val="18"/>
          <w:szCs w:val="18"/>
        </w:rPr>
        <w:t>, 2010-2016</w:t>
      </w:r>
    </w:p>
    <w:p w:rsidR="00214E6F" w:rsidRPr="00214E6F" w:rsidRDefault="00B76CB5" w:rsidP="00214E6F">
      <w:pPr>
        <w:rPr>
          <w:sz w:val="18"/>
          <w:szCs w:val="18"/>
        </w:rPr>
      </w:pPr>
      <w:r>
        <w:rPr>
          <w:noProof/>
        </w:rPr>
        <w:drawing>
          <wp:inline distT="0" distB="0" distL="0" distR="0" wp14:anchorId="7BA3FCA1" wp14:editId="312C9ED4">
            <wp:extent cx="5972810" cy="26640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E316C" w:rsidRDefault="00214E6F" w:rsidP="00214E6F">
      <w:pPr>
        <w:keepNext/>
        <w:spacing w:line="240" w:lineRule="auto"/>
        <w:ind w:firstLine="708"/>
        <w:rPr>
          <w:b/>
          <w:bCs/>
          <w:i/>
          <w:sz w:val="16"/>
          <w:szCs w:val="16"/>
        </w:rPr>
      </w:pPr>
      <w:r w:rsidRPr="00214E6F">
        <w:rPr>
          <w:b/>
          <w:bCs/>
          <w:i/>
          <w:sz w:val="16"/>
          <w:szCs w:val="16"/>
        </w:rPr>
        <w:t xml:space="preserve">                                                                                                                Zdroj: ČSÚ 2018, Zdravotnické účty ČR 2010 </w:t>
      </w:r>
      <w:r w:rsidR="005E316C">
        <w:rPr>
          <w:b/>
          <w:bCs/>
          <w:i/>
          <w:sz w:val="16"/>
          <w:szCs w:val="16"/>
        </w:rPr>
        <w:t>–</w:t>
      </w:r>
      <w:r w:rsidRPr="00214E6F">
        <w:rPr>
          <w:b/>
          <w:bCs/>
          <w:i/>
          <w:sz w:val="16"/>
          <w:szCs w:val="16"/>
        </w:rPr>
        <w:t xml:space="preserve"> 2016</w:t>
      </w:r>
    </w:p>
    <w:p w:rsidR="005E316C" w:rsidRPr="00214E6F" w:rsidRDefault="005E316C" w:rsidP="005E316C">
      <w:pPr>
        <w:spacing w:before="120"/>
        <w:jc w:val="both"/>
      </w:pPr>
      <w:r w:rsidRPr="006A429F">
        <w:t>V </w:t>
      </w:r>
      <w:r w:rsidRPr="006A429F">
        <w:rPr>
          <w:b/>
        </w:rPr>
        <w:t>mezinárodním srovnání</w:t>
      </w:r>
      <w:r w:rsidRPr="006A429F">
        <w:t xml:space="preserve"> podíl výdajů na zdravotní péči v České republice financovaný z povinného zdravotního pojištění vysoce převyšuje průměr zemí </w:t>
      </w:r>
      <w:r w:rsidR="00A52B44">
        <w:t>OECD</w:t>
      </w:r>
      <w:r w:rsidRPr="006A429F">
        <w:t xml:space="preserve"> (36 % v roce </w:t>
      </w:r>
      <w:r w:rsidR="00E23CFF">
        <w:t>2015</w:t>
      </w:r>
      <w:r w:rsidRPr="006A429F">
        <w:t>). Náš stát se tak řadí k zemím jako je například Nizozemsko</w:t>
      </w:r>
      <w:r w:rsidR="00901E8E" w:rsidRPr="006A429F">
        <w:t xml:space="preserve">, Německo, Slovensko, </w:t>
      </w:r>
      <w:r w:rsidR="00A52B44">
        <w:t>Francie či Nizozemsko</w:t>
      </w:r>
      <w:r w:rsidRPr="006A429F">
        <w:t xml:space="preserve">, kde je systém </w:t>
      </w:r>
      <w:r w:rsidR="00A52B44">
        <w:t xml:space="preserve">financování </w:t>
      </w:r>
      <w:r w:rsidRPr="006A429F">
        <w:t>zdravotní</w:t>
      </w:r>
      <w:r w:rsidR="00A52B44">
        <w:t xml:space="preserve"> péče </w:t>
      </w:r>
      <w:r w:rsidRPr="006A429F">
        <w:t xml:space="preserve">založený především na </w:t>
      </w:r>
      <w:r w:rsidR="00A52B44">
        <w:t xml:space="preserve">zdrojích ze </w:t>
      </w:r>
      <w:r w:rsidRPr="006A429F">
        <w:t>všeobecné</w:t>
      </w:r>
      <w:r w:rsidR="00A52B44">
        <w:t>ho</w:t>
      </w:r>
      <w:r w:rsidRPr="006A429F">
        <w:t xml:space="preserve"> zdravotní</w:t>
      </w:r>
      <w:r w:rsidR="00A52B44">
        <w:t>ho</w:t>
      </w:r>
      <w:r w:rsidRPr="006A429F">
        <w:t xml:space="preserve"> pojištění.</w:t>
      </w:r>
    </w:p>
    <w:p w:rsidR="00214E6F" w:rsidRPr="00214E6F" w:rsidRDefault="00214E6F" w:rsidP="00214E6F">
      <w:pPr>
        <w:keepNext/>
        <w:keepLines/>
        <w:spacing w:before="240" w:after="120"/>
        <w:outlineLvl w:val="2"/>
        <w:rPr>
          <w:rFonts w:eastAsia="MS Gothic"/>
          <w:b/>
          <w:bCs/>
          <w:color w:val="BC091B"/>
          <w:sz w:val="24"/>
        </w:rPr>
      </w:pPr>
      <w:r w:rsidRPr="00214E6F">
        <w:rPr>
          <w:rFonts w:eastAsia="MS Gothic"/>
          <w:b/>
          <w:bCs/>
          <w:color w:val="BC091B"/>
          <w:sz w:val="24"/>
        </w:rPr>
        <w:lastRenderedPageBreak/>
        <w:t>3.1.2. Výdaje zdravotních pojišťoven podle diagnóz MKN-10</w:t>
      </w:r>
    </w:p>
    <w:p w:rsidR="00FB007E" w:rsidRPr="00FB007E" w:rsidRDefault="006A429F" w:rsidP="00214E6F">
      <w:pPr>
        <w:spacing w:before="120"/>
        <w:jc w:val="both"/>
      </w:pPr>
      <w:r w:rsidRPr="00FB007E">
        <w:t xml:space="preserve">V této kapitole </w:t>
      </w:r>
      <w:r w:rsidR="00214E6F" w:rsidRPr="00FB007E">
        <w:t xml:space="preserve">se budeme </w:t>
      </w:r>
      <w:r w:rsidRPr="00FB007E">
        <w:t xml:space="preserve">podrobně </w:t>
      </w:r>
      <w:r w:rsidR="00214E6F" w:rsidRPr="00FB007E">
        <w:t>věnovat výdajům na zdravotní péči v členění podle</w:t>
      </w:r>
      <w:r w:rsidRPr="00FB007E">
        <w:t xml:space="preserve"> jejich </w:t>
      </w:r>
      <w:r w:rsidRPr="00FB007E">
        <w:rPr>
          <w:b/>
        </w:rPr>
        <w:t>diagnóz</w:t>
      </w:r>
      <w:r w:rsidRPr="00FB007E">
        <w:t xml:space="preserve"> definovaných podle </w:t>
      </w:r>
      <w:r w:rsidRPr="00A52B44">
        <w:rPr>
          <w:b/>
        </w:rPr>
        <w:t>Mezinárodní statistické klasifikace nemocí a přidružených zdravotnických problémů z roku 2010</w:t>
      </w:r>
      <w:r w:rsidRPr="00FB007E">
        <w:t xml:space="preserve"> (dále jen </w:t>
      </w:r>
      <w:r w:rsidR="00214E6F" w:rsidRPr="00FB007E">
        <w:t>MKN-10</w:t>
      </w:r>
      <w:r w:rsidRPr="00FB007E">
        <w:t>)</w:t>
      </w:r>
      <w:r w:rsidR="00A52B44">
        <w:t xml:space="preserve">, a to </w:t>
      </w:r>
      <w:r w:rsidR="00FB007E" w:rsidRPr="00FB007E">
        <w:t>v členění podle pohlaví a věku pojištěnců.</w:t>
      </w:r>
    </w:p>
    <w:p w:rsidR="00214E6F" w:rsidRPr="00214E6F" w:rsidRDefault="00214E6F" w:rsidP="00561D72">
      <w:pPr>
        <w:keepNext/>
        <w:spacing w:before="240" w:after="120" w:line="240" w:lineRule="auto"/>
        <w:rPr>
          <w:b/>
          <w:bCs/>
          <w:i/>
          <w:sz w:val="16"/>
          <w:szCs w:val="16"/>
        </w:rPr>
      </w:pPr>
      <w:r w:rsidRPr="00214E6F">
        <w:rPr>
          <w:rFonts w:eastAsia="MS Gothic"/>
          <w:b/>
          <w:bCs/>
          <w:i/>
        </w:rPr>
        <w:t>Nejvíce peněz vydávají zdravotní pojišťovny na léčení nemocí srdce a cév</w:t>
      </w:r>
    </w:p>
    <w:p w:rsidR="00BF011D" w:rsidRDefault="00214E6F" w:rsidP="00561D72">
      <w:pPr>
        <w:spacing w:before="120"/>
        <w:jc w:val="both"/>
      </w:pPr>
      <w:r w:rsidRPr="00214E6F">
        <w:t xml:space="preserve">Na celkových výdajích u jednotlivých kapitol diagnóz se podílí jednak četnost daných onemocnění v populaci a pochopitelně také nákladnost jejich léčby. Nejnákladnější skupinou onemocnění jsou dlouhodobě </w:t>
      </w:r>
      <w:r w:rsidRPr="00214E6F">
        <w:rPr>
          <w:b/>
        </w:rPr>
        <w:t xml:space="preserve">nemoci oběhové soustavy </w:t>
      </w:r>
      <w:r w:rsidRPr="00214E6F">
        <w:t>(25,4 mld. Kč), kam spadají mimo jiné ischemické choroby srdeční (např. infarkt myokardu, angina pectoris aj.) a cévní nemoci mozku (mrtvice), což jsou jak vysoce nákladná</w:t>
      </w:r>
      <w:r w:rsidR="00E23CFF">
        <w:t>,</w:t>
      </w:r>
      <w:r w:rsidRPr="00214E6F">
        <w:t xml:space="preserve"> tak i relativně častá onemocnění. </w:t>
      </w:r>
    </w:p>
    <w:p w:rsidR="00214E6F" w:rsidRPr="00BF011D" w:rsidRDefault="00214E6F" w:rsidP="00561D72">
      <w:pPr>
        <w:spacing w:before="120"/>
        <w:jc w:val="both"/>
        <w:rPr>
          <w:i/>
        </w:rPr>
      </w:pPr>
      <w:r w:rsidRPr="00BF011D">
        <w:rPr>
          <w:i/>
        </w:rPr>
        <w:t>Podle informací Ústavu zdravotnických informací a statistiky ČR (dále jen ÚZIS ČR) patří kardiovaskulární onemocnění k nejčastějším příčinám úmrtí v Česku u obou pohlaví. V roce 2016 byly příčinou 41 % úmrtí mužů a 48 % úmrtí žen, celkem zapříčinily téměř 48 tisíc případů úmrtí z celkového počtu 10</w:t>
      </w:r>
      <w:r w:rsidR="00BF011D" w:rsidRPr="00BF011D">
        <w:rPr>
          <w:i/>
        </w:rPr>
        <w:t>8 tisíc.</w:t>
      </w:r>
      <w:r w:rsidRPr="00BF011D">
        <w:rPr>
          <w:i/>
        </w:rPr>
        <w:t xml:space="preserve"> </w:t>
      </w:r>
    </w:p>
    <w:p w:rsidR="00214E6F" w:rsidRPr="00214E6F" w:rsidRDefault="00214E6F" w:rsidP="00561D72">
      <w:pPr>
        <w:spacing w:before="120"/>
        <w:jc w:val="both"/>
      </w:pPr>
      <w:r w:rsidRPr="00214E6F">
        <w:t xml:space="preserve">Na druhém místě nákladných diagnóz zůstávají </w:t>
      </w:r>
      <w:r w:rsidRPr="00214E6F">
        <w:rPr>
          <w:b/>
        </w:rPr>
        <w:t>novotvary</w:t>
      </w:r>
      <w:r w:rsidRPr="00214E6F">
        <w:t xml:space="preserve"> (23,6 mld. Kč), které představují poměrně vysoké náklady v souvislosti s nárůstem nově hlášených případů onkologických pacientů a zaváděním moderních, ale také velmi drahých léků do praxe. </w:t>
      </w:r>
    </w:p>
    <w:p w:rsidR="00214E6F" w:rsidRPr="00214E6F" w:rsidRDefault="00214E6F" w:rsidP="00214E6F">
      <w:pPr>
        <w:spacing w:before="240" w:after="120"/>
        <w:jc w:val="both"/>
        <w:rPr>
          <w:b/>
          <w:bCs/>
          <w:sz w:val="18"/>
          <w:szCs w:val="18"/>
        </w:rPr>
      </w:pPr>
      <w:r w:rsidRPr="00214E6F">
        <w:rPr>
          <w:b/>
          <w:bCs/>
          <w:sz w:val="18"/>
          <w:szCs w:val="18"/>
        </w:rPr>
        <w:t>Graf č. 3.1.2 Výdaje zdravotních pojišťoven na zdravotní péči v ČR podle diagnóz MKN-10*, 2016 (v mld. Kč; %)</w:t>
      </w:r>
    </w:p>
    <w:p w:rsidR="00214E6F" w:rsidRPr="00214E6F" w:rsidRDefault="00214E6F" w:rsidP="00214E6F">
      <w:pPr>
        <w:spacing w:before="240" w:after="120"/>
        <w:jc w:val="center"/>
        <w:rPr>
          <w:b/>
          <w:bCs/>
          <w:sz w:val="18"/>
          <w:szCs w:val="18"/>
        </w:rPr>
      </w:pPr>
      <w:r w:rsidRPr="00214E6F">
        <w:rPr>
          <w:noProof/>
        </w:rPr>
        <w:drawing>
          <wp:inline distT="0" distB="0" distL="0" distR="0">
            <wp:extent cx="6084000" cy="34200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16DE" w:rsidRDefault="00D516DE" w:rsidP="00BF011D">
      <w:pPr>
        <w:spacing w:before="120" w:line="240" w:lineRule="auto"/>
        <w:jc w:val="both"/>
        <w:rPr>
          <w:sz w:val="16"/>
        </w:rPr>
      </w:pPr>
      <w:r>
        <w:rPr>
          <w:sz w:val="16"/>
        </w:rPr>
        <w:t xml:space="preserve">(1) </w:t>
      </w:r>
      <w:r w:rsidRPr="00D516DE">
        <w:rPr>
          <w:sz w:val="16"/>
        </w:rPr>
        <w:t>zahrnuje výdaje na další kapitoly diagnóz v grafu neuvedené: např. nemoci nervové soustavy, nemoci oka, nemoci ucha, nemoci kůže, některé infekční a parazitární nemoci, těhotenství, porod a šestinedělí atd.</w:t>
      </w:r>
    </w:p>
    <w:p w:rsidR="00164260" w:rsidRPr="00FB007E" w:rsidRDefault="00BF011D" w:rsidP="00BF011D">
      <w:pPr>
        <w:spacing w:before="120" w:line="240" w:lineRule="auto"/>
        <w:jc w:val="both"/>
        <w:rPr>
          <w:b/>
          <w:bCs/>
          <w:i/>
          <w:sz w:val="12"/>
          <w:szCs w:val="16"/>
        </w:rPr>
      </w:pPr>
      <w:r w:rsidRPr="00FB007E">
        <w:rPr>
          <w:sz w:val="16"/>
        </w:rPr>
        <w:t xml:space="preserve">Poznámka: </w:t>
      </w:r>
      <w:r w:rsidR="00D516DE">
        <w:rPr>
          <w:sz w:val="16"/>
        </w:rPr>
        <w:t>v</w:t>
      </w:r>
      <w:r w:rsidR="00D516DE" w:rsidRPr="00D516DE">
        <w:rPr>
          <w:sz w:val="16"/>
        </w:rPr>
        <w:t>ýdaje zdravotních pojišťoven na zdravotní péči v ČR podle diagnóz MKN-10 uvedené v tomto grafu neobsahují údaje za „neznámou“ diagnózu ve výši 51,4 mld. Kč. Položka neznámá diagnóza zahrnuje výdaje, které není možné rozčlenit na konkrétní diagnózy. Jedná se například o kapitační platby registrujícím lékařům, návštěvní službu v rámci domácí péče, léky na recept, různé bonusy a příspěvky a také náklady pojišťoven na správu a provoz vlastních organizací.</w:t>
      </w:r>
    </w:p>
    <w:p w:rsidR="00214E6F" w:rsidRPr="00214E6F" w:rsidRDefault="00214E6F" w:rsidP="00214E6F">
      <w:pPr>
        <w:spacing w:before="120" w:line="240" w:lineRule="auto"/>
        <w:jc w:val="right"/>
        <w:rPr>
          <w:b/>
          <w:bCs/>
          <w:i/>
          <w:sz w:val="16"/>
          <w:szCs w:val="16"/>
        </w:rPr>
      </w:pPr>
      <w:r w:rsidRPr="00214E6F">
        <w:rPr>
          <w:b/>
          <w:bCs/>
          <w:i/>
          <w:sz w:val="16"/>
          <w:szCs w:val="16"/>
        </w:rPr>
        <w:t xml:space="preserve">Zdroj: ČSÚ 2018, Zdravotnické účty ČR 2010 - 2016 </w:t>
      </w:r>
    </w:p>
    <w:p w:rsidR="00BF011D" w:rsidRPr="00214E6F" w:rsidRDefault="00BF011D" w:rsidP="00BF011D">
      <w:pPr>
        <w:spacing w:before="120"/>
        <w:jc w:val="both"/>
      </w:pPr>
      <w:r w:rsidRPr="00214E6F">
        <w:t xml:space="preserve">Třetí nejnákladnější kapitolou jsou </w:t>
      </w:r>
      <w:r w:rsidRPr="00214E6F">
        <w:rPr>
          <w:b/>
        </w:rPr>
        <w:t xml:space="preserve">faktory ovlivňující zdravotní stav a kontakt se zdravotnickými službami </w:t>
      </w:r>
      <w:r w:rsidRPr="00214E6F">
        <w:t xml:space="preserve">(18,0 mld. Kč). Jedná se obsahově o velmi různorodou skupinu příčin čerpání zdravotní péče. Patří sem nejrůznější prohlídky (preventivní, zubní, gynekologické, v těhotenství, oční atd.), laboratorní vyšetření, screeningové vyšetření, očkování, lékařské pozorování, kosmetické výkony, přizpůsobení </w:t>
      </w:r>
      <w:r w:rsidRPr="00214E6F">
        <w:lastRenderedPageBreak/>
        <w:t xml:space="preserve">a seřízení implantovaných nebo protetických pomůcek, následná vyšetření po chemoterapii, dárcovství orgánů a tkání, hospitalizace novorozenců po porodu, doprovod dítěte při hospitalizaci a další. </w:t>
      </w:r>
    </w:p>
    <w:p w:rsidR="00214E6F" w:rsidRPr="00214E6F" w:rsidRDefault="00214E6F" w:rsidP="00214E6F">
      <w:pPr>
        <w:spacing w:before="240" w:after="120"/>
        <w:rPr>
          <w:rFonts w:eastAsia="MS Gothic"/>
          <w:b/>
          <w:i/>
        </w:rPr>
      </w:pPr>
      <w:r w:rsidRPr="00214E6F">
        <w:rPr>
          <w:rFonts w:eastAsia="MS Gothic"/>
          <w:b/>
          <w:i/>
        </w:rPr>
        <w:t>Výdaje na onkologickou léčbu v roce 2016 dosáhly 23,6 miliard korun, stejně jako v roce 2015</w:t>
      </w:r>
    </w:p>
    <w:p w:rsidR="00214E6F" w:rsidRPr="00214E6F" w:rsidRDefault="00D516DE" w:rsidP="00214E6F">
      <w:pPr>
        <w:keepNext/>
        <w:spacing w:before="120"/>
        <w:jc w:val="both"/>
      </w:pPr>
      <w:r w:rsidRPr="00F954C5">
        <w:t>I když i v</w:t>
      </w:r>
      <w:r w:rsidR="00214E6F" w:rsidRPr="00F954C5">
        <w:t> roce 2016</w:t>
      </w:r>
      <w:r w:rsidRPr="00F954C5">
        <w:t xml:space="preserve"> – jak již bylo uvedeno výše –</w:t>
      </w:r>
      <w:r w:rsidR="00214E6F" w:rsidRPr="00F954C5">
        <w:t xml:space="preserve"> vykázaly zdravotní pojišťovny největší objem výdajů na zdravotní péči (25,4 mld. Kč) za </w:t>
      </w:r>
      <w:r w:rsidR="00214E6F" w:rsidRPr="00F954C5">
        <w:rPr>
          <w:b/>
        </w:rPr>
        <w:t>nemoci oběhové soustavy</w:t>
      </w:r>
      <w:r w:rsidR="00214E6F" w:rsidRPr="00F954C5">
        <w:t xml:space="preserve">, bylo </w:t>
      </w:r>
      <w:r w:rsidRPr="00F954C5">
        <w:t xml:space="preserve">to </w:t>
      </w:r>
      <w:r w:rsidR="00214E6F" w:rsidRPr="00F954C5">
        <w:t xml:space="preserve">o 5 % méně než v roce 2010. Pokles výdajů na jejich léčbu byl </w:t>
      </w:r>
      <w:r w:rsidRPr="00F954C5">
        <w:t xml:space="preserve">v tomto období </w:t>
      </w:r>
      <w:r w:rsidR="00214E6F" w:rsidRPr="00F954C5">
        <w:t xml:space="preserve">zaznamenán ve všech věkových skupinách s výjimkou dětí do 9 let. </w:t>
      </w:r>
      <w:r w:rsidR="00214E6F" w:rsidRPr="00F954C5">
        <w:rPr>
          <w:i/>
        </w:rPr>
        <w:t xml:space="preserve">Podle informací zdravotních pojišťoven se výdaje v rizikových věkových skupinách 60 - 69 let </w:t>
      </w:r>
      <w:r w:rsidRPr="00F954C5">
        <w:rPr>
          <w:i/>
        </w:rPr>
        <w:t xml:space="preserve">na tuto diagnózu </w:t>
      </w:r>
      <w:r w:rsidR="00F954C5" w:rsidRPr="00F954C5">
        <w:rPr>
          <w:i/>
        </w:rPr>
        <w:t xml:space="preserve">v letech 2015 – 2016 </w:t>
      </w:r>
      <w:r w:rsidR="00214E6F" w:rsidRPr="00F954C5">
        <w:rPr>
          <w:i/>
        </w:rPr>
        <w:t xml:space="preserve">snížily o </w:t>
      </w:r>
      <w:r w:rsidR="00F954C5" w:rsidRPr="00F954C5">
        <w:rPr>
          <w:i/>
        </w:rPr>
        <w:t xml:space="preserve">9 %. </w:t>
      </w:r>
      <w:r w:rsidR="00214E6F" w:rsidRPr="00F954C5">
        <w:rPr>
          <w:i/>
        </w:rPr>
        <w:t>Z důvodu nemocí oběhového systému bylo v roce 2016 hospitalizováno více než 298 tisíc pacientů, což je o 8 % méně v porovnání s rokem 2010.</w:t>
      </w:r>
      <w:r w:rsidR="00214E6F" w:rsidRPr="00214E6F">
        <w:t xml:space="preserve"> </w:t>
      </w:r>
    </w:p>
    <w:p w:rsidR="00214E6F" w:rsidRPr="00214E6F" w:rsidRDefault="00214E6F" w:rsidP="00606B1B">
      <w:pPr>
        <w:spacing w:before="240"/>
        <w:jc w:val="both"/>
        <w:rPr>
          <w:b/>
          <w:bCs/>
          <w:sz w:val="18"/>
          <w:szCs w:val="18"/>
        </w:rPr>
      </w:pPr>
      <w:r w:rsidRPr="00214E6F">
        <w:rPr>
          <w:b/>
          <w:bCs/>
          <w:sz w:val="18"/>
          <w:szCs w:val="18"/>
        </w:rPr>
        <w:t xml:space="preserve">Graf č. 3.1.3 </w:t>
      </w:r>
      <w:r w:rsidR="00561D72">
        <w:rPr>
          <w:b/>
          <w:bCs/>
          <w:sz w:val="18"/>
          <w:szCs w:val="18"/>
        </w:rPr>
        <w:t>V</w:t>
      </w:r>
      <w:r w:rsidRPr="00214E6F">
        <w:rPr>
          <w:b/>
          <w:bCs/>
          <w:sz w:val="18"/>
          <w:szCs w:val="18"/>
        </w:rPr>
        <w:t>ýdaj</w:t>
      </w:r>
      <w:r w:rsidR="00561D72">
        <w:rPr>
          <w:b/>
          <w:bCs/>
          <w:sz w:val="18"/>
          <w:szCs w:val="18"/>
        </w:rPr>
        <w:t>e</w:t>
      </w:r>
      <w:r w:rsidRPr="00214E6F">
        <w:rPr>
          <w:b/>
          <w:bCs/>
          <w:sz w:val="18"/>
          <w:szCs w:val="18"/>
        </w:rPr>
        <w:t xml:space="preserve"> zdravotních pojišťoven v Č</w:t>
      </w:r>
      <w:r w:rsidR="00F85872">
        <w:rPr>
          <w:b/>
          <w:bCs/>
          <w:sz w:val="18"/>
          <w:szCs w:val="18"/>
        </w:rPr>
        <w:t>esku</w:t>
      </w:r>
      <w:r w:rsidRPr="00214E6F">
        <w:rPr>
          <w:b/>
          <w:bCs/>
          <w:sz w:val="18"/>
          <w:szCs w:val="18"/>
        </w:rPr>
        <w:t xml:space="preserve"> podle diagnóz MKN-10, 2010 a 2016 (mil. Kč) </w:t>
      </w:r>
    </w:p>
    <w:p w:rsidR="00214E6F" w:rsidRPr="00214E6F" w:rsidRDefault="00214E6F" w:rsidP="00606B1B">
      <w:pPr>
        <w:jc w:val="both"/>
        <w:rPr>
          <w:b/>
          <w:bCs/>
          <w:sz w:val="18"/>
          <w:szCs w:val="18"/>
        </w:rPr>
      </w:pPr>
      <w:r w:rsidRPr="00214E6F">
        <w:rPr>
          <w:noProof/>
        </w:rPr>
        <w:drawing>
          <wp:inline distT="0" distB="0" distL="0" distR="0">
            <wp:extent cx="6086475" cy="43200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14E6F" w:rsidRPr="00214E6F" w:rsidRDefault="00214E6F" w:rsidP="00F85872">
      <w:pPr>
        <w:spacing w:before="120" w:after="240" w:line="240" w:lineRule="auto"/>
        <w:jc w:val="right"/>
        <w:rPr>
          <w:b/>
          <w:bCs/>
          <w:i/>
          <w:sz w:val="16"/>
          <w:szCs w:val="16"/>
        </w:rPr>
      </w:pPr>
      <w:r w:rsidRPr="00214E6F">
        <w:rPr>
          <w:b/>
          <w:bCs/>
          <w:i/>
          <w:sz w:val="16"/>
          <w:szCs w:val="16"/>
        </w:rPr>
        <w:t xml:space="preserve">Zdroj: ČSÚ 2018, Zdravotnické účty ČR 2010 - 2016 </w:t>
      </w:r>
    </w:p>
    <w:p w:rsidR="00BF011D" w:rsidRPr="00214E6F" w:rsidRDefault="00BF011D" w:rsidP="00BF011D">
      <w:pPr>
        <w:spacing w:before="120"/>
        <w:jc w:val="both"/>
        <w:rPr>
          <w:bCs/>
          <w:szCs w:val="22"/>
        </w:rPr>
      </w:pPr>
      <w:r w:rsidRPr="00214E6F">
        <w:t xml:space="preserve">V roce 2016 vydaly zdravotní pojišťovny na léčbu </w:t>
      </w:r>
      <w:r w:rsidRPr="00214E6F">
        <w:rPr>
          <w:b/>
        </w:rPr>
        <w:t>onkologických onemocnění</w:t>
      </w:r>
      <w:r w:rsidRPr="00214E6F">
        <w:t xml:space="preserve"> 23,6 mld. Kč, což odpovídá úrovni z roku 2015. Vysoké výdaj</w:t>
      </w:r>
      <w:r w:rsidR="00123EF0">
        <w:t>e</w:t>
      </w:r>
      <w:r w:rsidRPr="00214E6F">
        <w:t xml:space="preserve"> na onkologickou léčbu souvisí s možnostmi nových moderních léčebných i diagnostických metod, přístrojů a léčivých prostředků a bohužel také se zvyšujícím se počtem nově hlášených onkologických onemocnění v populaci. Nádorová onemocnění jsou stále druhou nejčastější příčinou úmrtí, po nemocech oběhové soustavy. Diagnostikována jsou u více než čtvrtiny zemřelých. U mužů se týkají zejména plic, tlustého střeva a prostaty. U žen je zaznamenána nejvýznamnější část úmrtí v důsledku novotvarů plic, tlustého střeva, prsu a pohlavních orgánů. K nejnákladnějším skupinám onkologických onemocnění patří nádory trávicího ústrojí a nádory mízní, krvetvorné a příbuzné tkáně.</w:t>
      </w:r>
    </w:p>
    <w:p w:rsidR="00BF011D" w:rsidRPr="00214E6F" w:rsidRDefault="00BF011D" w:rsidP="00BF011D">
      <w:pPr>
        <w:keepNext/>
        <w:spacing w:before="120"/>
        <w:jc w:val="both"/>
      </w:pPr>
      <w:r w:rsidRPr="00214E6F">
        <w:lastRenderedPageBreak/>
        <w:t xml:space="preserve">Léčba </w:t>
      </w:r>
      <w:r w:rsidRPr="00214E6F">
        <w:rPr>
          <w:b/>
        </w:rPr>
        <w:t xml:space="preserve">nemocí svalové a kosterní soustavy a pojivové tkáně </w:t>
      </w:r>
      <w:r w:rsidRPr="00214E6F">
        <w:t xml:space="preserve">stála </w:t>
      </w:r>
      <w:r w:rsidR="00F85872" w:rsidRPr="00214E6F">
        <w:t xml:space="preserve">v roce 2016 </w:t>
      </w:r>
      <w:r w:rsidRPr="00214E6F">
        <w:t xml:space="preserve">zdravotní </w:t>
      </w:r>
      <w:r w:rsidR="00F85872" w:rsidRPr="00214E6F">
        <w:t xml:space="preserve">pojišťovny </w:t>
      </w:r>
      <w:r w:rsidRPr="00214E6F">
        <w:t>16,</w:t>
      </w:r>
      <w:r w:rsidR="00F85872">
        <w:t>3 </w:t>
      </w:r>
      <w:r w:rsidRPr="00214E6F">
        <w:t xml:space="preserve">mld. Kč, což je o polovinu více než v roce 2010. Dlouhodobě se výdaje za léčbu nemocí pohybového ústrojí obecně řadí na přední místa pomyslného žebříčku. </w:t>
      </w:r>
    </w:p>
    <w:p w:rsidR="00214E6F" w:rsidRPr="00214E6F" w:rsidRDefault="00214E6F" w:rsidP="00214E6F">
      <w:pPr>
        <w:spacing w:before="240" w:after="120"/>
        <w:rPr>
          <w:rFonts w:eastAsia="MS Gothic"/>
          <w:b/>
          <w:i/>
          <w:color w:val="FF0000"/>
        </w:rPr>
      </w:pPr>
      <w:r w:rsidRPr="00214E6F">
        <w:rPr>
          <w:rFonts w:eastAsia="MS Gothic"/>
          <w:b/>
          <w:i/>
        </w:rPr>
        <w:t xml:space="preserve">Mezi roky 2010 a 2016 </w:t>
      </w:r>
      <w:r w:rsidR="007A7B9B">
        <w:rPr>
          <w:rFonts w:eastAsia="MS Gothic"/>
          <w:b/>
          <w:i/>
        </w:rPr>
        <w:t xml:space="preserve">procentuálně </w:t>
      </w:r>
      <w:r w:rsidRPr="00214E6F">
        <w:rPr>
          <w:rFonts w:eastAsia="MS Gothic"/>
          <w:b/>
          <w:i/>
        </w:rPr>
        <w:t>nejvíce vzrostly výdaje na léčení poranění a otrav</w:t>
      </w:r>
    </w:p>
    <w:p w:rsidR="00214E6F" w:rsidRPr="00214E6F" w:rsidRDefault="00214E6F" w:rsidP="00214E6F">
      <w:pPr>
        <w:spacing w:before="120"/>
        <w:jc w:val="both"/>
      </w:pPr>
      <w:r w:rsidRPr="00F954C5">
        <w:t xml:space="preserve">Od roku 2010 se </w:t>
      </w:r>
      <w:r w:rsidR="00F85872" w:rsidRPr="00F954C5">
        <w:t xml:space="preserve">v absolutních číslech </w:t>
      </w:r>
      <w:r w:rsidRPr="00F954C5">
        <w:t xml:space="preserve">nejvíce zvýšily náklady na léčení </w:t>
      </w:r>
      <w:r w:rsidRPr="00F954C5">
        <w:rPr>
          <w:b/>
        </w:rPr>
        <w:t>nemocí svalové a kosterní soustavy a pojivové tkáně</w:t>
      </w:r>
      <w:r w:rsidR="00F85872" w:rsidRPr="00F954C5">
        <w:rPr>
          <w:b/>
        </w:rPr>
        <w:t xml:space="preserve"> </w:t>
      </w:r>
      <w:r w:rsidR="00F85872" w:rsidRPr="00F954C5">
        <w:t>(o 5,6 mld. Kč)</w:t>
      </w:r>
      <w:r w:rsidRPr="00F954C5">
        <w:t xml:space="preserve"> a na kapitol</w:t>
      </w:r>
      <w:r w:rsidR="00F85872" w:rsidRPr="00F954C5">
        <w:t>u</w:t>
      </w:r>
      <w:r w:rsidRPr="00F954C5">
        <w:t xml:space="preserve"> </w:t>
      </w:r>
      <w:r w:rsidRPr="00F954C5">
        <w:rPr>
          <w:b/>
        </w:rPr>
        <w:t>faktory ovlivňující zdravotní stav</w:t>
      </w:r>
      <w:r w:rsidR="00F85872" w:rsidRPr="00F954C5">
        <w:rPr>
          <w:b/>
        </w:rPr>
        <w:t xml:space="preserve"> </w:t>
      </w:r>
      <w:r w:rsidR="00F85872" w:rsidRPr="00F954C5">
        <w:t>(o 5,5 mld. Kč), která</w:t>
      </w:r>
      <w:r w:rsidR="00F85872" w:rsidRPr="00F954C5">
        <w:rPr>
          <w:b/>
        </w:rPr>
        <w:t xml:space="preserve"> </w:t>
      </w:r>
      <w:r w:rsidRPr="00F954C5">
        <w:t>zahrnuj</w:t>
      </w:r>
      <w:r w:rsidR="00F85872" w:rsidRPr="00F954C5">
        <w:t>e</w:t>
      </w:r>
      <w:r w:rsidRPr="00F954C5">
        <w:t xml:space="preserve"> různá vyšetření, poradny, hospitalizaci dětí po porodu, doprovod při hospitalizaci, laboratorní vyšetření a</w:t>
      </w:r>
      <w:r w:rsidR="00F85872" w:rsidRPr="00F954C5">
        <w:t xml:space="preserve"> další obdobné zdravotnické úkony</w:t>
      </w:r>
      <w:r w:rsidRPr="00F954C5">
        <w:t>. Vysoce nadprůměrnou dynamiku v absolutních hodnotách</w:t>
      </w:r>
      <w:r w:rsidRPr="00214E6F">
        <w:t xml:space="preserve"> měly</w:t>
      </w:r>
      <w:r w:rsidR="00F85872">
        <w:t xml:space="preserve"> i</w:t>
      </w:r>
      <w:r w:rsidRPr="00214E6F">
        <w:t xml:space="preserve"> </w:t>
      </w:r>
      <w:r w:rsidRPr="00214E6F">
        <w:rPr>
          <w:b/>
        </w:rPr>
        <w:t>diagnózy poranění a otrav</w:t>
      </w:r>
      <w:r w:rsidR="00F85872">
        <w:rPr>
          <w:b/>
        </w:rPr>
        <w:t xml:space="preserve"> (o 4,4 mld. Kč)</w:t>
      </w:r>
      <w:r w:rsidRPr="00214E6F">
        <w:t xml:space="preserve"> </w:t>
      </w:r>
      <w:r w:rsidR="00F85872">
        <w:t xml:space="preserve">a již výše uvedená </w:t>
      </w:r>
      <w:r w:rsidRPr="00F85872">
        <w:rPr>
          <w:b/>
        </w:rPr>
        <w:t>onkologická onemocnění</w:t>
      </w:r>
      <w:r w:rsidR="00F85872">
        <w:rPr>
          <w:b/>
        </w:rPr>
        <w:t xml:space="preserve"> </w:t>
      </w:r>
      <w:r w:rsidR="00F85872" w:rsidRPr="00F85872">
        <w:t>(o 4,1</w:t>
      </w:r>
      <w:r w:rsidR="00F85872">
        <w:t> </w:t>
      </w:r>
      <w:r w:rsidR="00F85872" w:rsidRPr="00F85872">
        <w:t>mld.</w:t>
      </w:r>
      <w:r w:rsidR="00F85872">
        <w:t xml:space="preserve"> </w:t>
      </w:r>
      <w:r w:rsidR="00F85872" w:rsidRPr="00F85872">
        <w:t>Kč)</w:t>
      </w:r>
      <w:r w:rsidRPr="00F85872">
        <w:t>.</w:t>
      </w:r>
      <w:r w:rsidRPr="00214E6F">
        <w:t xml:space="preserve"> Výdaje na léčbu nemocí </w:t>
      </w:r>
      <w:r w:rsidRPr="00214E6F">
        <w:rPr>
          <w:b/>
        </w:rPr>
        <w:t>močové a pohlavní soustavy</w:t>
      </w:r>
      <w:r w:rsidRPr="00214E6F">
        <w:t xml:space="preserve"> stouply o 3 mld. Kč. </w:t>
      </w:r>
    </w:p>
    <w:p w:rsidR="007A7B9B" w:rsidRDefault="00BF011D" w:rsidP="007A7B9B">
      <w:pPr>
        <w:widowControl w:val="0"/>
        <w:spacing w:before="240" w:after="80"/>
        <w:jc w:val="both"/>
        <w:rPr>
          <w:rFonts w:cs="Arial"/>
          <w:b/>
          <w:bCs/>
          <w:spacing w:val="-7"/>
          <w:sz w:val="18"/>
          <w:szCs w:val="18"/>
        </w:rPr>
      </w:pPr>
      <w:r w:rsidRPr="00214E6F">
        <w:rPr>
          <w:rFonts w:cs="Arial"/>
          <w:b/>
          <w:bCs/>
          <w:spacing w:val="-7"/>
          <w:sz w:val="18"/>
          <w:szCs w:val="18"/>
        </w:rPr>
        <w:t xml:space="preserve">Graf č. 3.1.4 </w:t>
      </w:r>
      <w:r w:rsidR="007A7B9B">
        <w:rPr>
          <w:rFonts w:cs="Arial"/>
          <w:b/>
          <w:bCs/>
          <w:spacing w:val="-7"/>
          <w:sz w:val="18"/>
          <w:szCs w:val="18"/>
        </w:rPr>
        <w:t xml:space="preserve">Změna </w:t>
      </w:r>
      <w:r w:rsidRPr="00214E6F">
        <w:rPr>
          <w:rFonts w:cs="Arial"/>
          <w:b/>
          <w:bCs/>
          <w:spacing w:val="-7"/>
          <w:sz w:val="18"/>
          <w:szCs w:val="18"/>
        </w:rPr>
        <w:t>výdaj</w:t>
      </w:r>
      <w:r w:rsidR="007A7B9B">
        <w:rPr>
          <w:rFonts w:cs="Arial"/>
          <w:b/>
          <w:bCs/>
          <w:spacing w:val="-7"/>
          <w:sz w:val="18"/>
          <w:szCs w:val="18"/>
        </w:rPr>
        <w:t>ů</w:t>
      </w:r>
      <w:r w:rsidRPr="00214E6F">
        <w:rPr>
          <w:rFonts w:cs="Arial"/>
          <w:b/>
          <w:bCs/>
          <w:spacing w:val="-7"/>
          <w:sz w:val="18"/>
          <w:szCs w:val="18"/>
        </w:rPr>
        <w:t xml:space="preserve"> zdravotních pojišťoven </w:t>
      </w:r>
      <w:r w:rsidR="007A7B9B">
        <w:rPr>
          <w:rFonts w:cs="Arial"/>
          <w:b/>
          <w:bCs/>
          <w:spacing w:val="-7"/>
          <w:sz w:val="18"/>
          <w:szCs w:val="18"/>
        </w:rPr>
        <w:t xml:space="preserve">v Česku </w:t>
      </w:r>
      <w:r w:rsidRPr="00214E6F">
        <w:rPr>
          <w:rFonts w:cs="Arial"/>
          <w:b/>
          <w:bCs/>
          <w:spacing w:val="-7"/>
          <w:sz w:val="18"/>
          <w:szCs w:val="18"/>
        </w:rPr>
        <w:t xml:space="preserve">dle diagnóz </w:t>
      </w:r>
      <w:r w:rsidRPr="00214E6F">
        <w:rPr>
          <w:b/>
          <w:bCs/>
          <w:sz w:val="18"/>
          <w:szCs w:val="18"/>
        </w:rPr>
        <w:t xml:space="preserve">MKN-10 </w:t>
      </w:r>
      <w:r w:rsidRPr="00214E6F">
        <w:rPr>
          <w:rFonts w:cs="Arial"/>
          <w:b/>
          <w:bCs/>
          <w:spacing w:val="-7"/>
          <w:sz w:val="18"/>
          <w:szCs w:val="18"/>
        </w:rPr>
        <w:t>m</w:t>
      </w:r>
      <w:r w:rsidR="00F53404">
        <w:rPr>
          <w:rFonts w:cs="Arial"/>
          <w:b/>
          <w:bCs/>
          <w:spacing w:val="-7"/>
          <w:sz w:val="18"/>
          <w:szCs w:val="18"/>
        </w:rPr>
        <w:t>ezi roky 2010 a 2016 (mil. Kč)</w:t>
      </w:r>
    </w:p>
    <w:p w:rsidR="00BF011D" w:rsidRPr="00F53404" w:rsidRDefault="00F53404" w:rsidP="007A7B9B">
      <w:pPr>
        <w:widowControl w:val="0"/>
        <w:spacing w:before="240" w:after="80"/>
        <w:jc w:val="both"/>
        <w:rPr>
          <w:rFonts w:cs="Arial"/>
          <w:b/>
          <w:bCs/>
          <w:spacing w:val="-7"/>
          <w:sz w:val="18"/>
          <w:szCs w:val="18"/>
        </w:rPr>
      </w:pPr>
      <w:r>
        <w:rPr>
          <w:rFonts w:cs="Arial"/>
          <w:b/>
          <w:bCs/>
          <w:spacing w:val="-7"/>
          <w:sz w:val="18"/>
          <w:szCs w:val="18"/>
        </w:rPr>
        <w:t xml:space="preserve"> </w:t>
      </w:r>
      <w:r w:rsidR="00BF011D" w:rsidRPr="00214E6F">
        <w:rPr>
          <w:noProof/>
          <w:color w:val="FF0000"/>
        </w:rPr>
        <w:drawing>
          <wp:inline distT="0" distB="0" distL="0" distR="0">
            <wp:extent cx="5972175" cy="32400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F011D" w:rsidRPr="00214E6F" w:rsidRDefault="00BF011D" w:rsidP="00BF011D">
      <w:pPr>
        <w:spacing w:before="120" w:line="240" w:lineRule="auto"/>
        <w:jc w:val="right"/>
        <w:rPr>
          <w:b/>
          <w:bCs/>
          <w:i/>
          <w:sz w:val="16"/>
          <w:szCs w:val="16"/>
        </w:rPr>
      </w:pPr>
      <w:r w:rsidRPr="00214E6F">
        <w:rPr>
          <w:b/>
          <w:bCs/>
          <w:i/>
          <w:sz w:val="16"/>
          <w:szCs w:val="16"/>
        </w:rPr>
        <w:t xml:space="preserve">Zdroj: ČSÚ 2018, Zdravotnické účty ČR 2010 - 2016 </w:t>
      </w:r>
    </w:p>
    <w:p w:rsidR="00214E6F" w:rsidRPr="00214E6F" w:rsidRDefault="00214E6F" w:rsidP="00214E6F">
      <w:pPr>
        <w:spacing w:before="120"/>
        <w:jc w:val="both"/>
      </w:pPr>
      <w:r w:rsidRPr="00214E6F">
        <w:rPr>
          <w:b/>
        </w:rPr>
        <w:t>Procentuálně</w:t>
      </w:r>
      <w:r w:rsidRPr="00214E6F">
        <w:t xml:space="preserve"> mezi roky 2010 a 2016 nejvíce vzrostly výdaje na léčbu </w:t>
      </w:r>
      <w:r w:rsidRPr="00214E6F">
        <w:rPr>
          <w:b/>
        </w:rPr>
        <w:t>následků poranění a otrav</w:t>
      </w:r>
      <w:r w:rsidRPr="00214E6F">
        <w:t xml:space="preserve"> (nárůst o 62 %) a onemocnění svalové</w:t>
      </w:r>
      <w:r w:rsidRPr="00214E6F">
        <w:rPr>
          <w:b/>
        </w:rPr>
        <w:t xml:space="preserve"> nemocí svalové a kosterní soustavy a pojivové tkáně</w:t>
      </w:r>
      <w:r w:rsidRPr="00214E6F">
        <w:t xml:space="preserve"> (nárůst o 53 %).</w:t>
      </w:r>
    </w:p>
    <w:p w:rsidR="00214E6F" w:rsidRPr="00BF011D" w:rsidRDefault="00214E6F" w:rsidP="00DE6B5D">
      <w:pPr>
        <w:widowControl w:val="0"/>
        <w:spacing w:before="120"/>
        <w:jc w:val="both"/>
        <w:rPr>
          <w:rFonts w:eastAsia="Calibri"/>
          <w:i/>
        </w:rPr>
      </w:pPr>
      <w:r w:rsidRPr="00BF011D">
        <w:rPr>
          <w:rFonts w:eastAsia="Calibri"/>
          <w:i/>
        </w:rPr>
        <w:t xml:space="preserve">Podle informací ÚZIS ČR jsou </w:t>
      </w:r>
      <w:r w:rsidRPr="00BF011D">
        <w:rPr>
          <w:rFonts w:eastAsia="Calibri"/>
          <w:b/>
          <w:i/>
        </w:rPr>
        <w:t>nemoci svalové a kosterní soustavy</w:t>
      </w:r>
      <w:r w:rsidRPr="00BF011D">
        <w:rPr>
          <w:rFonts w:eastAsia="Calibri"/>
          <w:i/>
        </w:rPr>
        <w:t xml:space="preserve"> dlouhodobě druhou nejčastější příčinou pracovní neschopnosti (dále jen PN). V roce 2016 tvořily necelou pětinu všech případů PN. Tyto nemoci se vyznačují poměrně dlouhou průměrnou dobou trvání jednoho případu PN, která v roce 2016 činila 66 dnů. Na celkovém počtu prostonaných dnů se nemoci svalové a kosterní soustavy podílely 31 %, což je dlouhodobě nejvyšší podíl. Z této skupiny onemocnění se na pracovní neschopnosti nejvíce podílely onemocnění zad a páteře.</w:t>
      </w:r>
    </w:p>
    <w:p w:rsidR="00214E6F" w:rsidRPr="00214E6F" w:rsidRDefault="00214E6F" w:rsidP="00DE6B5D">
      <w:pPr>
        <w:widowControl w:val="0"/>
        <w:spacing w:before="120"/>
        <w:jc w:val="both"/>
      </w:pPr>
      <w:r w:rsidRPr="00214E6F">
        <w:rPr>
          <w:rFonts w:eastAsia="Calibri"/>
          <w:b/>
        </w:rPr>
        <w:t>Poranění, otravy a jiné následky vnějších příčin</w:t>
      </w:r>
      <w:r w:rsidRPr="00214E6F">
        <w:rPr>
          <w:rFonts w:eastAsia="Calibri"/>
        </w:rPr>
        <w:t xml:space="preserve"> byly v roce 2016 mezi důvody pracovní neschopnosti na třetím místě. Poranění, otravy a jiné následky vnějších příčin bylo důvodem 15 % prostonaných dnů v PN. Průměrná doba PN u této skupiny činila 52 dní. Nejvíce případů PN z této skupiny příčin způsobila vymknutí, podvrtnutí a natažení kloubních vazů.</w:t>
      </w:r>
    </w:p>
    <w:p w:rsidR="00FB007E" w:rsidRPr="00214E6F" w:rsidRDefault="00FB007E" w:rsidP="00FB007E">
      <w:pPr>
        <w:widowControl w:val="0"/>
        <w:spacing w:before="120"/>
        <w:jc w:val="both"/>
      </w:pPr>
      <w:r>
        <w:t>Ke</w:t>
      </w:r>
      <w:r w:rsidRPr="00214E6F">
        <w:t xml:space="preserve"> snížení výdajů pojišťoven </w:t>
      </w:r>
      <w:r>
        <w:t>na zdravotní péči mezi roky 2010 a 2016 došlo u</w:t>
      </w:r>
      <w:r w:rsidRPr="00214E6F">
        <w:t xml:space="preserve"> kapitol </w:t>
      </w:r>
      <w:r w:rsidRPr="00214E6F">
        <w:rPr>
          <w:b/>
        </w:rPr>
        <w:t>těhotenství, porod a šestinedělí</w:t>
      </w:r>
      <w:r>
        <w:rPr>
          <w:b/>
        </w:rPr>
        <w:t xml:space="preserve"> </w:t>
      </w:r>
      <w:r w:rsidRPr="00534498">
        <w:t>o 6%</w:t>
      </w:r>
      <w:r w:rsidRPr="00214E6F">
        <w:rPr>
          <w:b/>
        </w:rPr>
        <w:t xml:space="preserve"> </w:t>
      </w:r>
      <w:r w:rsidRPr="00214E6F">
        <w:t xml:space="preserve">a </w:t>
      </w:r>
      <w:r w:rsidRPr="00214E6F">
        <w:rPr>
          <w:b/>
        </w:rPr>
        <w:t>stavy vzniklé v perinatálním období</w:t>
      </w:r>
      <w:r>
        <w:rPr>
          <w:b/>
        </w:rPr>
        <w:t xml:space="preserve"> </w:t>
      </w:r>
      <w:r w:rsidRPr="00534498">
        <w:t>o 27 %.</w:t>
      </w:r>
      <w:r w:rsidRPr="00214E6F">
        <w:t xml:space="preserve"> </w:t>
      </w:r>
      <w:r>
        <w:t xml:space="preserve">V případě diagnózy stavy vzniklé v prenatálním období je poměrně výrazný pokles dán také relativně nízkou absolutní výší výdajů zdravotních pojišťoven na tento druh zdravotní péče. Nevelké absolutní snížení tak způsobí významný procentuální </w:t>
      </w:r>
      <w:r>
        <w:lastRenderedPageBreak/>
        <w:t xml:space="preserve">pokles. </w:t>
      </w:r>
      <w:r w:rsidRPr="00214E6F">
        <w:t>Tuto skutečnost ovlivnil s největší pravděpodobností pokles počtu narozených dětí v tomto období, který se snížil ze 117 tisíc v roce 2010 na 113 tisíc v roce 2016.</w:t>
      </w:r>
    </w:p>
    <w:p w:rsidR="00214E6F" w:rsidRPr="00214E6F" w:rsidRDefault="00214E6F" w:rsidP="00214E6F">
      <w:pPr>
        <w:spacing w:before="240" w:after="120"/>
        <w:jc w:val="both"/>
        <w:rPr>
          <w:rFonts w:eastAsia="MS Gothic"/>
          <w:b/>
          <w:i/>
        </w:rPr>
      </w:pPr>
      <w:r w:rsidRPr="00214E6F">
        <w:rPr>
          <w:rFonts w:eastAsia="MS Gothic"/>
          <w:b/>
          <w:i/>
        </w:rPr>
        <w:t>Zdravotní pojišťovny přispívají u dětí nejčastěji na léčbu onemocnění dýchacích cest a stavů vzniklých v perinatálním období</w:t>
      </w:r>
    </w:p>
    <w:p w:rsidR="00214E6F" w:rsidRPr="00214E6F" w:rsidRDefault="00214E6F" w:rsidP="000C547E">
      <w:pPr>
        <w:widowControl w:val="0"/>
        <w:jc w:val="both"/>
        <w:rPr>
          <w:rFonts w:eastAsia="Calibri"/>
        </w:rPr>
      </w:pPr>
      <w:r w:rsidRPr="00214E6F">
        <w:t>Následující graf č. 3.1.5 přináší přehled nejnákladnějších kapitol diagnóz z roku 201</w:t>
      </w:r>
      <w:r w:rsidR="00606B1B">
        <w:t>6</w:t>
      </w:r>
      <w:r w:rsidRPr="00214E6F">
        <w:t xml:space="preserve"> ve třech základních věkových skupinách.</w:t>
      </w:r>
      <w:r w:rsidRPr="00214E6F">
        <w:rPr>
          <w:rFonts w:cs="Arial"/>
          <w:szCs w:val="20"/>
          <w:vertAlign w:val="superscript"/>
        </w:rPr>
        <w:footnoteReference w:id="7"/>
      </w:r>
      <w:r w:rsidRPr="00214E6F">
        <w:t xml:space="preserve">  Ve věkových skupinách </w:t>
      </w:r>
      <w:r w:rsidRPr="00214E6F">
        <w:rPr>
          <w:b/>
        </w:rPr>
        <w:t xml:space="preserve">15 – 64 let </w:t>
      </w:r>
      <w:r w:rsidRPr="00214E6F">
        <w:t xml:space="preserve">a </w:t>
      </w:r>
      <w:r w:rsidRPr="00214E6F">
        <w:rPr>
          <w:b/>
        </w:rPr>
        <w:t>65 a více let</w:t>
      </w:r>
      <w:r w:rsidRPr="00214E6F">
        <w:t xml:space="preserve"> je výčet nejnákladovějších skupin diagnóz téměř totožný a mění se mírně pouze jejich pořadí. Nejmarkantnější </w:t>
      </w:r>
      <w:r w:rsidRPr="00214E6F">
        <w:rPr>
          <w:b/>
        </w:rPr>
        <w:t>rozdíl</w:t>
      </w:r>
      <w:r w:rsidRPr="00214E6F">
        <w:t xml:space="preserve"> podle věku je ve výdajích zdravotních pojišťoven </w:t>
      </w:r>
      <w:r w:rsidRPr="00214E6F">
        <w:rPr>
          <w:b/>
        </w:rPr>
        <w:t>na léčení nemocí kardiovaskulárního systému</w:t>
      </w:r>
      <w:r w:rsidRPr="00214E6F">
        <w:t xml:space="preserve">. Ve věkové skupině 65+ tvoří téměř čtvrtinu výdajů zdravotních pojišťoven na zdravotní péči, zatímco ve skupině 15 – 64 let se jedná o desetinu. </w:t>
      </w:r>
      <w:r w:rsidRPr="00214E6F">
        <w:rPr>
          <w:rFonts w:eastAsia="Calibri"/>
        </w:rPr>
        <w:t xml:space="preserve">Z hlediska struktury příčin nemocnosti jsou stále nemoci oběhové soustavy nejčastějším důvodem pro hospitalizaci a také </w:t>
      </w:r>
      <w:r w:rsidRPr="00214E6F">
        <w:t xml:space="preserve">úmrtnosti. Podle demografické statistiky umírá polovina seniorů v České republice na nemoci oběhové soustavy (zejména na infarkt myokardu a cévní onemocnění), ve středním věku jsou nejčastějšími příčinami úmrtí zhoubné novotvary. </w:t>
      </w:r>
    </w:p>
    <w:p w:rsidR="00214E6F" w:rsidRPr="00214E6F" w:rsidRDefault="00214E6F" w:rsidP="00214E6F">
      <w:pPr>
        <w:spacing w:before="120"/>
        <w:jc w:val="both"/>
      </w:pPr>
      <w:r w:rsidRPr="00214E6F">
        <w:rPr>
          <w:b/>
        </w:rPr>
        <w:t>U dětí do 14 let</w:t>
      </w:r>
      <w:r w:rsidRPr="00214E6F">
        <w:t xml:space="preserve"> je výčet finančně nejnáročnějších diagnóz z hlediska výdajů zdravotních pojišťoven odlišný. Jedná se zejména o nemoci </w:t>
      </w:r>
      <w:r w:rsidRPr="00214E6F">
        <w:rPr>
          <w:b/>
        </w:rPr>
        <w:t xml:space="preserve">dýchací soustavy </w:t>
      </w:r>
      <w:r w:rsidRPr="00214E6F">
        <w:t>a</w:t>
      </w:r>
      <w:r w:rsidRPr="00214E6F">
        <w:rPr>
          <w:b/>
        </w:rPr>
        <w:t xml:space="preserve"> stavy vzniklé v perinatálním období</w:t>
      </w:r>
      <w:r w:rsidRPr="00214E6F">
        <w:t>, což je pravděpodobně ovlivněno nárůstem počtu předčasně narozených dětí s nízkou či velmi nízkou porodní hmotností. Zdravotní péče o tyto velmi ohrožené děti je značně nákladná a s vývojem stále dokonalejších léčebných metod, léků a přístrojů budou tyto náklady pravděpodobně nadále narůstat.</w:t>
      </w:r>
    </w:p>
    <w:p w:rsidR="00214E6F" w:rsidRPr="00214E6F" w:rsidRDefault="00214E6F" w:rsidP="00214E6F">
      <w:pPr>
        <w:spacing w:before="240" w:after="120"/>
        <w:rPr>
          <w:b/>
          <w:bCs/>
          <w:spacing w:val="-6"/>
          <w:sz w:val="18"/>
          <w:szCs w:val="18"/>
        </w:rPr>
      </w:pPr>
      <w:r w:rsidRPr="00214E6F">
        <w:rPr>
          <w:b/>
          <w:bCs/>
          <w:spacing w:val="-6"/>
          <w:sz w:val="18"/>
          <w:szCs w:val="18"/>
        </w:rPr>
        <w:t xml:space="preserve">Graf č. 3.1.5 Výdaje zdravotních pojišťoven </w:t>
      </w:r>
      <w:r w:rsidR="000C547E">
        <w:rPr>
          <w:b/>
          <w:bCs/>
          <w:spacing w:val="-6"/>
          <w:sz w:val="18"/>
          <w:szCs w:val="18"/>
        </w:rPr>
        <w:t xml:space="preserve">v Česku </w:t>
      </w:r>
      <w:r w:rsidRPr="00214E6F">
        <w:rPr>
          <w:b/>
          <w:bCs/>
          <w:spacing w:val="-6"/>
          <w:sz w:val="18"/>
          <w:szCs w:val="18"/>
        </w:rPr>
        <w:t xml:space="preserve">podle věkových skupin a diagnóz MKN-10*, 2016 (%) </w:t>
      </w:r>
    </w:p>
    <w:p w:rsidR="00214E6F" w:rsidRPr="00214E6F" w:rsidRDefault="00214E6F" w:rsidP="00214E6F">
      <w:pPr>
        <w:spacing w:before="240" w:after="120"/>
        <w:rPr>
          <w:b/>
          <w:bCs/>
          <w:spacing w:val="-6"/>
          <w:sz w:val="18"/>
          <w:szCs w:val="18"/>
        </w:rPr>
      </w:pPr>
      <w:r w:rsidRPr="00214E6F">
        <w:rPr>
          <w:noProof/>
        </w:rPr>
        <w:drawing>
          <wp:inline distT="0" distB="0" distL="0" distR="0">
            <wp:extent cx="6120000" cy="23400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547E" w:rsidRPr="00FB007E" w:rsidRDefault="00214E6F" w:rsidP="000C547E">
      <w:pPr>
        <w:spacing w:before="120" w:line="240" w:lineRule="auto"/>
        <w:jc w:val="both"/>
        <w:rPr>
          <w:b/>
          <w:bCs/>
          <w:i/>
          <w:sz w:val="12"/>
          <w:szCs w:val="16"/>
        </w:rPr>
      </w:pPr>
      <w:r w:rsidRPr="00214E6F">
        <w:rPr>
          <w:bCs/>
          <w:i/>
          <w:sz w:val="16"/>
          <w:szCs w:val="16"/>
        </w:rPr>
        <w:t>*</w:t>
      </w:r>
      <w:r w:rsidR="000C547E" w:rsidRPr="000C547E">
        <w:rPr>
          <w:sz w:val="16"/>
        </w:rPr>
        <w:t xml:space="preserve"> </w:t>
      </w:r>
      <w:r w:rsidR="000C547E" w:rsidRPr="00FB007E">
        <w:rPr>
          <w:sz w:val="16"/>
        </w:rPr>
        <w:t xml:space="preserve">Poznámka: </w:t>
      </w:r>
      <w:r w:rsidR="000C547E">
        <w:rPr>
          <w:sz w:val="16"/>
        </w:rPr>
        <w:t>v</w:t>
      </w:r>
      <w:r w:rsidR="000C547E" w:rsidRPr="00D516DE">
        <w:rPr>
          <w:sz w:val="16"/>
        </w:rPr>
        <w:t>ýdaje zdravotních pojišťoven na zdravotní péči v ČR podle diagnóz MKN-10 uvedené v tomto grafu neobsahují údaje za „neznámou“ diagnózu ve výši 51,4 mld. Kč. Položka neznámá diagnóza zahrnuje výdaje, které není možné rozčlenit na konkrétní diagnózy. Jedná se například o kapitační platby registrujícím lékařům, návštěvní službu v rámci domácí péče, léky na recept, různé bonusy a příspěvky a také náklady pojišťoven na správu a provoz vlastních organizací.</w:t>
      </w:r>
    </w:p>
    <w:p w:rsidR="00214E6F" w:rsidRPr="00214E6F" w:rsidRDefault="00214E6F" w:rsidP="00214E6F">
      <w:pPr>
        <w:keepNext/>
        <w:spacing w:before="120" w:line="240" w:lineRule="auto"/>
        <w:jc w:val="right"/>
        <w:rPr>
          <w:b/>
          <w:bCs/>
          <w:i/>
          <w:sz w:val="16"/>
          <w:szCs w:val="16"/>
        </w:rPr>
      </w:pPr>
      <w:r w:rsidRPr="00214E6F">
        <w:rPr>
          <w:b/>
          <w:bCs/>
          <w:i/>
          <w:sz w:val="16"/>
          <w:szCs w:val="16"/>
        </w:rPr>
        <w:t>Zdroj: ČSÚ 2018, Zdravotnické účty ČR 2010 - 2016</w:t>
      </w:r>
    </w:p>
    <w:p w:rsidR="00214E6F" w:rsidRPr="00214E6F" w:rsidRDefault="00214E6F" w:rsidP="00606B1B">
      <w:pPr>
        <w:spacing w:before="240" w:line="240" w:lineRule="auto"/>
        <w:rPr>
          <w:rFonts w:eastAsia="MS Gothic"/>
          <w:b/>
          <w:i/>
        </w:rPr>
      </w:pPr>
      <w:r w:rsidRPr="00214E6F">
        <w:rPr>
          <w:rFonts w:eastAsia="MS Gothic"/>
          <w:b/>
          <w:i/>
        </w:rPr>
        <w:t xml:space="preserve">Výrazně vyšší </w:t>
      </w:r>
      <w:r w:rsidR="00606B1B">
        <w:rPr>
          <w:rFonts w:eastAsia="MS Gothic"/>
          <w:b/>
          <w:i/>
        </w:rPr>
        <w:t xml:space="preserve">jsou </w:t>
      </w:r>
      <w:r w:rsidRPr="00214E6F">
        <w:rPr>
          <w:rFonts w:eastAsia="MS Gothic"/>
          <w:b/>
          <w:i/>
        </w:rPr>
        <w:t xml:space="preserve">výdaje na léčení nemocí oběhové soustavy u mužů </w:t>
      </w:r>
      <w:r w:rsidR="00606B1B">
        <w:rPr>
          <w:rFonts w:eastAsia="MS Gothic"/>
          <w:b/>
          <w:i/>
        </w:rPr>
        <w:t>než u žen</w:t>
      </w:r>
    </w:p>
    <w:p w:rsidR="00214E6F" w:rsidRPr="00214E6F" w:rsidRDefault="00214E6F" w:rsidP="00214E6F">
      <w:pPr>
        <w:spacing w:before="120"/>
        <w:jc w:val="both"/>
        <w:rPr>
          <w:szCs w:val="20"/>
        </w:rPr>
      </w:pPr>
      <w:r w:rsidRPr="00214E6F">
        <w:rPr>
          <w:szCs w:val="20"/>
        </w:rPr>
        <w:t>Graf č. 3.1.6 podává přehled o průměrných výdajích zdravotních pojišťoven podle diagnóz přepočtených na jednoho pojištěnce daného pohlaví. Je zde patrná převaha výdajů na zdravotní péči o</w:t>
      </w:r>
      <w:r w:rsidRPr="00214E6F">
        <w:rPr>
          <w:b/>
          <w:szCs w:val="20"/>
        </w:rPr>
        <w:t xml:space="preserve"> ženy</w:t>
      </w:r>
      <w:r w:rsidRPr="00214E6F">
        <w:rPr>
          <w:szCs w:val="20"/>
        </w:rPr>
        <w:t xml:space="preserve"> u nemocí svalové a kosterní soustavy, ale také u diagnóz ze skupiny faktory ovlivňující zdravotní stav.  Také u nemocí močové a pohlavní soustavy a nemocí nervové soustavy jsou průměrné výdaje pojišťoven vyšší u žen než u mužů. </w:t>
      </w:r>
    </w:p>
    <w:p w:rsidR="00214E6F" w:rsidRPr="00214E6F" w:rsidRDefault="00214E6F" w:rsidP="00214E6F">
      <w:pPr>
        <w:spacing w:before="120"/>
        <w:jc w:val="both"/>
        <w:rPr>
          <w:szCs w:val="20"/>
        </w:rPr>
      </w:pPr>
      <w:r w:rsidRPr="00214E6F">
        <w:rPr>
          <w:szCs w:val="20"/>
        </w:rPr>
        <w:lastRenderedPageBreak/>
        <w:t>Naopak vyšší výdaje pojišťoven na zdravotní péči o </w:t>
      </w:r>
      <w:r w:rsidRPr="00214E6F">
        <w:rPr>
          <w:b/>
          <w:szCs w:val="20"/>
        </w:rPr>
        <w:t xml:space="preserve">muže </w:t>
      </w:r>
      <w:r w:rsidRPr="00214E6F">
        <w:rPr>
          <w:szCs w:val="20"/>
        </w:rPr>
        <w:t>jsou zaznamenány u onemocnění oběhové soustavy. I v tomto případě odrážejí průměrné náklady jak četnost onemocnění, která může být pro muže a ženy různá, tak i nákladnost léčby. Při tom v jedné skupině diagnóz často najdeme diagnózy typické jak pro muže, tak pro ženy, které se svou frekvencí i nákladností léčby mohou velmi lišit.</w:t>
      </w:r>
    </w:p>
    <w:p w:rsidR="00214E6F" w:rsidRDefault="00214E6F" w:rsidP="000C547E">
      <w:pPr>
        <w:spacing w:before="240"/>
        <w:jc w:val="both"/>
        <w:rPr>
          <w:b/>
          <w:bCs/>
          <w:sz w:val="18"/>
          <w:szCs w:val="18"/>
        </w:rPr>
      </w:pPr>
      <w:r w:rsidRPr="00214E6F">
        <w:rPr>
          <w:b/>
          <w:bCs/>
          <w:sz w:val="18"/>
          <w:szCs w:val="18"/>
        </w:rPr>
        <w:t xml:space="preserve">Graf č. 3.1.6 Výdaje zdravotních pojišťoven </w:t>
      </w:r>
      <w:r w:rsidR="000C547E">
        <w:rPr>
          <w:b/>
          <w:bCs/>
          <w:sz w:val="18"/>
          <w:szCs w:val="18"/>
        </w:rPr>
        <w:t xml:space="preserve">v Česku </w:t>
      </w:r>
      <w:r w:rsidRPr="00214E6F">
        <w:rPr>
          <w:b/>
          <w:bCs/>
          <w:sz w:val="18"/>
          <w:szCs w:val="18"/>
        </w:rPr>
        <w:t xml:space="preserve">na 1 pojištěnce podle pohlaví a diagnóz MKN-10, 2016 (Kč) </w:t>
      </w:r>
    </w:p>
    <w:p w:rsidR="00214E6F" w:rsidRPr="00214E6F" w:rsidRDefault="00214E6F" w:rsidP="000C547E">
      <w:pPr>
        <w:spacing w:line="240" w:lineRule="auto"/>
        <w:jc w:val="right"/>
        <w:rPr>
          <w:b/>
          <w:i/>
          <w:sz w:val="16"/>
          <w:szCs w:val="16"/>
        </w:rPr>
      </w:pPr>
      <w:r w:rsidRPr="009D307C">
        <w:rPr>
          <w:noProof/>
        </w:rPr>
        <w:drawing>
          <wp:inline distT="0" distB="0" distL="0" distR="0" wp14:anchorId="13F33CAA" wp14:editId="756AF52F">
            <wp:extent cx="6076950" cy="43560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214E6F">
        <w:rPr>
          <w:b/>
          <w:i/>
          <w:sz w:val="16"/>
          <w:szCs w:val="16"/>
        </w:rPr>
        <w:t xml:space="preserve">Zdroj: ČSÚ 2018, Zdravotnické účty ČR 2010 - 2016 </w:t>
      </w:r>
    </w:p>
    <w:p w:rsidR="00214E6F" w:rsidRPr="00214E6F" w:rsidRDefault="00214E6F" w:rsidP="00DE6B5D">
      <w:pPr>
        <w:widowControl w:val="0"/>
        <w:spacing w:before="240" w:after="120"/>
        <w:rPr>
          <w:rFonts w:eastAsia="MS Gothic"/>
          <w:b/>
          <w:i/>
        </w:rPr>
      </w:pPr>
      <w:r w:rsidRPr="00214E6F">
        <w:rPr>
          <w:rFonts w:eastAsia="MS Gothic"/>
          <w:b/>
          <w:i/>
        </w:rPr>
        <w:t>Nejvíce peněz vydaly zdravotní pojišťovny na péči o muže i ženy ve věku 70 až 74 let</w:t>
      </w:r>
    </w:p>
    <w:p w:rsidR="00214E6F" w:rsidRPr="00214E6F" w:rsidRDefault="00214E6F" w:rsidP="00DE6B5D">
      <w:pPr>
        <w:widowControl w:val="0"/>
        <w:spacing w:before="120"/>
        <w:jc w:val="both"/>
      </w:pPr>
      <w:r w:rsidRPr="00214E6F">
        <w:t>Následující část je zaměřena na výdaje pojišťoven na zdravotní péči členěné</w:t>
      </w:r>
      <w:r w:rsidRPr="00214E6F">
        <w:rPr>
          <w:b/>
        </w:rPr>
        <w:t xml:space="preserve"> podle věku </w:t>
      </w:r>
      <w:r w:rsidRPr="00214E6F">
        <w:t>a</w:t>
      </w:r>
      <w:r w:rsidRPr="00214E6F">
        <w:rPr>
          <w:b/>
        </w:rPr>
        <w:t xml:space="preserve"> pohlaví pojištěnců</w:t>
      </w:r>
      <w:r w:rsidRPr="00214E6F">
        <w:t xml:space="preserve">, na které byla tato péče vykázána. </w:t>
      </w:r>
      <w:r w:rsidRPr="00480E40">
        <w:rPr>
          <w:i/>
        </w:rPr>
        <w:t>Každá věková skupina má odlišný počet pojištěnců, který přímo úměrně ovlivňuje výši celkových vynaložených výdajů. Při vyčíslení výdajů na jednoho pojištěnce se ukazuje jako potřebné vzít v úvahu i věk pojištěnce, protože v různém věku se stejná nemoc může projevovat různě, mít odlišnou délku léčení, specifické komplikace, odlišný průběh a tudíž rozdílné náklady</w:t>
      </w:r>
      <w:r w:rsidRPr="00214E6F">
        <w:t>.</w:t>
      </w:r>
    </w:p>
    <w:p w:rsidR="00D615CD" w:rsidRDefault="00214E6F" w:rsidP="00D615CD">
      <w:pPr>
        <w:spacing w:before="240"/>
        <w:jc w:val="both"/>
      </w:pPr>
      <w:r w:rsidRPr="00214E6F">
        <w:t xml:space="preserve">Z celkových výdajů zdravotních pojišťoven na zdravotní péči připadlo zhruba 48 % na péči </w:t>
      </w:r>
      <w:r w:rsidRPr="00480E40">
        <w:t>o</w:t>
      </w:r>
      <w:r w:rsidRPr="00480E40">
        <w:rPr>
          <w:b/>
        </w:rPr>
        <w:t> muže</w:t>
      </w:r>
      <w:r w:rsidRPr="00214E6F">
        <w:t xml:space="preserve"> a 52 % na </w:t>
      </w:r>
      <w:r w:rsidRPr="00480E40">
        <w:t>péči o</w:t>
      </w:r>
      <w:r w:rsidRPr="00480E40">
        <w:rPr>
          <w:b/>
        </w:rPr>
        <w:t xml:space="preserve"> ženy</w:t>
      </w:r>
      <w:r w:rsidRPr="00214E6F">
        <w:t>. Vyšší výdaje na zdravotní péči o muže než na péči o ženy byly v roce 2016 pojišťovnami evidovány ve věkových skupinách 0 – 14 a 55 – 79 let. V ostatních věkových skupinách byly vyšší výdaje na zdravotní péči o ženy než o muže. U obou pohlaví se nejvyšší částka objevuje shodně ve věkové skupině 70 – 74 let.</w:t>
      </w:r>
      <w:r w:rsidR="00D615CD" w:rsidRPr="00D615CD">
        <w:t xml:space="preserve"> </w:t>
      </w:r>
      <w:r w:rsidR="00C51E92">
        <w:t xml:space="preserve">   </w:t>
      </w:r>
    </w:p>
    <w:p w:rsidR="00D615CD" w:rsidRPr="00214E6F" w:rsidRDefault="00D615CD" w:rsidP="00F5536C">
      <w:pPr>
        <w:widowControl w:val="0"/>
        <w:spacing w:before="240"/>
        <w:jc w:val="both"/>
      </w:pPr>
      <w:r w:rsidRPr="00C51E92">
        <w:t xml:space="preserve">V porovnání s rokem 2010 se celkové výdaje zdravotních pojišťoven na zdravotní péči v roce 2016 zvýšily téměř o 6 miliard korun. Největší nárůst výdajů pojišťoven na zdravotní péči o muže byl mezi lety 2010 a 2016 zaznamenán ve </w:t>
      </w:r>
      <w:r w:rsidRPr="00C51E92">
        <w:rPr>
          <w:b/>
        </w:rPr>
        <w:t xml:space="preserve">věkové </w:t>
      </w:r>
      <w:r w:rsidR="00480E40" w:rsidRPr="00C51E92">
        <w:rPr>
          <w:b/>
        </w:rPr>
        <w:t>skupině</w:t>
      </w:r>
      <w:r w:rsidR="00480E40" w:rsidRPr="00C51E92">
        <w:t xml:space="preserve"> </w:t>
      </w:r>
      <w:r w:rsidRPr="00C51E92">
        <w:t xml:space="preserve">70 </w:t>
      </w:r>
      <w:r w:rsidR="00480E40" w:rsidRPr="00C51E92">
        <w:t>až</w:t>
      </w:r>
      <w:r w:rsidRPr="00C51E92">
        <w:t xml:space="preserve"> 74 let (</w:t>
      </w:r>
      <w:r w:rsidR="00480E40" w:rsidRPr="00C51E92">
        <w:t xml:space="preserve">o </w:t>
      </w:r>
      <w:r w:rsidRPr="00C51E92">
        <w:t>52 %) a výdaje na zdravotní péči o ženy se nejvíce zvýšily ve věkové skupině 85 a více let (</w:t>
      </w:r>
      <w:r w:rsidR="00480E40" w:rsidRPr="00C51E92">
        <w:t xml:space="preserve">o </w:t>
      </w:r>
      <w:r w:rsidRPr="00C51E92">
        <w:t xml:space="preserve">36 %). V těchto skupinách rozlišených dle věku a pohlaví došlo zároveň k výraznému nárůstu počtu obyvatel a zároveň se jedná o věkové skupiny, u nichž je </w:t>
      </w:r>
      <w:r w:rsidR="00C51E92" w:rsidRPr="00C51E92">
        <w:t xml:space="preserve">tradičně </w:t>
      </w:r>
      <w:r w:rsidRPr="00C51E92">
        <w:t xml:space="preserve">vysoká míra nemocnosti. </w:t>
      </w:r>
    </w:p>
    <w:p w:rsidR="00214E6F" w:rsidRPr="00214E6F" w:rsidRDefault="00214E6F" w:rsidP="00214E6F">
      <w:pPr>
        <w:keepNext/>
        <w:spacing w:before="240" w:after="120" w:line="240" w:lineRule="auto"/>
        <w:jc w:val="both"/>
        <w:rPr>
          <w:b/>
          <w:bCs/>
          <w:sz w:val="18"/>
          <w:szCs w:val="18"/>
        </w:rPr>
      </w:pPr>
      <w:r w:rsidRPr="00214E6F">
        <w:rPr>
          <w:b/>
          <w:bCs/>
          <w:sz w:val="18"/>
          <w:szCs w:val="18"/>
        </w:rPr>
        <w:lastRenderedPageBreak/>
        <w:t xml:space="preserve">Tab. č. 3.1.1 Výdaje zdravotních pojišťoven na zdravotní péči v ČR podle věku a pohlaví, 2010 a 2016 (mil. Kč) </w:t>
      </w:r>
    </w:p>
    <w:tbl>
      <w:tblPr>
        <w:tblW w:w="9431" w:type="dxa"/>
        <w:tblInd w:w="93" w:type="dxa"/>
        <w:tblLook w:val="04A0" w:firstRow="1" w:lastRow="0" w:firstColumn="1" w:lastColumn="0" w:noHBand="0" w:noVBand="1"/>
      </w:tblPr>
      <w:tblGrid>
        <w:gridCol w:w="1581"/>
        <w:gridCol w:w="1308"/>
        <w:gridCol w:w="1308"/>
        <w:gridCol w:w="1309"/>
        <w:gridCol w:w="1308"/>
        <w:gridCol w:w="1309"/>
        <w:gridCol w:w="1308"/>
      </w:tblGrid>
      <w:tr w:rsidR="00480E40" w:rsidRPr="00F5536C" w:rsidTr="00480E40">
        <w:trPr>
          <w:trHeight w:val="283"/>
        </w:trPr>
        <w:tc>
          <w:tcPr>
            <w:tcW w:w="1581" w:type="dxa"/>
            <w:vMerge w:val="restart"/>
            <w:tcBorders>
              <w:top w:val="single" w:sz="8" w:space="0" w:color="auto"/>
              <w:left w:val="nil"/>
              <w:right w:val="single" w:sz="4" w:space="0" w:color="auto"/>
            </w:tcBorders>
            <w:shd w:val="clear" w:color="000000" w:fill="FFFFFF"/>
            <w:noWrap/>
            <w:vAlign w:val="center"/>
            <w:hideMark/>
          </w:tcPr>
          <w:p w:rsidR="00480E40" w:rsidRDefault="00480E40" w:rsidP="00F5536C">
            <w:pPr>
              <w:spacing w:line="240" w:lineRule="auto"/>
              <w:jc w:val="center"/>
              <w:rPr>
                <w:rFonts w:cs="Arial"/>
                <w:sz w:val="16"/>
                <w:szCs w:val="16"/>
                <w:lang w:val="en-US" w:eastAsia="en-US"/>
              </w:rPr>
            </w:pPr>
            <w:r w:rsidRPr="00F5536C">
              <w:rPr>
                <w:rFonts w:cs="Arial"/>
                <w:sz w:val="16"/>
                <w:szCs w:val="16"/>
                <w:lang w:val="en-US" w:eastAsia="en-US"/>
              </w:rPr>
              <w:t xml:space="preserve">Věková </w:t>
            </w:r>
          </w:p>
          <w:p w:rsidR="00480E40" w:rsidRPr="00F5536C" w:rsidRDefault="00480E40" w:rsidP="00F5536C">
            <w:pPr>
              <w:spacing w:line="240" w:lineRule="auto"/>
              <w:jc w:val="center"/>
              <w:rPr>
                <w:rFonts w:cs="Arial"/>
                <w:sz w:val="16"/>
                <w:szCs w:val="16"/>
                <w:lang w:val="en-US" w:eastAsia="en-US"/>
              </w:rPr>
            </w:pPr>
            <w:r w:rsidRPr="00F5536C">
              <w:rPr>
                <w:rFonts w:cs="Arial"/>
                <w:sz w:val="16"/>
                <w:szCs w:val="16"/>
                <w:lang w:val="en-US" w:eastAsia="en-US"/>
              </w:rPr>
              <w:t>skupina</w:t>
            </w:r>
          </w:p>
        </w:tc>
        <w:tc>
          <w:tcPr>
            <w:tcW w:w="3925" w:type="dxa"/>
            <w:gridSpan w:val="3"/>
            <w:tcBorders>
              <w:top w:val="single" w:sz="8" w:space="0" w:color="auto"/>
              <w:left w:val="nil"/>
              <w:bottom w:val="single" w:sz="8" w:space="0" w:color="auto"/>
              <w:right w:val="single" w:sz="4" w:space="0" w:color="000000"/>
            </w:tcBorders>
            <w:shd w:val="clear" w:color="000000" w:fill="FFFFFF"/>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2010</w:t>
            </w:r>
          </w:p>
        </w:tc>
        <w:tc>
          <w:tcPr>
            <w:tcW w:w="3925" w:type="dxa"/>
            <w:gridSpan w:val="3"/>
            <w:tcBorders>
              <w:top w:val="single" w:sz="8" w:space="0" w:color="auto"/>
              <w:left w:val="nil"/>
              <w:bottom w:val="single" w:sz="8" w:space="0" w:color="auto"/>
              <w:right w:val="nil"/>
            </w:tcBorders>
            <w:shd w:val="clear" w:color="000000" w:fill="FFFFFF"/>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2016</w:t>
            </w:r>
          </w:p>
        </w:tc>
      </w:tr>
      <w:tr w:rsidR="00480E40" w:rsidRPr="00F5536C" w:rsidTr="00480E40">
        <w:trPr>
          <w:trHeight w:val="283"/>
        </w:trPr>
        <w:tc>
          <w:tcPr>
            <w:tcW w:w="1581" w:type="dxa"/>
            <w:vMerge/>
            <w:tcBorders>
              <w:left w:val="nil"/>
              <w:bottom w:val="single" w:sz="4" w:space="0" w:color="auto"/>
              <w:right w:val="single" w:sz="4" w:space="0" w:color="auto"/>
            </w:tcBorders>
            <w:shd w:val="clear" w:color="000000" w:fill="F2DCDB"/>
            <w:noWrap/>
            <w:vAlign w:val="center"/>
            <w:hideMark/>
          </w:tcPr>
          <w:p w:rsidR="00480E40" w:rsidRPr="00F5536C" w:rsidRDefault="00480E40" w:rsidP="00F5536C">
            <w:pPr>
              <w:spacing w:line="240" w:lineRule="auto"/>
              <w:jc w:val="center"/>
              <w:rPr>
                <w:rFonts w:cs="Arial"/>
                <w:sz w:val="16"/>
                <w:szCs w:val="16"/>
                <w:lang w:val="en-US" w:eastAsia="en-US"/>
              </w:rPr>
            </w:pPr>
          </w:p>
        </w:tc>
        <w:tc>
          <w:tcPr>
            <w:tcW w:w="1308" w:type="dxa"/>
            <w:tcBorders>
              <w:top w:val="nil"/>
              <w:left w:val="single" w:sz="4" w:space="0" w:color="auto"/>
              <w:bottom w:val="single" w:sz="4" w:space="0" w:color="auto"/>
              <w:right w:val="single" w:sz="4" w:space="0" w:color="auto"/>
            </w:tcBorders>
            <w:shd w:val="clear" w:color="000000" w:fill="F2DCDB"/>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Muži</w:t>
            </w:r>
          </w:p>
        </w:tc>
        <w:tc>
          <w:tcPr>
            <w:tcW w:w="1308" w:type="dxa"/>
            <w:tcBorders>
              <w:top w:val="nil"/>
              <w:left w:val="nil"/>
              <w:bottom w:val="single" w:sz="4" w:space="0" w:color="auto"/>
              <w:right w:val="single" w:sz="4" w:space="0" w:color="auto"/>
            </w:tcBorders>
            <w:shd w:val="clear" w:color="000000" w:fill="F2DCDB"/>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Ženy</w:t>
            </w:r>
          </w:p>
        </w:tc>
        <w:tc>
          <w:tcPr>
            <w:tcW w:w="1309" w:type="dxa"/>
            <w:tcBorders>
              <w:top w:val="nil"/>
              <w:left w:val="nil"/>
              <w:bottom w:val="single" w:sz="4" w:space="0" w:color="auto"/>
              <w:right w:val="single" w:sz="4" w:space="0" w:color="auto"/>
            </w:tcBorders>
            <w:shd w:val="clear" w:color="000000" w:fill="F2DCDB"/>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Celkem</w:t>
            </w:r>
          </w:p>
        </w:tc>
        <w:tc>
          <w:tcPr>
            <w:tcW w:w="1308" w:type="dxa"/>
            <w:tcBorders>
              <w:top w:val="nil"/>
              <w:left w:val="nil"/>
              <w:bottom w:val="single" w:sz="4" w:space="0" w:color="auto"/>
              <w:right w:val="single" w:sz="4" w:space="0" w:color="auto"/>
            </w:tcBorders>
            <w:shd w:val="clear" w:color="000000" w:fill="F2DCDB"/>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Muži</w:t>
            </w:r>
          </w:p>
        </w:tc>
        <w:tc>
          <w:tcPr>
            <w:tcW w:w="1309" w:type="dxa"/>
            <w:tcBorders>
              <w:top w:val="nil"/>
              <w:left w:val="single" w:sz="4" w:space="0" w:color="auto"/>
              <w:bottom w:val="single" w:sz="4" w:space="0" w:color="auto"/>
              <w:right w:val="nil"/>
            </w:tcBorders>
            <w:shd w:val="clear" w:color="000000" w:fill="F2DCDB"/>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Ženy</w:t>
            </w:r>
          </w:p>
        </w:tc>
        <w:tc>
          <w:tcPr>
            <w:tcW w:w="1308" w:type="dxa"/>
            <w:tcBorders>
              <w:top w:val="nil"/>
              <w:left w:val="single" w:sz="4" w:space="0" w:color="auto"/>
              <w:bottom w:val="single" w:sz="4" w:space="0" w:color="auto"/>
              <w:right w:val="nil"/>
            </w:tcBorders>
            <w:shd w:val="clear" w:color="000000" w:fill="F2DCDB"/>
            <w:noWrap/>
            <w:vAlign w:val="center"/>
            <w:hideMark/>
          </w:tcPr>
          <w:p w:rsidR="00480E40" w:rsidRPr="00F5536C" w:rsidRDefault="00480E40" w:rsidP="00F5536C">
            <w:pPr>
              <w:spacing w:line="240" w:lineRule="auto"/>
              <w:jc w:val="center"/>
              <w:rPr>
                <w:rFonts w:cs="Arial"/>
                <w:b/>
                <w:bCs/>
                <w:sz w:val="16"/>
                <w:szCs w:val="16"/>
                <w:lang w:val="en-US" w:eastAsia="en-US"/>
              </w:rPr>
            </w:pPr>
            <w:r w:rsidRPr="00F5536C">
              <w:rPr>
                <w:rFonts w:cs="Arial"/>
                <w:b/>
                <w:bCs/>
                <w:sz w:val="16"/>
                <w:szCs w:val="16"/>
                <w:lang w:val="en-US" w:eastAsia="en-US"/>
              </w:rPr>
              <w:t>Celkem</w:t>
            </w:r>
          </w:p>
        </w:tc>
      </w:tr>
      <w:tr w:rsidR="00F5536C" w:rsidRPr="00F5536C" w:rsidTr="00F5536C">
        <w:trPr>
          <w:trHeight w:val="283"/>
        </w:trPr>
        <w:tc>
          <w:tcPr>
            <w:tcW w:w="1581" w:type="dxa"/>
            <w:tcBorders>
              <w:top w:val="single" w:sz="4" w:space="0" w:color="auto"/>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0-4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5 256</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4 072</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9 328</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5 493</w:t>
            </w:r>
          </w:p>
        </w:tc>
        <w:tc>
          <w:tcPr>
            <w:tcW w:w="1309" w:type="dxa"/>
            <w:tcBorders>
              <w:top w:val="single" w:sz="4" w:space="0" w:color="auto"/>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4 581</w:t>
            </w:r>
          </w:p>
        </w:tc>
        <w:tc>
          <w:tcPr>
            <w:tcW w:w="1308" w:type="dxa"/>
            <w:tcBorders>
              <w:top w:val="nil"/>
              <w:left w:val="single" w:sz="4" w:space="0" w:color="auto"/>
              <w:bottom w:val="single" w:sz="4" w:space="0" w:color="auto"/>
              <w:right w:val="nil"/>
            </w:tcBorders>
            <w:shd w:val="clear" w:color="auto" w:fill="auto"/>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10 074</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0-5</w:t>
            </w:r>
          </w:p>
        </w:tc>
        <w:tc>
          <w:tcPr>
            <w:tcW w:w="1308"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2 716</w:t>
            </w:r>
          </w:p>
        </w:tc>
        <w:tc>
          <w:tcPr>
            <w:tcW w:w="1308"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2 188</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4 904</w:t>
            </w:r>
          </w:p>
        </w:tc>
        <w:tc>
          <w:tcPr>
            <w:tcW w:w="1308"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3 066</w:t>
            </w:r>
          </w:p>
        </w:tc>
        <w:tc>
          <w:tcPr>
            <w:tcW w:w="1309" w:type="dxa"/>
            <w:tcBorders>
              <w:top w:val="nil"/>
              <w:left w:val="nil"/>
              <w:bottom w:val="single" w:sz="4" w:space="0" w:color="auto"/>
              <w:right w:val="nil"/>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2 486</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5 552</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10-14</w:t>
            </w:r>
          </w:p>
        </w:tc>
        <w:tc>
          <w:tcPr>
            <w:tcW w:w="1308"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2 584</w:t>
            </w:r>
          </w:p>
        </w:tc>
        <w:tc>
          <w:tcPr>
            <w:tcW w:w="1308"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2 627</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5 211</w:t>
            </w:r>
          </w:p>
        </w:tc>
        <w:tc>
          <w:tcPr>
            <w:tcW w:w="1308"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2 709</w:t>
            </w:r>
          </w:p>
        </w:tc>
        <w:tc>
          <w:tcPr>
            <w:tcW w:w="1309" w:type="dxa"/>
            <w:tcBorders>
              <w:top w:val="nil"/>
              <w:left w:val="nil"/>
              <w:bottom w:val="single" w:sz="4" w:space="0" w:color="auto"/>
              <w:right w:val="nil"/>
            </w:tcBorders>
            <w:shd w:val="clear" w:color="auto" w:fill="auto"/>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2 487</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5 196</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15-19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2 964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3 385</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6 349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2 389</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2 771</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5 159</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20-24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2 831</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3 673</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6 504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2 501</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3 313</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5 814</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25-29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3 503</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5 446</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8 949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3 343</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5 023</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8 367</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30-34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4 650</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7 589</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12 239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3 892</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5 905</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9 797</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35-39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4 780</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5 975</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10 755</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5 257</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6 859</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12 116</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40-44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5 368</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5 759</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11 127</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6 240</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7 377</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13 617</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45-49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5 499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6 229</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11 728</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6 111</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6 882</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12 993</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50-54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8 201</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8 664</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16 865</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7 623</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7 828</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15 451</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55-59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10 631</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10 095</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20 726</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9 266</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8 668</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17 934</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60-64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13 828</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11 523</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25 351</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13 120</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11 547</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24 667</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65-69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11 282</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11 942</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23 224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11 409</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10 067</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21 476</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70-74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8 650</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10 182</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18 832</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13 165</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13 125</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26 289</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75-79</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7 730</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9 707</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17 437</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8 696</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7 719</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16 415</w:t>
            </w:r>
          </w:p>
        </w:tc>
      </w:tr>
      <w:tr w:rsidR="00F5536C" w:rsidRPr="00F5536C" w:rsidTr="00F5536C">
        <w:trPr>
          <w:trHeight w:val="283"/>
        </w:trPr>
        <w:tc>
          <w:tcPr>
            <w:tcW w:w="1581"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80-84</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5 092</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8 071</w:t>
            </w:r>
          </w:p>
        </w:tc>
        <w:tc>
          <w:tcPr>
            <w:tcW w:w="1309" w:type="dxa"/>
            <w:tcBorders>
              <w:top w:val="nil"/>
              <w:left w:val="nil"/>
              <w:bottom w:val="single" w:sz="4" w:space="0" w:color="auto"/>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13 163</w:t>
            </w:r>
          </w:p>
        </w:tc>
        <w:tc>
          <w:tcPr>
            <w:tcW w:w="1308" w:type="dxa"/>
            <w:tcBorders>
              <w:top w:val="nil"/>
              <w:left w:val="nil"/>
              <w:bottom w:val="single" w:sz="4" w:space="0" w:color="auto"/>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5 557</w:t>
            </w:r>
          </w:p>
        </w:tc>
        <w:tc>
          <w:tcPr>
            <w:tcW w:w="1309" w:type="dxa"/>
            <w:tcBorders>
              <w:top w:val="nil"/>
              <w:left w:val="nil"/>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8 631</w:t>
            </w:r>
          </w:p>
        </w:tc>
        <w:tc>
          <w:tcPr>
            <w:tcW w:w="1308" w:type="dxa"/>
            <w:tcBorders>
              <w:top w:val="nil"/>
              <w:left w:val="single" w:sz="4" w:space="0" w:color="auto"/>
              <w:bottom w:val="single" w:sz="4" w:space="0" w:color="auto"/>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14 188</w:t>
            </w:r>
          </w:p>
        </w:tc>
      </w:tr>
      <w:tr w:rsidR="00F5536C" w:rsidRPr="00F5536C" w:rsidTr="00F5536C">
        <w:trPr>
          <w:trHeight w:val="283"/>
        </w:trPr>
        <w:tc>
          <w:tcPr>
            <w:tcW w:w="1581" w:type="dxa"/>
            <w:tcBorders>
              <w:top w:val="single" w:sz="4" w:space="0" w:color="auto"/>
              <w:left w:val="nil"/>
              <w:bottom w:val="nil"/>
              <w:right w:val="single" w:sz="4" w:space="0" w:color="auto"/>
            </w:tcBorders>
            <w:shd w:val="clear" w:color="000000" w:fill="FFFFFF"/>
            <w:noWrap/>
            <w:vAlign w:val="center"/>
            <w:hideMark/>
          </w:tcPr>
          <w:p w:rsidR="00F5536C" w:rsidRPr="00F5536C" w:rsidRDefault="00F5536C" w:rsidP="00F5536C">
            <w:pPr>
              <w:spacing w:line="240" w:lineRule="auto"/>
              <w:jc w:val="center"/>
              <w:rPr>
                <w:rFonts w:cs="Arial"/>
                <w:sz w:val="16"/>
                <w:szCs w:val="16"/>
                <w:lang w:val="en-US" w:eastAsia="en-US"/>
              </w:rPr>
            </w:pPr>
            <w:r w:rsidRPr="00F5536C">
              <w:rPr>
                <w:rFonts w:cs="Arial"/>
                <w:sz w:val="16"/>
                <w:szCs w:val="16"/>
                <w:lang w:val="en-US" w:eastAsia="en-US"/>
              </w:rPr>
              <w:t>85+</w:t>
            </w:r>
          </w:p>
        </w:tc>
        <w:tc>
          <w:tcPr>
            <w:tcW w:w="1308" w:type="dxa"/>
            <w:tcBorders>
              <w:top w:val="nil"/>
              <w:left w:val="single" w:sz="4" w:space="0" w:color="auto"/>
              <w:bottom w:val="nil"/>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2 772</w:t>
            </w:r>
          </w:p>
        </w:tc>
        <w:tc>
          <w:tcPr>
            <w:tcW w:w="1308" w:type="dxa"/>
            <w:tcBorders>
              <w:top w:val="nil"/>
              <w:left w:val="nil"/>
              <w:bottom w:val="nil"/>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6 435</w:t>
            </w:r>
          </w:p>
        </w:tc>
        <w:tc>
          <w:tcPr>
            <w:tcW w:w="1309" w:type="dxa"/>
            <w:tcBorders>
              <w:top w:val="nil"/>
              <w:left w:val="nil"/>
              <w:bottom w:val="nil"/>
              <w:right w:val="single" w:sz="4" w:space="0" w:color="auto"/>
            </w:tcBorders>
            <w:shd w:val="clear" w:color="auto" w:fill="auto"/>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9 207</w:t>
            </w:r>
          </w:p>
        </w:tc>
        <w:tc>
          <w:tcPr>
            <w:tcW w:w="1308" w:type="dxa"/>
            <w:tcBorders>
              <w:top w:val="nil"/>
              <w:left w:val="nil"/>
              <w:bottom w:val="nil"/>
              <w:right w:val="single" w:sz="4" w:space="0" w:color="auto"/>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3 837</w:t>
            </w:r>
          </w:p>
        </w:tc>
        <w:tc>
          <w:tcPr>
            <w:tcW w:w="1309" w:type="dxa"/>
            <w:tcBorders>
              <w:top w:val="single" w:sz="4" w:space="0" w:color="auto"/>
              <w:left w:val="single" w:sz="4" w:space="0" w:color="auto"/>
              <w:bottom w:val="nil"/>
              <w:right w:val="nil"/>
            </w:tcBorders>
            <w:shd w:val="clear" w:color="000000" w:fill="FFFFFF"/>
            <w:noWrap/>
            <w:vAlign w:val="center"/>
            <w:hideMark/>
          </w:tcPr>
          <w:p w:rsidR="00F5536C" w:rsidRPr="00F5536C" w:rsidRDefault="00F5536C" w:rsidP="00F5536C">
            <w:pPr>
              <w:spacing w:line="240" w:lineRule="auto"/>
              <w:jc w:val="right"/>
              <w:rPr>
                <w:rFonts w:cs="Arial"/>
                <w:sz w:val="16"/>
                <w:szCs w:val="16"/>
                <w:lang w:val="en-US" w:eastAsia="en-US"/>
              </w:rPr>
            </w:pPr>
            <w:r w:rsidRPr="00F5536C">
              <w:rPr>
                <w:rFonts w:cs="Arial"/>
                <w:sz w:val="16"/>
                <w:szCs w:val="16"/>
                <w:lang w:val="en-US" w:eastAsia="en-US"/>
              </w:rPr>
              <w:t>8 758</w:t>
            </w:r>
          </w:p>
        </w:tc>
        <w:tc>
          <w:tcPr>
            <w:tcW w:w="1308" w:type="dxa"/>
            <w:tcBorders>
              <w:top w:val="single" w:sz="4" w:space="0" w:color="auto"/>
              <w:left w:val="single" w:sz="4" w:space="0" w:color="auto"/>
              <w:bottom w:val="nil"/>
              <w:right w:val="nil"/>
            </w:tcBorders>
            <w:shd w:val="clear" w:color="000000" w:fill="FFFFFF"/>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12 595</w:t>
            </w:r>
          </w:p>
        </w:tc>
      </w:tr>
      <w:tr w:rsidR="00F5536C" w:rsidRPr="00F5536C" w:rsidTr="00F5536C">
        <w:trPr>
          <w:trHeight w:val="283"/>
        </w:trPr>
        <w:tc>
          <w:tcPr>
            <w:tcW w:w="1581" w:type="dxa"/>
            <w:tcBorders>
              <w:top w:val="single" w:sz="8" w:space="0" w:color="auto"/>
              <w:left w:val="nil"/>
              <w:bottom w:val="single" w:sz="8" w:space="0" w:color="auto"/>
              <w:right w:val="single" w:sz="4" w:space="0" w:color="auto"/>
            </w:tcBorders>
            <w:shd w:val="clear" w:color="000000" w:fill="F2DCDB"/>
            <w:noWrap/>
            <w:vAlign w:val="center"/>
            <w:hideMark/>
          </w:tcPr>
          <w:p w:rsidR="00F5536C" w:rsidRPr="00F5536C" w:rsidRDefault="00480E40" w:rsidP="00480E40">
            <w:pPr>
              <w:spacing w:line="240" w:lineRule="auto"/>
              <w:jc w:val="center"/>
              <w:rPr>
                <w:rFonts w:cs="Arial"/>
                <w:b/>
                <w:bCs/>
                <w:sz w:val="16"/>
                <w:szCs w:val="16"/>
                <w:lang w:val="en-US" w:eastAsia="en-US"/>
              </w:rPr>
            </w:pPr>
            <w:r>
              <w:rPr>
                <w:rFonts w:cs="Arial"/>
                <w:b/>
                <w:bCs/>
                <w:sz w:val="16"/>
                <w:szCs w:val="16"/>
                <w:lang w:val="en-US" w:eastAsia="en-US"/>
              </w:rPr>
              <w:t>C</w:t>
            </w:r>
            <w:r w:rsidR="00F5536C" w:rsidRPr="00F5536C">
              <w:rPr>
                <w:rFonts w:cs="Arial"/>
                <w:b/>
                <w:bCs/>
                <w:sz w:val="16"/>
                <w:szCs w:val="16"/>
                <w:lang w:val="en-US" w:eastAsia="en-US"/>
              </w:rPr>
              <w:t>elkem</w:t>
            </w:r>
          </w:p>
        </w:tc>
        <w:tc>
          <w:tcPr>
            <w:tcW w:w="1308" w:type="dxa"/>
            <w:tcBorders>
              <w:top w:val="single" w:sz="8" w:space="0" w:color="auto"/>
              <w:left w:val="nil"/>
              <w:bottom w:val="single" w:sz="8" w:space="0" w:color="auto"/>
              <w:right w:val="single" w:sz="4" w:space="0" w:color="auto"/>
            </w:tcBorders>
            <w:shd w:val="clear" w:color="000000" w:fill="F2DCDB"/>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108 332</w:t>
            </w:r>
          </w:p>
        </w:tc>
        <w:tc>
          <w:tcPr>
            <w:tcW w:w="1308" w:type="dxa"/>
            <w:tcBorders>
              <w:top w:val="single" w:sz="8" w:space="0" w:color="auto"/>
              <w:left w:val="nil"/>
              <w:bottom w:val="single" w:sz="8" w:space="0" w:color="auto"/>
              <w:right w:val="single" w:sz="4" w:space="0" w:color="auto"/>
            </w:tcBorders>
            <w:shd w:val="clear" w:color="000000" w:fill="F2DCDB"/>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123 557</w:t>
            </w:r>
          </w:p>
        </w:tc>
        <w:tc>
          <w:tcPr>
            <w:tcW w:w="1309" w:type="dxa"/>
            <w:tcBorders>
              <w:top w:val="single" w:sz="8" w:space="0" w:color="auto"/>
              <w:left w:val="nil"/>
              <w:bottom w:val="single" w:sz="8" w:space="0" w:color="auto"/>
              <w:right w:val="single" w:sz="4" w:space="0" w:color="auto"/>
            </w:tcBorders>
            <w:shd w:val="clear" w:color="000000" w:fill="F2DCDB"/>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231 889</w:t>
            </w:r>
          </w:p>
        </w:tc>
        <w:tc>
          <w:tcPr>
            <w:tcW w:w="1308" w:type="dxa"/>
            <w:tcBorders>
              <w:top w:val="single" w:sz="8" w:space="0" w:color="auto"/>
              <w:left w:val="nil"/>
              <w:bottom w:val="single" w:sz="8" w:space="0" w:color="auto"/>
              <w:right w:val="single" w:sz="4" w:space="0" w:color="auto"/>
            </w:tcBorders>
            <w:shd w:val="clear" w:color="000000" w:fill="F2DCDB"/>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113 673</w:t>
            </w:r>
          </w:p>
        </w:tc>
        <w:tc>
          <w:tcPr>
            <w:tcW w:w="1309" w:type="dxa"/>
            <w:tcBorders>
              <w:top w:val="single" w:sz="8" w:space="0" w:color="auto"/>
              <w:left w:val="nil"/>
              <w:bottom w:val="single" w:sz="8" w:space="0" w:color="auto"/>
              <w:right w:val="nil"/>
            </w:tcBorders>
            <w:shd w:val="clear" w:color="000000" w:fill="F2DCDB"/>
            <w:noWrap/>
            <w:vAlign w:val="center"/>
            <w:hideMark/>
          </w:tcPr>
          <w:p w:rsidR="00F5536C" w:rsidRPr="00F5536C" w:rsidRDefault="00F5536C" w:rsidP="00F5536C">
            <w:pPr>
              <w:spacing w:line="240" w:lineRule="auto"/>
              <w:jc w:val="right"/>
              <w:rPr>
                <w:rFonts w:cs="Arial"/>
                <w:b/>
                <w:bCs/>
                <w:sz w:val="16"/>
                <w:szCs w:val="16"/>
                <w:lang w:val="en-US" w:eastAsia="en-US"/>
              </w:rPr>
            </w:pPr>
            <w:r w:rsidRPr="00F5536C">
              <w:rPr>
                <w:rFonts w:cs="Arial"/>
                <w:b/>
                <w:bCs/>
                <w:sz w:val="16"/>
                <w:szCs w:val="16"/>
                <w:lang w:val="en-US" w:eastAsia="en-US"/>
              </w:rPr>
              <w:t>124 027</w:t>
            </w:r>
          </w:p>
        </w:tc>
        <w:tc>
          <w:tcPr>
            <w:tcW w:w="1308" w:type="dxa"/>
            <w:tcBorders>
              <w:top w:val="single" w:sz="8" w:space="0" w:color="auto"/>
              <w:left w:val="single" w:sz="4" w:space="0" w:color="auto"/>
              <w:bottom w:val="single" w:sz="8" w:space="0" w:color="auto"/>
              <w:right w:val="nil"/>
            </w:tcBorders>
            <w:shd w:val="clear" w:color="000000" w:fill="F2DCDB"/>
            <w:noWrap/>
            <w:vAlign w:val="center"/>
            <w:hideMark/>
          </w:tcPr>
          <w:p w:rsidR="00F5536C" w:rsidRPr="00F5536C" w:rsidRDefault="00F5536C" w:rsidP="00F5536C">
            <w:pPr>
              <w:spacing w:line="240" w:lineRule="auto"/>
              <w:jc w:val="right"/>
              <w:rPr>
                <w:rFonts w:cs="Arial"/>
                <w:b/>
                <w:bCs/>
                <w:color w:val="000000"/>
                <w:sz w:val="16"/>
                <w:szCs w:val="16"/>
                <w:lang w:val="en-US" w:eastAsia="en-US"/>
              </w:rPr>
            </w:pPr>
            <w:r w:rsidRPr="00F5536C">
              <w:rPr>
                <w:rFonts w:cs="Arial"/>
                <w:b/>
                <w:bCs/>
                <w:color w:val="000000"/>
                <w:sz w:val="16"/>
                <w:szCs w:val="16"/>
                <w:lang w:val="en-US" w:eastAsia="en-US"/>
              </w:rPr>
              <w:t>237 700</w:t>
            </w:r>
          </w:p>
        </w:tc>
      </w:tr>
    </w:tbl>
    <w:p w:rsidR="00214E6F" w:rsidRPr="00214E6F" w:rsidRDefault="00214E6F" w:rsidP="00214E6F">
      <w:pPr>
        <w:spacing w:before="120" w:line="240" w:lineRule="auto"/>
        <w:jc w:val="right"/>
        <w:rPr>
          <w:b/>
          <w:bCs/>
          <w:i/>
          <w:sz w:val="16"/>
          <w:szCs w:val="16"/>
        </w:rPr>
      </w:pPr>
      <w:r w:rsidRPr="00214E6F">
        <w:rPr>
          <w:b/>
          <w:bCs/>
          <w:i/>
          <w:sz w:val="16"/>
          <w:szCs w:val="16"/>
        </w:rPr>
        <w:t xml:space="preserve">Zdroj: ČSÚ 2018, Zdravotnické účty ČR 2010 - 2016 </w:t>
      </w:r>
    </w:p>
    <w:p w:rsidR="00214E6F" w:rsidRPr="00214E6F" w:rsidRDefault="00214E6F" w:rsidP="00214E6F">
      <w:pPr>
        <w:spacing w:before="120"/>
        <w:jc w:val="both"/>
      </w:pPr>
      <w:r w:rsidRPr="00214E6F">
        <w:t>K největšímu poklesu naopak došlo u výdajů na zdravotní péči o muže ve věkové skupině 15 – 19 let (o 19 %)</w:t>
      </w:r>
      <w:r w:rsidR="00C45E27">
        <w:t xml:space="preserve">, což je důsledek </w:t>
      </w:r>
      <w:r w:rsidRPr="00214E6F">
        <w:t>sníž</w:t>
      </w:r>
      <w:r w:rsidR="00C45E27">
        <w:t>ení</w:t>
      </w:r>
      <w:r w:rsidRPr="00214E6F">
        <w:t xml:space="preserve"> počt</w:t>
      </w:r>
      <w:r w:rsidR="00C45E27">
        <w:t>u</w:t>
      </w:r>
      <w:r w:rsidRPr="00214E6F">
        <w:t xml:space="preserve"> mužů ve věku 15 – 19 let</w:t>
      </w:r>
      <w:r w:rsidR="00C45E27">
        <w:t xml:space="preserve"> o</w:t>
      </w:r>
      <w:r w:rsidRPr="00214E6F">
        <w:t xml:space="preserve"> jednu pětinu</w:t>
      </w:r>
      <w:r w:rsidR="00C45E27">
        <w:t xml:space="preserve"> v porovnání s rokem 2010</w:t>
      </w:r>
      <w:r w:rsidRPr="00214E6F">
        <w:t>. Výdaje na péči o ženy ve věkové skupině 30 – 34 let poklesly o 22 %, což může být, s ohledem na důvody čerpání zdravotní péče mladými ženami, do jisté míry ovlivněno také poklesem porodnosti v uvedeném období.</w:t>
      </w:r>
    </w:p>
    <w:p w:rsidR="00214E6F" w:rsidRPr="00214E6F" w:rsidRDefault="00214E6F" w:rsidP="00D615CD">
      <w:pPr>
        <w:spacing w:before="120" w:line="240" w:lineRule="auto"/>
        <w:rPr>
          <w:b/>
          <w:bCs/>
          <w:sz w:val="18"/>
          <w:szCs w:val="18"/>
        </w:rPr>
      </w:pPr>
      <w:r w:rsidRPr="00214E6F">
        <w:rPr>
          <w:b/>
          <w:bCs/>
          <w:sz w:val="18"/>
          <w:szCs w:val="18"/>
        </w:rPr>
        <w:t>Graf č. 3.1.7 Výdaje zdravotních pojišťoven na zdravotní péči v Č</w:t>
      </w:r>
      <w:r w:rsidR="00F5536C">
        <w:rPr>
          <w:b/>
          <w:bCs/>
          <w:sz w:val="18"/>
          <w:szCs w:val="18"/>
        </w:rPr>
        <w:t>esku</w:t>
      </w:r>
      <w:r w:rsidRPr="00214E6F">
        <w:rPr>
          <w:b/>
          <w:bCs/>
          <w:sz w:val="18"/>
          <w:szCs w:val="18"/>
        </w:rPr>
        <w:t xml:space="preserve"> podle věku a pohlaví v roce 2016 </w:t>
      </w:r>
      <w:r w:rsidR="00F5536C">
        <w:rPr>
          <w:b/>
          <w:bCs/>
          <w:sz w:val="18"/>
          <w:szCs w:val="18"/>
        </w:rPr>
        <w:t>(</w:t>
      </w:r>
      <w:r w:rsidRPr="00214E6F">
        <w:rPr>
          <w:b/>
          <w:bCs/>
          <w:sz w:val="18"/>
          <w:szCs w:val="18"/>
        </w:rPr>
        <w:t>mil. Kč)</w:t>
      </w:r>
    </w:p>
    <w:p w:rsidR="00214E6F" w:rsidRPr="00214E6F" w:rsidRDefault="00214E6F" w:rsidP="00214E6F">
      <w:pPr>
        <w:spacing w:before="240" w:after="120"/>
        <w:jc w:val="right"/>
        <w:rPr>
          <w:b/>
          <w:bCs/>
          <w:sz w:val="18"/>
          <w:szCs w:val="18"/>
        </w:rPr>
      </w:pPr>
      <w:r w:rsidRPr="00214E6F">
        <w:rPr>
          <w:noProof/>
        </w:rPr>
        <w:drawing>
          <wp:inline distT="0" distB="0" distL="0" distR="0">
            <wp:extent cx="6084000" cy="30600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14E6F">
        <w:rPr>
          <w:b/>
          <w:i/>
          <w:sz w:val="16"/>
          <w:szCs w:val="16"/>
        </w:rPr>
        <w:t>Zdroj: ČSÚ 2018, Zdravotnické účty ČR 2010 - 2016</w:t>
      </w:r>
      <w:r w:rsidRPr="00214E6F">
        <w:rPr>
          <w:i/>
          <w:sz w:val="16"/>
          <w:szCs w:val="16"/>
        </w:rPr>
        <w:t xml:space="preserve"> </w:t>
      </w:r>
    </w:p>
    <w:p w:rsidR="00214E6F" w:rsidRPr="00214E6F" w:rsidRDefault="00214E6F" w:rsidP="00480E40">
      <w:pPr>
        <w:spacing w:before="240"/>
        <w:rPr>
          <w:rFonts w:eastAsia="MS Gothic"/>
          <w:b/>
          <w:i/>
        </w:rPr>
      </w:pPr>
      <w:r w:rsidRPr="00214E6F">
        <w:rPr>
          <w:rFonts w:eastAsia="MS Gothic"/>
          <w:b/>
          <w:i/>
        </w:rPr>
        <w:lastRenderedPageBreak/>
        <w:t>Výdaje na léčení žen jsou v průměru o 6 % vyšší než na léčení mužů</w:t>
      </w:r>
    </w:p>
    <w:p w:rsidR="00214E6F" w:rsidRPr="00214E6F" w:rsidRDefault="00C51E92" w:rsidP="00480E40">
      <w:pPr>
        <w:spacing w:before="120" w:after="120"/>
        <w:jc w:val="both"/>
        <w:rPr>
          <w:bCs/>
          <w:szCs w:val="17"/>
        </w:rPr>
      </w:pPr>
      <w:r w:rsidRPr="00C51E92">
        <w:rPr>
          <w:bCs/>
          <w:szCs w:val="17"/>
        </w:rPr>
        <w:t xml:space="preserve">Následující tabulka č.3.1.2 </w:t>
      </w:r>
      <w:r w:rsidR="00214E6F" w:rsidRPr="00C51E92">
        <w:rPr>
          <w:bCs/>
          <w:szCs w:val="17"/>
        </w:rPr>
        <w:t xml:space="preserve">přináší </w:t>
      </w:r>
      <w:r w:rsidRPr="00C51E92">
        <w:rPr>
          <w:b/>
          <w:bCs/>
          <w:szCs w:val="17"/>
        </w:rPr>
        <w:t>průměrné výdaje</w:t>
      </w:r>
      <w:r w:rsidR="00214E6F" w:rsidRPr="00C51E92">
        <w:rPr>
          <w:b/>
          <w:bCs/>
          <w:szCs w:val="17"/>
        </w:rPr>
        <w:t xml:space="preserve"> zdravotních pojišťoven na zdravotní péči na jednoho pojištěnce podle pohlaví a věku</w:t>
      </w:r>
      <w:r w:rsidR="00214E6F" w:rsidRPr="00C51E92">
        <w:rPr>
          <w:bCs/>
          <w:szCs w:val="17"/>
        </w:rPr>
        <w:t>.</w:t>
      </w:r>
      <w:r w:rsidR="00214E6F" w:rsidRPr="00C51E92">
        <w:rPr>
          <w:bCs/>
          <w:szCs w:val="17"/>
          <w:vertAlign w:val="superscript"/>
        </w:rPr>
        <w:footnoteReference w:id="8"/>
      </w:r>
      <w:r w:rsidR="00214E6F" w:rsidRPr="00C51E92">
        <w:rPr>
          <w:bCs/>
          <w:szCs w:val="17"/>
        </w:rPr>
        <w:t xml:space="preserve"> Obecně lze říci, že výdaje na zdravotní péči rostou spolu s věkem a v jednotlivých věkových skupinách se jejich výše liší i v závislosti na pohlaví.</w:t>
      </w:r>
    </w:p>
    <w:p w:rsidR="00214E6F" w:rsidRPr="00214E6F" w:rsidRDefault="00214E6F" w:rsidP="00AD5913">
      <w:pPr>
        <w:keepNext/>
        <w:spacing w:before="120"/>
        <w:jc w:val="both"/>
      </w:pPr>
      <w:r w:rsidRPr="00214E6F">
        <w:t xml:space="preserve">Důvodem je čerpání velmi odlišné zdravotní péče u každé věkové skupiny. Poměrně vysoké výdaje na jednoho pojištěnce jsou vykazovány v nejmladší věkové skupině dětí do 4 let, což je dáno nákladnější péčí o novorozence (každý novorozenec je po porodu hospitalizován), zejména u předčasně narozených dětí. V následujících věkových skupinách až do 34 let se hodnota průměrných ročních výdajů na jednoho pojištěnce pohybuje kolem 10 tisíc Kč u mužů a 13,6 tisíc Kč u žen (výdaje na zdravotní péči jsou vyšší u žen než u mužů také z důvodů zajištění péče související s těhotenstvím a porodem). Od 35. roku věku se průměrné výdaje na zdravotní péči zvyšují s narůstajícím věkem. U mladších ročníků obou pohlaví jsou často průměrné výdaje na jednoho pojištěnce v dané věkové skupině ovlivněny nabídkou zdravotních pojišťoven na očkování nebo preventivní programy. </w:t>
      </w:r>
    </w:p>
    <w:p w:rsidR="00214E6F" w:rsidRPr="00214E6F" w:rsidRDefault="00214E6F" w:rsidP="00AD5913">
      <w:pPr>
        <w:keepNext/>
        <w:spacing w:before="120"/>
        <w:jc w:val="both"/>
      </w:pPr>
      <w:r w:rsidRPr="00214E6F">
        <w:t>Celkově byly v roce 2016 průměrné výdaje zdravotních pojišťoven na jednu pojištěnou ženu (23 385 Kč) o 5,8 % vyšší než průměrné výdaje na jednoho pojištěného muže (22 103 Kč). Průměrné výdaje na jednu pojištěnou ženu zůstaly mezi roky 2010 a 2016 stabilní</w:t>
      </w:r>
      <w:r w:rsidR="00E663CD">
        <w:t>. V</w:t>
      </w:r>
      <w:r w:rsidRPr="00214E6F">
        <w:t xml:space="preserve">ýdaje na jednoho pojištěnce - muže vzrostly </w:t>
      </w:r>
      <w:r w:rsidR="00E663CD">
        <w:t xml:space="preserve">ve stejném období </w:t>
      </w:r>
      <w:r w:rsidRPr="00214E6F">
        <w:t>o 3,9 %. K největšímu nárůstu průměrných výdajů došlo u dívek nejmladší věkové skupiny do 4 let o 17,8 % a u mužů ve věkové skupině 35 – 39 let o 11,2 %.  Naopak nejvíce se za toto sedmileté období snížily průměrné výdaje u obou pohlaví ve věkové skupině 65 - 69 let – u mužů o 12 % a u žen o 33</w:t>
      </w:r>
      <w:r w:rsidR="00931794">
        <w:t> </w:t>
      </w:r>
      <w:r w:rsidRPr="00214E6F">
        <w:t>%.</w:t>
      </w:r>
    </w:p>
    <w:p w:rsidR="00214E6F" w:rsidRPr="00214E6F" w:rsidRDefault="00214E6F" w:rsidP="00214E6F">
      <w:pPr>
        <w:keepNext/>
        <w:spacing w:before="120"/>
        <w:jc w:val="both"/>
        <w:rPr>
          <w:b/>
          <w:bCs/>
          <w:sz w:val="18"/>
          <w:szCs w:val="18"/>
        </w:rPr>
      </w:pPr>
      <w:r w:rsidRPr="00214E6F">
        <w:t xml:space="preserve">Vývoj průměrných ročních výdajů zdravotních pojišťoven na zdravotní péči </w:t>
      </w:r>
      <w:r w:rsidRPr="00D615CD">
        <w:rPr>
          <w:b/>
        </w:rPr>
        <w:t>na jednoho pojištěnce podle věku a pohlaví</w:t>
      </w:r>
      <w:r w:rsidRPr="00214E6F">
        <w:t xml:space="preserve"> mezi roky 2010 a 2016 přehledně zachycuje následující tabulka č. 3.1.2. </w:t>
      </w:r>
    </w:p>
    <w:p w:rsidR="00214E6F" w:rsidRPr="00214E6F" w:rsidRDefault="00AD5913" w:rsidP="00214E6F">
      <w:pPr>
        <w:spacing w:before="240" w:after="120"/>
        <w:rPr>
          <w:b/>
          <w:bCs/>
          <w:sz w:val="18"/>
          <w:szCs w:val="18"/>
        </w:rPr>
      </w:pPr>
      <w:r>
        <w:rPr>
          <w:b/>
          <w:bCs/>
          <w:sz w:val="18"/>
          <w:szCs w:val="18"/>
        </w:rPr>
        <w:t>T</w:t>
      </w:r>
      <w:r w:rsidR="00214E6F" w:rsidRPr="00214E6F">
        <w:rPr>
          <w:b/>
          <w:bCs/>
          <w:sz w:val="18"/>
          <w:szCs w:val="18"/>
        </w:rPr>
        <w:t xml:space="preserve">abulka č. 3.1.2 </w:t>
      </w:r>
      <w:r w:rsidR="00D16F21">
        <w:rPr>
          <w:b/>
          <w:bCs/>
          <w:sz w:val="18"/>
          <w:szCs w:val="18"/>
        </w:rPr>
        <w:t>V</w:t>
      </w:r>
      <w:r w:rsidR="00214E6F" w:rsidRPr="00214E6F">
        <w:rPr>
          <w:b/>
          <w:bCs/>
          <w:sz w:val="18"/>
          <w:szCs w:val="18"/>
        </w:rPr>
        <w:t>ýdaj</w:t>
      </w:r>
      <w:r w:rsidR="00D16F21">
        <w:rPr>
          <w:b/>
          <w:bCs/>
          <w:sz w:val="18"/>
          <w:szCs w:val="18"/>
        </w:rPr>
        <w:t>e</w:t>
      </w:r>
      <w:r w:rsidR="00214E6F" w:rsidRPr="00214E6F">
        <w:rPr>
          <w:b/>
          <w:bCs/>
          <w:sz w:val="18"/>
          <w:szCs w:val="18"/>
        </w:rPr>
        <w:t xml:space="preserve"> zdravotních pojišťoven </w:t>
      </w:r>
      <w:r w:rsidR="00D16F21">
        <w:rPr>
          <w:b/>
          <w:bCs/>
          <w:sz w:val="18"/>
          <w:szCs w:val="18"/>
        </w:rPr>
        <w:t>v ČR</w:t>
      </w:r>
      <w:r w:rsidR="00214E6F" w:rsidRPr="00214E6F">
        <w:rPr>
          <w:b/>
          <w:bCs/>
          <w:sz w:val="18"/>
          <w:szCs w:val="18"/>
        </w:rPr>
        <w:t xml:space="preserve"> na </w:t>
      </w:r>
      <w:r w:rsidR="00D16F21">
        <w:rPr>
          <w:b/>
          <w:bCs/>
          <w:sz w:val="18"/>
          <w:szCs w:val="18"/>
        </w:rPr>
        <w:t>1</w:t>
      </w:r>
      <w:r w:rsidR="00214E6F" w:rsidRPr="00214E6F">
        <w:rPr>
          <w:b/>
          <w:bCs/>
          <w:sz w:val="18"/>
          <w:szCs w:val="18"/>
        </w:rPr>
        <w:t xml:space="preserve"> pojištěnce podle věku a pohlaví</w:t>
      </w:r>
      <w:r w:rsidR="00D16F21">
        <w:rPr>
          <w:b/>
          <w:bCs/>
          <w:sz w:val="18"/>
          <w:szCs w:val="18"/>
        </w:rPr>
        <w:t xml:space="preserve">, </w:t>
      </w:r>
      <w:r w:rsidR="00214E6F" w:rsidRPr="00214E6F">
        <w:rPr>
          <w:b/>
          <w:bCs/>
          <w:sz w:val="18"/>
          <w:szCs w:val="18"/>
        </w:rPr>
        <w:t>2010 a 2016 (v Kč)</w:t>
      </w:r>
    </w:p>
    <w:tbl>
      <w:tblPr>
        <w:tblW w:w="9573" w:type="dxa"/>
        <w:tblInd w:w="93" w:type="dxa"/>
        <w:tblLayout w:type="fixed"/>
        <w:tblLook w:val="04A0" w:firstRow="1" w:lastRow="0" w:firstColumn="1" w:lastColumn="0" w:noHBand="0" w:noVBand="1"/>
      </w:tblPr>
      <w:tblGrid>
        <w:gridCol w:w="1368"/>
        <w:gridCol w:w="1367"/>
        <w:gridCol w:w="1368"/>
        <w:gridCol w:w="1367"/>
        <w:gridCol w:w="1368"/>
        <w:gridCol w:w="1367"/>
        <w:gridCol w:w="1368"/>
      </w:tblGrid>
      <w:tr w:rsidR="00480E40" w:rsidRPr="00480E40" w:rsidTr="00480E40">
        <w:trPr>
          <w:trHeight w:val="258"/>
        </w:trPr>
        <w:tc>
          <w:tcPr>
            <w:tcW w:w="1368" w:type="dxa"/>
            <w:vMerge w:val="restart"/>
            <w:tcBorders>
              <w:top w:val="single" w:sz="8" w:space="0" w:color="auto"/>
              <w:left w:val="nil"/>
              <w:bottom w:val="single" w:sz="8" w:space="0" w:color="000000"/>
              <w:right w:val="single" w:sz="4" w:space="0" w:color="auto"/>
            </w:tcBorders>
            <w:shd w:val="clear" w:color="auto" w:fill="auto"/>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 xml:space="preserve">Věková </w:t>
            </w:r>
            <w:r w:rsidRPr="00480E40">
              <w:rPr>
                <w:rFonts w:cs="Arial"/>
                <w:sz w:val="16"/>
                <w:szCs w:val="16"/>
                <w:lang w:val="en-US" w:eastAsia="en-US"/>
              </w:rPr>
              <w:br/>
              <w:t>skupina</w:t>
            </w:r>
          </w:p>
        </w:tc>
        <w:tc>
          <w:tcPr>
            <w:tcW w:w="4102" w:type="dxa"/>
            <w:gridSpan w:val="3"/>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2010</w:t>
            </w:r>
          </w:p>
        </w:tc>
        <w:tc>
          <w:tcPr>
            <w:tcW w:w="4103" w:type="dxa"/>
            <w:gridSpan w:val="3"/>
            <w:tcBorders>
              <w:top w:val="single" w:sz="8" w:space="0" w:color="auto"/>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2016</w:t>
            </w:r>
          </w:p>
        </w:tc>
      </w:tr>
      <w:tr w:rsidR="00480E40" w:rsidRPr="00480E40" w:rsidTr="00480E40">
        <w:trPr>
          <w:trHeight w:val="258"/>
        </w:trPr>
        <w:tc>
          <w:tcPr>
            <w:tcW w:w="1368" w:type="dxa"/>
            <w:vMerge/>
            <w:tcBorders>
              <w:top w:val="single" w:sz="8" w:space="0" w:color="auto"/>
              <w:left w:val="nil"/>
              <w:bottom w:val="single" w:sz="8" w:space="0" w:color="000000"/>
              <w:right w:val="single" w:sz="4" w:space="0" w:color="auto"/>
            </w:tcBorders>
            <w:vAlign w:val="center"/>
            <w:hideMark/>
          </w:tcPr>
          <w:p w:rsidR="00480E40" w:rsidRPr="00480E40" w:rsidRDefault="00480E40" w:rsidP="00480E40">
            <w:pPr>
              <w:spacing w:line="240" w:lineRule="auto"/>
              <w:rPr>
                <w:rFonts w:cs="Arial"/>
                <w:sz w:val="16"/>
                <w:szCs w:val="16"/>
                <w:lang w:val="en-US" w:eastAsia="en-US"/>
              </w:rPr>
            </w:pPr>
          </w:p>
        </w:tc>
        <w:tc>
          <w:tcPr>
            <w:tcW w:w="1367" w:type="dxa"/>
            <w:tcBorders>
              <w:top w:val="nil"/>
              <w:left w:val="single" w:sz="4" w:space="0" w:color="auto"/>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Muži</w:t>
            </w:r>
          </w:p>
        </w:tc>
        <w:tc>
          <w:tcPr>
            <w:tcW w:w="1368" w:type="dxa"/>
            <w:tcBorders>
              <w:top w:val="nil"/>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Ženy</w:t>
            </w:r>
          </w:p>
        </w:tc>
        <w:tc>
          <w:tcPr>
            <w:tcW w:w="1367" w:type="dxa"/>
            <w:tcBorders>
              <w:top w:val="nil"/>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Celkem</w:t>
            </w:r>
          </w:p>
        </w:tc>
        <w:tc>
          <w:tcPr>
            <w:tcW w:w="1368" w:type="dxa"/>
            <w:tcBorders>
              <w:top w:val="nil"/>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Muži</w:t>
            </w:r>
          </w:p>
        </w:tc>
        <w:tc>
          <w:tcPr>
            <w:tcW w:w="1367" w:type="dxa"/>
            <w:tcBorders>
              <w:top w:val="nil"/>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Ženy</w:t>
            </w:r>
          </w:p>
        </w:tc>
        <w:tc>
          <w:tcPr>
            <w:tcW w:w="1368" w:type="dxa"/>
            <w:tcBorders>
              <w:top w:val="nil"/>
              <w:left w:val="nil"/>
              <w:bottom w:val="single" w:sz="8" w:space="0" w:color="auto"/>
              <w:right w:val="nil"/>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Celkem</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0-4</w:t>
            </w:r>
          </w:p>
        </w:tc>
        <w:tc>
          <w:tcPr>
            <w:tcW w:w="1367" w:type="dxa"/>
            <w:tcBorders>
              <w:top w:val="nil"/>
              <w:left w:val="single" w:sz="4" w:space="0" w:color="auto"/>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17 666</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14 361</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16 014</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19 277</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16 912</w:t>
            </w:r>
          </w:p>
        </w:tc>
        <w:tc>
          <w:tcPr>
            <w:tcW w:w="1368" w:type="dxa"/>
            <w:tcBorders>
              <w:top w:val="nil"/>
              <w:left w:val="single" w:sz="4" w:space="0" w:color="auto"/>
              <w:bottom w:val="single" w:sz="4" w:space="0" w:color="auto"/>
              <w:right w:val="nil"/>
            </w:tcBorders>
            <w:shd w:val="clear" w:color="auto" w:fill="auto"/>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18 095</w:t>
            </w:r>
          </w:p>
        </w:tc>
      </w:tr>
      <w:tr w:rsidR="00480E40" w:rsidRPr="00480E40" w:rsidTr="00480E40">
        <w:trPr>
          <w:trHeight w:val="258"/>
        </w:trPr>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5-9</w:t>
            </w:r>
          </w:p>
        </w:tc>
        <w:tc>
          <w:tcPr>
            <w:tcW w:w="1367"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11 156</w:t>
            </w:r>
          </w:p>
        </w:tc>
        <w:tc>
          <w:tcPr>
            <w:tcW w:w="1368"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9 514</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10 335</w:t>
            </w:r>
          </w:p>
        </w:tc>
        <w:tc>
          <w:tcPr>
            <w:tcW w:w="1368"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10 190</w:t>
            </w:r>
          </w:p>
        </w:tc>
        <w:tc>
          <w:tcPr>
            <w:tcW w:w="1367"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8 651</w:t>
            </w:r>
          </w:p>
        </w:tc>
        <w:tc>
          <w:tcPr>
            <w:tcW w:w="1368" w:type="dxa"/>
            <w:tcBorders>
              <w:top w:val="single" w:sz="4" w:space="0" w:color="auto"/>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9 420</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10.14</w:t>
            </w:r>
          </w:p>
        </w:tc>
        <w:tc>
          <w:tcPr>
            <w:tcW w:w="1367"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11 014</w:t>
            </w:r>
          </w:p>
        </w:tc>
        <w:tc>
          <w:tcPr>
            <w:tcW w:w="1368"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11 822</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11 418</w:t>
            </w:r>
          </w:p>
        </w:tc>
        <w:tc>
          <w:tcPr>
            <w:tcW w:w="1368"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10 733</w:t>
            </w:r>
          </w:p>
        </w:tc>
        <w:tc>
          <w:tcPr>
            <w:tcW w:w="1367" w:type="dxa"/>
            <w:tcBorders>
              <w:top w:val="nil"/>
              <w:left w:val="nil"/>
              <w:bottom w:val="single" w:sz="4" w:space="0" w:color="auto"/>
              <w:right w:val="single" w:sz="4" w:space="0" w:color="auto"/>
            </w:tcBorders>
            <w:shd w:val="clear" w:color="auto" w:fill="auto"/>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10 404</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10 568</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15-19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9 667</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11 659</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10 663</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10 123</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12 459</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11 291</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20-24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8 345</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11 412</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9 879</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8 578</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12 112</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10 345</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25-29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9 618</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15 907</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12 763</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9 708</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15 484</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12 596</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30-34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10 281</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17 854</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14 068</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10 748</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17 347</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14 047</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35-39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10 922</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14 566</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12 744</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12 149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16 906</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14 528</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40-44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15 088</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17 168</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16 128</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13 823</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17 243</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15 533</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45-49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15 761</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18 675</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17 218</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17 097</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20 244</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18 671</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50-54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23 815</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25 436</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24 626</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21 901</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23 213</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22 557</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55-59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28 516</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26 057</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27 287</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29 048</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27 010</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28 029</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60-64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39 756</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30 036</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34 896</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38 049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31 114</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34 581</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65-69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45 612</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40 172</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42 892</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35 657</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27 061</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31 359</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70-74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54 245</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47 241</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50 743</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59 108</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45 387</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52 248</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75-79</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62 624</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50 086</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56 355</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64 924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39 046</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51 985</w:t>
            </w:r>
          </w:p>
        </w:tc>
      </w:tr>
      <w:tr w:rsidR="00480E40" w:rsidRPr="00480E40" w:rsidTr="00480E40">
        <w:trPr>
          <w:trHeight w:val="258"/>
        </w:trPr>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80-84</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65 217</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53 670</w:t>
            </w:r>
          </w:p>
        </w:tc>
        <w:tc>
          <w:tcPr>
            <w:tcW w:w="1367" w:type="dxa"/>
            <w:tcBorders>
              <w:top w:val="nil"/>
              <w:left w:val="nil"/>
              <w:bottom w:val="single" w:sz="4" w:space="0" w:color="auto"/>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59 444</w:t>
            </w:r>
          </w:p>
        </w:tc>
        <w:tc>
          <w:tcPr>
            <w:tcW w:w="1368"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66 387</w:t>
            </w:r>
          </w:p>
        </w:tc>
        <w:tc>
          <w:tcPr>
            <w:tcW w:w="1367" w:type="dxa"/>
            <w:tcBorders>
              <w:top w:val="nil"/>
              <w:left w:val="nil"/>
              <w:bottom w:val="single" w:sz="4" w:space="0" w:color="auto"/>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58 510</w:t>
            </w:r>
          </w:p>
        </w:tc>
        <w:tc>
          <w:tcPr>
            <w:tcW w:w="1368" w:type="dxa"/>
            <w:tcBorders>
              <w:top w:val="nil"/>
              <w:left w:val="nil"/>
              <w:bottom w:val="single" w:sz="4" w:space="0" w:color="auto"/>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62 448</w:t>
            </w:r>
          </w:p>
        </w:tc>
      </w:tr>
      <w:tr w:rsidR="00480E40" w:rsidRPr="00480E40" w:rsidTr="00480E40">
        <w:trPr>
          <w:trHeight w:val="258"/>
        </w:trPr>
        <w:tc>
          <w:tcPr>
            <w:tcW w:w="1368" w:type="dxa"/>
            <w:tcBorders>
              <w:top w:val="single" w:sz="4" w:space="0" w:color="auto"/>
              <w:left w:val="nil"/>
              <w:bottom w:val="nil"/>
              <w:right w:val="single" w:sz="4" w:space="0" w:color="auto"/>
            </w:tcBorders>
            <w:shd w:val="clear" w:color="000000" w:fill="FFFFFF"/>
            <w:noWrap/>
            <w:vAlign w:val="center"/>
            <w:hideMark/>
          </w:tcPr>
          <w:p w:rsidR="00480E40" w:rsidRPr="00480E40" w:rsidRDefault="00480E40" w:rsidP="00480E40">
            <w:pPr>
              <w:spacing w:line="240" w:lineRule="auto"/>
              <w:jc w:val="center"/>
              <w:rPr>
                <w:rFonts w:cs="Arial"/>
                <w:sz w:val="16"/>
                <w:szCs w:val="16"/>
                <w:lang w:val="en-US" w:eastAsia="en-US"/>
              </w:rPr>
            </w:pPr>
            <w:r w:rsidRPr="00480E40">
              <w:rPr>
                <w:rFonts w:cs="Arial"/>
                <w:sz w:val="16"/>
                <w:szCs w:val="16"/>
                <w:lang w:val="en-US" w:eastAsia="en-US"/>
              </w:rPr>
              <w:t>85+</w:t>
            </w:r>
          </w:p>
        </w:tc>
        <w:tc>
          <w:tcPr>
            <w:tcW w:w="1367" w:type="dxa"/>
            <w:tcBorders>
              <w:top w:val="nil"/>
              <w:left w:val="single" w:sz="4" w:space="0" w:color="auto"/>
              <w:bottom w:val="nil"/>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68 462</w:t>
            </w:r>
          </w:p>
        </w:tc>
        <w:tc>
          <w:tcPr>
            <w:tcW w:w="1368" w:type="dxa"/>
            <w:tcBorders>
              <w:top w:val="nil"/>
              <w:left w:val="nil"/>
              <w:bottom w:val="nil"/>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60 030</w:t>
            </w:r>
          </w:p>
        </w:tc>
        <w:tc>
          <w:tcPr>
            <w:tcW w:w="1367" w:type="dxa"/>
            <w:tcBorders>
              <w:top w:val="nil"/>
              <w:left w:val="nil"/>
              <w:bottom w:val="nil"/>
              <w:right w:val="single" w:sz="4" w:space="0" w:color="auto"/>
            </w:tcBorders>
            <w:shd w:val="clear" w:color="000000" w:fill="FFFFFF"/>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64 246</w:t>
            </w:r>
          </w:p>
        </w:tc>
        <w:tc>
          <w:tcPr>
            <w:tcW w:w="1368" w:type="dxa"/>
            <w:tcBorders>
              <w:top w:val="nil"/>
              <w:left w:val="nil"/>
              <w:bottom w:val="nil"/>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67 565</w:t>
            </w:r>
          </w:p>
        </w:tc>
        <w:tc>
          <w:tcPr>
            <w:tcW w:w="1367" w:type="dxa"/>
            <w:tcBorders>
              <w:top w:val="nil"/>
              <w:left w:val="nil"/>
              <w:bottom w:val="nil"/>
              <w:right w:val="single" w:sz="4" w:space="0" w:color="auto"/>
            </w:tcBorders>
            <w:shd w:val="clear" w:color="000000" w:fill="FFFFFF"/>
            <w:noWrap/>
            <w:vAlign w:val="center"/>
            <w:hideMark/>
          </w:tcPr>
          <w:p w:rsidR="00480E40" w:rsidRPr="00480E40" w:rsidRDefault="00480E40" w:rsidP="00480E40">
            <w:pPr>
              <w:spacing w:line="240" w:lineRule="auto"/>
              <w:jc w:val="right"/>
              <w:rPr>
                <w:rFonts w:cs="Arial"/>
                <w:sz w:val="16"/>
                <w:szCs w:val="16"/>
                <w:lang w:val="en-US" w:eastAsia="en-US"/>
              </w:rPr>
            </w:pPr>
            <w:r w:rsidRPr="00480E40">
              <w:rPr>
                <w:rFonts w:cs="Arial"/>
                <w:sz w:val="16"/>
                <w:szCs w:val="16"/>
                <w:lang w:val="en-US" w:eastAsia="en-US"/>
              </w:rPr>
              <w:t>64 169</w:t>
            </w:r>
          </w:p>
        </w:tc>
        <w:tc>
          <w:tcPr>
            <w:tcW w:w="1368" w:type="dxa"/>
            <w:tcBorders>
              <w:top w:val="single" w:sz="4" w:space="0" w:color="auto"/>
              <w:left w:val="single" w:sz="4" w:space="0" w:color="auto"/>
              <w:bottom w:val="nil"/>
              <w:right w:val="nil"/>
            </w:tcBorders>
            <w:shd w:val="clear" w:color="000000" w:fill="FFFFFF"/>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65 867</w:t>
            </w:r>
          </w:p>
        </w:tc>
      </w:tr>
      <w:tr w:rsidR="00480E40" w:rsidRPr="00480E40" w:rsidTr="00480E40">
        <w:trPr>
          <w:trHeight w:val="258"/>
        </w:trPr>
        <w:tc>
          <w:tcPr>
            <w:tcW w:w="1368" w:type="dxa"/>
            <w:tcBorders>
              <w:top w:val="single" w:sz="8" w:space="0" w:color="auto"/>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center"/>
              <w:rPr>
                <w:rFonts w:cs="Arial"/>
                <w:b/>
                <w:bCs/>
                <w:sz w:val="16"/>
                <w:szCs w:val="16"/>
                <w:lang w:val="en-US" w:eastAsia="en-US"/>
              </w:rPr>
            </w:pPr>
            <w:r w:rsidRPr="00480E40">
              <w:rPr>
                <w:rFonts w:cs="Arial"/>
                <w:b/>
                <w:bCs/>
                <w:sz w:val="16"/>
                <w:szCs w:val="16"/>
                <w:lang w:val="en-US" w:eastAsia="en-US"/>
              </w:rPr>
              <w:t>Celkem</w:t>
            </w:r>
          </w:p>
        </w:tc>
        <w:tc>
          <w:tcPr>
            <w:tcW w:w="1367" w:type="dxa"/>
            <w:tcBorders>
              <w:top w:val="single" w:sz="8" w:space="0" w:color="auto"/>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right"/>
              <w:rPr>
                <w:rFonts w:cs="Arial"/>
                <w:b/>
                <w:sz w:val="16"/>
                <w:szCs w:val="16"/>
                <w:lang w:val="en-US" w:eastAsia="en-US"/>
              </w:rPr>
            </w:pPr>
            <w:r w:rsidRPr="00480E40">
              <w:rPr>
                <w:rFonts w:cs="Arial"/>
                <w:b/>
                <w:sz w:val="16"/>
                <w:szCs w:val="16"/>
                <w:lang w:val="en-US" w:eastAsia="en-US"/>
              </w:rPr>
              <w:t>21 267</w:t>
            </w:r>
          </w:p>
        </w:tc>
        <w:tc>
          <w:tcPr>
            <w:tcW w:w="1368" w:type="dxa"/>
            <w:tcBorders>
              <w:top w:val="single" w:sz="8" w:space="0" w:color="auto"/>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right"/>
              <w:rPr>
                <w:rFonts w:cs="Arial"/>
                <w:b/>
                <w:sz w:val="16"/>
                <w:szCs w:val="16"/>
                <w:lang w:val="en-US" w:eastAsia="en-US"/>
              </w:rPr>
            </w:pPr>
            <w:r w:rsidRPr="00480E40">
              <w:rPr>
                <w:rFonts w:cs="Arial"/>
                <w:b/>
                <w:sz w:val="16"/>
                <w:szCs w:val="16"/>
                <w:lang w:val="en-US" w:eastAsia="en-US"/>
              </w:rPr>
              <w:t>23 445</w:t>
            </w:r>
          </w:p>
        </w:tc>
        <w:tc>
          <w:tcPr>
            <w:tcW w:w="1367" w:type="dxa"/>
            <w:tcBorders>
              <w:top w:val="single" w:sz="8" w:space="0" w:color="auto"/>
              <w:left w:val="nil"/>
              <w:bottom w:val="single" w:sz="8" w:space="0" w:color="auto"/>
              <w:right w:val="single" w:sz="4" w:space="0" w:color="auto"/>
            </w:tcBorders>
            <w:shd w:val="clear" w:color="000000" w:fill="F2DCDB"/>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22 356</w:t>
            </w:r>
          </w:p>
        </w:tc>
        <w:tc>
          <w:tcPr>
            <w:tcW w:w="1368" w:type="dxa"/>
            <w:tcBorders>
              <w:top w:val="single" w:sz="8" w:space="0" w:color="auto"/>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right"/>
              <w:rPr>
                <w:rFonts w:cs="Arial"/>
                <w:b/>
                <w:sz w:val="16"/>
                <w:szCs w:val="16"/>
                <w:lang w:val="en-US" w:eastAsia="en-US"/>
              </w:rPr>
            </w:pPr>
            <w:r w:rsidRPr="00480E40">
              <w:rPr>
                <w:rFonts w:cs="Arial"/>
                <w:b/>
                <w:sz w:val="16"/>
                <w:szCs w:val="16"/>
                <w:lang w:val="en-US" w:eastAsia="en-US"/>
              </w:rPr>
              <w:t>22 103</w:t>
            </w:r>
          </w:p>
        </w:tc>
        <w:tc>
          <w:tcPr>
            <w:tcW w:w="1367" w:type="dxa"/>
            <w:tcBorders>
              <w:top w:val="single" w:sz="8" w:space="0" w:color="auto"/>
              <w:left w:val="nil"/>
              <w:bottom w:val="single" w:sz="8" w:space="0" w:color="auto"/>
              <w:right w:val="single" w:sz="4" w:space="0" w:color="auto"/>
            </w:tcBorders>
            <w:shd w:val="clear" w:color="000000" w:fill="F2DCDB"/>
            <w:noWrap/>
            <w:vAlign w:val="center"/>
            <w:hideMark/>
          </w:tcPr>
          <w:p w:rsidR="00480E40" w:rsidRPr="00480E40" w:rsidRDefault="00480E40" w:rsidP="00480E40">
            <w:pPr>
              <w:spacing w:line="240" w:lineRule="auto"/>
              <w:jc w:val="right"/>
              <w:rPr>
                <w:rFonts w:cs="Arial"/>
                <w:b/>
                <w:sz w:val="16"/>
                <w:szCs w:val="16"/>
                <w:lang w:val="en-US" w:eastAsia="en-US"/>
              </w:rPr>
            </w:pPr>
            <w:r w:rsidRPr="00480E40">
              <w:rPr>
                <w:rFonts w:cs="Arial"/>
                <w:b/>
                <w:sz w:val="16"/>
                <w:szCs w:val="16"/>
                <w:lang w:val="en-US" w:eastAsia="en-US"/>
              </w:rPr>
              <w:t>23 385</w:t>
            </w:r>
          </w:p>
        </w:tc>
        <w:tc>
          <w:tcPr>
            <w:tcW w:w="1368" w:type="dxa"/>
            <w:tcBorders>
              <w:top w:val="single" w:sz="8" w:space="0" w:color="auto"/>
              <w:left w:val="nil"/>
              <w:bottom w:val="single" w:sz="8" w:space="0" w:color="auto"/>
              <w:right w:val="nil"/>
            </w:tcBorders>
            <w:shd w:val="clear" w:color="000000" w:fill="F2DCDB"/>
            <w:noWrap/>
            <w:vAlign w:val="center"/>
            <w:hideMark/>
          </w:tcPr>
          <w:p w:rsidR="00480E40" w:rsidRPr="00480E40" w:rsidRDefault="00480E40" w:rsidP="00480E40">
            <w:pPr>
              <w:spacing w:line="240" w:lineRule="auto"/>
              <w:jc w:val="right"/>
              <w:rPr>
                <w:rFonts w:cs="Arial"/>
                <w:b/>
                <w:bCs/>
                <w:color w:val="000000"/>
                <w:sz w:val="16"/>
                <w:szCs w:val="16"/>
                <w:lang w:val="en-US" w:eastAsia="en-US"/>
              </w:rPr>
            </w:pPr>
            <w:r w:rsidRPr="00480E40">
              <w:rPr>
                <w:rFonts w:cs="Arial"/>
                <w:b/>
                <w:bCs/>
                <w:color w:val="000000"/>
                <w:sz w:val="16"/>
                <w:szCs w:val="16"/>
                <w:lang w:val="en-US" w:eastAsia="en-US"/>
              </w:rPr>
              <w:t>22 744</w:t>
            </w:r>
          </w:p>
        </w:tc>
      </w:tr>
    </w:tbl>
    <w:p w:rsidR="00214E6F" w:rsidRPr="00214E6F" w:rsidRDefault="00214E6F" w:rsidP="00214E6F">
      <w:pPr>
        <w:spacing w:before="120" w:line="240" w:lineRule="auto"/>
        <w:jc w:val="right"/>
        <w:rPr>
          <w:b/>
          <w:bCs/>
          <w:i/>
          <w:sz w:val="16"/>
          <w:szCs w:val="16"/>
        </w:rPr>
      </w:pPr>
      <w:r w:rsidRPr="00214E6F">
        <w:rPr>
          <w:b/>
          <w:bCs/>
          <w:i/>
          <w:sz w:val="16"/>
          <w:szCs w:val="16"/>
        </w:rPr>
        <w:t xml:space="preserve">Zdroj: ČSÚ 2018, Zdravotnické účty ČR 2010 - 2016 </w:t>
      </w:r>
    </w:p>
    <w:p w:rsidR="00214E6F" w:rsidRPr="00991A9E" w:rsidRDefault="00214E6F" w:rsidP="00214E6F">
      <w:pPr>
        <w:pStyle w:val="Nadpis2"/>
      </w:pPr>
      <w:bookmarkStart w:id="21" w:name="_3.2._Výdaje_domácností"/>
      <w:bookmarkStart w:id="22" w:name="_Toc127174559"/>
      <w:bookmarkStart w:id="23" w:name="_Toc127757331"/>
      <w:bookmarkStart w:id="24" w:name="_Toc127758621"/>
      <w:bookmarkStart w:id="25" w:name="_Toc130184766"/>
      <w:bookmarkStart w:id="26" w:name="_Toc256065142"/>
      <w:bookmarkStart w:id="27" w:name="_Toc481748792"/>
      <w:bookmarkEnd w:id="21"/>
      <w:r w:rsidRPr="00991A9E">
        <w:lastRenderedPageBreak/>
        <w:t>3.2. Výdaje domácností na zdravotní péči</w:t>
      </w:r>
      <w:bookmarkEnd w:id="22"/>
      <w:bookmarkEnd w:id="23"/>
      <w:bookmarkEnd w:id="24"/>
      <w:bookmarkEnd w:id="25"/>
      <w:bookmarkEnd w:id="26"/>
      <w:bookmarkEnd w:id="27"/>
    </w:p>
    <w:p w:rsidR="00214E6F" w:rsidRPr="00991A9E" w:rsidRDefault="00214E6F" w:rsidP="00214E6F">
      <w:pPr>
        <w:keepNext/>
        <w:spacing w:before="120"/>
        <w:jc w:val="both"/>
        <w:rPr>
          <w:rFonts w:cs="Arial"/>
          <w:color w:val="000000"/>
          <w:szCs w:val="20"/>
        </w:rPr>
      </w:pPr>
      <w:r w:rsidRPr="00991A9E">
        <w:rPr>
          <w:rFonts w:cs="Arial"/>
          <w:color w:val="000000"/>
          <w:szCs w:val="20"/>
        </w:rPr>
        <w:t xml:space="preserve">Následující kapitola přináší přehled </w:t>
      </w:r>
      <w:r w:rsidRPr="00991A9E">
        <w:rPr>
          <w:rFonts w:cs="Arial"/>
          <w:b/>
          <w:color w:val="000000"/>
          <w:szCs w:val="20"/>
        </w:rPr>
        <w:t>základních údajů o celkových výdajích domácností na zdravotní péči</w:t>
      </w:r>
      <w:r w:rsidRPr="00991A9E">
        <w:rPr>
          <w:rFonts w:cs="Arial"/>
          <w:color w:val="000000"/>
          <w:szCs w:val="20"/>
        </w:rPr>
        <w:t xml:space="preserve"> za uplynulých </w:t>
      </w:r>
      <w:r>
        <w:rPr>
          <w:rFonts w:cs="Arial"/>
          <w:color w:val="000000"/>
          <w:szCs w:val="20"/>
        </w:rPr>
        <w:t>sedm</w:t>
      </w:r>
      <w:r w:rsidRPr="00991A9E">
        <w:rPr>
          <w:rFonts w:cs="Arial"/>
          <w:color w:val="000000"/>
          <w:szCs w:val="20"/>
        </w:rPr>
        <w:t xml:space="preserve"> let. Více pozornosti je věnováno výdajům </w:t>
      </w:r>
      <w:r w:rsidRPr="00991A9E">
        <w:rPr>
          <w:rFonts w:cs="Arial"/>
          <w:b/>
          <w:color w:val="000000"/>
          <w:szCs w:val="20"/>
        </w:rPr>
        <w:t>na léky</w:t>
      </w:r>
      <w:r w:rsidRPr="00991A9E">
        <w:rPr>
          <w:rFonts w:cs="Arial"/>
          <w:color w:val="000000"/>
          <w:szCs w:val="20"/>
        </w:rPr>
        <w:t xml:space="preserve">, které patří k nejnákladnějším položkám českých domácností. Zaměříme se rovněž na informace o výdajích domácností </w:t>
      </w:r>
      <w:r w:rsidRPr="00991A9E">
        <w:rPr>
          <w:rFonts w:cs="Arial"/>
          <w:b/>
          <w:color w:val="000000"/>
          <w:szCs w:val="20"/>
        </w:rPr>
        <w:t xml:space="preserve">na jednotlivé druhy zdravotní péče </w:t>
      </w:r>
      <w:r w:rsidRPr="00991A9E">
        <w:rPr>
          <w:rFonts w:cs="Arial"/>
          <w:color w:val="000000"/>
          <w:szCs w:val="20"/>
        </w:rPr>
        <w:t xml:space="preserve">a připomeneme si </w:t>
      </w:r>
      <w:r w:rsidRPr="00991A9E">
        <w:rPr>
          <w:rFonts w:cs="Arial"/>
          <w:b/>
          <w:color w:val="000000"/>
          <w:szCs w:val="20"/>
        </w:rPr>
        <w:t>vývoj regulačních poplatků</w:t>
      </w:r>
      <w:r w:rsidRPr="00991A9E">
        <w:rPr>
          <w:rFonts w:cs="Arial"/>
          <w:color w:val="000000"/>
          <w:szCs w:val="20"/>
        </w:rPr>
        <w:t xml:space="preserve"> od jejich počátku do současné doby.</w:t>
      </w:r>
    </w:p>
    <w:p w:rsidR="00214E6F" w:rsidRPr="00991A9E" w:rsidRDefault="00214E6F" w:rsidP="00214E6F">
      <w:pPr>
        <w:pStyle w:val="Nadpis3"/>
      </w:pPr>
      <w:bookmarkStart w:id="28" w:name="_Toc481748793"/>
      <w:r w:rsidRPr="00991A9E">
        <w:t xml:space="preserve">3.2.1. </w:t>
      </w:r>
      <w:bookmarkEnd w:id="28"/>
      <w:r>
        <w:t>Celkové výdaje domácností</w:t>
      </w:r>
    </w:p>
    <w:p w:rsidR="00774CA3" w:rsidRPr="00C51E92" w:rsidRDefault="004117C8" w:rsidP="00214E6F">
      <w:pPr>
        <w:keepNext/>
        <w:spacing w:before="120"/>
        <w:jc w:val="both"/>
        <w:rPr>
          <w:szCs w:val="17"/>
        </w:rPr>
      </w:pPr>
      <w:r w:rsidRPr="00C51E92">
        <w:rPr>
          <w:szCs w:val="17"/>
        </w:rPr>
        <w:t>V roce 2016 přesáhly v Česku poprvé v historii výdaje domácností na zdravotní péči hranici 50 miliard Kč</w:t>
      </w:r>
      <w:r w:rsidR="004E3E1A" w:rsidRPr="00C51E92">
        <w:rPr>
          <w:szCs w:val="17"/>
        </w:rPr>
        <w:t xml:space="preserve"> – na své </w:t>
      </w:r>
      <w:r w:rsidR="00774CA3" w:rsidRPr="00C51E92">
        <w:rPr>
          <w:rFonts w:cs="Arial"/>
          <w:color w:val="000000"/>
          <w:szCs w:val="20"/>
        </w:rPr>
        <w:t xml:space="preserve">zdraví </w:t>
      </w:r>
      <w:r w:rsidR="004E3E1A" w:rsidRPr="00C51E92">
        <w:rPr>
          <w:rFonts w:cs="Arial"/>
          <w:color w:val="000000"/>
          <w:szCs w:val="20"/>
        </w:rPr>
        <w:t xml:space="preserve">vynaložily </w:t>
      </w:r>
      <w:r w:rsidR="00774CA3" w:rsidRPr="00C51E92">
        <w:rPr>
          <w:rFonts w:cs="Arial"/>
          <w:color w:val="000000"/>
          <w:szCs w:val="20"/>
        </w:rPr>
        <w:t>celkem</w:t>
      </w:r>
      <w:r w:rsidR="00774CA3" w:rsidRPr="00C51E92">
        <w:rPr>
          <w:rFonts w:cs="Arial"/>
          <w:b/>
          <w:color w:val="000000"/>
          <w:szCs w:val="20"/>
        </w:rPr>
        <w:t xml:space="preserve"> </w:t>
      </w:r>
      <w:r w:rsidR="00214E6F" w:rsidRPr="00C51E92">
        <w:rPr>
          <w:szCs w:val="17"/>
        </w:rPr>
        <w:t>51</w:t>
      </w:r>
      <w:r w:rsidR="00EB7DA1" w:rsidRPr="00C51E92">
        <w:rPr>
          <w:szCs w:val="17"/>
        </w:rPr>
        <w:t>,</w:t>
      </w:r>
      <w:r w:rsidR="00214E6F" w:rsidRPr="00C51E92">
        <w:rPr>
          <w:szCs w:val="17"/>
        </w:rPr>
        <w:t>2 ml</w:t>
      </w:r>
      <w:r w:rsidR="00EB7DA1" w:rsidRPr="00C51E92">
        <w:rPr>
          <w:szCs w:val="17"/>
        </w:rPr>
        <w:t>d</w:t>
      </w:r>
      <w:r w:rsidR="00214E6F" w:rsidRPr="00C51E92">
        <w:rPr>
          <w:szCs w:val="17"/>
        </w:rPr>
        <w:t>. Kč</w:t>
      </w:r>
      <w:r w:rsidR="00214E6F" w:rsidRPr="00C51E92">
        <w:rPr>
          <w:rFonts w:cs="Arial"/>
          <w:color w:val="000000"/>
          <w:szCs w:val="20"/>
        </w:rPr>
        <w:t xml:space="preserve">, tedy 14,2 % z celkových výdajů na zdravotní péči v České republice. </w:t>
      </w:r>
      <w:r w:rsidR="00EB7DA1" w:rsidRPr="00C51E92">
        <w:rPr>
          <w:szCs w:val="17"/>
        </w:rPr>
        <w:t>V posledních třech letech pozorujeme nárůst výdajů domácností na zdravotní péči</w:t>
      </w:r>
      <w:r w:rsidR="004E3E1A" w:rsidRPr="00C51E92">
        <w:rPr>
          <w:szCs w:val="17"/>
        </w:rPr>
        <w:t xml:space="preserve"> o téměř pětinu (18 %)</w:t>
      </w:r>
      <w:r w:rsidR="00EB7DA1" w:rsidRPr="00C51E92">
        <w:rPr>
          <w:szCs w:val="17"/>
        </w:rPr>
        <w:t xml:space="preserve">, a </w:t>
      </w:r>
      <w:r w:rsidR="00774CA3" w:rsidRPr="00C51E92">
        <w:rPr>
          <w:szCs w:val="17"/>
        </w:rPr>
        <w:t>to ze 43,5</w:t>
      </w:r>
      <w:r w:rsidR="00EB7DA1" w:rsidRPr="00C51E92">
        <w:rPr>
          <w:szCs w:val="17"/>
        </w:rPr>
        <w:t xml:space="preserve"> mld. Kč v roce 2013 na výše uvedených 51,2 mld. Kč v roce 2016. </w:t>
      </w:r>
      <w:r w:rsidR="004E3E1A" w:rsidRPr="00C51E92">
        <w:rPr>
          <w:szCs w:val="17"/>
        </w:rPr>
        <w:t>Za celé sledované období let 2010 až 2016 pak zaplatily české domácnosti z vlastních prostředků za zdravotní péči nad rámec veřejného zdravotního pojištění celkem 322 mld. Kč s průměrným ročním tempem růstu 3,1 %.</w:t>
      </w:r>
    </w:p>
    <w:p w:rsidR="00EB7DA1" w:rsidRPr="00C51E92" w:rsidRDefault="00EB7DA1" w:rsidP="00EB7DA1">
      <w:pPr>
        <w:keepNext/>
        <w:spacing w:before="120"/>
        <w:jc w:val="both"/>
        <w:rPr>
          <w:rFonts w:eastAsia="MS Gothic"/>
          <w:bCs/>
          <w:color w:val="000000" w:themeColor="text1"/>
          <w:szCs w:val="20"/>
        </w:rPr>
      </w:pPr>
      <w:r w:rsidRPr="00C51E92">
        <w:rPr>
          <w:rFonts w:eastAsia="MS Gothic"/>
          <w:bCs/>
          <w:color w:val="000000" w:themeColor="text1"/>
          <w:szCs w:val="20"/>
        </w:rPr>
        <w:t>Nejvýraznější zastoupení domácnost</w:t>
      </w:r>
      <w:r w:rsidR="00323231" w:rsidRPr="00C51E92">
        <w:rPr>
          <w:rFonts w:eastAsia="MS Gothic"/>
          <w:bCs/>
          <w:color w:val="000000" w:themeColor="text1"/>
          <w:szCs w:val="20"/>
        </w:rPr>
        <w:t>í</w:t>
      </w:r>
      <w:r w:rsidRPr="00C51E92">
        <w:rPr>
          <w:rFonts w:eastAsia="MS Gothic"/>
          <w:bCs/>
          <w:color w:val="000000" w:themeColor="text1"/>
          <w:szCs w:val="20"/>
        </w:rPr>
        <w:t xml:space="preserve"> ve financování zdravotní péče měli ze zemí EU v  roce 2015 v</w:t>
      </w:r>
      <w:r w:rsidR="00774CA3" w:rsidRPr="00C51E92">
        <w:rPr>
          <w:rFonts w:eastAsia="MS Gothic"/>
          <w:bCs/>
          <w:color w:val="000000" w:themeColor="text1"/>
          <w:szCs w:val="20"/>
        </w:rPr>
        <w:t xml:space="preserve"> Bulharsku (48 %), v </w:t>
      </w:r>
      <w:r w:rsidRPr="00C51E92">
        <w:rPr>
          <w:rFonts w:eastAsia="MS Gothic"/>
          <w:bCs/>
          <w:color w:val="000000" w:themeColor="text1"/>
          <w:szCs w:val="20"/>
        </w:rPr>
        <w:t>Lotyšsku (41</w:t>
      </w:r>
      <w:r w:rsidR="00774CA3" w:rsidRPr="00C51E92">
        <w:rPr>
          <w:rFonts w:eastAsia="MS Gothic"/>
          <w:bCs/>
          <w:color w:val="000000" w:themeColor="text1"/>
          <w:szCs w:val="20"/>
        </w:rPr>
        <w:t> </w:t>
      </w:r>
      <w:r w:rsidRPr="00C51E92">
        <w:rPr>
          <w:rFonts w:eastAsia="MS Gothic"/>
          <w:bCs/>
          <w:color w:val="000000" w:themeColor="text1"/>
          <w:szCs w:val="20"/>
        </w:rPr>
        <w:t>%) a v Řecku (35</w:t>
      </w:r>
      <w:r w:rsidR="00774CA3" w:rsidRPr="00C51E92">
        <w:rPr>
          <w:rFonts w:eastAsia="MS Gothic"/>
          <w:bCs/>
          <w:color w:val="000000" w:themeColor="text1"/>
          <w:szCs w:val="20"/>
        </w:rPr>
        <w:t> </w:t>
      </w:r>
      <w:r w:rsidRPr="00C51E92">
        <w:rPr>
          <w:rFonts w:eastAsia="MS Gothic"/>
          <w:bCs/>
          <w:color w:val="000000" w:themeColor="text1"/>
          <w:szCs w:val="20"/>
        </w:rPr>
        <w:t>%), oproti tomu nejmenší ve Francii (7</w:t>
      </w:r>
      <w:r w:rsidR="00774CA3" w:rsidRPr="00C51E92">
        <w:rPr>
          <w:rFonts w:eastAsia="MS Gothic"/>
        </w:rPr>
        <w:t> </w:t>
      </w:r>
      <w:r w:rsidRPr="00C51E92">
        <w:rPr>
          <w:rFonts w:eastAsia="MS Gothic"/>
          <w:bCs/>
          <w:color w:val="000000" w:themeColor="text1"/>
          <w:szCs w:val="20"/>
        </w:rPr>
        <w:t xml:space="preserve">%). </w:t>
      </w:r>
      <w:r w:rsidRPr="00C51E92">
        <w:rPr>
          <w:rFonts w:eastAsia="MS Gothic"/>
          <w:b/>
          <w:bCs/>
          <w:color w:val="000000" w:themeColor="text1"/>
          <w:szCs w:val="20"/>
        </w:rPr>
        <w:t>Průměr zemí OECD</w:t>
      </w:r>
      <w:r w:rsidRPr="00C51E92">
        <w:rPr>
          <w:rFonts w:eastAsia="MS Gothic"/>
          <w:bCs/>
          <w:color w:val="000000" w:themeColor="text1"/>
          <w:szCs w:val="20"/>
        </w:rPr>
        <w:t xml:space="preserve"> představoval 20</w:t>
      </w:r>
      <w:r w:rsidR="00774CA3" w:rsidRPr="00C51E92">
        <w:rPr>
          <w:rFonts w:eastAsia="MS Gothic"/>
          <w:bCs/>
          <w:color w:val="000000" w:themeColor="text1"/>
          <w:szCs w:val="20"/>
        </w:rPr>
        <w:t> </w:t>
      </w:r>
      <w:r w:rsidRPr="00C51E92">
        <w:rPr>
          <w:rFonts w:eastAsia="MS Gothic"/>
          <w:bCs/>
          <w:color w:val="000000" w:themeColor="text1"/>
          <w:szCs w:val="20"/>
        </w:rPr>
        <w:t>%. Přímé platby domácnosti se v České republice v uvedeném roce podílely z 1</w:t>
      </w:r>
      <w:r w:rsidR="00774CA3" w:rsidRPr="00C51E92">
        <w:rPr>
          <w:rFonts w:eastAsia="MS Gothic"/>
          <w:bCs/>
          <w:color w:val="000000" w:themeColor="text1"/>
          <w:szCs w:val="20"/>
        </w:rPr>
        <w:t>3</w:t>
      </w:r>
      <w:r w:rsidRPr="00C51E92">
        <w:rPr>
          <w:rFonts w:eastAsia="MS Gothic"/>
          <w:bCs/>
          <w:color w:val="000000" w:themeColor="text1"/>
          <w:szCs w:val="20"/>
        </w:rPr>
        <w:t xml:space="preserve"> % na financování zdravotní péče, tj. podobně jako </w:t>
      </w:r>
      <w:r w:rsidR="00774CA3" w:rsidRPr="00C51E92">
        <w:rPr>
          <w:rFonts w:eastAsia="MS Gothic"/>
          <w:bCs/>
          <w:color w:val="000000" w:themeColor="text1"/>
          <w:szCs w:val="20"/>
        </w:rPr>
        <w:t xml:space="preserve">např. ve </w:t>
      </w:r>
      <w:r w:rsidRPr="00C51E92">
        <w:rPr>
          <w:rFonts w:eastAsia="MS Gothic"/>
          <w:bCs/>
          <w:color w:val="000000" w:themeColor="text1"/>
          <w:szCs w:val="20"/>
        </w:rPr>
        <w:t>skandinávsk</w:t>
      </w:r>
      <w:r w:rsidR="00774CA3" w:rsidRPr="00C51E92">
        <w:rPr>
          <w:rFonts w:eastAsia="MS Gothic"/>
          <w:bCs/>
          <w:color w:val="000000" w:themeColor="text1"/>
          <w:szCs w:val="20"/>
        </w:rPr>
        <w:t xml:space="preserve">ých </w:t>
      </w:r>
      <w:r w:rsidRPr="00C51E92">
        <w:rPr>
          <w:rFonts w:eastAsia="MS Gothic"/>
          <w:bCs/>
          <w:color w:val="000000" w:themeColor="text1"/>
          <w:szCs w:val="20"/>
        </w:rPr>
        <w:t>zem</w:t>
      </w:r>
      <w:r w:rsidR="00774CA3" w:rsidRPr="00C51E92">
        <w:rPr>
          <w:rFonts w:eastAsia="MS Gothic"/>
          <w:bCs/>
          <w:color w:val="000000" w:themeColor="text1"/>
          <w:szCs w:val="20"/>
        </w:rPr>
        <w:t>ích</w:t>
      </w:r>
      <w:r w:rsidRPr="00C51E92">
        <w:rPr>
          <w:rFonts w:eastAsia="MS Gothic"/>
          <w:bCs/>
          <w:color w:val="000000" w:themeColor="text1"/>
          <w:szCs w:val="20"/>
        </w:rPr>
        <w:t xml:space="preserve"> (Norsko, Švédsko a Dánsko)</w:t>
      </w:r>
      <w:r w:rsidR="00774CA3" w:rsidRPr="00C51E92">
        <w:rPr>
          <w:rFonts w:eastAsia="MS Gothic"/>
          <w:bCs/>
          <w:color w:val="000000" w:themeColor="text1"/>
          <w:szCs w:val="20"/>
        </w:rPr>
        <w:t xml:space="preserve"> či</w:t>
      </w:r>
      <w:r w:rsidR="004117C8" w:rsidRPr="00C51E92">
        <w:rPr>
          <w:rFonts w:eastAsia="MS Gothic"/>
          <w:bCs/>
          <w:color w:val="000000" w:themeColor="text1"/>
          <w:szCs w:val="20"/>
        </w:rPr>
        <w:t xml:space="preserve"> u naš</w:t>
      </w:r>
      <w:r w:rsidR="004E3E1A" w:rsidRPr="00C51E92">
        <w:rPr>
          <w:rFonts w:eastAsia="MS Gothic"/>
          <w:bCs/>
          <w:color w:val="000000" w:themeColor="text1"/>
          <w:szCs w:val="20"/>
        </w:rPr>
        <w:t xml:space="preserve">eho </w:t>
      </w:r>
      <w:r w:rsidR="004117C8" w:rsidRPr="00C51E92">
        <w:rPr>
          <w:rFonts w:eastAsia="MS Gothic"/>
          <w:bCs/>
          <w:color w:val="000000" w:themeColor="text1"/>
          <w:szCs w:val="20"/>
        </w:rPr>
        <w:t>soused</w:t>
      </w:r>
      <w:r w:rsidR="004E3E1A" w:rsidRPr="00C51E92">
        <w:rPr>
          <w:rFonts w:eastAsia="MS Gothic"/>
          <w:bCs/>
          <w:color w:val="000000" w:themeColor="text1"/>
          <w:szCs w:val="20"/>
        </w:rPr>
        <w:t>a</w:t>
      </w:r>
      <w:r w:rsidR="004117C8" w:rsidRPr="00C51E92">
        <w:rPr>
          <w:rFonts w:eastAsia="MS Gothic"/>
          <w:bCs/>
          <w:color w:val="000000" w:themeColor="text1"/>
          <w:szCs w:val="20"/>
        </w:rPr>
        <w:t xml:space="preserve"> v Německu</w:t>
      </w:r>
      <w:r w:rsidRPr="00C51E92">
        <w:rPr>
          <w:rFonts w:eastAsia="MS Gothic"/>
          <w:bCs/>
          <w:color w:val="000000" w:themeColor="text1"/>
          <w:szCs w:val="20"/>
        </w:rPr>
        <w:t>.</w:t>
      </w:r>
      <w:r w:rsidR="004E3E1A" w:rsidRPr="00C51E92">
        <w:rPr>
          <w:rFonts w:eastAsia="MS Gothic"/>
          <w:bCs/>
          <w:color w:val="000000" w:themeColor="text1"/>
          <w:szCs w:val="20"/>
        </w:rPr>
        <w:t xml:space="preserve"> V Rakousko a na Slovensku se tento podíl (18 ˇ%) blížil výše zmíněnému průměru za země OECD a v Polsku dosáhl hodnoty 23 %.</w:t>
      </w:r>
    </w:p>
    <w:p w:rsidR="00214E6F" w:rsidRPr="00991A9E" w:rsidRDefault="004117C8" w:rsidP="00214E6F">
      <w:pPr>
        <w:keepNext/>
        <w:spacing w:before="120"/>
        <w:jc w:val="both"/>
        <w:rPr>
          <w:szCs w:val="17"/>
        </w:rPr>
      </w:pPr>
      <w:r w:rsidRPr="00C51E92">
        <w:rPr>
          <w:rFonts w:cs="Arial"/>
          <w:color w:val="000000"/>
          <w:szCs w:val="20"/>
        </w:rPr>
        <w:t xml:space="preserve">V roce 2016 </w:t>
      </w:r>
      <w:r w:rsidR="004E3E1A" w:rsidRPr="00C51E92">
        <w:rPr>
          <w:rFonts w:cs="Arial"/>
          <w:color w:val="000000"/>
          <w:szCs w:val="20"/>
        </w:rPr>
        <w:t xml:space="preserve">představovala </w:t>
      </w:r>
      <w:r w:rsidRPr="00C51E92">
        <w:rPr>
          <w:rFonts w:cs="Arial"/>
          <w:color w:val="000000"/>
          <w:szCs w:val="20"/>
        </w:rPr>
        <w:t>výše u</w:t>
      </w:r>
      <w:r w:rsidR="00214E6F" w:rsidRPr="00C51E92">
        <w:rPr>
          <w:rFonts w:cs="Arial"/>
          <w:color w:val="000000"/>
          <w:szCs w:val="20"/>
        </w:rPr>
        <w:t xml:space="preserve">vedená částka </w:t>
      </w:r>
      <w:r w:rsidRPr="00C51E92">
        <w:rPr>
          <w:rFonts w:cs="Arial"/>
          <w:color w:val="000000"/>
          <w:szCs w:val="20"/>
        </w:rPr>
        <w:t xml:space="preserve">51,2 mld. Kč výdajů domácností na zdravotní péče </w:t>
      </w:r>
      <w:r w:rsidR="00214E6F" w:rsidRPr="00C51E92">
        <w:rPr>
          <w:szCs w:val="17"/>
        </w:rPr>
        <w:t>2</w:t>
      </w:r>
      <w:r w:rsidRPr="00C51E92">
        <w:rPr>
          <w:szCs w:val="17"/>
        </w:rPr>
        <w:t>,31</w:t>
      </w:r>
      <w:r w:rsidR="00214E6F" w:rsidRPr="00C51E92">
        <w:rPr>
          <w:szCs w:val="17"/>
        </w:rPr>
        <w:t xml:space="preserve"> % </w:t>
      </w:r>
      <w:r w:rsidR="00214E6F" w:rsidRPr="00C51E92">
        <w:rPr>
          <w:b/>
          <w:szCs w:val="17"/>
        </w:rPr>
        <w:t>z celkových výdajů domácností</w:t>
      </w:r>
      <w:r w:rsidRPr="00C51E92">
        <w:rPr>
          <w:szCs w:val="17"/>
        </w:rPr>
        <w:t xml:space="preserve"> – pro zajímavost před deseti lety to bylo 1,77 %</w:t>
      </w:r>
      <w:r w:rsidR="00214E6F" w:rsidRPr="00C51E92">
        <w:rPr>
          <w:szCs w:val="17"/>
        </w:rPr>
        <w:t xml:space="preserve">. Pokud bychom vztáhly přímé výdaje domácností na zdravotní péči </w:t>
      </w:r>
      <w:r w:rsidR="00214E6F" w:rsidRPr="00C51E92">
        <w:rPr>
          <w:b/>
          <w:szCs w:val="17"/>
        </w:rPr>
        <w:t>na jednoho obyvatele</w:t>
      </w:r>
      <w:r w:rsidR="00214E6F" w:rsidRPr="00C51E92">
        <w:rPr>
          <w:szCs w:val="17"/>
        </w:rPr>
        <w:t>, dosáhly bychom v roce 2016 hodnoty 4,</w:t>
      </w:r>
      <w:r w:rsidR="004E3E1A" w:rsidRPr="00C51E92">
        <w:rPr>
          <w:szCs w:val="17"/>
        </w:rPr>
        <w:t>9</w:t>
      </w:r>
      <w:r w:rsidR="00214E6F" w:rsidRPr="00C51E92">
        <w:rPr>
          <w:szCs w:val="17"/>
        </w:rPr>
        <w:t xml:space="preserve"> tis. Kč oproti 4,1 tis.</w:t>
      </w:r>
      <w:r w:rsidR="00C45E27" w:rsidRPr="00C51E92">
        <w:rPr>
          <w:szCs w:val="17"/>
        </w:rPr>
        <w:t xml:space="preserve"> Kč</w:t>
      </w:r>
      <w:r w:rsidR="00214E6F" w:rsidRPr="00C51E92">
        <w:rPr>
          <w:szCs w:val="17"/>
        </w:rPr>
        <w:t xml:space="preserve"> v roce 2010.</w:t>
      </w:r>
      <w:r w:rsidR="00214E6F" w:rsidRPr="00991A9E">
        <w:rPr>
          <w:szCs w:val="17"/>
        </w:rPr>
        <w:t xml:space="preserve"> </w:t>
      </w:r>
    </w:p>
    <w:p w:rsidR="00214E6F" w:rsidRPr="00991A9E" w:rsidRDefault="00214E6F" w:rsidP="00214E6F">
      <w:pPr>
        <w:keepNext/>
        <w:spacing w:before="240"/>
        <w:jc w:val="both"/>
        <w:rPr>
          <w:rFonts w:cs="Arial"/>
          <w:b/>
          <w:sz w:val="18"/>
          <w:szCs w:val="18"/>
        </w:rPr>
      </w:pPr>
      <w:r w:rsidRPr="00991A9E">
        <w:rPr>
          <w:rFonts w:cs="Arial"/>
          <w:b/>
          <w:sz w:val="18"/>
          <w:szCs w:val="18"/>
        </w:rPr>
        <w:t>Graf č. 3.2.1 Přímé výdaje domácností v</w:t>
      </w:r>
      <w:r w:rsidR="00DB210A">
        <w:rPr>
          <w:rFonts w:cs="Arial"/>
          <w:b/>
          <w:sz w:val="18"/>
          <w:szCs w:val="18"/>
        </w:rPr>
        <w:t> </w:t>
      </w:r>
      <w:r w:rsidRPr="00991A9E">
        <w:rPr>
          <w:rFonts w:cs="Arial"/>
          <w:b/>
          <w:sz w:val="18"/>
          <w:szCs w:val="18"/>
        </w:rPr>
        <w:t>Č</w:t>
      </w:r>
      <w:r w:rsidR="00DB210A">
        <w:rPr>
          <w:rFonts w:cs="Arial"/>
          <w:b/>
          <w:sz w:val="18"/>
          <w:szCs w:val="18"/>
        </w:rPr>
        <w:t xml:space="preserve">esku </w:t>
      </w:r>
      <w:r w:rsidRPr="00991A9E">
        <w:rPr>
          <w:rFonts w:cs="Arial"/>
          <w:b/>
          <w:sz w:val="18"/>
          <w:szCs w:val="18"/>
        </w:rPr>
        <w:t>na zdravotní péči, 20</w:t>
      </w:r>
      <w:r>
        <w:rPr>
          <w:rFonts w:cs="Arial"/>
          <w:b/>
          <w:sz w:val="18"/>
          <w:szCs w:val="18"/>
        </w:rPr>
        <w:t>10</w:t>
      </w:r>
      <w:r w:rsidRPr="00991A9E">
        <w:rPr>
          <w:rFonts w:cs="Arial"/>
          <w:b/>
          <w:sz w:val="18"/>
          <w:szCs w:val="18"/>
        </w:rPr>
        <w:t>-201</w:t>
      </w:r>
      <w:r>
        <w:rPr>
          <w:rFonts w:cs="Arial"/>
          <w:b/>
          <w:sz w:val="18"/>
          <w:szCs w:val="18"/>
        </w:rPr>
        <w:t>6</w:t>
      </w:r>
    </w:p>
    <w:p w:rsidR="00214E6F" w:rsidRPr="000B2B5E" w:rsidRDefault="004E3E1A" w:rsidP="00DB210A">
      <w:pPr>
        <w:keepNext/>
        <w:spacing w:before="240" w:after="120"/>
        <w:jc w:val="both"/>
        <w:rPr>
          <w:i/>
          <w:sz w:val="16"/>
          <w:szCs w:val="16"/>
        </w:rPr>
      </w:pPr>
      <w:r>
        <w:rPr>
          <w:noProof/>
        </w:rPr>
        <w:drawing>
          <wp:inline distT="0" distB="0" distL="0" distR="0" wp14:anchorId="71634F4D" wp14:editId="09E63E87">
            <wp:extent cx="6084000" cy="32400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214E6F">
        <w:rPr>
          <w:i/>
          <w:sz w:val="16"/>
          <w:szCs w:val="16"/>
        </w:rPr>
        <w:t xml:space="preserve">Poznámka: </w:t>
      </w:r>
      <w:r w:rsidR="00214E6F" w:rsidRPr="000B2B5E">
        <w:rPr>
          <w:i/>
          <w:sz w:val="16"/>
          <w:szCs w:val="16"/>
        </w:rPr>
        <w:t xml:space="preserve">Výdaje domácností na zdravotní péči vychází z předběžných výsledků Národních účtů ČSÚ za rok 2016. Na základě revize dat Národních účtů </w:t>
      </w:r>
      <w:r w:rsidR="00214E6F">
        <w:rPr>
          <w:i/>
          <w:sz w:val="16"/>
          <w:szCs w:val="16"/>
        </w:rPr>
        <w:t xml:space="preserve">ČSÚ </w:t>
      </w:r>
      <w:r w:rsidR="00214E6F" w:rsidRPr="000B2B5E">
        <w:rPr>
          <w:i/>
          <w:sz w:val="16"/>
          <w:szCs w:val="16"/>
        </w:rPr>
        <w:t>budou v</w:t>
      </w:r>
      <w:r w:rsidR="00DB210A">
        <w:rPr>
          <w:i/>
          <w:sz w:val="16"/>
          <w:szCs w:val="16"/>
        </w:rPr>
        <w:t xml:space="preserve"> srpnu </w:t>
      </w:r>
      <w:r w:rsidR="00214E6F" w:rsidRPr="000B2B5E">
        <w:rPr>
          <w:i/>
          <w:sz w:val="16"/>
          <w:szCs w:val="16"/>
        </w:rPr>
        <w:t>2018 aktualizována data za rok 2016 v</w:t>
      </w:r>
      <w:r w:rsidR="00214E6F">
        <w:rPr>
          <w:i/>
          <w:sz w:val="16"/>
          <w:szCs w:val="16"/>
        </w:rPr>
        <w:t xml:space="preserve"> této </w:t>
      </w:r>
      <w:r w:rsidR="00214E6F" w:rsidRPr="000B2B5E">
        <w:rPr>
          <w:i/>
          <w:sz w:val="16"/>
          <w:szCs w:val="16"/>
        </w:rPr>
        <w:t>publikaci</w:t>
      </w:r>
      <w:r w:rsidR="00214E6F">
        <w:rPr>
          <w:i/>
          <w:sz w:val="16"/>
          <w:szCs w:val="16"/>
        </w:rPr>
        <w:t>.</w:t>
      </w:r>
      <w:r w:rsidR="00214E6F" w:rsidRPr="000B2B5E">
        <w:rPr>
          <w:i/>
          <w:sz w:val="16"/>
          <w:szCs w:val="16"/>
        </w:rPr>
        <w:t xml:space="preserve"> </w:t>
      </w:r>
    </w:p>
    <w:p w:rsidR="00214E6F" w:rsidRDefault="00214E6F" w:rsidP="00214E6F">
      <w:pPr>
        <w:keepNext/>
        <w:jc w:val="right"/>
        <w:rPr>
          <w:b/>
          <w:i/>
          <w:sz w:val="16"/>
          <w:szCs w:val="16"/>
        </w:rPr>
      </w:pPr>
      <w:r w:rsidRPr="00991A9E">
        <w:rPr>
          <w:b/>
          <w:i/>
          <w:sz w:val="16"/>
          <w:szCs w:val="16"/>
        </w:rPr>
        <w:t>Zdroj: ČSÚ 201</w:t>
      </w:r>
      <w:r>
        <w:rPr>
          <w:b/>
          <w:i/>
          <w:sz w:val="16"/>
          <w:szCs w:val="16"/>
        </w:rPr>
        <w:t>8</w:t>
      </w:r>
      <w:r w:rsidRPr="00991A9E">
        <w:rPr>
          <w:b/>
          <w:i/>
          <w:sz w:val="16"/>
          <w:szCs w:val="16"/>
        </w:rPr>
        <w:t>, Zdravotnické účty ČR 2010 - 201</w:t>
      </w:r>
      <w:r>
        <w:rPr>
          <w:b/>
          <w:i/>
          <w:sz w:val="16"/>
          <w:szCs w:val="16"/>
        </w:rPr>
        <w:t>6</w:t>
      </w:r>
      <w:r w:rsidRPr="00991A9E">
        <w:rPr>
          <w:b/>
          <w:i/>
          <w:sz w:val="16"/>
          <w:szCs w:val="16"/>
        </w:rPr>
        <w:t xml:space="preserve"> </w:t>
      </w:r>
    </w:p>
    <w:p w:rsidR="00DB210A" w:rsidRPr="000B2B5E" w:rsidRDefault="00DB210A" w:rsidP="00214E6F">
      <w:pPr>
        <w:keepNext/>
        <w:jc w:val="right"/>
        <w:rPr>
          <w:i/>
          <w:sz w:val="14"/>
          <w:szCs w:val="14"/>
        </w:rPr>
      </w:pPr>
    </w:p>
    <w:p w:rsidR="00214E6F" w:rsidRDefault="00214E6F" w:rsidP="00214E6F">
      <w:pPr>
        <w:pStyle w:val="Nadpis3"/>
      </w:pPr>
      <w:r w:rsidRPr="00991A9E">
        <w:lastRenderedPageBreak/>
        <w:t>3.2.</w:t>
      </w:r>
      <w:r>
        <w:t>2</w:t>
      </w:r>
      <w:r w:rsidRPr="00991A9E">
        <w:t xml:space="preserve">. </w:t>
      </w:r>
      <w:r>
        <w:t>Výdaje domácností podle druhu zdravotní péče</w:t>
      </w:r>
    </w:p>
    <w:p w:rsidR="00214E6F" w:rsidRPr="00991A9E" w:rsidRDefault="00214E6F" w:rsidP="00214E6F">
      <w:pPr>
        <w:keepNext/>
        <w:spacing w:before="120"/>
        <w:jc w:val="both"/>
        <w:rPr>
          <w:szCs w:val="17"/>
        </w:rPr>
      </w:pPr>
      <w:r w:rsidRPr="00991A9E">
        <w:rPr>
          <w:rFonts w:cs="Arial"/>
          <w:color w:val="000000"/>
          <w:szCs w:val="20"/>
        </w:rPr>
        <w:t>Uvedené výdaje zahrnují přímé náklady domácností na zdravotní péči, nikoli platby, které jsou zpětně propláceny (např. refundace od zdravotních pojišťoven při úhradě naléhavé zdravotní péče v</w:t>
      </w:r>
      <w:r w:rsidR="00323231">
        <w:rPr>
          <w:rFonts w:cs="Arial"/>
          <w:color w:val="000000"/>
          <w:szCs w:val="20"/>
        </w:rPr>
        <w:t> </w:t>
      </w:r>
      <w:r w:rsidRPr="00991A9E">
        <w:rPr>
          <w:rFonts w:cs="Arial"/>
          <w:color w:val="000000"/>
          <w:szCs w:val="20"/>
        </w:rPr>
        <w:t>zahraničí</w:t>
      </w:r>
      <w:r w:rsidR="00323231">
        <w:rPr>
          <w:rFonts w:cs="Arial"/>
          <w:color w:val="000000"/>
          <w:szCs w:val="20"/>
        </w:rPr>
        <w:t xml:space="preserve"> či vstupní lékařské prohlídky do zaměstnání</w:t>
      </w:r>
      <w:r w:rsidRPr="00991A9E">
        <w:rPr>
          <w:rFonts w:cs="Arial"/>
          <w:color w:val="000000"/>
          <w:szCs w:val="20"/>
        </w:rPr>
        <w:t xml:space="preserve">). </w:t>
      </w:r>
      <w:r w:rsidRPr="00991A9E">
        <w:rPr>
          <w:rFonts w:cs="Arial"/>
          <w:szCs w:val="20"/>
        </w:rPr>
        <w:t>Lidé</w:t>
      </w:r>
      <w:r>
        <w:rPr>
          <w:rFonts w:cs="Arial"/>
          <w:szCs w:val="20"/>
        </w:rPr>
        <w:t> </w:t>
      </w:r>
      <w:r w:rsidRPr="00991A9E">
        <w:rPr>
          <w:rFonts w:cs="Arial"/>
          <w:szCs w:val="20"/>
        </w:rPr>
        <w:t>platí z vlastní kapsy především léky, ať už se jedná o doplatky za medikamenty na předpis nebo volně prodejné léky a ostatní léčiva. Z rodinného rozpočtu jsou hrazeny i příplatky u stomatologů, regulační</w:t>
      </w:r>
      <w:r>
        <w:rPr>
          <w:rFonts w:cs="Arial"/>
          <w:szCs w:val="20"/>
        </w:rPr>
        <w:t> </w:t>
      </w:r>
      <w:r w:rsidRPr="00991A9E">
        <w:rPr>
          <w:rFonts w:cs="Arial"/>
          <w:szCs w:val="20"/>
        </w:rPr>
        <w:t>poplatky za pohotovostní služby a poplatky za různá potvrzení</w:t>
      </w:r>
      <w:r w:rsidR="00323231">
        <w:rPr>
          <w:rFonts w:cs="Arial"/>
          <w:szCs w:val="20"/>
        </w:rPr>
        <w:t xml:space="preserve"> od </w:t>
      </w:r>
      <w:r w:rsidRPr="00991A9E">
        <w:rPr>
          <w:rFonts w:cs="Arial"/>
          <w:szCs w:val="20"/>
        </w:rPr>
        <w:t>praktického lékaře, platby za nadstandardní výkony, materiál a služby a v neposlední řadě kosmetické operace, služby dentální hygien</w:t>
      </w:r>
      <w:r w:rsidR="000D1765">
        <w:rPr>
          <w:rFonts w:cs="Arial"/>
          <w:szCs w:val="20"/>
        </w:rPr>
        <w:t>y</w:t>
      </w:r>
      <w:r w:rsidRPr="00991A9E">
        <w:rPr>
          <w:rFonts w:cs="Arial"/>
          <w:szCs w:val="20"/>
        </w:rPr>
        <w:t>, nutričních terapeutů a další služby nehrazené z veřejného zdravotního pojištění.</w:t>
      </w:r>
    </w:p>
    <w:p w:rsidR="00214E6F" w:rsidRDefault="00214E6F" w:rsidP="00214E6F">
      <w:pPr>
        <w:spacing w:before="240" w:after="120"/>
        <w:rPr>
          <w:b/>
          <w:sz w:val="18"/>
          <w:szCs w:val="18"/>
        </w:rPr>
      </w:pPr>
      <w:r w:rsidRPr="00991A9E">
        <w:rPr>
          <w:b/>
          <w:sz w:val="18"/>
          <w:szCs w:val="18"/>
        </w:rPr>
        <w:t xml:space="preserve">Tabulka č. 3.2.1 Výdaje domácností </w:t>
      </w:r>
      <w:r w:rsidRPr="00991A9E">
        <w:rPr>
          <w:rFonts w:cs="Arial"/>
          <w:b/>
          <w:sz w:val="18"/>
          <w:szCs w:val="18"/>
        </w:rPr>
        <w:t>na zdravotní péči</w:t>
      </w:r>
      <w:r w:rsidRPr="00991A9E">
        <w:rPr>
          <w:b/>
          <w:sz w:val="18"/>
          <w:szCs w:val="18"/>
        </w:rPr>
        <w:t xml:space="preserve"> </w:t>
      </w:r>
      <w:r w:rsidR="00323231">
        <w:rPr>
          <w:b/>
          <w:sz w:val="18"/>
          <w:szCs w:val="18"/>
        </w:rPr>
        <w:t xml:space="preserve">v Česku </w:t>
      </w:r>
      <w:r w:rsidRPr="00991A9E">
        <w:rPr>
          <w:b/>
          <w:sz w:val="18"/>
          <w:szCs w:val="18"/>
        </w:rPr>
        <w:t>podle druhu zdravotní péče</w:t>
      </w:r>
      <w:r>
        <w:rPr>
          <w:b/>
          <w:sz w:val="18"/>
          <w:szCs w:val="18"/>
        </w:rPr>
        <w:t xml:space="preserve"> (mil. Kč)</w:t>
      </w:r>
      <w:r w:rsidRPr="00991A9E">
        <w:rPr>
          <w:b/>
          <w:sz w:val="18"/>
          <w:szCs w:val="18"/>
        </w:rPr>
        <w:t>, 2010-201</w:t>
      </w:r>
      <w:r>
        <w:rPr>
          <w:b/>
          <w:sz w:val="18"/>
          <w:szCs w:val="18"/>
        </w:rPr>
        <w:t>6</w:t>
      </w:r>
    </w:p>
    <w:tbl>
      <w:tblPr>
        <w:tblW w:w="9654" w:type="dxa"/>
        <w:tblInd w:w="55" w:type="dxa"/>
        <w:tblLayout w:type="fixed"/>
        <w:tblCellMar>
          <w:left w:w="70" w:type="dxa"/>
          <w:right w:w="70" w:type="dxa"/>
        </w:tblCellMar>
        <w:tblLook w:val="04A0" w:firstRow="1" w:lastRow="0" w:firstColumn="1" w:lastColumn="0" w:noHBand="0" w:noVBand="1"/>
      </w:tblPr>
      <w:tblGrid>
        <w:gridCol w:w="3417"/>
        <w:gridCol w:w="769"/>
        <w:gridCol w:w="770"/>
        <w:gridCol w:w="769"/>
        <w:gridCol w:w="770"/>
        <w:gridCol w:w="769"/>
        <w:gridCol w:w="770"/>
        <w:gridCol w:w="770"/>
        <w:gridCol w:w="850"/>
      </w:tblGrid>
      <w:tr w:rsidR="00214E6F" w:rsidRPr="0087553D" w:rsidTr="00AD5913">
        <w:trPr>
          <w:trHeight w:val="645"/>
        </w:trPr>
        <w:tc>
          <w:tcPr>
            <w:tcW w:w="3417"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sz w:val="16"/>
                <w:szCs w:val="16"/>
              </w:rPr>
            </w:pPr>
            <w:r w:rsidRPr="0087553D">
              <w:rPr>
                <w:rFonts w:cs="Arial"/>
                <w:sz w:val="16"/>
                <w:szCs w:val="16"/>
              </w:rPr>
              <w:t>Ukazatel</w:t>
            </w:r>
          </w:p>
        </w:tc>
        <w:tc>
          <w:tcPr>
            <w:tcW w:w="769"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2010</w:t>
            </w:r>
          </w:p>
        </w:tc>
        <w:tc>
          <w:tcPr>
            <w:tcW w:w="770"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2011</w:t>
            </w:r>
          </w:p>
        </w:tc>
        <w:tc>
          <w:tcPr>
            <w:tcW w:w="769"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2012</w:t>
            </w:r>
          </w:p>
        </w:tc>
        <w:tc>
          <w:tcPr>
            <w:tcW w:w="770"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2013</w:t>
            </w:r>
          </w:p>
        </w:tc>
        <w:tc>
          <w:tcPr>
            <w:tcW w:w="769"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2014</w:t>
            </w:r>
          </w:p>
        </w:tc>
        <w:tc>
          <w:tcPr>
            <w:tcW w:w="770"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2015</w:t>
            </w:r>
          </w:p>
        </w:tc>
        <w:tc>
          <w:tcPr>
            <w:tcW w:w="770" w:type="dxa"/>
            <w:tcBorders>
              <w:top w:val="single" w:sz="8" w:space="0" w:color="auto"/>
              <w:left w:val="nil"/>
              <w:bottom w:val="single" w:sz="8" w:space="0" w:color="auto"/>
              <w:right w:val="single" w:sz="4" w:space="0" w:color="auto"/>
            </w:tcBorders>
            <w:shd w:val="clear" w:color="auto" w:fill="auto"/>
            <w:noWrap/>
            <w:vAlign w:val="center"/>
            <w:hideMark/>
          </w:tcPr>
          <w:p w:rsidR="00214E6F" w:rsidRPr="0087553D" w:rsidRDefault="00214E6F" w:rsidP="00214E6F">
            <w:pPr>
              <w:spacing w:line="240" w:lineRule="auto"/>
              <w:jc w:val="center"/>
              <w:rPr>
                <w:rFonts w:cs="Arial"/>
                <w:b/>
                <w:bCs/>
                <w:sz w:val="16"/>
                <w:szCs w:val="16"/>
              </w:rPr>
            </w:pPr>
            <w:r w:rsidRPr="0087553D">
              <w:rPr>
                <w:rFonts w:cs="Arial"/>
                <w:b/>
                <w:bCs/>
                <w:sz w:val="16"/>
                <w:szCs w:val="16"/>
              </w:rPr>
              <w:t>2016</w:t>
            </w:r>
          </w:p>
        </w:tc>
        <w:tc>
          <w:tcPr>
            <w:tcW w:w="850" w:type="dxa"/>
            <w:tcBorders>
              <w:top w:val="single" w:sz="8" w:space="0" w:color="auto"/>
              <w:left w:val="nil"/>
              <w:bottom w:val="single" w:sz="8" w:space="0" w:color="auto"/>
              <w:right w:val="nil"/>
            </w:tcBorders>
            <w:shd w:val="clear" w:color="auto" w:fill="auto"/>
            <w:vAlign w:val="center"/>
            <w:hideMark/>
          </w:tcPr>
          <w:p w:rsidR="00214E6F" w:rsidRPr="00AD5913" w:rsidRDefault="00214E6F" w:rsidP="00214E6F">
            <w:pPr>
              <w:spacing w:line="240" w:lineRule="auto"/>
              <w:jc w:val="center"/>
              <w:rPr>
                <w:rFonts w:cs="Arial"/>
                <w:b/>
                <w:bCs/>
                <w:i/>
                <w:iCs/>
                <w:color w:val="000000"/>
                <w:sz w:val="15"/>
                <w:szCs w:val="15"/>
              </w:rPr>
            </w:pPr>
            <w:r w:rsidRPr="00AD5913">
              <w:rPr>
                <w:rFonts w:cs="Arial"/>
                <w:b/>
                <w:bCs/>
                <w:i/>
                <w:iCs/>
                <w:color w:val="000000"/>
                <w:sz w:val="15"/>
                <w:szCs w:val="15"/>
              </w:rPr>
              <w:t>Index 2016/2015</w:t>
            </w:r>
          </w:p>
        </w:tc>
      </w:tr>
      <w:tr w:rsidR="00AD5913" w:rsidRPr="0087553D" w:rsidTr="00323231">
        <w:trPr>
          <w:trHeight w:val="300"/>
        </w:trPr>
        <w:tc>
          <w:tcPr>
            <w:tcW w:w="3417"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rPr>
                <w:rFonts w:cs="Arial"/>
                <w:b/>
                <w:bCs/>
                <w:sz w:val="16"/>
                <w:szCs w:val="16"/>
              </w:rPr>
            </w:pPr>
            <w:r w:rsidRPr="0087553D">
              <w:rPr>
                <w:rFonts w:cs="Arial"/>
                <w:b/>
                <w:bCs/>
                <w:sz w:val="16"/>
                <w:szCs w:val="16"/>
              </w:rPr>
              <w:t xml:space="preserve"> Léčebná péče</w:t>
            </w:r>
            <w:r w:rsidR="00AD5913">
              <w:rPr>
                <w:rFonts w:cs="Arial"/>
                <w:b/>
                <w:bCs/>
                <w:sz w:val="16"/>
                <w:szCs w:val="16"/>
              </w:rPr>
              <w:t xml:space="preserve"> celkem</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13 315</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13 337</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13 038</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13 758</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15 301</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16 279</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16 865</w:t>
            </w:r>
          </w:p>
        </w:tc>
        <w:tc>
          <w:tcPr>
            <w:tcW w:w="850" w:type="dxa"/>
            <w:tcBorders>
              <w:top w:val="nil"/>
              <w:left w:val="nil"/>
              <w:bottom w:val="nil"/>
              <w:right w:val="nil"/>
            </w:tcBorders>
            <w:shd w:val="clear" w:color="000000" w:fill="F2DCDB"/>
            <w:noWrap/>
            <w:vAlign w:val="bottom"/>
            <w:hideMark/>
          </w:tcPr>
          <w:p w:rsidR="00214E6F" w:rsidRPr="0087553D" w:rsidRDefault="00214E6F" w:rsidP="00323231">
            <w:pPr>
              <w:spacing w:line="240" w:lineRule="auto"/>
              <w:jc w:val="center"/>
              <w:rPr>
                <w:rFonts w:cs="Arial"/>
                <w:b/>
                <w:bCs/>
                <w:i/>
                <w:iCs/>
                <w:color w:val="000000"/>
                <w:sz w:val="16"/>
                <w:szCs w:val="16"/>
              </w:rPr>
            </w:pPr>
            <w:r w:rsidRPr="0087553D">
              <w:rPr>
                <w:rFonts w:cs="Arial"/>
                <w:b/>
                <w:bCs/>
                <w:i/>
                <w:iCs/>
                <w:color w:val="000000"/>
                <w:sz w:val="16"/>
                <w:szCs w:val="16"/>
              </w:rPr>
              <w:t>103,6</w:t>
            </w:r>
          </w:p>
        </w:tc>
      </w:tr>
      <w:tr w:rsidR="00323231"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323231" w:rsidRPr="0087553D" w:rsidRDefault="00323231" w:rsidP="00AD5913">
            <w:pPr>
              <w:spacing w:line="240" w:lineRule="auto"/>
              <w:rPr>
                <w:rFonts w:cs="Arial"/>
                <w:sz w:val="16"/>
                <w:szCs w:val="16"/>
              </w:rPr>
            </w:pPr>
            <w:r>
              <w:rPr>
                <w:rFonts w:cs="Arial"/>
                <w:sz w:val="16"/>
                <w:szCs w:val="16"/>
              </w:rPr>
              <w:t xml:space="preserve">  </w:t>
            </w:r>
            <w:r w:rsidRPr="0087553D">
              <w:rPr>
                <w:rFonts w:cs="Arial"/>
                <w:sz w:val="16"/>
                <w:szCs w:val="16"/>
              </w:rPr>
              <w:t>Lůžková léčebná péče</w:t>
            </w:r>
          </w:p>
        </w:tc>
        <w:tc>
          <w:tcPr>
            <w:tcW w:w="769"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540</w:t>
            </w:r>
          </w:p>
        </w:tc>
        <w:tc>
          <w:tcPr>
            <w:tcW w:w="770"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639</w:t>
            </w:r>
          </w:p>
        </w:tc>
        <w:tc>
          <w:tcPr>
            <w:tcW w:w="769"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925</w:t>
            </w:r>
          </w:p>
        </w:tc>
        <w:tc>
          <w:tcPr>
            <w:tcW w:w="770"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775</w:t>
            </w:r>
          </w:p>
        </w:tc>
        <w:tc>
          <w:tcPr>
            <w:tcW w:w="769"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837</w:t>
            </w:r>
          </w:p>
        </w:tc>
        <w:tc>
          <w:tcPr>
            <w:tcW w:w="770"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903</w:t>
            </w:r>
          </w:p>
        </w:tc>
        <w:tc>
          <w:tcPr>
            <w:tcW w:w="770" w:type="dxa"/>
            <w:tcBorders>
              <w:top w:val="nil"/>
              <w:left w:val="nil"/>
              <w:bottom w:val="nil"/>
              <w:right w:val="single" w:sz="4" w:space="0" w:color="auto"/>
            </w:tcBorders>
            <w:shd w:val="clear" w:color="auto" w:fill="auto"/>
            <w:noWrap/>
            <w:vAlign w:val="bottom"/>
          </w:tcPr>
          <w:p w:rsidR="00323231" w:rsidRPr="00323231" w:rsidRDefault="00323231" w:rsidP="00323231">
            <w:pPr>
              <w:spacing w:line="240" w:lineRule="auto"/>
              <w:jc w:val="right"/>
              <w:rPr>
                <w:rFonts w:cs="Arial"/>
                <w:sz w:val="16"/>
                <w:szCs w:val="16"/>
              </w:rPr>
            </w:pPr>
            <w:r w:rsidRPr="00323231">
              <w:rPr>
                <w:rFonts w:cs="Arial"/>
                <w:sz w:val="16"/>
                <w:szCs w:val="16"/>
              </w:rPr>
              <w:t>907</w:t>
            </w:r>
          </w:p>
        </w:tc>
        <w:tc>
          <w:tcPr>
            <w:tcW w:w="850" w:type="dxa"/>
            <w:tcBorders>
              <w:top w:val="nil"/>
              <w:left w:val="nil"/>
              <w:bottom w:val="nil"/>
              <w:right w:val="nil"/>
            </w:tcBorders>
            <w:shd w:val="clear" w:color="auto" w:fill="auto"/>
            <w:noWrap/>
            <w:vAlign w:val="bottom"/>
          </w:tcPr>
          <w:p w:rsidR="00323231" w:rsidRPr="00323231" w:rsidRDefault="00323231" w:rsidP="00323231">
            <w:pPr>
              <w:spacing w:line="240" w:lineRule="auto"/>
              <w:jc w:val="center"/>
              <w:rPr>
                <w:rFonts w:cs="Arial"/>
                <w:sz w:val="16"/>
                <w:szCs w:val="16"/>
              </w:rPr>
            </w:pPr>
            <w:r w:rsidRPr="00323231">
              <w:rPr>
                <w:rFonts w:cs="Arial"/>
                <w:sz w:val="16"/>
                <w:szCs w:val="16"/>
              </w:rPr>
              <w:t>100</w:t>
            </w:r>
            <w:r>
              <w:rPr>
                <w:rFonts w:cs="Arial"/>
                <w:sz w:val="16"/>
                <w:szCs w:val="16"/>
              </w:rPr>
              <w:t>,</w:t>
            </w:r>
            <w:r w:rsidRPr="00323231">
              <w:rPr>
                <w:rFonts w:cs="Arial"/>
                <w:sz w:val="16"/>
                <w:szCs w:val="16"/>
              </w:rPr>
              <w:t>4</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00AD5913">
              <w:rPr>
                <w:rFonts w:cs="Arial"/>
                <w:sz w:val="16"/>
                <w:szCs w:val="16"/>
              </w:rPr>
              <w:t xml:space="preserve"> </w:t>
            </w:r>
            <w:r w:rsidRPr="0087553D">
              <w:rPr>
                <w:rFonts w:cs="Arial"/>
                <w:sz w:val="16"/>
                <w:szCs w:val="16"/>
              </w:rPr>
              <w:t>Ambulantní léčebná péče</w:t>
            </w:r>
            <w:r w:rsidR="00AD5913">
              <w:rPr>
                <w:rFonts w:cs="Arial"/>
                <w:sz w:val="16"/>
                <w:szCs w:val="16"/>
              </w:rPr>
              <w:t xml:space="preserve"> celkem</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12 828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12 761</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12 204</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13 059</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14 546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15 465</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16 047</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103,8</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Všeobecná ambulantní léčebná péče </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2 382</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2 171</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2 302</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2 429</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2 622</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2 758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2 902</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105,2</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Stomatologická ambulantní léčebná péče</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7 118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7 737</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6 802</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7 362</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8 436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9 236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9 637</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104,3</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Specializovaná ambulantní léčebná péče </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3 328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2 853</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3 100</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3 268</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3 488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3 471</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3 508</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101,1</w:t>
            </w:r>
          </w:p>
        </w:tc>
      </w:tr>
      <w:tr w:rsidR="00AD5913" w:rsidRPr="0087553D" w:rsidTr="00323231">
        <w:trPr>
          <w:trHeight w:val="300"/>
        </w:trPr>
        <w:tc>
          <w:tcPr>
            <w:tcW w:w="3417"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rPr>
                <w:rFonts w:cs="Arial"/>
                <w:b/>
                <w:bCs/>
                <w:sz w:val="16"/>
                <w:szCs w:val="16"/>
              </w:rPr>
            </w:pPr>
            <w:r w:rsidRPr="0087553D">
              <w:rPr>
                <w:rFonts w:cs="Arial"/>
                <w:b/>
                <w:bCs/>
                <w:sz w:val="16"/>
                <w:szCs w:val="16"/>
              </w:rPr>
              <w:t xml:space="preserve"> Rehabilitační péče</w:t>
            </w:r>
            <w:r w:rsidR="00AD5913">
              <w:rPr>
                <w:rFonts w:cs="Arial"/>
                <w:b/>
                <w:bCs/>
                <w:sz w:val="16"/>
                <w:szCs w:val="16"/>
              </w:rPr>
              <w:t xml:space="preserve"> celkem</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2 222</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2 539</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3 388</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2 983</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3 240</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3 562</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3 687</w:t>
            </w:r>
          </w:p>
        </w:tc>
        <w:tc>
          <w:tcPr>
            <w:tcW w:w="850" w:type="dxa"/>
            <w:tcBorders>
              <w:top w:val="nil"/>
              <w:left w:val="nil"/>
              <w:bottom w:val="nil"/>
              <w:right w:val="nil"/>
            </w:tcBorders>
            <w:shd w:val="clear" w:color="000000" w:fill="F2DCDB"/>
            <w:noWrap/>
            <w:vAlign w:val="bottom"/>
            <w:hideMark/>
          </w:tcPr>
          <w:p w:rsidR="00214E6F" w:rsidRPr="0087553D" w:rsidRDefault="00214E6F" w:rsidP="00323231">
            <w:pPr>
              <w:spacing w:line="240" w:lineRule="auto"/>
              <w:jc w:val="center"/>
              <w:rPr>
                <w:rFonts w:cs="Arial"/>
                <w:b/>
                <w:bCs/>
                <w:i/>
                <w:iCs/>
                <w:color w:val="000000"/>
                <w:sz w:val="16"/>
                <w:szCs w:val="16"/>
              </w:rPr>
            </w:pPr>
            <w:r w:rsidRPr="0087553D">
              <w:rPr>
                <w:rFonts w:cs="Arial"/>
                <w:b/>
                <w:bCs/>
                <w:i/>
                <w:iCs/>
                <w:color w:val="000000"/>
                <w:sz w:val="16"/>
                <w:szCs w:val="16"/>
              </w:rPr>
              <w:t>103,5</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 xml:space="preserve"> Lůžková rehabilitační (lázeňská) péče</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1 596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1 888</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2 732</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2 289</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2 473</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2 667</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2 681</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100,5</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 xml:space="preserve"> Ambulantní rehabilitační péče</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626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651</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656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694</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767</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895</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1 006</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112,4</w:t>
            </w:r>
          </w:p>
        </w:tc>
      </w:tr>
      <w:tr w:rsidR="00AD5913" w:rsidRPr="0087553D" w:rsidTr="00323231">
        <w:trPr>
          <w:trHeight w:val="300"/>
        </w:trPr>
        <w:tc>
          <w:tcPr>
            <w:tcW w:w="3417"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rPr>
                <w:rFonts w:cs="Arial"/>
                <w:b/>
                <w:bCs/>
                <w:sz w:val="16"/>
                <w:szCs w:val="16"/>
              </w:rPr>
            </w:pPr>
            <w:r w:rsidRPr="0087553D">
              <w:rPr>
                <w:rFonts w:cs="Arial"/>
                <w:b/>
                <w:bCs/>
                <w:sz w:val="16"/>
                <w:szCs w:val="16"/>
              </w:rPr>
              <w:t>Léčiva a ost. zdrav. výrobky celkem</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27 115</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28 089</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27 722</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26 648</w:t>
            </w:r>
          </w:p>
        </w:tc>
        <w:tc>
          <w:tcPr>
            <w:tcW w:w="769"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27 867</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29 428</w:t>
            </w:r>
          </w:p>
        </w:tc>
        <w:tc>
          <w:tcPr>
            <w:tcW w:w="770" w:type="dxa"/>
            <w:tcBorders>
              <w:top w:val="nil"/>
              <w:left w:val="nil"/>
              <w:bottom w:val="nil"/>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30 574</w:t>
            </w:r>
          </w:p>
        </w:tc>
        <w:tc>
          <w:tcPr>
            <w:tcW w:w="850" w:type="dxa"/>
            <w:tcBorders>
              <w:top w:val="nil"/>
              <w:left w:val="nil"/>
              <w:bottom w:val="nil"/>
              <w:right w:val="nil"/>
            </w:tcBorders>
            <w:shd w:val="clear" w:color="000000" w:fill="F2DCDB"/>
            <w:noWrap/>
            <w:vAlign w:val="bottom"/>
            <w:hideMark/>
          </w:tcPr>
          <w:p w:rsidR="00214E6F" w:rsidRPr="0087553D" w:rsidRDefault="00214E6F" w:rsidP="00323231">
            <w:pPr>
              <w:spacing w:line="240" w:lineRule="auto"/>
              <w:jc w:val="center"/>
              <w:rPr>
                <w:rFonts w:cs="Arial"/>
                <w:b/>
                <w:bCs/>
                <w:i/>
                <w:iCs/>
                <w:color w:val="000000"/>
                <w:sz w:val="16"/>
                <w:szCs w:val="16"/>
              </w:rPr>
            </w:pPr>
            <w:r w:rsidRPr="0087553D">
              <w:rPr>
                <w:rFonts w:cs="Arial"/>
                <w:b/>
                <w:bCs/>
                <w:i/>
                <w:iCs/>
                <w:color w:val="000000"/>
                <w:sz w:val="16"/>
                <w:szCs w:val="16"/>
              </w:rPr>
              <w:t>103,9</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 xml:space="preserve"> Léčiva a zdravotnický materiál</w:t>
            </w:r>
            <w:r w:rsidR="00AD5913">
              <w:rPr>
                <w:rFonts w:cs="Arial"/>
                <w:sz w:val="16"/>
                <w:szCs w:val="16"/>
              </w:rPr>
              <w:t xml:space="preserve"> celkem</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21 380</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22 347</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22 163</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21 102</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22 264</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23 535</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24 428</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103,8</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 xml:space="preserve"> Léky na předpis</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8 932</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9 439</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9 394</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9 303</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9 496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10 121</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10 295</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101,7</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Volně prodejné léky a léčiva</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11 843</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12 262</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12 088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11 179</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12 140</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12 744</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13 447</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105,5</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Ostatní zdravotnický materiál a výrobky</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605</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646</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681</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620</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628</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670</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686</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102,4</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Terapeutické pomůcky</w:t>
            </w:r>
            <w:r w:rsidR="00AD5913">
              <w:rPr>
                <w:rFonts w:cs="Arial"/>
                <w:sz w:val="16"/>
                <w:szCs w:val="16"/>
              </w:rPr>
              <w:t xml:space="preserve"> celkem</w:t>
            </w:r>
            <w:r w:rsidRPr="0087553D">
              <w:rPr>
                <w:rFonts w:cs="Arial"/>
                <w:sz w:val="16"/>
                <w:szCs w:val="16"/>
              </w:rPr>
              <w:t xml:space="preserve"> </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5 735</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5 742</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5 559</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5 546</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5 603</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5 893</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6 146</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104,3</w:t>
            </w:r>
          </w:p>
        </w:tc>
      </w:tr>
      <w:tr w:rsidR="00AD5913" w:rsidRPr="0087553D" w:rsidTr="00323231">
        <w:trPr>
          <w:trHeight w:val="300"/>
        </w:trPr>
        <w:tc>
          <w:tcPr>
            <w:tcW w:w="3417" w:type="dxa"/>
            <w:tcBorders>
              <w:top w:val="nil"/>
              <w:left w:val="nil"/>
              <w:bottom w:val="nil"/>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Brýle a další produkty oční optiky</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3 740</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3 744</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3 626</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3 617</w:t>
            </w:r>
          </w:p>
        </w:tc>
        <w:tc>
          <w:tcPr>
            <w:tcW w:w="769"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3 654</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3 843</w:t>
            </w:r>
          </w:p>
        </w:tc>
        <w:tc>
          <w:tcPr>
            <w:tcW w:w="770" w:type="dxa"/>
            <w:tcBorders>
              <w:top w:val="nil"/>
              <w:left w:val="nil"/>
              <w:bottom w:val="nil"/>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4 008</w:t>
            </w:r>
          </w:p>
        </w:tc>
        <w:tc>
          <w:tcPr>
            <w:tcW w:w="850" w:type="dxa"/>
            <w:tcBorders>
              <w:top w:val="nil"/>
              <w:left w:val="nil"/>
              <w:bottom w:val="nil"/>
              <w:right w:val="nil"/>
            </w:tcBorders>
            <w:shd w:val="clear" w:color="auto" w:fill="auto"/>
            <w:noWrap/>
            <w:vAlign w:val="bottom"/>
            <w:hideMark/>
          </w:tcPr>
          <w:p w:rsidR="00214E6F" w:rsidRPr="0087553D" w:rsidRDefault="00214E6F" w:rsidP="00323231">
            <w:pPr>
              <w:spacing w:line="240" w:lineRule="auto"/>
              <w:jc w:val="center"/>
              <w:rPr>
                <w:rFonts w:cs="Arial"/>
                <w:i/>
                <w:iCs/>
                <w:color w:val="000000"/>
                <w:sz w:val="16"/>
                <w:szCs w:val="16"/>
              </w:rPr>
            </w:pPr>
            <w:r w:rsidRPr="0087553D">
              <w:rPr>
                <w:rFonts w:cs="Arial"/>
                <w:i/>
                <w:iCs/>
                <w:color w:val="000000"/>
                <w:sz w:val="16"/>
                <w:szCs w:val="16"/>
              </w:rPr>
              <w:t>104,3</w:t>
            </w:r>
          </w:p>
        </w:tc>
      </w:tr>
      <w:tr w:rsidR="00AD5913" w:rsidRPr="0087553D" w:rsidTr="00323231">
        <w:trPr>
          <w:trHeight w:val="300"/>
        </w:trPr>
        <w:tc>
          <w:tcPr>
            <w:tcW w:w="3417" w:type="dxa"/>
            <w:tcBorders>
              <w:top w:val="nil"/>
              <w:left w:val="nil"/>
              <w:bottom w:val="nil"/>
              <w:right w:val="single" w:sz="4" w:space="0" w:color="auto"/>
            </w:tcBorders>
            <w:shd w:val="clear" w:color="000000" w:fill="FFFFFF"/>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Ortopedické a protetické pomůcky</w:t>
            </w:r>
          </w:p>
        </w:tc>
        <w:tc>
          <w:tcPr>
            <w:tcW w:w="769"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296</w:t>
            </w:r>
          </w:p>
        </w:tc>
        <w:tc>
          <w:tcPr>
            <w:tcW w:w="770"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297</w:t>
            </w:r>
          </w:p>
        </w:tc>
        <w:tc>
          <w:tcPr>
            <w:tcW w:w="769"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287</w:t>
            </w:r>
          </w:p>
        </w:tc>
        <w:tc>
          <w:tcPr>
            <w:tcW w:w="770"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286</w:t>
            </w:r>
          </w:p>
        </w:tc>
        <w:tc>
          <w:tcPr>
            <w:tcW w:w="769"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289</w:t>
            </w:r>
          </w:p>
        </w:tc>
        <w:tc>
          <w:tcPr>
            <w:tcW w:w="770"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304</w:t>
            </w:r>
          </w:p>
        </w:tc>
        <w:tc>
          <w:tcPr>
            <w:tcW w:w="770" w:type="dxa"/>
            <w:tcBorders>
              <w:top w:val="nil"/>
              <w:left w:val="nil"/>
              <w:bottom w:val="nil"/>
              <w:right w:val="single" w:sz="4" w:space="0" w:color="auto"/>
            </w:tcBorders>
            <w:shd w:val="clear" w:color="000000" w:fill="FFFFFF"/>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317</w:t>
            </w:r>
          </w:p>
        </w:tc>
        <w:tc>
          <w:tcPr>
            <w:tcW w:w="850" w:type="dxa"/>
            <w:tcBorders>
              <w:top w:val="nil"/>
              <w:left w:val="nil"/>
              <w:bottom w:val="nil"/>
              <w:right w:val="nil"/>
            </w:tcBorders>
            <w:shd w:val="clear" w:color="000000" w:fill="FFFFFF"/>
            <w:noWrap/>
            <w:vAlign w:val="bottom"/>
            <w:hideMark/>
          </w:tcPr>
          <w:p w:rsidR="00214E6F" w:rsidRPr="0087553D" w:rsidRDefault="00214E6F" w:rsidP="00323231">
            <w:pPr>
              <w:spacing w:line="240" w:lineRule="auto"/>
              <w:jc w:val="center"/>
              <w:rPr>
                <w:rFonts w:cs="Arial"/>
                <w:color w:val="000000"/>
                <w:sz w:val="16"/>
                <w:szCs w:val="16"/>
              </w:rPr>
            </w:pPr>
            <w:r w:rsidRPr="0087553D">
              <w:rPr>
                <w:rFonts w:cs="Arial"/>
                <w:color w:val="000000"/>
                <w:sz w:val="16"/>
                <w:szCs w:val="16"/>
              </w:rPr>
              <w:t>104,3</w:t>
            </w:r>
          </w:p>
        </w:tc>
      </w:tr>
      <w:tr w:rsidR="00AD5913" w:rsidRPr="0087553D" w:rsidTr="00323231">
        <w:trPr>
          <w:trHeight w:val="315"/>
        </w:trPr>
        <w:tc>
          <w:tcPr>
            <w:tcW w:w="3417"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AD5913">
            <w:pPr>
              <w:spacing w:line="240" w:lineRule="auto"/>
              <w:rPr>
                <w:rFonts w:cs="Arial"/>
                <w:sz w:val="16"/>
                <w:szCs w:val="16"/>
              </w:rPr>
            </w:pPr>
            <w:r>
              <w:rPr>
                <w:rFonts w:cs="Arial"/>
                <w:sz w:val="16"/>
                <w:szCs w:val="16"/>
              </w:rPr>
              <w:t xml:space="preserve">   </w:t>
            </w:r>
            <w:r w:rsidRPr="0087553D">
              <w:rPr>
                <w:rFonts w:cs="Arial"/>
                <w:sz w:val="16"/>
                <w:szCs w:val="16"/>
              </w:rPr>
              <w:t xml:space="preserve">Ostatní terapeut. </w:t>
            </w:r>
            <w:r>
              <w:rPr>
                <w:rFonts w:cs="Arial"/>
                <w:sz w:val="16"/>
                <w:szCs w:val="16"/>
              </w:rPr>
              <w:t>p</w:t>
            </w:r>
            <w:r w:rsidRPr="0087553D">
              <w:rPr>
                <w:rFonts w:cs="Arial"/>
                <w:sz w:val="16"/>
                <w:szCs w:val="16"/>
              </w:rPr>
              <w:t>omůcky</w:t>
            </w:r>
            <w:r>
              <w:rPr>
                <w:rFonts w:cs="Arial"/>
                <w:sz w:val="16"/>
                <w:szCs w:val="16"/>
              </w:rPr>
              <w:t xml:space="preserve"> </w:t>
            </w:r>
            <w:r w:rsidRPr="0087553D">
              <w:rPr>
                <w:rFonts w:cs="Arial"/>
                <w:sz w:val="16"/>
                <w:szCs w:val="16"/>
              </w:rPr>
              <w:t xml:space="preserve"> a vybavení</w:t>
            </w:r>
          </w:p>
        </w:tc>
        <w:tc>
          <w:tcPr>
            <w:tcW w:w="769"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1 699</w:t>
            </w:r>
          </w:p>
        </w:tc>
        <w:tc>
          <w:tcPr>
            <w:tcW w:w="770"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1 701</w:t>
            </w:r>
          </w:p>
        </w:tc>
        <w:tc>
          <w:tcPr>
            <w:tcW w:w="769"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1 646</w:t>
            </w:r>
          </w:p>
        </w:tc>
        <w:tc>
          <w:tcPr>
            <w:tcW w:w="770"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1 643</w:t>
            </w:r>
          </w:p>
        </w:tc>
        <w:tc>
          <w:tcPr>
            <w:tcW w:w="769"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1 660</w:t>
            </w:r>
          </w:p>
        </w:tc>
        <w:tc>
          <w:tcPr>
            <w:tcW w:w="770"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1 746</w:t>
            </w:r>
          </w:p>
        </w:tc>
        <w:tc>
          <w:tcPr>
            <w:tcW w:w="770" w:type="dxa"/>
            <w:tcBorders>
              <w:top w:val="nil"/>
              <w:left w:val="nil"/>
              <w:bottom w:val="single" w:sz="8" w:space="0" w:color="auto"/>
              <w:right w:val="single" w:sz="4" w:space="0" w:color="auto"/>
            </w:tcBorders>
            <w:shd w:val="clear" w:color="auto" w:fill="auto"/>
            <w:noWrap/>
            <w:vAlign w:val="bottom"/>
            <w:hideMark/>
          </w:tcPr>
          <w:p w:rsidR="00214E6F" w:rsidRPr="0087553D" w:rsidRDefault="00214E6F" w:rsidP="00214E6F">
            <w:pPr>
              <w:spacing w:line="240" w:lineRule="auto"/>
              <w:jc w:val="right"/>
              <w:rPr>
                <w:rFonts w:cs="Arial"/>
                <w:sz w:val="16"/>
                <w:szCs w:val="16"/>
              </w:rPr>
            </w:pPr>
            <w:r w:rsidRPr="0087553D">
              <w:rPr>
                <w:rFonts w:cs="Arial"/>
                <w:sz w:val="16"/>
                <w:szCs w:val="16"/>
              </w:rPr>
              <w:t>1 821</w:t>
            </w:r>
          </w:p>
        </w:tc>
        <w:tc>
          <w:tcPr>
            <w:tcW w:w="850" w:type="dxa"/>
            <w:tcBorders>
              <w:top w:val="nil"/>
              <w:left w:val="nil"/>
              <w:bottom w:val="single" w:sz="8" w:space="0" w:color="auto"/>
              <w:right w:val="nil"/>
            </w:tcBorders>
            <w:shd w:val="clear" w:color="auto" w:fill="auto"/>
            <w:noWrap/>
            <w:vAlign w:val="bottom"/>
            <w:hideMark/>
          </w:tcPr>
          <w:p w:rsidR="00214E6F" w:rsidRPr="0087553D" w:rsidRDefault="00214E6F" w:rsidP="00323231">
            <w:pPr>
              <w:spacing w:line="240" w:lineRule="auto"/>
              <w:jc w:val="center"/>
              <w:rPr>
                <w:rFonts w:cs="Arial"/>
                <w:color w:val="000000"/>
                <w:sz w:val="16"/>
                <w:szCs w:val="16"/>
              </w:rPr>
            </w:pPr>
            <w:r w:rsidRPr="0087553D">
              <w:rPr>
                <w:rFonts w:cs="Arial"/>
                <w:color w:val="000000"/>
                <w:sz w:val="16"/>
                <w:szCs w:val="16"/>
              </w:rPr>
              <w:t>104,3</w:t>
            </w:r>
          </w:p>
        </w:tc>
      </w:tr>
      <w:tr w:rsidR="00AD5913" w:rsidRPr="0087553D" w:rsidTr="00323231">
        <w:trPr>
          <w:trHeight w:val="315"/>
        </w:trPr>
        <w:tc>
          <w:tcPr>
            <w:tcW w:w="3417"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rPr>
                <w:rFonts w:cs="Arial"/>
                <w:b/>
                <w:bCs/>
                <w:sz w:val="16"/>
                <w:szCs w:val="16"/>
              </w:rPr>
            </w:pPr>
            <w:r w:rsidRPr="0087553D">
              <w:rPr>
                <w:rFonts w:cs="Arial"/>
                <w:b/>
                <w:bCs/>
                <w:sz w:val="16"/>
                <w:szCs w:val="16"/>
              </w:rPr>
              <w:t>Výdaje na zdravotní péči celkem</w:t>
            </w:r>
          </w:p>
        </w:tc>
        <w:tc>
          <w:tcPr>
            <w:tcW w:w="769"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42 705</w:t>
            </w:r>
          </w:p>
        </w:tc>
        <w:tc>
          <w:tcPr>
            <w:tcW w:w="770"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44 028</w:t>
            </w:r>
          </w:p>
        </w:tc>
        <w:tc>
          <w:tcPr>
            <w:tcW w:w="769"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44 239</w:t>
            </w:r>
          </w:p>
        </w:tc>
        <w:tc>
          <w:tcPr>
            <w:tcW w:w="770"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43 465</w:t>
            </w:r>
          </w:p>
        </w:tc>
        <w:tc>
          <w:tcPr>
            <w:tcW w:w="769"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46 490</w:t>
            </w:r>
          </w:p>
        </w:tc>
        <w:tc>
          <w:tcPr>
            <w:tcW w:w="770"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49 358</w:t>
            </w:r>
          </w:p>
        </w:tc>
        <w:tc>
          <w:tcPr>
            <w:tcW w:w="770" w:type="dxa"/>
            <w:tcBorders>
              <w:top w:val="nil"/>
              <w:left w:val="nil"/>
              <w:bottom w:val="single" w:sz="8" w:space="0" w:color="auto"/>
              <w:right w:val="single" w:sz="4" w:space="0" w:color="auto"/>
            </w:tcBorders>
            <w:shd w:val="clear" w:color="000000" w:fill="F2DCDB"/>
            <w:noWrap/>
            <w:vAlign w:val="bottom"/>
            <w:hideMark/>
          </w:tcPr>
          <w:p w:rsidR="00214E6F" w:rsidRPr="0087553D" w:rsidRDefault="00214E6F" w:rsidP="00214E6F">
            <w:pPr>
              <w:spacing w:line="240" w:lineRule="auto"/>
              <w:jc w:val="right"/>
              <w:rPr>
                <w:rFonts w:cs="Arial"/>
                <w:b/>
                <w:bCs/>
                <w:sz w:val="16"/>
                <w:szCs w:val="16"/>
              </w:rPr>
            </w:pPr>
            <w:r w:rsidRPr="0087553D">
              <w:rPr>
                <w:rFonts w:cs="Arial"/>
                <w:b/>
                <w:bCs/>
                <w:sz w:val="16"/>
                <w:szCs w:val="16"/>
              </w:rPr>
              <w:t>51 215</w:t>
            </w:r>
          </w:p>
        </w:tc>
        <w:tc>
          <w:tcPr>
            <w:tcW w:w="850" w:type="dxa"/>
            <w:tcBorders>
              <w:top w:val="nil"/>
              <w:left w:val="nil"/>
              <w:bottom w:val="single" w:sz="8" w:space="0" w:color="auto"/>
              <w:right w:val="nil"/>
            </w:tcBorders>
            <w:shd w:val="clear" w:color="000000" w:fill="F2DCDB"/>
            <w:noWrap/>
            <w:vAlign w:val="bottom"/>
            <w:hideMark/>
          </w:tcPr>
          <w:p w:rsidR="00214E6F" w:rsidRPr="0087553D" w:rsidRDefault="00214E6F" w:rsidP="00323231">
            <w:pPr>
              <w:spacing w:line="240" w:lineRule="auto"/>
              <w:jc w:val="center"/>
              <w:rPr>
                <w:rFonts w:cs="Arial"/>
                <w:b/>
                <w:bCs/>
                <w:i/>
                <w:iCs/>
                <w:color w:val="000000"/>
                <w:sz w:val="16"/>
                <w:szCs w:val="16"/>
              </w:rPr>
            </w:pPr>
            <w:r w:rsidRPr="0087553D">
              <w:rPr>
                <w:rFonts w:cs="Arial"/>
                <w:b/>
                <w:bCs/>
                <w:i/>
                <w:iCs/>
                <w:color w:val="000000"/>
                <w:sz w:val="16"/>
                <w:szCs w:val="16"/>
              </w:rPr>
              <w:t>103,8</w:t>
            </w:r>
          </w:p>
        </w:tc>
      </w:tr>
    </w:tbl>
    <w:p w:rsidR="00214E6F" w:rsidRPr="00991A9E" w:rsidRDefault="00214E6F" w:rsidP="00214E6F">
      <w:pPr>
        <w:spacing w:before="120" w:line="240" w:lineRule="auto"/>
        <w:ind w:firstLine="708"/>
        <w:rPr>
          <w:b/>
          <w:bCs/>
          <w:i/>
          <w:sz w:val="16"/>
          <w:szCs w:val="16"/>
        </w:rPr>
      </w:pPr>
      <w:r w:rsidRPr="00991A9E">
        <w:rPr>
          <w:b/>
          <w:bCs/>
          <w:i/>
          <w:sz w:val="16"/>
          <w:szCs w:val="16"/>
        </w:rPr>
        <w:t xml:space="preserve">                                                                                              </w:t>
      </w:r>
      <w:r>
        <w:rPr>
          <w:b/>
          <w:bCs/>
          <w:i/>
          <w:sz w:val="16"/>
          <w:szCs w:val="16"/>
        </w:rPr>
        <w:t xml:space="preserve">            </w:t>
      </w:r>
      <w:r w:rsidR="00323231">
        <w:rPr>
          <w:b/>
          <w:bCs/>
          <w:i/>
          <w:sz w:val="16"/>
          <w:szCs w:val="16"/>
        </w:rPr>
        <w:t xml:space="preserve">    </w:t>
      </w:r>
      <w:r w:rsidRPr="00991A9E">
        <w:rPr>
          <w:b/>
          <w:bCs/>
          <w:i/>
          <w:sz w:val="16"/>
          <w:szCs w:val="16"/>
        </w:rPr>
        <w:t>Zdroj: ČSÚ 201</w:t>
      </w:r>
      <w:r>
        <w:rPr>
          <w:b/>
          <w:bCs/>
          <w:i/>
          <w:sz w:val="16"/>
          <w:szCs w:val="16"/>
        </w:rPr>
        <w:t>8</w:t>
      </w:r>
      <w:r w:rsidRPr="00991A9E">
        <w:rPr>
          <w:b/>
          <w:bCs/>
          <w:i/>
          <w:sz w:val="16"/>
          <w:szCs w:val="16"/>
        </w:rPr>
        <w:t xml:space="preserve">, </w:t>
      </w:r>
      <w:r>
        <w:rPr>
          <w:b/>
          <w:bCs/>
          <w:i/>
          <w:sz w:val="16"/>
          <w:szCs w:val="16"/>
        </w:rPr>
        <w:t>Zdravotnické účty ČR 2010 - 2016</w:t>
      </w:r>
      <w:r w:rsidRPr="00991A9E">
        <w:rPr>
          <w:b/>
          <w:bCs/>
          <w:i/>
          <w:sz w:val="16"/>
          <w:szCs w:val="16"/>
        </w:rPr>
        <w:t xml:space="preserve"> </w:t>
      </w:r>
    </w:p>
    <w:p w:rsidR="00214E6F" w:rsidRPr="007949E3" w:rsidRDefault="00214E6F" w:rsidP="00214E6F">
      <w:pPr>
        <w:spacing w:before="240" w:after="120"/>
        <w:rPr>
          <w:rFonts w:eastAsia="MS Gothic"/>
          <w:b/>
          <w:i/>
        </w:rPr>
      </w:pPr>
      <w:r w:rsidRPr="00781083">
        <w:rPr>
          <w:rFonts w:eastAsia="MS Gothic"/>
          <w:b/>
          <w:i/>
        </w:rPr>
        <w:t>Téměř pětinu z</w:t>
      </w:r>
      <w:r>
        <w:rPr>
          <w:rFonts w:eastAsia="MS Gothic"/>
          <w:b/>
          <w:i/>
        </w:rPr>
        <w:t xml:space="preserve"> celkových </w:t>
      </w:r>
      <w:r w:rsidRPr="00781083">
        <w:rPr>
          <w:rFonts w:eastAsia="MS Gothic"/>
          <w:b/>
          <w:i/>
        </w:rPr>
        <w:t> výdajů na zdravotní péči zaplatí domácnosti za stomatologick</w:t>
      </w:r>
      <w:r>
        <w:rPr>
          <w:rFonts w:eastAsia="MS Gothic"/>
          <w:b/>
          <w:i/>
        </w:rPr>
        <w:t>á</w:t>
      </w:r>
      <w:r w:rsidRPr="00781083">
        <w:rPr>
          <w:rFonts w:eastAsia="MS Gothic"/>
          <w:b/>
          <w:i/>
        </w:rPr>
        <w:t xml:space="preserve"> ošetření  </w:t>
      </w:r>
    </w:p>
    <w:p w:rsidR="00214E6F" w:rsidRPr="00991A9E" w:rsidRDefault="00214E6F" w:rsidP="00214E6F">
      <w:pPr>
        <w:spacing w:before="120"/>
        <w:jc w:val="both"/>
        <w:rPr>
          <w:szCs w:val="20"/>
        </w:rPr>
      </w:pPr>
      <w:r w:rsidRPr="00991A9E">
        <w:rPr>
          <w:szCs w:val="20"/>
        </w:rPr>
        <w:t>Nejvyšší procentuální nárůst výdajů domácnos</w:t>
      </w:r>
      <w:r>
        <w:rPr>
          <w:szCs w:val="20"/>
        </w:rPr>
        <w:t>tí na zdravotní péči v roce 2016</w:t>
      </w:r>
      <w:r w:rsidRPr="00991A9E">
        <w:rPr>
          <w:szCs w:val="20"/>
        </w:rPr>
        <w:t xml:space="preserve"> byl v porovnání s předchozím rokem zaznamenán u výdajů na </w:t>
      </w:r>
      <w:r w:rsidRPr="00991A9E">
        <w:rPr>
          <w:b/>
          <w:szCs w:val="20"/>
        </w:rPr>
        <w:t>ambulantní rehabilitační péči</w:t>
      </w:r>
      <w:r w:rsidRPr="00991A9E">
        <w:rPr>
          <w:szCs w:val="20"/>
        </w:rPr>
        <w:t xml:space="preserve">, </w:t>
      </w:r>
      <w:r>
        <w:rPr>
          <w:szCs w:val="20"/>
        </w:rPr>
        <w:t>o 12 %</w:t>
      </w:r>
      <w:r w:rsidRPr="00991A9E">
        <w:rPr>
          <w:szCs w:val="20"/>
        </w:rPr>
        <w:t xml:space="preserve">. </w:t>
      </w:r>
      <w:r>
        <w:rPr>
          <w:szCs w:val="20"/>
        </w:rPr>
        <w:t>Absolutní výše</w:t>
      </w:r>
      <w:r w:rsidRPr="00991A9E">
        <w:rPr>
          <w:szCs w:val="20"/>
        </w:rPr>
        <w:t xml:space="preserve"> výdajů domácností na tento druh zdravotní péče</w:t>
      </w:r>
      <w:r>
        <w:rPr>
          <w:szCs w:val="20"/>
        </w:rPr>
        <w:t xml:space="preserve"> je velmi nízká</w:t>
      </w:r>
      <w:r w:rsidRPr="00991A9E">
        <w:rPr>
          <w:szCs w:val="20"/>
        </w:rPr>
        <w:t xml:space="preserve"> a proto i nevelký absolutní nárůst způsobí významné procentuální zvýšení. </w:t>
      </w:r>
    </w:p>
    <w:p w:rsidR="00214E6F" w:rsidRPr="00966AD4" w:rsidRDefault="00214E6F" w:rsidP="00214E6F">
      <w:pPr>
        <w:spacing w:before="120"/>
        <w:jc w:val="both"/>
        <w:rPr>
          <w:bCs/>
          <w:szCs w:val="22"/>
        </w:rPr>
      </w:pPr>
      <w:r w:rsidRPr="00991A9E">
        <w:rPr>
          <w:szCs w:val="20"/>
        </w:rPr>
        <w:t>V porovnání s</w:t>
      </w:r>
      <w:r>
        <w:rPr>
          <w:szCs w:val="20"/>
        </w:rPr>
        <w:t xml:space="preserve"> předchozím </w:t>
      </w:r>
      <w:r w:rsidRPr="00991A9E">
        <w:rPr>
          <w:szCs w:val="20"/>
        </w:rPr>
        <w:t xml:space="preserve">rokem </w:t>
      </w:r>
      <w:r>
        <w:rPr>
          <w:szCs w:val="20"/>
        </w:rPr>
        <w:t>zůstaly v roce 2016 stabilní</w:t>
      </w:r>
      <w:r w:rsidRPr="00991A9E">
        <w:rPr>
          <w:szCs w:val="20"/>
        </w:rPr>
        <w:t xml:space="preserve"> výdaje na lůžkovou rehabilitační péči, jejíž podstatnou součástí je </w:t>
      </w:r>
      <w:r w:rsidRPr="00991A9E">
        <w:rPr>
          <w:b/>
          <w:szCs w:val="20"/>
        </w:rPr>
        <w:t>lázeňská léčba</w:t>
      </w:r>
      <w:r>
        <w:rPr>
          <w:szCs w:val="20"/>
        </w:rPr>
        <w:t xml:space="preserve">. </w:t>
      </w:r>
      <w:r w:rsidRPr="00C51E92">
        <w:rPr>
          <w:i/>
          <w:szCs w:val="20"/>
        </w:rPr>
        <w:t>Domácnosti se finančně podílejí především na příspěvkové lázeňské péči, která byla v roce 2013 na základě novely vyhlášky tzv. Indikačního programu o týden zkrácena, což se projevilo snížením těchto výdajů v tomto roce. V dubnu 2014 bylo toto omezení zrušeno a výdaje na lůžkovou rehabilitační péči pozvolna vzrostly, což se potvrdilo i v roce 2015. Lázeňský fond v roce 2016 zahrnoval 92 lázeňských léčeben s  kapacitou 2</w:t>
      </w:r>
      <w:r w:rsidR="00CF3148" w:rsidRPr="00C51E92">
        <w:rPr>
          <w:i/>
          <w:szCs w:val="20"/>
        </w:rPr>
        <w:t>2</w:t>
      </w:r>
      <w:r w:rsidRPr="00C51E92">
        <w:rPr>
          <w:i/>
          <w:szCs w:val="20"/>
        </w:rPr>
        <w:t> 403 lůžek.</w:t>
      </w:r>
      <w:r w:rsidRPr="00CF3148">
        <w:rPr>
          <w:i/>
          <w:szCs w:val="20"/>
        </w:rPr>
        <w:t xml:space="preserve"> Na náklady zdravotních pojišťoven se léčilo v lázeňských zařízeních 93 347 dospělých tuzemských pacientů (84 537 komplexní lázeňská péče a 8 810 příspěvková lázeňská péče).  Zdravotní pojišťovny platily v roce 2016</w:t>
      </w:r>
      <w:r w:rsidR="000D1765" w:rsidRPr="00CF3148">
        <w:rPr>
          <w:i/>
          <w:szCs w:val="20"/>
        </w:rPr>
        <w:t xml:space="preserve"> dětem a mladistvým</w:t>
      </w:r>
      <w:r w:rsidRPr="00CF3148">
        <w:rPr>
          <w:i/>
          <w:szCs w:val="20"/>
        </w:rPr>
        <w:t xml:space="preserve"> plně </w:t>
      </w:r>
      <w:r w:rsidRPr="00CF3148">
        <w:rPr>
          <w:i/>
          <w:szCs w:val="20"/>
        </w:rPr>
        <w:lastRenderedPageBreak/>
        <w:t xml:space="preserve">hrazenou péči </w:t>
      </w:r>
      <w:r w:rsidR="000D1765" w:rsidRPr="00CF3148">
        <w:rPr>
          <w:i/>
          <w:szCs w:val="20"/>
        </w:rPr>
        <w:t xml:space="preserve">v </w:t>
      </w:r>
      <w:r w:rsidRPr="00CF3148">
        <w:rPr>
          <w:i/>
          <w:szCs w:val="20"/>
        </w:rPr>
        <w:t xml:space="preserve">106 199 </w:t>
      </w:r>
      <w:r w:rsidR="000D1765" w:rsidRPr="00CF3148">
        <w:rPr>
          <w:i/>
          <w:szCs w:val="20"/>
        </w:rPr>
        <w:t xml:space="preserve">případech </w:t>
      </w:r>
      <w:r w:rsidRPr="00CF3148">
        <w:rPr>
          <w:i/>
          <w:szCs w:val="20"/>
        </w:rPr>
        <w:t xml:space="preserve">a </w:t>
      </w:r>
      <w:r w:rsidR="000D1765" w:rsidRPr="00CF3148">
        <w:rPr>
          <w:i/>
          <w:szCs w:val="20"/>
        </w:rPr>
        <w:t xml:space="preserve">v </w:t>
      </w:r>
      <w:r w:rsidRPr="00CF3148">
        <w:rPr>
          <w:i/>
          <w:szCs w:val="20"/>
        </w:rPr>
        <w:t xml:space="preserve">8 810 </w:t>
      </w:r>
      <w:r w:rsidR="000D1765" w:rsidRPr="00CF3148">
        <w:rPr>
          <w:i/>
          <w:szCs w:val="20"/>
        </w:rPr>
        <w:t xml:space="preserve">případech </w:t>
      </w:r>
      <w:r w:rsidRPr="00CF3148">
        <w:rPr>
          <w:i/>
          <w:szCs w:val="20"/>
        </w:rPr>
        <w:t xml:space="preserve">částečně hrazenou zdravotní péči. </w:t>
      </w:r>
      <w:r w:rsidRPr="00CF3148">
        <w:rPr>
          <w:i/>
        </w:rPr>
        <w:t>U dospělých se na celkových nákladech na lázeňskou péči nejvíce podílejí nemoci pohybového ústrojí (více než 55 %), nemoci nervové (cca 16 %) a nemoci oběhového ústrojí (10 %). U dětí a dorostu se jedná o nemoci dýchacího ústrojí (cca 40 %), onemocnění nervové soustavy (27 %) a poruchy látkové výměny a žláz s vnitřní sekrecí, nejčastěji diabetes mellitus a obezitu (cca 11 %).</w:t>
      </w:r>
      <w:r w:rsidRPr="00CF3148">
        <w:rPr>
          <w:i/>
          <w:szCs w:val="20"/>
        </w:rPr>
        <w:t xml:space="preserve"> </w:t>
      </w:r>
      <w:r>
        <w:rPr>
          <w:szCs w:val="20"/>
        </w:rPr>
        <w:t>V období 2010 – 2016 zaplatily české domácnosti za lázeňskou a rehabilitační péči přes 16 mld. Kč a p</w:t>
      </w:r>
      <w:r w:rsidRPr="006E0887">
        <w:rPr>
          <w:szCs w:val="20"/>
        </w:rPr>
        <w:t xml:space="preserve">růměrné roční tempo růstu dosáhlo </w:t>
      </w:r>
      <w:r>
        <w:rPr>
          <w:szCs w:val="20"/>
        </w:rPr>
        <w:t>9 %.</w:t>
      </w:r>
    </w:p>
    <w:p w:rsidR="00214E6F" w:rsidRPr="00991A9E" w:rsidRDefault="00214E6F" w:rsidP="00214E6F">
      <w:pPr>
        <w:spacing w:before="200"/>
        <w:jc w:val="both"/>
        <w:rPr>
          <w:szCs w:val="17"/>
        </w:rPr>
      </w:pPr>
      <w:r w:rsidRPr="00991A9E">
        <w:rPr>
          <w:szCs w:val="17"/>
        </w:rPr>
        <w:t xml:space="preserve">Výdaje domácností </w:t>
      </w:r>
      <w:r w:rsidRPr="00991A9E">
        <w:rPr>
          <w:b/>
          <w:szCs w:val="17"/>
        </w:rPr>
        <w:t xml:space="preserve">na specializovanou ambulantní péči, </w:t>
      </w:r>
      <w:r w:rsidRPr="00991A9E">
        <w:rPr>
          <w:szCs w:val="17"/>
        </w:rPr>
        <w:t>které zahrnují širokou škálu nejrůznějších úhrad například za služby nutričních terapeutů, center léčby obezity, center asistované reprodukce, dermatologické</w:t>
      </w:r>
      <w:r>
        <w:rPr>
          <w:szCs w:val="17"/>
        </w:rPr>
        <w:t xml:space="preserve"> </w:t>
      </w:r>
      <w:r w:rsidRPr="00991A9E">
        <w:rPr>
          <w:szCs w:val="17"/>
        </w:rPr>
        <w:t xml:space="preserve">zákroky nehrazené ze zdravotního pojištění, kosmetické operace a další, </w:t>
      </w:r>
      <w:r>
        <w:rPr>
          <w:szCs w:val="17"/>
        </w:rPr>
        <w:t xml:space="preserve">zůstávají v porovnání s rokem 2015 stabilní. </w:t>
      </w:r>
    </w:p>
    <w:p w:rsidR="00214E6F" w:rsidRDefault="00214E6F" w:rsidP="00214E6F">
      <w:pPr>
        <w:spacing w:before="120"/>
        <w:jc w:val="both"/>
        <w:rPr>
          <w:szCs w:val="20"/>
        </w:rPr>
      </w:pPr>
      <w:r w:rsidRPr="00991A9E">
        <w:rPr>
          <w:szCs w:val="17"/>
        </w:rPr>
        <w:t xml:space="preserve">Výdaje na </w:t>
      </w:r>
      <w:r w:rsidRPr="00991A9E">
        <w:rPr>
          <w:b/>
          <w:szCs w:val="17"/>
        </w:rPr>
        <w:t>všeobecnou ambulantní léčebnou péči</w:t>
      </w:r>
      <w:r w:rsidRPr="00991A9E">
        <w:rPr>
          <w:szCs w:val="17"/>
        </w:rPr>
        <w:t xml:space="preserve"> (zejména péče </w:t>
      </w:r>
      <w:r w:rsidRPr="00991A9E">
        <w:rPr>
          <w:szCs w:val="20"/>
        </w:rPr>
        <w:t xml:space="preserve">praktických lékařů pro dospělé a pro děti a dorost) meziročně </w:t>
      </w:r>
      <w:r>
        <w:rPr>
          <w:szCs w:val="20"/>
        </w:rPr>
        <w:t>mírně vzrostly (o 5 %)</w:t>
      </w:r>
      <w:r w:rsidRPr="00991A9E">
        <w:rPr>
          <w:szCs w:val="20"/>
        </w:rPr>
        <w:t xml:space="preserve">. U všeobecné ambulantní péče se může, mimo jiné, jednat o výdaje na různá očkování nebo preventivní vyšetření nehrazená ze zdravotního pojištění. </w:t>
      </w:r>
    </w:p>
    <w:p w:rsidR="00214E6F" w:rsidRDefault="00214E6F" w:rsidP="00214E6F">
      <w:pPr>
        <w:spacing w:before="120"/>
        <w:jc w:val="both"/>
        <w:rPr>
          <w:szCs w:val="20"/>
        </w:rPr>
      </w:pPr>
      <w:r w:rsidRPr="00991A9E">
        <w:rPr>
          <w:szCs w:val="20"/>
        </w:rPr>
        <w:t xml:space="preserve">Výdaje domácností na </w:t>
      </w:r>
      <w:r w:rsidRPr="00991A9E">
        <w:rPr>
          <w:b/>
          <w:szCs w:val="20"/>
        </w:rPr>
        <w:t>stomatologickou ambulantní péči</w:t>
      </w:r>
      <w:r w:rsidRPr="00991A9E">
        <w:rPr>
          <w:szCs w:val="20"/>
        </w:rPr>
        <w:t xml:space="preserve">, které jsou </w:t>
      </w:r>
      <w:r w:rsidR="00C85E96">
        <w:rPr>
          <w:szCs w:val="20"/>
        </w:rPr>
        <w:t>dlouhodobě</w:t>
      </w:r>
      <w:r w:rsidRPr="00991A9E">
        <w:rPr>
          <w:szCs w:val="20"/>
        </w:rPr>
        <w:t xml:space="preserve"> vyšší než výdaje za</w:t>
      </w:r>
      <w:r>
        <w:rPr>
          <w:szCs w:val="20"/>
        </w:rPr>
        <w:t> </w:t>
      </w:r>
      <w:r w:rsidRPr="00991A9E">
        <w:rPr>
          <w:szCs w:val="20"/>
        </w:rPr>
        <w:t>všeobecnou i specializovanou ambulantní péči dohromady, vzrostly v roce 201</w:t>
      </w:r>
      <w:r>
        <w:rPr>
          <w:szCs w:val="20"/>
        </w:rPr>
        <w:t>6</w:t>
      </w:r>
      <w:r w:rsidRPr="00991A9E">
        <w:rPr>
          <w:szCs w:val="20"/>
        </w:rPr>
        <w:t xml:space="preserve"> v porovnání s předchozím rokem</w:t>
      </w:r>
      <w:r w:rsidRPr="0002040C">
        <w:rPr>
          <w:szCs w:val="20"/>
        </w:rPr>
        <w:t xml:space="preserve"> </w:t>
      </w:r>
      <w:r w:rsidRPr="00991A9E">
        <w:rPr>
          <w:szCs w:val="20"/>
        </w:rPr>
        <w:t xml:space="preserve">o </w:t>
      </w:r>
      <w:r>
        <w:rPr>
          <w:szCs w:val="20"/>
        </w:rPr>
        <w:t xml:space="preserve">4 </w:t>
      </w:r>
      <w:r w:rsidRPr="00991A9E">
        <w:rPr>
          <w:szCs w:val="20"/>
        </w:rPr>
        <w:t>%. U stomatologů, kteří spolupracují se zdravotními pojišťovnami</w:t>
      </w:r>
      <w:r>
        <w:rPr>
          <w:szCs w:val="20"/>
        </w:rPr>
        <w:t>,</w:t>
      </w:r>
      <w:r w:rsidRPr="00991A9E">
        <w:rPr>
          <w:szCs w:val="20"/>
        </w:rPr>
        <w:t xml:space="preserve"> si často pacienti připlácí za nestandardní lékařské úkony a materiály. Pokud zubař nemá uzavřenou smlouvu se zdravotními pojišťovnami, jsou veškeré zákroky hrazené dle ceníku příslušného pracoviště. </w:t>
      </w:r>
      <w:r>
        <w:rPr>
          <w:szCs w:val="20"/>
        </w:rPr>
        <w:t xml:space="preserve">V roce 2016 doplatil jeden obyvatel ČR z vlastní kapsy na stomatologický zákrok </w:t>
      </w:r>
      <w:r w:rsidR="00C85E96">
        <w:rPr>
          <w:szCs w:val="20"/>
        </w:rPr>
        <w:t xml:space="preserve">v průměru </w:t>
      </w:r>
      <w:r>
        <w:rPr>
          <w:szCs w:val="20"/>
        </w:rPr>
        <w:t>912 Kč.</w:t>
      </w:r>
    </w:p>
    <w:p w:rsidR="00214E6F" w:rsidRPr="00991A9E" w:rsidRDefault="00214E6F" w:rsidP="00214E6F">
      <w:pPr>
        <w:spacing w:before="120"/>
        <w:jc w:val="both"/>
        <w:rPr>
          <w:szCs w:val="17"/>
        </w:rPr>
      </w:pPr>
      <w:r w:rsidRPr="00991A9E">
        <w:rPr>
          <w:szCs w:val="17"/>
        </w:rPr>
        <w:t xml:space="preserve">Výdaje domácností na </w:t>
      </w:r>
      <w:r w:rsidRPr="00991A9E">
        <w:rPr>
          <w:b/>
          <w:szCs w:val="17"/>
        </w:rPr>
        <w:t>regulační poplatky</w:t>
      </w:r>
      <w:r w:rsidRPr="00991A9E">
        <w:rPr>
          <w:szCs w:val="17"/>
        </w:rPr>
        <w:t xml:space="preserve"> ve výši 90,- Kč za pohotovostní služby jsou zahrnuty v této analýze v ambulantní léčebné péči. </w:t>
      </w:r>
    </w:p>
    <w:p w:rsidR="00214E6F" w:rsidRDefault="00214E6F" w:rsidP="00214E6F">
      <w:pPr>
        <w:keepNext/>
        <w:spacing w:before="240" w:after="120"/>
        <w:jc w:val="both"/>
        <w:rPr>
          <w:rFonts w:cs="Arial"/>
          <w:b/>
          <w:sz w:val="18"/>
          <w:szCs w:val="18"/>
        </w:rPr>
      </w:pPr>
      <w:r w:rsidRPr="00991A9E">
        <w:rPr>
          <w:rFonts w:cs="Arial"/>
          <w:b/>
          <w:sz w:val="18"/>
          <w:szCs w:val="18"/>
        </w:rPr>
        <w:t>Graf č. 3.2.2 Výdaje domácností v ČR na zdravotní péči, 201</w:t>
      </w:r>
      <w:r>
        <w:rPr>
          <w:rFonts w:cs="Arial"/>
          <w:b/>
          <w:sz w:val="18"/>
          <w:szCs w:val="18"/>
        </w:rPr>
        <w:t>6</w:t>
      </w:r>
      <w:r w:rsidRPr="00991A9E">
        <w:rPr>
          <w:rFonts w:cs="Arial"/>
          <w:b/>
          <w:sz w:val="18"/>
          <w:szCs w:val="18"/>
        </w:rPr>
        <w:t xml:space="preserve"> (mil. Kč; %)</w:t>
      </w:r>
    </w:p>
    <w:p w:rsidR="00214E6F" w:rsidRDefault="00214E6F" w:rsidP="00214E6F">
      <w:pPr>
        <w:keepNext/>
        <w:spacing w:before="240" w:after="120"/>
        <w:jc w:val="both"/>
        <w:rPr>
          <w:rFonts w:cs="Arial"/>
          <w:b/>
          <w:sz w:val="18"/>
          <w:szCs w:val="18"/>
        </w:rPr>
      </w:pPr>
      <w:r>
        <w:rPr>
          <w:noProof/>
        </w:rPr>
        <w:drawing>
          <wp:inline distT="0" distB="0" distL="0" distR="0">
            <wp:extent cx="6086475" cy="28956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4E6F" w:rsidRPr="00991A9E" w:rsidRDefault="00214E6F" w:rsidP="00214E6F">
      <w:pPr>
        <w:spacing w:before="120" w:line="240" w:lineRule="auto"/>
        <w:jc w:val="right"/>
        <w:rPr>
          <w:b/>
          <w:bCs/>
          <w:i/>
          <w:sz w:val="16"/>
          <w:szCs w:val="16"/>
        </w:rPr>
      </w:pPr>
      <w:r w:rsidRPr="00991A9E">
        <w:rPr>
          <w:b/>
          <w:bCs/>
          <w:i/>
          <w:sz w:val="16"/>
          <w:szCs w:val="16"/>
        </w:rPr>
        <w:t>Zdroj: ČSÚ 201</w:t>
      </w:r>
      <w:r>
        <w:rPr>
          <w:b/>
          <w:bCs/>
          <w:i/>
          <w:sz w:val="16"/>
          <w:szCs w:val="16"/>
        </w:rPr>
        <w:t>8</w:t>
      </w:r>
      <w:r w:rsidRPr="00991A9E">
        <w:rPr>
          <w:b/>
          <w:bCs/>
          <w:i/>
          <w:sz w:val="16"/>
          <w:szCs w:val="16"/>
        </w:rPr>
        <w:t>, Zdravotnické účty ČR 2010 - 201</w:t>
      </w:r>
      <w:r>
        <w:rPr>
          <w:b/>
          <w:bCs/>
          <w:i/>
          <w:sz w:val="16"/>
          <w:szCs w:val="16"/>
        </w:rPr>
        <w:t>6</w:t>
      </w:r>
      <w:r w:rsidRPr="00991A9E">
        <w:rPr>
          <w:b/>
          <w:bCs/>
          <w:i/>
          <w:sz w:val="16"/>
          <w:szCs w:val="16"/>
        </w:rPr>
        <w:t xml:space="preserve"> </w:t>
      </w:r>
    </w:p>
    <w:p w:rsidR="00CF3148" w:rsidRDefault="00214E6F" w:rsidP="00214E6F">
      <w:pPr>
        <w:spacing w:before="200"/>
        <w:jc w:val="both"/>
        <w:rPr>
          <w:rFonts w:eastAsia="MS Gothic"/>
        </w:rPr>
      </w:pPr>
      <w:r>
        <w:rPr>
          <w:rFonts w:eastAsia="MS Gothic"/>
        </w:rPr>
        <w:t xml:space="preserve">Zjednodušené schéma pro přehlednost dokresluje, jak se pohybovaly výdaje domácností na zdravotní péči v roce 2016. V daném roce </w:t>
      </w:r>
      <w:r w:rsidRPr="00991A9E">
        <w:rPr>
          <w:rFonts w:eastAsia="MS Gothic"/>
        </w:rPr>
        <w:t xml:space="preserve">utratily české domácnosti za </w:t>
      </w:r>
      <w:r w:rsidRPr="00991A9E">
        <w:rPr>
          <w:rFonts w:eastAsia="MS Gothic"/>
          <w:b/>
        </w:rPr>
        <w:t>léky</w:t>
      </w:r>
      <w:r w:rsidRPr="00991A9E">
        <w:rPr>
          <w:rFonts w:eastAsia="MS Gothic"/>
        </w:rPr>
        <w:t xml:space="preserve"> </w:t>
      </w:r>
      <w:r w:rsidRPr="00D82B89">
        <w:rPr>
          <w:rFonts w:eastAsia="MS Gothic"/>
          <w:b/>
        </w:rPr>
        <w:t xml:space="preserve">a ostatní zdravotnický materiál </w:t>
      </w:r>
      <w:r>
        <w:rPr>
          <w:rFonts w:eastAsia="MS Gothic"/>
        </w:rPr>
        <w:t xml:space="preserve">téměř </w:t>
      </w:r>
      <w:r w:rsidRPr="00991A9E">
        <w:rPr>
          <w:rFonts w:eastAsia="MS Gothic"/>
        </w:rPr>
        <w:t>polovinu (4</w:t>
      </w:r>
      <w:r>
        <w:rPr>
          <w:rFonts w:eastAsia="MS Gothic"/>
        </w:rPr>
        <w:t>8</w:t>
      </w:r>
      <w:r w:rsidRPr="00991A9E">
        <w:rPr>
          <w:rFonts w:eastAsia="MS Gothic"/>
        </w:rPr>
        <w:t> %; 2</w:t>
      </w:r>
      <w:r>
        <w:rPr>
          <w:rFonts w:eastAsia="MS Gothic"/>
        </w:rPr>
        <w:t xml:space="preserve">4,4 mld. Kč) svých výdajů na zdravotní </w:t>
      </w:r>
      <w:r w:rsidRPr="00991A9E">
        <w:rPr>
          <w:rFonts w:eastAsia="MS Gothic"/>
        </w:rPr>
        <w:t xml:space="preserve">péči. </w:t>
      </w:r>
    </w:p>
    <w:p w:rsidR="00214E6F" w:rsidRPr="00991A9E" w:rsidRDefault="00214E6F" w:rsidP="00214E6F">
      <w:pPr>
        <w:spacing w:before="200"/>
        <w:jc w:val="both"/>
        <w:rPr>
          <w:rFonts w:eastAsia="MS Gothic"/>
        </w:rPr>
      </w:pPr>
      <w:r w:rsidRPr="00991A9E">
        <w:rPr>
          <w:rFonts w:eastAsia="MS Gothic"/>
        </w:rPr>
        <w:t xml:space="preserve">Druhou nejdůležitější položkou </w:t>
      </w:r>
      <w:r>
        <w:rPr>
          <w:rFonts w:eastAsia="MS Gothic"/>
        </w:rPr>
        <w:t>dlouhodobě</w:t>
      </w:r>
      <w:r w:rsidRPr="00991A9E">
        <w:rPr>
          <w:rFonts w:eastAsia="MS Gothic"/>
        </w:rPr>
        <w:t xml:space="preserve"> – s </w:t>
      </w:r>
      <w:r>
        <w:rPr>
          <w:rFonts w:eastAsia="MS Gothic"/>
        </w:rPr>
        <w:t>19% (9</w:t>
      </w:r>
      <w:r w:rsidRPr="00991A9E">
        <w:rPr>
          <w:rFonts w:eastAsia="MS Gothic"/>
        </w:rPr>
        <w:t>,</w:t>
      </w:r>
      <w:r>
        <w:rPr>
          <w:rFonts w:eastAsia="MS Gothic"/>
        </w:rPr>
        <w:t>6</w:t>
      </w:r>
      <w:r w:rsidRPr="00991A9E">
        <w:rPr>
          <w:rFonts w:eastAsia="MS Gothic"/>
        </w:rPr>
        <w:t xml:space="preserve"> mld. Kč) podílem v roce 201</w:t>
      </w:r>
      <w:r>
        <w:rPr>
          <w:rFonts w:eastAsia="MS Gothic"/>
        </w:rPr>
        <w:t>6</w:t>
      </w:r>
      <w:r w:rsidRPr="00991A9E">
        <w:rPr>
          <w:rFonts w:eastAsia="MS Gothic"/>
        </w:rPr>
        <w:t xml:space="preserve"> </w:t>
      </w:r>
      <w:r w:rsidR="000D1765" w:rsidRPr="00991A9E">
        <w:rPr>
          <w:rFonts w:eastAsia="MS Gothic"/>
        </w:rPr>
        <w:t>–</w:t>
      </w:r>
      <w:r w:rsidR="000D1765">
        <w:rPr>
          <w:rFonts w:eastAsia="MS Gothic"/>
        </w:rPr>
        <w:t xml:space="preserve"> </w:t>
      </w:r>
      <w:r w:rsidRPr="00991A9E">
        <w:rPr>
          <w:rFonts w:eastAsia="MS Gothic"/>
        </w:rPr>
        <w:t xml:space="preserve">tvoří přímé platby pacientů za </w:t>
      </w:r>
      <w:r w:rsidRPr="00991A9E">
        <w:rPr>
          <w:rFonts w:eastAsia="MS Gothic"/>
          <w:b/>
        </w:rPr>
        <w:t>zubařské výkony</w:t>
      </w:r>
      <w:r w:rsidR="00CF3148" w:rsidRPr="00CF3148">
        <w:rPr>
          <w:rFonts w:eastAsia="MS Gothic"/>
        </w:rPr>
        <w:t>, za které domácnosti v roce 2016 utratily 9,6 mld. Kč</w:t>
      </w:r>
      <w:r w:rsidRPr="00CF3148">
        <w:rPr>
          <w:rFonts w:eastAsia="MS Gothic"/>
        </w:rPr>
        <w:t>.</w:t>
      </w:r>
      <w:r w:rsidRPr="00991A9E">
        <w:rPr>
          <w:rFonts w:eastAsia="MS Gothic"/>
        </w:rPr>
        <w:t xml:space="preserve"> </w:t>
      </w:r>
      <w:r>
        <w:rPr>
          <w:rFonts w:eastAsia="MS Gothic"/>
        </w:rPr>
        <w:t xml:space="preserve">Více než </w:t>
      </w:r>
      <w:r w:rsidRPr="00991A9E">
        <w:rPr>
          <w:rFonts w:eastAsia="MS Gothic"/>
        </w:rPr>
        <w:t xml:space="preserve">desetina z výdajů domácností na zdravotní péči směřuje na příspěvky na </w:t>
      </w:r>
      <w:r w:rsidRPr="00991A9E">
        <w:rPr>
          <w:rFonts w:eastAsia="MS Gothic"/>
          <w:b/>
        </w:rPr>
        <w:t>ambulantní péči</w:t>
      </w:r>
      <w:r w:rsidRPr="00991A9E">
        <w:rPr>
          <w:rFonts w:eastAsia="MS Gothic"/>
        </w:rPr>
        <w:t xml:space="preserve">, ať už léčebnou nebo rehabilitační, stejně jako na </w:t>
      </w:r>
      <w:r w:rsidRPr="00991A9E">
        <w:rPr>
          <w:rFonts w:eastAsia="MS Gothic"/>
          <w:b/>
        </w:rPr>
        <w:t>terapeutické pomůcky</w:t>
      </w:r>
      <w:r w:rsidRPr="00991A9E">
        <w:rPr>
          <w:rFonts w:eastAsia="MS Gothic"/>
        </w:rPr>
        <w:t xml:space="preserve">, nejčastěji brýle a kontaktní čočky. </w:t>
      </w:r>
      <w:r>
        <w:rPr>
          <w:rFonts w:eastAsia="MS Gothic"/>
        </w:rPr>
        <w:t xml:space="preserve">Na lůžkovou péči </w:t>
      </w:r>
      <w:r>
        <w:rPr>
          <w:rFonts w:eastAsia="MS Gothic"/>
        </w:rPr>
        <w:lastRenderedPageBreak/>
        <w:t>přispěly domácnosti částkou ve výši 3,</w:t>
      </w:r>
      <w:r w:rsidR="00CF3148">
        <w:rPr>
          <w:rFonts w:eastAsia="MS Gothic"/>
        </w:rPr>
        <w:t>6</w:t>
      </w:r>
      <w:r>
        <w:rPr>
          <w:rFonts w:eastAsia="MS Gothic"/>
        </w:rPr>
        <w:t xml:space="preserve"> mld. Kč (7 %), z níž největší podíl – 75 % </w:t>
      </w:r>
      <w:r w:rsidR="000D1765">
        <w:rPr>
          <w:rFonts w:eastAsia="MS Gothic"/>
        </w:rPr>
        <w:t>–</w:t>
      </w:r>
      <w:r>
        <w:rPr>
          <w:rFonts w:eastAsia="MS Gothic"/>
        </w:rPr>
        <w:t xml:space="preserve"> tvoří výdaje na lůžkovou rehabilitační péči včetně pobytu v lázeňských zařízeních.</w:t>
      </w:r>
    </w:p>
    <w:p w:rsidR="00214E6F" w:rsidRPr="007949E3" w:rsidRDefault="00214E6F" w:rsidP="00214E6F">
      <w:pPr>
        <w:spacing w:before="240" w:after="120"/>
        <w:rPr>
          <w:rFonts w:eastAsia="MS Gothic"/>
          <w:b/>
          <w:i/>
        </w:rPr>
      </w:pPr>
      <w:r w:rsidRPr="003F4F9C">
        <w:rPr>
          <w:rFonts w:eastAsia="MS Gothic"/>
          <w:b/>
          <w:i/>
        </w:rPr>
        <w:t xml:space="preserve">Léky tvoří </w:t>
      </w:r>
      <w:r>
        <w:rPr>
          <w:rFonts w:eastAsia="MS Gothic"/>
          <w:b/>
          <w:i/>
        </w:rPr>
        <w:t xml:space="preserve">dlouhodobě </w:t>
      </w:r>
      <w:r w:rsidRPr="003F4F9C">
        <w:rPr>
          <w:rFonts w:eastAsia="MS Gothic"/>
          <w:b/>
          <w:i/>
        </w:rPr>
        <w:t>největší část výdajů domácností na zdravotní péči</w:t>
      </w:r>
    </w:p>
    <w:p w:rsidR="00FB007E" w:rsidRDefault="00FB007E" w:rsidP="00FB007E">
      <w:pPr>
        <w:keepNext/>
        <w:spacing w:before="120"/>
        <w:jc w:val="both"/>
      </w:pPr>
      <w:r w:rsidRPr="00CD2496">
        <w:t xml:space="preserve">Největší část finančních prostředků na zdravotní péči vydávají domácnosti každoročně na </w:t>
      </w:r>
      <w:r w:rsidRPr="00CD2496">
        <w:rPr>
          <w:b/>
        </w:rPr>
        <w:t xml:space="preserve">léčiva a ostatní zdravotnické výrobky </w:t>
      </w:r>
      <w:r w:rsidRPr="00CD2496">
        <w:t>(téměř 60 % v roce 2016). Více než tři čtvrtiny z této uvedené kategorie tvoří náklady na léky (na předpis i volně prodejné léky). Pětina výdajů z této kategorie směřuje na terapeutické pomůcky a</w:t>
      </w:r>
      <w:r w:rsidR="00CF3148">
        <w:t> </w:t>
      </w:r>
      <w:r w:rsidRPr="00CD2496">
        <w:t>vybavení (brýle, naslouchadla, ortopedické pomůcky, berle, invalidní vozíky apod</w:t>
      </w:r>
      <w:r w:rsidRPr="00C51E92">
        <w:t>.). Částka ve výši 30,6</w:t>
      </w:r>
      <w:r w:rsidR="00931794" w:rsidRPr="00C51E92">
        <w:t> </w:t>
      </w:r>
      <w:r w:rsidRPr="00C51E92">
        <w:t xml:space="preserve">mld. Kč (viz tabulka č. 3.2.1), kterou zaplatily domácnosti v roce 2016 za léčiva a </w:t>
      </w:r>
      <w:r w:rsidR="00C51E92" w:rsidRPr="00C51E92">
        <w:t xml:space="preserve">ostatní </w:t>
      </w:r>
      <w:r w:rsidRPr="00C51E92">
        <w:t xml:space="preserve">zdravotnické </w:t>
      </w:r>
      <w:r w:rsidR="00C51E92" w:rsidRPr="00C51E92">
        <w:t>výrobky</w:t>
      </w:r>
      <w:r w:rsidRPr="00C51E92">
        <w:t>, tvořila 8,5 % z celkových výdajů na zdravotní péči.</w:t>
      </w:r>
      <w:r>
        <w:t xml:space="preserve"> </w:t>
      </w:r>
    </w:p>
    <w:p w:rsidR="00214E6F" w:rsidRDefault="00214E6F" w:rsidP="00214E6F">
      <w:pPr>
        <w:keepNext/>
        <w:spacing w:before="240" w:after="120"/>
        <w:jc w:val="both"/>
        <w:rPr>
          <w:rFonts w:cs="Arial"/>
          <w:b/>
          <w:sz w:val="18"/>
          <w:szCs w:val="18"/>
        </w:rPr>
      </w:pPr>
      <w:r w:rsidRPr="00991A9E">
        <w:rPr>
          <w:rFonts w:cs="Arial"/>
          <w:b/>
          <w:sz w:val="18"/>
          <w:szCs w:val="18"/>
        </w:rPr>
        <w:t>Graf č. 3.2.3 Výdaje domácností v ČR za léčiva a zdravotnický materiál, 201</w:t>
      </w:r>
      <w:r>
        <w:rPr>
          <w:rFonts w:cs="Arial"/>
          <w:b/>
          <w:sz w:val="18"/>
          <w:szCs w:val="18"/>
        </w:rPr>
        <w:t>2</w:t>
      </w:r>
      <w:r w:rsidRPr="00991A9E">
        <w:rPr>
          <w:rFonts w:cs="Arial"/>
          <w:b/>
          <w:sz w:val="18"/>
          <w:szCs w:val="18"/>
        </w:rPr>
        <w:t>-201</w:t>
      </w:r>
      <w:r>
        <w:rPr>
          <w:rFonts w:cs="Arial"/>
          <w:b/>
          <w:sz w:val="18"/>
          <w:szCs w:val="18"/>
        </w:rPr>
        <w:t>6 (mld.</w:t>
      </w:r>
      <w:r w:rsidRPr="00991A9E">
        <w:rPr>
          <w:rFonts w:cs="Arial"/>
          <w:b/>
          <w:sz w:val="18"/>
          <w:szCs w:val="18"/>
        </w:rPr>
        <w:t xml:space="preserve"> Kč</w:t>
      </w:r>
      <w:r w:rsidR="000D1765">
        <w:rPr>
          <w:rFonts w:cs="Arial"/>
          <w:b/>
          <w:sz w:val="18"/>
          <w:szCs w:val="18"/>
        </w:rPr>
        <w:t>; %</w:t>
      </w:r>
      <w:r w:rsidRPr="00991A9E">
        <w:rPr>
          <w:rFonts w:cs="Arial"/>
          <w:b/>
          <w:sz w:val="18"/>
          <w:szCs w:val="18"/>
        </w:rPr>
        <w:t>)</w:t>
      </w:r>
    </w:p>
    <w:p w:rsidR="0051478D" w:rsidRDefault="0051478D" w:rsidP="00CF3148">
      <w:pPr>
        <w:keepNext/>
        <w:jc w:val="both"/>
        <w:rPr>
          <w:rFonts w:cs="Arial"/>
          <w:b/>
          <w:sz w:val="18"/>
          <w:szCs w:val="18"/>
        </w:rPr>
      </w:pPr>
      <w:r>
        <w:rPr>
          <w:b/>
          <w:i/>
          <w:sz w:val="18"/>
        </w:rPr>
        <w:t xml:space="preserve"> a) v mld. Kč</w:t>
      </w:r>
      <w:r>
        <w:rPr>
          <w:b/>
          <w:i/>
          <w:sz w:val="18"/>
        </w:rPr>
        <w:tab/>
      </w:r>
      <w:r>
        <w:rPr>
          <w:b/>
          <w:i/>
          <w:sz w:val="18"/>
        </w:rPr>
        <w:tab/>
      </w:r>
      <w:r>
        <w:rPr>
          <w:b/>
          <w:i/>
          <w:sz w:val="18"/>
        </w:rPr>
        <w:tab/>
      </w:r>
      <w:r>
        <w:rPr>
          <w:b/>
          <w:i/>
          <w:sz w:val="18"/>
        </w:rPr>
        <w:tab/>
      </w:r>
      <w:r>
        <w:rPr>
          <w:b/>
          <w:i/>
          <w:sz w:val="18"/>
        </w:rPr>
        <w:tab/>
      </w:r>
      <w:r>
        <w:rPr>
          <w:b/>
          <w:i/>
          <w:sz w:val="18"/>
        </w:rPr>
        <w:tab/>
      </w:r>
      <w:r>
        <w:rPr>
          <w:b/>
          <w:i/>
          <w:sz w:val="18"/>
        </w:rPr>
        <w:tab/>
      </w:r>
      <w:r w:rsidRPr="00240B6D">
        <w:rPr>
          <w:b/>
          <w:i/>
          <w:sz w:val="18"/>
        </w:rPr>
        <w:t>b) struktura v</w:t>
      </w:r>
      <w:r>
        <w:rPr>
          <w:b/>
          <w:i/>
          <w:sz w:val="18"/>
        </w:rPr>
        <w:t xml:space="preserve"> %</w:t>
      </w:r>
    </w:p>
    <w:p w:rsidR="00214E6F" w:rsidRDefault="00214E6F" w:rsidP="00E1763E">
      <w:pPr>
        <w:rPr>
          <w:b/>
          <w:sz w:val="18"/>
          <w:szCs w:val="18"/>
        </w:rPr>
      </w:pPr>
      <w:r>
        <w:rPr>
          <w:noProof/>
        </w:rPr>
        <w:drawing>
          <wp:inline distT="0" distB="0" distL="0" distR="0">
            <wp:extent cx="3562350" cy="2867025"/>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extent cx="2447925" cy="292417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14E6F" w:rsidRPr="00991A9E" w:rsidRDefault="00214E6F" w:rsidP="00214E6F">
      <w:pPr>
        <w:spacing w:before="120"/>
        <w:jc w:val="right"/>
        <w:rPr>
          <w:noProof/>
          <w:sz w:val="18"/>
          <w:szCs w:val="20"/>
        </w:rPr>
      </w:pPr>
      <w:r w:rsidRPr="00991A9E">
        <w:rPr>
          <w:b/>
          <w:bCs/>
          <w:i/>
          <w:sz w:val="16"/>
          <w:szCs w:val="16"/>
        </w:rPr>
        <w:t>Zdroj: ČSÚ 201</w:t>
      </w:r>
      <w:r>
        <w:rPr>
          <w:b/>
          <w:bCs/>
          <w:i/>
          <w:sz w:val="16"/>
          <w:szCs w:val="16"/>
        </w:rPr>
        <w:t>8</w:t>
      </w:r>
      <w:r w:rsidRPr="00991A9E">
        <w:rPr>
          <w:b/>
          <w:bCs/>
          <w:i/>
          <w:sz w:val="16"/>
          <w:szCs w:val="16"/>
        </w:rPr>
        <w:t>, Zdravotnické účty ČR 2010 - 201</w:t>
      </w:r>
      <w:r>
        <w:rPr>
          <w:b/>
          <w:bCs/>
          <w:i/>
          <w:sz w:val="16"/>
          <w:szCs w:val="16"/>
        </w:rPr>
        <w:t>6</w:t>
      </w:r>
      <w:r w:rsidRPr="00991A9E">
        <w:rPr>
          <w:i/>
          <w:sz w:val="16"/>
          <w:szCs w:val="16"/>
        </w:rPr>
        <w:t xml:space="preserve"> </w:t>
      </w:r>
    </w:p>
    <w:p w:rsidR="00214E6F" w:rsidRPr="00991A9E" w:rsidRDefault="00214E6F" w:rsidP="00214E6F">
      <w:pPr>
        <w:spacing w:before="200"/>
        <w:jc w:val="both"/>
        <w:rPr>
          <w:szCs w:val="17"/>
        </w:rPr>
      </w:pPr>
      <w:r>
        <w:rPr>
          <w:szCs w:val="17"/>
        </w:rPr>
        <w:t xml:space="preserve">Výdaje domácností </w:t>
      </w:r>
      <w:r w:rsidRPr="00AF3C35">
        <w:rPr>
          <w:b/>
          <w:szCs w:val="17"/>
        </w:rPr>
        <w:t>na volně prodejné léky</w:t>
      </w:r>
      <w:r>
        <w:rPr>
          <w:szCs w:val="17"/>
        </w:rPr>
        <w:t xml:space="preserve"> se v letech 2012 – 2014 pohybovaly na úrovni 12 mld. Kč. Výjimku tvořil rok 2013, kdy došlo k jejich mírnému snížení, stejně jako u výdajů léků na předpis. Následující rok přinesl další opětovný nárůst výdajů, který pokračoval i v dalších letech. </w:t>
      </w:r>
      <w:r w:rsidRPr="00991A9E">
        <w:rPr>
          <w:szCs w:val="17"/>
        </w:rPr>
        <w:t>V meziročním srovnání 201</w:t>
      </w:r>
      <w:r>
        <w:rPr>
          <w:szCs w:val="17"/>
        </w:rPr>
        <w:t>5</w:t>
      </w:r>
      <w:r w:rsidRPr="00991A9E">
        <w:rPr>
          <w:szCs w:val="17"/>
        </w:rPr>
        <w:t xml:space="preserve"> a 201</w:t>
      </w:r>
      <w:r>
        <w:rPr>
          <w:szCs w:val="17"/>
        </w:rPr>
        <w:t xml:space="preserve">6 </w:t>
      </w:r>
      <w:r w:rsidRPr="00991A9E">
        <w:rPr>
          <w:szCs w:val="17"/>
        </w:rPr>
        <w:t xml:space="preserve">byl zaznamenán nárůst výdajů domácností </w:t>
      </w:r>
      <w:r w:rsidRPr="00991A9E">
        <w:rPr>
          <w:b/>
          <w:szCs w:val="17"/>
        </w:rPr>
        <w:t xml:space="preserve">na </w:t>
      </w:r>
      <w:r>
        <w:rPr>
          <w:b/>
          <w:szCs w:val="17"/>
        </w:rPr>
        <w:t xml:space="preserve">volně prodejné léky </w:t>
      </w:r>
      <w:r w:rsidRPr="00991A9E">
        <w:rPr>
          <w:szCs w:val="17"/>
        </w:rPr>
        <w:t>o</w:t>
      </w:r>
      <w:r>
        <w:rPr>
          <w:szCs w:val="17"/>
        </w:rPr>
        <w:t> 700 </w:t>
      </w:r>
      <w:r w:rsidRPr="00991A9E">
        <w:rPr>
          <w:szCs w:val="17"/>
        </w:rPr>
        <w:t xml:space="preserve">miliónů Kč </w:t>
      </w:r>
      <w:r>
        <w:rPr>
          <w:szCs w:val="17"/>
        </w:rPr>
        <w:t>(o 5,5 %) a dosáhly zatím historického maxima 13,4 mld. Kč. Uvedená částka za nákup léků bez předpisu tvoří čtvrtinu celkových výdajů českých domácnosti na zdravotní péči.</w:t>
      </w:r>
    </w:p>
    <w:p w:rsidR="00214E6F" w:rsidRPr="00991A9E" w:rsidRDefault="00214E6F" w:rsidP="00214E6F">
      <w:pPr>
        <w:spacing w:before="120"/>
        <w:jc w:val="both"/>
        <w:rPr>
          <w:szCs w:val="17"/>
        </w:rPr>
      </w:pPr>
      <w:r w:rsidRPr="00AF3C35">
        <w:rPr>
          <w:szCs w:val="17"/>
        </w:rPr>
        <w:t xml:space="preserve">Obdobný vývoj výdajů domácností byl zaznamenán i u </w:t>
      </w:r>
      <w:r>
        <w:rPr>
          <w:b/>
          <w:szCs w:val="17"/>
        </w:rPr>
        <w:t xml:space="preserve">léků na předpis. </w:t>
      </w:r>
      <w:r w:rsidRPr="00FD6226">
        <w:rPr>
          <w:szCs w:val="17"/>
        </w:rPr>
        <w:t>V</w:t>
      </w:r>
      <w:r>
        <w:rPr>
          <w:szCs w:val="17"/>
        </w:rPr>
        <w:t xml:space="preserve"> porovnání s rokem 2015 zůstaly výdaje domácností na tuto kategorii léků bez výrazných změn a jejich finanční hodnota se pohybovala na úrovni 10,3 mld. Kč. </w:t>
      </w:r>
    </w:p>
    <w:p w:rsidR="00214E6F" w:rsidRPr="007949E3" w:rsidRDefault="00214E6F" w:rsidP="00214E6F">
      <w:pPr>
        <w:spacing w:before="240" w:after="120"/>
        <w:rPr>
          <w:rFonts w:eastAsia="MS Gothic"/>
          <w:b/>
          <w:i/>
        </w:rPr>
      </w:pPr>
      <w:r>
        <w:rPr>
          <w:rFonts w:eastAsia="MS Gothic"/>
          <w:b/>
          <w:i/>
        </w:rPr>
        <w:t>Domácnosti uhradí každoročně zhruba 200 miliónů Kč za regulační poplatek za návštěvu pohotovosti</w:t>
      </w:r>
    </w:p>
    <w:p w:rsidR="00214E6F" w:rsidRDefault="00214E6F" w:rsidP="00214E6F">
      <w:pPr>
        <w:spacing w:before="120"/>
        <w:jc w:val="both"/>
        <w:rPr>
          <w:rFonts w:cs="Arial"/>
          <w:szCs w:val="20"/>
        </w:rPr>
      </w:pPr>
      <w:r w:rsidRPr="00991A9E">
        <w:rPr>
          <w:rFonts w:cs="Arial"/>
          <w:szCs w:val="20"/>
        </w:rPr>
        <w:t xml:space="preserve">V souladu se zákonem č.261/2007 Sb., o stabilizaci veřejných rozpočtů, kterým byl mimo jiné změněn zákon č.48/1997 Sb., o veřejném zdravotním pojištění, začali pacienti od počátku roku 2008 hradit zdravotnickým zařízením </w:t>
      </w:r>
      <w:r w:rsidRPr="00991A9E">
        <w:rPr>
          <w:rFonts w:cs="Arial"/>
          <w:b/>
          <w:szCs w:val="20"/>
        </w:rPr>
        <w:t>čtyři druhy regulačních poplatků</w:t>
      </w:r>
      <w:r>
        <w:rPr>
          <w:rFonts w:cs="Arial"/>
          <w:b/>
          <w:szCs w:val="20"/>
        </w:rPr>
        <w:t xml:space="preserve"> – za návštěvu lékaře v běžných ambulancích i na pohotovosti, za hospitalizaci</w:t>
      </w:r>
      <w:r w:rsidRPr="00991A9E">
        <w:rPr>
          <w:rFonts w:cs="Arial"/>
          <w:szCs w:val="20"/>
        </w:rPr>
        <w:t xml:space="preserve"> </w:t>
      </w:r>
      <w:r w:rsidRPr="00FD6226">
        <w:rPr>
          <w:rFonts w:cs="Arial"/>
          <w:b/>
          <w:szCs w:val="20"/>
        </w:rPr>
        <w:t>v nemocnici, ústavním či lázeňském zařízení a za recept</w:t>
      </w:r>
      <w:r>
        <w:rPr>
          <w:rFonts w:cs="Arial"/>
          <w:szCs w:val="20"/>
        </w:rPr>
        <w:t xml:space="preserve">. </w:t>
      </w:r>
      <w:r w:rsidRPr="00991A9E">
        <w:rPr>
          <w:rFonts w:cs="Arial"/>
          <w:szCs w:val="20"/>
        </w:rPr>
        <w:t>Cílem regulačních poplatků bylo především lepší využití prostředků veřejného zdravotního pojištění, omezení zbytečných návštěv u lékařů, neúčelné předepisování a</w:t>
      </w:r>
      <w:r>
        <w:rPr>
          <w:rFonts w:cs="Arial"/>
          <w:szCs w:val="20"/>
        </w:rPr>
        <w:t> </w:t>
      </w:r>
      <w:r w:rsidRPr="00991A9E">
        <w:rPr>
          <w:rFonts w:cs="Arial"/>
          <w:szCs w:val="20"/>
        </w:rPr>
        <w:t xml:space="preserve">ušetření výdajů za levné léky a přesunutí finančních prostředků na péči pro těžce nemocné pacienty. </w:t>
      </w:r>
    </w:p>
    <w:p w:rsidR="00214E6F" w:rsidRPr="00991A9E" w:rsidRDefault="00214E6F" w:rsidP="00214E6F">
      <w:pPr>
        <w:spacing w:before="120"/>
        <w:jc w:val="both"/>
        <w:rPr>
          <w:szCs w:val="20"/>
        </w:rPr>
      </w:pPr>
      <w:r>
        <w:rPr>
          <w:rFonts w:cs="Arial"/>
          <w:szCs w:val="20"/>
        </w:rPr>
        <w:lastRenderedPageBreak/>
        <w:t xml:space="preserve">V průběhu uplynulých let došlo u jednotlivých regulačních poplatků k některým legislativním změnám nebo byly postupně úplně zrušeny. </w:t>
      </w:r>
      <w:r w:rsidRPr="00991A9E">
        <w:rPr>
          <w:rFonts w:cs="Arial"/>
          <w:szCs w:val="20"/>
        </w:rPr>
        <w:t>V platnosti nadále zůstává devadesátikorunový regulační poplatek za využití lékařské a zubní pohotovosti.</w:t>
      </w:r>
    </w:p>
    <w:p w:rsidR="00214E6F" w:rsidRDefault="00214E6F" w:rsidP="00214E6F">
      <w:pPr>
        <w:keepNext/>
        <w:spacing w:before="240" w:after="120"/>
        <w:jc w:val="both"/>
        <w:rPr>
          <w:rFonts w:cs="Arial"/>
          <w:b/>
          <w:sz w:val="18"/>
          <w:szCs w:val="18"/>
        </w:rPr>
      </w:pPr>
      <w:r w:rsidRPr="00991A9E">
        <w:rPr>
          <w:rFonts w:cs="Arial"/>
          <w:b/>
          <w:sz w:val="18"/>
          <w:szCs w:val="18"/>
        </w:rPr>
        <w:t>Graf č. 3.2.4 Výdaje domácností v</w:t>
      </w:r>
      <w:r w:rsidR="00E1763E">
        <w:rPr>
          <w:rFonts w:cs="Arial"/>
          <w:b/>
          <w:sz w:val="18"/>
          <w:szCs w:val="18"/>
        </w:rPr>
        <w:t> </w:t>
      </w:r>
      <w:r w:rsidR="0034055C">
        <w:rPr>
          <w:rFonts w:cs="Arial"/>
          <w:b/>
          <w:sz w:val="18"/>
          <w:szCs w:val="18"/>
        </w:rPr>
        <w:t>Č</w:t>
      </w:r>
      <w:r w:rsidR="00E1763E">
        <w:rPr>
          <w:rFonts w:cs="Arial"/>
          <w:b/>
          <w:sz w:val="18"/>
          <w:szCs w:val="18"/>
        </w:rPr>
        <w:t xml:space="preserve">esku </w:t>
      </w:r>
      <w:r w:rsidRPr="00991A9E">
        <w:rPr>
          <w:rFonts w:cs="Arial"/>
          <w:b/>
          <w:sz w:val="18"/>
          <w:szCs w:val="18"/>
        </w:rPr>
        <w:t>na regulační poplatky, 2008-201</w:t>
      </w:r>
      <w:r>
        <w:rPr>
          <w:rFonts w:cs="Arial"/>
          <w:b/>
          <w:sz w:val="18"/>
          <w:szCs w:val="18"/>
        </w:rPr>
        <w:t>6</w:t>
      </w:r>
      <w:r w:rsidRPr="00991A9E">
        <w:rPr>
          <w:rFonts w:cs="Arial"/>
          <w:b/>
          <w:sz w:val="18"/>
          <w:szCs w:val="18"/>
        </w:rPr>
        <w:t xml:space="preserve"> (mil. Kč)</w:t>
      </w:r>
    </w:p>
    <w:p w:rsidR="00214E6F" w:rsidRDefault="00214E6F" w:rsidP="00214E6F">
      <w:pPr>
        <w:keepNext/>
        <w:spacing w:before="240" w:after="120"/>
        <w:rPr>
          <w:rFonts w:cs="Arial"/>
          <w:b/>
          <w:sz w:val="18"/>
          <w:szCs w:val="18"/>
        </w:rPr>
      </w:pPr>
      <w:r>
        <w:rPr>
          <w:noProof/>
        </w:rPr>
        <w:drawing>
          <wp:inline distT="0" distB="0" distL="0" distR="0">
            <wp:extent cx="6124575" cy="28800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4E6F" w:rsidRPr="00991A9E" w:rsidRDefault="00214E6F" w:rsidP="00214E6F">
      <w:pPr>
        <w:spacing w:before="120"/>
        <w:jc w:val="right"/>
        <w:rPr>
          <w:szCs w:val="17"/>
        </w:rPr>
      </w:pPr>
      <w:r w:rsidRPr="00991A9E">
        <w:rPr>
          <w:b/>
          <w:bCs/>
          <w:i/>
          <w:sz w:val="16"/>
          <w:szCs w:val="16"/>
        </w:rPr>
        <w:t>Zdroj: ČSÚ 201</w:t>
      </w:r>
      <w:r>
        <w:rPr>
          <w:b/>
          <w:bCs/>
          <w:i/>
          <w:sz w:val="16"/>
          <w:szCs w:val="16"/>
        </w:rPr>
        <w:t>8</w:t>
      </w:r>
      <w:r w:rsidRPr="00991A9E">
        <w:rPr>
          <w:b/>
          <w:bCs/>
          <w:i/>
          <w:sz w:val="16"/>
          <w:szCs w:val="16"/>
        </w:rPr>
        <w:t>, Zdravotnické účty ČR 2010 - 201</w:t>
      </w:r>
      <w:r>
        <w:rPr>
          <w:b/>
          <w:bCs/>
          <w:i/>
          <w:sz w:val="16"/>
          <w:szCs w:val="16"/>
        </w:rPr>
        <w:t>6</w:t>
      </w:r>
      <w:r w:rsidRPr="00991A9E">
        <w:rPr>
          <w:i/>
          <w:sz w:val="16"/>
          <w:szCs w:val="16"/>
        </w:rPr>
        <w:t xml:space="preserve"> </w:t>
      </w:r>
    </w:p>
    <w:p w:rsidR="00214E6F" w:rsidRDefault="00214E6F" w:rsidP="00214E6F">
      <w:pPr>
        <w:spacing w:before="120"/>
        <w:jc w:val="both"/>
      </w:pPr>
      <w:r w:rsidRPr="000B2479">
        <w:t>Jak ukazuje výše uvedený graf</w:t>
      </w:r>
      <w:r>
        <w:t xml:space="preserve">, </w:t>
      </w:r>
      <w:r w:rsidRPr="000B2479">
        <w:t xml:space="preserve">regulační poplatky </w:t>
      </w:r>
      <w:r>
        <w:t>přinesly</w:t>
      </w:r>
      <w:r w:rsidRPr="000B2479">
        <w:t xml:space="preserve"> do zdravotnického systému až do roku 2013 více než 5 mld. Kč. Po zrušení povinnosti pacientů hradit regulační poplatek ve výši 100 Kč na den za pobyt v lůžkových zařízeních </w:t>
      </w:r>
      <w:r>
        <w:t xml:space="preserve">se tato částka snížila </w:t>
      </w:r>
      <w:r w:rsidRPr="000B2479">
        <w:t xml:space="preserve">zhruba </w:t>
      </w:r>
      <w:r>
        <w:t xml:space="preserve">na </w:t>
      </w:r>
      <w:r w:rsidRPr="000B2479">
        <w:t>4 mld. Kč. V letech 2015 – 2016 utrati</w:t>
      </w:r>
      <w:r>
        <w:t>li lidé za využití pohotovostních služeb necelých 200 mil. Kč.</w:t>
      </w:r>
    </w:p>
    <w:p w:rsidR="00214E6F" w:rsidRPr="00991A9E" w:rsidRDefault="00214E6F" w:rsidP="00214E6F">
      <w:pPr>
        <w:spacing w:before="120"/>
        <w:jc w:val="both"/>
        <w:rPr>
          <w:szCs w:val="17"/>
        </w:rPr>
      </w:pPr>
      <w:r w:rsidRPr="00991A9E">
        <w:rPr>
          <w:szCs w:val="17"/>
        </w:rPr>
        <w:t>Na základě výše výdajů za regulační poplatky v roce 201</w:t>
      </w:r>
      <w:r>
        <w:rPr>
          <w:szCs w:val="17"/>
        </w:rPr>
        <w:t>6</w:t>
      </w:r>
      <w:r w:rsidRPr="00991A9E">
        <w:rPr>
          <w:szCs w:val="17"/>
        </w:rPr>
        <w:t xml:space="preserve"> mezi nejčastější diagnózy, se kterými lidé pohotovostní službu dlouhodobě vyhledávají, patří poranění, otravy a popáleniny (5</w:t>
      </w:r>
      <w:r>
        <w:rPr>
          <w:szCs w:val="17"/>
        </w:rPr>
        <w:t>6</w:t>
      </w:r>
      <w:r w:rsidRPr="00991A9E">
        <w:rPr>
          <w:szCs w:val="17"/>
        </w:rPr>
        <w:t xml:space="preserve"> mil. Kč), nemoci dýchacích cest (25 mil. Kč) a onemocnění trávicí soustavy (2</w:t>
      </w:r>
      <w:r>
        <w:rPr>
          <w:szCs w:val="17"/>
        </w:rPr>
        <w:t>1</w:t>
      </w:r>
      <w:r w:rsidRPr="00991A9E">
        <w:rPr>
          <w:szCs w:val="17"/>
        </w:rPr>
        <w:t xml:space="preserve"> mil. Kč).</w:t>
      </w:r>
      <w:r>
        <w:rPr>
          <w:szCs w:val="17"/>
        </w:rPr>
        <w:t xml:space="preserve"> Podle výše regulačních poplatků podle věkových skupin a pohlaví vyhledávají nejčastěji pohotovostní služby s poraněními, otravami a popáleninami muži ve věku 20 – 29 let (3,3 mil. Kč) a dívky ve věku 10 </w:t>
      </w:r>
      <w:r w:rsidR="0051478D">
        <w:rPr>
          <w:szCs w:val="17"/>
        </w:rPr>
        <w:t xml:space="preserve">– </w:t>
      </w:r>
      <w:r>
        <w:rPr>
          <w:szCs w:val="17"/>
        </w:rPr>
        <w:t>14 let (2,4 mil. Kč). S obtížemi dýchacího ústroj</w:t>
      </w:r>
      <w:r w:rsidR="00C85E96">
        <w:rPr>
          <w:szCs w:val="17"/>
        </w:rPr>
        <w:t>í</w:t>
      </w:r>
      <w:r>
        <w:rPr>
          <w:szCs w:val="17"/>
        </w:rPr>
        <w:t xml:space="preserve"> jsou nejčastějšími pacienty na pohotovosti děti do 4 let (chlapci 3,4 mil. Kč a dívky 2,7 mil. Kč) a s nemocemi zažívacího traktu lidé ve věku 25 – 29 let (shodná výše regulačního poplatku 1,2 mil. Kč).</w:t>
      </w:r>
    </w:p>
    <w:p w:rsidR="00214E6F" w:rsidRPr="007949E3" w:rsidRDefault="00214E6F" w:rsidP="00214E6F">
      <w:pPr>
        <w:spacing w:before="240" w:after="120"/>
        <w:rPr>
          <w:b/>
          <w:i/>
        </w:rPr>
      </w:pPr>
      <w:r w:rsidRPr="007949E3">
        <w:rPr>
          <w:b/>
          <w:i/>
        </w:rPr>
        <w:t>Kdo a kdy neplatí za pohotovost</w:t>
      </w:r>
    </w:p>
    <w:p w:rsidR="00214E6F" w:rsidRPr="00FB007E" w:rsidRDefault="00214E6F" w:rsidP="00214E6F">
      <w:pPr>
        <w:spacing w:before="120" w:after="120"/>
        <w:jc w:val="both"/>
        <w:rPr>
          <w:rFonts w:cs="Arial"/>
          <w:i/>
          <w:szCs w:val="20"/>
        </w:rPr>
      </w:pPr>
      <w:r w:rsidRPr="00FB007E">
        <w:rPr>
          <w:rFonts w:cs="Arial"/>
          <w:i/>
          <w:szCs w:val="20"/>
        </w:rPr>
        <w:t>Pokud v rámci pohotovostní služby ošetřující lékař shledá, že stav pacienta vyžaduje hospitalizaci, regulační poplatek se neplatí.</w:t>
      </w:r>
      <w:r w:rsidR="00FB007E" w:rsidRPr="00FB007E">
        <w:rPr>
          <w:rFonts w:cs="Arial"/>
          <w:i/>
          <w:szCs w:val="20"/>
        </w:rPr>
        <w:t xml:space="preserve"> </w:t>
      </w:r>
      <w:r w:rsidRPr="00FB007E">
        <w:rPr>
          <w:rFonts w:cs="Arial"/>
          <w:i/>
          <w:szCs w:val="20"/>
        </w:rPr>
        <w:t xml:space="preserve">Regulační poplatek za pohotovost neplatí pojištěnci v dětských domovech pro děti do tří let, ve školských zařízeních pro výkon ústavní či ochranné výchovy a v domovech pro osoby se zdravotním postižením. Dále je neplatí také pojištěnci svěření rozhodnutím soudu do pěstounské péče, poručnické péče nebo do péče jiné osoby podle občanského zákoníku. </w:t>
      </w:r>
    </w:p>
    <w:p w:rsidR="00214E6F" w:rsidRPr="00FB007E" w:rsidRDefault="00214E6F" w:rsidP="00214E6F">
      <w:pPr>
        <w:spacing w:before="120" w:after="120"/>
        <w:jc w:val="both"/>
        <w:rPr>
          <w:rFonts w:cs="Arial"/>
          <w:i/>
          <w:szCs w:val="20"/>
        </w:rPr>
      </w:pPr>
      <w:r w:rsidRPr="00FB007E">
        <w:rPr>
          <w:rFonts w:cs="Arial"/>
          <w:i/>
          <w:szCs w:val="20"/>
        </w:rPr>
        <w:t>Regulační poplatek nehradí ani pacienti z domovů pro osoby se zdravotním postižením, domovů pro seniory, domovů se zvláštním režimem nebo v lůžkových zdravotnických zařízeních, pokud jim po úhradě ubytování a stravy zbude méně než 800 korun měsíčně, případně žádný příjem nemají. Osvobozeni od poplatku jsou také ti, kdo se prokážou dokladem o dávce v hmotné nouzi, který není starší než 30 dnů.</w:t>
      </w:r>
    </w:p>
    <w:p w:rsidR="00214E6F" w:rsidRPr="00FB007E" w:rsidRDefault="00214E6F" w:rsidP="00214E6F">
      <w:pPr>
        <w:spacing w:before="120" w:after="120"/>
        <w:jc w:val="both"/>
        <w:rPr>
          <w:rFonts w:cs="Arial"/>
          <w:i/>
          <w:szCs w:val="20"/>
        </w:rPr>
      </w:pPr>
      <w:r w:rsidRPr="00FB007E">
        <w:rPr>
          <w:rFonts w:cs="Arial"/>
          <w:i/>
          <w:szCs w:val="20"/>
        </w:rPr>
        <w:t>Na návštěvní službu, tedy přivolání lékaře do domácnosti, se regulační poplatek jako za pohotovost nevztahuje.</w:t>
      </w:r>
    </w:p>
    <w:p w:rsidR="00214E6F" w:rsidRPr="00AB64E8" w:rsidRDefault="00214E6F" w:rsidP="00214E6F">
      <w:pPr>
        <w:pStyle w:val="Nadpis2"/>
        <w:spacing w:after="200"/>
      </w:pPr>
      <w:bookmarkStart w:id="29" w:name="_Toc481748794"/>
      <w:r>
        <w:lastRenderedPageBreak/>
        <w:t>3</w:t>
      </w:r>
      <w:r w:rsidRPr="00AB64E8">
        <w:t>.3. Výdaje na dlouhodobou péči</w:t>
      </w:r>
      <w:bookmarkEnd w:id="29"/>
    </w:p>
    <w:p w:rsidR="00214E6F" w:rsidRPr="00AB64E8" w:rsidRDefault="00214E6F" w:rsidP="00214E6F">
      <w:pPr>
        <w:keepNext/>
        <w:spacing w:before="120"/>
        <w:jc w:val="both"/>
        <w:rPr>
          <w:rFonts w:eastAsia="Calibri" w:cs="Arial"/>
          <w:szCs w:val="20"/>
          <w:lang w:eastAsia="en-US"/>
        </w:rPr>
      </w:pPr>
      <w:r w:rsidRPr="00AB64E8">
        <w:rPr>
          <w:rFonts w:eastAsia="Calibri" w:cs="Arial"/>
          <w:szCs w:val="20"/>
          <w:lang w:eastAsia="en-US"/>
        </w:rPr>
        <w:t xml:space="preserve">Zdravotnické účty v minulosti zahrnovaly pouze výdaje na dlouhodobou zdravotní péči, která byla financována z veřejných zdrojů a zdravotních pojišťoven. V návaznosti na novou metodiku SHA 2011 byla do tohoto systému nově zařazena </w:t>
      </w:r>
      <w:r w:rsidR="00C901F9">
        <w:rPr>
          <w:rFonts w:eastAsia="Calibri" w:cs="Arial"/>
          <w:szCs w:val="20"/>
          <w:lang w:eastAsia="en-US"/>
        </w:rPr>
        <w:t xml:space="preserve">také </w:t>
      </w:r>
      <w:r w:rsidRPr="00AB64E8">
        <w:rPr>
          <w:rFonts w:eastAsia="Calibri" w:cs="Arial"/>
          <w:szCs w:val="20"/>
          <w:lang w:eastAsia="en-US"/>
        </w:rPr>
        <w:t>položka dlouhodob</w:t>
      </w:r>
      <w:r w:rsidR="00C901F9">
        <w:rPr>
          <w:rFonts w:eastAsia="Calibri" w:cs="Arial"/>
          <w:szCs w:val="20"/>
          <w:lang w:eastAsia="en-US"/>
        </w:rPr>
        <w:t>á</w:t>
      </w:r>
      <w:r w:rsidRPr="00AB64E8">
        <w:rPr>
          <w:rFonts w:eastAsia="Calibri" w:cs="Arial"/>
          <w:szCs w:val="20"/>
          <w:lang w:eastAsia="en-US"/>
        </w:rPr>
        <w:t xml:space="preserve"> sociální péče a rozšířeny výdaje na dlouhodobou zdravotní péči lůžkovou a denní o vybraná zařízení sociálních služeb </w:t>
      </w:r>
      <w:r w:rsidR="00C901F9">
        <w:rPr>
          <w:rFonts w:eastAsia="Calibri" w:cs="Arial"/>
          <w:szCs w:val="20"/>
          <w:lang w:eastAsia="en-US"/>
        </w:rPr>
        <w:t xml:space="preserve">- </w:t>
      </w:r>
      <w:r w:rsidRPr="00AB64E8">
        <w:rPr>
          <w:rFonts w:eastAsia="Calibri" w:cs="Arial"/>
          <w:szCs w:val="20"/>
          <w:lang w:eastAsia="en-US"/>
        </w:rPr>
        <w:t xml:space="preserve">např. denní a týdenní stacionáře, chráněné bydlení, pečovatelské služby atd. Před zahájením sběru dat bylo nutné definovat ve spolupráci se zástupci Ministerstva práce a sociálních věcí ČR veškeré výdajové položky realizované v podmínkách ČR v oblasti </w:t>
      </w:r>
      <w:r w:rsidRPr="00AB64E8">
        <w:rPr>
          <w:rFonts w:eastAsia="Calibri" w:cs="Arial"/>
          <w:b/>
          <w:szCs w:val="20"/>
          <w:lang w:eastAsia="en-US"/>
        </w:rPr>
        <w:t>zdravotně-sociální péče</w:t>
      </w:r>
      <w:r w:rsidRPr="00AB64E8">
        <w:rPr>
          <w:rFonts w:eastAsia="Calibri" w:cs="Arial"/>
          <w:szCs w:val="20"/>
          <w:lang w:eastAsia="en-US"/>
        </w:rPr>
        <w:t xml:space="preserve">. Podrobné informace obsahuje </w:t>
      </w:r>
      <w:r w:rsidRPr="00985DC2">
        <w:rPr>
          <w:rFonts w:eastAsia="Calibri" w:cs="Arial"/>
          <w:szCs w:val="20"/>
          <w:lang w:eastAsia="en-US"/>
        </w:rPr>
        <w:t>metodická příloha</w:t>
      </w:r>
      <w:r w:rsidRPr="00AB64E8">
        <w:rPr>
          <w:rFonts w:eastAsia="Calibri" w:cs="Arial"/>
          <w:szCs w:val="20"/>
          <w:lang w:eastAsia="en-US"/>
        </w:rPr>
        <w:t xml:space="preserve">.  </w:t>
      </w:r>
    </w:p>
    <w:p w:rsidR="00214E6F" w:rsidRPr="00AB64E8" w:rsidRDefault="00214E6F" w:rsidP="00214E6F">
      <w:pPr>
        <w:keepNext/>
        <w:spacing w:before="120"/>
        <w:jc w:val="both"/>
        <w:rPr>
          <w:rFonts w:eastAsia="Calibri" w:cs="Arial"/>
          <w:szCs w:val="20"/>
          <w:lang w:eastAsia="en-US"/>
        </w:rPr>
      </w:pPr>
      <w:r w:rsidRPr="00AB64E8">
        <w:rPr>
          <w:rFonts w:eastAsia="Calibri" w:cs="Arial"/>
          <w:szCs w:val="20"/>
          <w:lang w:eastAsia="en-US"/>
        </w:rPr>
        <w:t xml:space="preserve">V praxi není jednoduché oddělit zdravotní a sociální stránku dlouhodobé péče, neboť stav pacienta (klienta) vyžaduje oba typy péče. V širším slova smyslu komplex dlouhodobé péče představují některé služby zdravotnické (léčba, rehabilitace, preskripce léků a pomůcek) a také pomocné a podpůrné sociální služby (zvládání běžných úkonů péče o vlastní osobu, zajištění chodu domácnosti, stravování, sociální aktivity). </w:t>
      </w:r>
    </w:p>
    <w:p w:rsidR="00214E6F" w:rsidRPr="00AB64E8" w:rsidRDefault="00214E6F" w:rsidP="00214E6F">
      <w:pPr>
        <w:keepNext/>
        <w:spacing w:before="120"/>
        <w:jc w:val="both"/>
        <w:rPr>
          <w:rFonts w:eastAsia="Calibri" w:cs="Arial"/>
          <w:szCs w:val="20"/>
          <w:lang w:eastAsia="en-US"/>
        </w:rPr>
      </w:pPr>
      <w:r w:rsidRPr="00AB64E8">
        <w:rPr>
          <w:szCs w:val="20"/>
        </w:rPr>
        <w:t xml:space="preserve">Dlouhodobá péče tak </w:t>
      </w:r>
      <w:r w:rsidRPr="00AB64E8">
        <w:rPr>
          <w:b/>
          <w:szCs w:val="20"/>
        </w:rPr>
        <w:t>spojuje řadu zdravotních a sociálních služeb</w:t>
      </w:r>
      <w:r w:rsidRPr="00AB64E8">
        <w:rPr>
          <w:szCs w:val="20"/>
        </w:rPr>
        <w:t xml:space="preserve"> přizpůsobených potřebám osob, které</w:t>
      </w:r>
      <w:r>
        <w:rPr>
          <w:szCs w:val="20"/>
        </w:rPr>
        <w:t> </w:t>
      </w:r>
      <w:r w:rsidRPr="00AB64E8">
        <w:rPr>
          <w:szCs w:val="20"/>
        </w:rPr>
        <w:t>jsou v základních činnostech každodenního života dlou</w:t>
      </w:r>
      <w:r>
        <w:rPr>
          <w:szCs w:val="20"/>
        </w:rPr>
        <w:t>hodobě závislé na pomoci jiných</w:t>
      </w:r>
      <w:r w:rsidRPr="00AB64E8">
        <w:rPr>
          <w:szCs w:val="20"/>
        </w:rPr>
        <w:t xml:space="preserve"> v důsledku chronického onemocnění či jiných příčin postižení. </w:t>
      </w:r>
      <w:r w:rsidRPr="00AB64E8">
        <w:rPr>
          <w:rFonts w:cs="Arial"/>
          <w:bCs/>
          <w:szCs w:val="20"/>
        </w:rPr>
        <w:t>Dlouhodobou péčí rozumíme jak péči v domácím prostředí</w:t>
      </w:r>
      <w:r w:rsidRPr="00AB64E8">
        <w:rPr>
          <w:rFonts w:eastAsia="Calibri" w:cs="Arial"/>
          <w:bCs/>
          <w:szCs w:val="20"/>
          <w:lang w:eastAsia="en-US"/>
        </w:rPr>
        <w:t xml:space="preserve">, </w:t>
      </w:r>
      <w:r w:rsidRPr="00AB64E8">
        <w:rPr>
          <w:rFonts w:cs="Arial"/>
          <w:bCs/>
          <w:szCs w:val="20"/>
        </w:rPr>
        <w:t>tak péči v</w:t>
      </w:r>
      <w:r w:rsidRPr="00AB64E8">
        <w:rPr>
          <w:rFonts w:eastAsia="Calibri" w:cs="Arial"/>
          <w:bCs/>
          <w:szCs w:val="20"/>
          <w:lang w:eastAsia="en-US"/>
        </w:rPr>
        <w:t> </w:t>
      </w:r>
      <w:r w:rsidRPr="00AB64E8">
        <w:rPr>
          <w:rFonts w:cs="Arial"/>
          <w:bCs/>
          <w:szCs w:val="20"/>
        </w:rPr>
        <w:t xml:space="preserve">institucích. </w:t>
      </w:r>
      <w:r w:rsidRPr="00AB64E8">
        <w:t>Dlouhodobou péči potřebují lidé v důsledku zhoršené schopnosti postarat se sami o sebe, která může být vrozená nebo získaná v průběhu života, obvykle bezprostředně souvisí se zhoršením zdravotního stavu.</w:t>
      </w:r>
      <w:r w:rsidRPr="00AB64E8">
        <w:rPr>
          <w:rFonts w:eastAsia="Calibri" w:cs="Arial"/>
          <w:szCs w:val="20"/>
          <w:lang w:eastAsia="en-US"/>
        </w:rPr>
        <w:t xml:space="preserve"> Služby dlouhodobé péče využívají </w:t>
      </w:r>
      <w:r w:rsidRPr="00AB64E8">
        <w:rPr>
          <w:rFonts w:cs="Arial"/>
          <w:szCs w:val="20"/>
        </w:rPr>
        <w:t>nejčastěji</w:t>
      </w:r>
      <w:r w:rsidRPr="00AB64E8">
        <w:rPr>
          <w:rFonts w:eastAsia="Calibri" w:cs="Arial"/>
          <w:szCs w:val="20"/>
          <w:lang w:eastAsia="en-US"/>
        </w:rPr>
        <w:t xml:space="preserve"> lidé ve vyšším seniorském věku a</w:t>
      </w:r>
      <w:r>
        <w:rPr>
          <w:rFonts w:eastAsia="Calibri" w:cs="Arial"/>
          <w:szCs w:val="20"/>
          <w:lang w:eastAsia="en-US"/>
        </w:rPr>
        <w:t> </w:t>
      </w:r>
      <w:r w:rsidRPr="00AB64E8">
        <w:rPr>
          <w:rFonts w:eastAsia="Calibri" w:cs="Arial"/>
          <w:szCs w:val="20"/>
          <w:lang w:eastAsia="en-US"/>
        </w:rPr>
        <w:t>osoby s tělesným či duševním postižením.</w:t>
      </w:r>
    </w:p>
    <w:p w:rsidR="00214E6F" w:rsidRPr="00AB64E8" w:rsidRDefault="00214E6F" w:rsidP="00214E6F">
      <w:pPr>
        <w:pStyle w:val="Nadpis3"/>
      </w:pPr>
      <w:bookmarkStart w:id="30" w:name="_Toc481748795"/>
      <w:r w:rsidRPr="00AB64E8">
        <w:t xml:space="preserve">3.3.1. </w:t>
      </w:r>
      <w:bookmarkEnd w:id="30"/>
      <w:r w:rsidR="00930E84">
        <w:t>Celkové výdaje na dlouhodobou péči</w:t>
      </w:r>
    </w:p>
    <w:p w:rsidR="00214E6F" w:rsidRPr="00AB64E8" w:rsidRDefault="00214E6F" w:rsidP="00214E6F">
      <w:pPr>
        <w:spacing w:before="120"/>
        <w:jc w:val="both"/>
        <w:rPr>
          <w:rFonts w:eastAsia="Calibri" w:cs="Arial"/>
          <w:szCs w:val="20"/>
          <w:lang w:eastAsia="en-US"/>
        </w:rPr>
      </w:pPr>
      <w:r w:rsidRPr="00AB64E8">
        <w:rPr>
          <w:rFonts w:cs="Arial"/>
          <w:b/>
          <w:szCs w:val="20"/>
        </w:rPr>
        <w:t>V roce 201</w:t>
      </w:r>
      <w:r>
        <w:rPr>
          <w:rFonts w:cs="Arial"/>
          <w:b/>
          <w:szCs w:val="20"/>
        </w:rPr>
        <w:t>6</w:t>
      </w:r>
      <w:r w:rsidRPr="00AB64E8">
        <w:rPr>
          <w:rFonts w:cs="Arial"/>
          <w:b/>
          <w:szCs w:val="20"/>
        </w:rPr>
        <w:t xml:space="preserve"> tvořily souhrnné výdaje na dlouhodobou péči 6</w:t>
      </w:r>
      <w:r>
        <w:rPr>
          <w:rFonts w:cs="Arial"/>
          <w:b/>
          <w:szCs w:val="20"/>
        </w:rPr>
        <w:t>5,3</w:t>
      </w:r>
      <w:r w:rsidRPr="00AB64E8">
        <w:rPr>
          <w:rFonts w:cs="Arial"/>
          <w:b/>
          <w:szCs w:val="20"/>
        </w:rPr>
        <w:t xml:space="preserve"> mld. Kč</w:t>
      </w:r>
      <w:r w:rsidRPr="00AB64E8">
        <w:rPr>
          <w:rFonts w:cs="Arial"/>
          <w:szCs w:val="20"/>
        </w:rPr>
        <w:t>, což představovalo 1</w:t>
      </w:r>
      <w:r>
        <w:rPr>
          <w:rFonts w:cs="Arial"/>
          <w:szCs w:val="20"/>
        </w:rPr>
        <w:t>8</w:t>
      </w:r>
      <w:r w:rsidRPr="00AB64E8">
        <w:rPr>
          <w:rFonts w:cs="Arial"/>
          <w:szCs w:val="20"/>
        </w:rPr>
        <w:t> % z</w:t>
      </w:r>
      <w:r>
        <w:rPr>
          <w:rFonts w:cs="Arial"/>
          <w:szCs w:val="20"/>
        </w:rPr>
        <w:t> běžných výdajů</w:t>
      </w:r>
      <w:r w:rsidRPr="00AB64E8">
        <w:rPr>
          <w:rFonts w:cs="Arial"/>
          <w:szCs w:val="20"/>
        </w:rPr>
        <w:t xml:space="preserve"> na zdravotní péči, které dosáhly v daném roce 3</w:t>
      </w:r>
      <w:r>
        <w:rPr>
          <w:rFonts w:cs="Arial"/>
          <w:szCs w:val="20"/>
        </w:rPr>
        <w:t>61,6</w:t>
      </w:r>
      <w:r w:rsidRPr="00AB64E8">
        <w:rPr>
          <w:rFonts w:cs="Arial"/>
          <w:szCs w:val="20"/>
        </w:rPr>
        <w:t xml:space="preserve"> mld. Kč. Přestože závislost na péči druhých osob přirozeně narůstá s věkem, je nutné mít na paměti, že potřeba dlouhodobé péče se týká také dětí a osob v produktivním věku. Pokud bychom však uvedenou částku 6</w:t>
      </w:r>
      <w:r>
        <w:rPr>
          <w:rFonts w:cs="Arial"/>
          <w:szCs w:val="20"/>
        </w:rPr>
        <w:t>5,3</w:t>
      </w:r>
      <w:r w:rsidRPr="00AB64E8">
        <w:rPr>
          <w:rFonts w:cs="Arial"/>
          <w:szCs w:val="20"/>
        </w:rPr>
        <w:t xml:space="preserve"> mld. Kč rozdělili mezi obyvatele ČR starší 65 let, kteří dlouhodobou péči potřebují</w:t>
      </w:r>
      <w:r w:rsidR="00C901F9">
        <w:rPr>
          <w:rFonts w:cs="Arial"/>
          <w:szCs w:val="20"/>
        </w:rPr>
        <w:t xml:space="preserve"> </w:t>
      </w:r>
      <w:r w:rsidR="00C901F9" w:rsidRPr="00AB64E8">
        <w:rPr>
          <w:rFonts w:cs="Arial"/>
          <w:szCs w:val="20"/>
        </w:rPr>
        <w:t>nejčastěji</w:t>
      </w:r>
      <w:r w:rsidRPr="00AB64E8">
        <w:rPr>
          <w:rFonts w:cs="Arial"/>
          <w:szCs w:val="20"/>
        </w:rPr>
        <w:t>, pak by průměrné roční náklady na jednoho seniora tvořily 3</w:t>
      </w:r>
      <w:r>
        <w:rPr>
          <w:rFonts w:cs="Arial"/>
          <w:szCs w:val="20"/>
        </w:rPr>
        <w:t>3,3</w:t>
      </w:r>
      <w:r w:rsidRPr="00AB64E8">
        <w:rPr>
          <w:rFonts w:cs="Arial"/>
          <w:szCs w:val="20"/>
        </w:rPr>
        <w:t xml:space="preserve"> tisíc Kč. Sledované výdaje ve skupině dlouhodobé péče byly v roce 201</w:t>
      </w:r>
      <w:r>
        <w:rPr>
          <w:rFonts w:cs="Arial"/>
          <w:szCs w:val="20"/>
        </w:rPr>
        <w:t>6</w:t>
      </w:r>
      <w:r w:rsidRPr="00AB64E8">
        <w:rPr>
          <w:rFonts w:cs="Arial"/>
          <w:szCs w:val="20"/>
        </w:rPr>
        <w:t xml:space="preserve"> složeny z 69 % (v absolutních hodnotách 4</w:t>
      </w:r>
      <w:r>
        <w:rPr>
          <w:rFonts w:cs="Arial"/>
          <w:szCs w:val="20"/>
        </w:rPr>
        <w:t>5,1</w:t>
      </w:r>
      <w:r w:rsidRPr="00AB64E8">
        <w:rPr>
          <w:rFonts w:cs="Arial"/>
          <w:szCs w:val="20"/>
        </w:rPr>
        <w:t xml:space="preserve"> mld. Kč)</w:t>
      </w:r>
      <w:r>
        <w:rPr>
          <w:rFonts w:cs="Arial"/>
          <w:szCs w:val="20"/>
        </w:rPr>
        <w:t xml:space="preserve"> z</w:t>
      </w:r>
      <w:r w:rsidRPr="00AB64E8">
        <w:rPr>
          <w:rFonts w:cs="Arial"/>
          <w:szCs w:val="20"/>
        </w:rPr>
        <w:t xml:space="preserve"> </w:t>
      </w:r>
      <w:r w:rsidRPr="00AB64E8">
        <w:rPr>
          <w:rFonts w:cs="Arial"/>
          <w:b/>
          <w:szCs w:val="20"/>
        </w:rPr>
        <w:t>dlouhodobé péče zdravotní</w:t>
      </w:r>
      <w:r w:rsidRPr="00AB64E8">
        <w:rPr>
          <w:rFonts w:cs="Arial"/>
          <w:szCs w:val="20"/>
        </w:rPr>
        <w:t xml:space="preserve"> a zbývajících 31 % (v</w:t>
      </w:r>
      <w:r>
        <w:rPr>
          <w:rFonts w:cs="Arial"/>
          <w:szCs w:val="20"/>
        </w:rPr>
        <w:t> </w:t>
      </w:r>
      <w:r w:rsidRPr="00AB64E8">
        <w:rPr>
          <w:rFonts w:cs="Arial"/>
          <w:szCs w:val="20"/>
        </w:rPr>
        <w:t xml:space="preserve">absolutních hodnotách </w:t>
      </w:r>
      <w:r>
        <w:rPr>
          <w:rFonts w:cs="Arial"/>
          <w:szCs w:val="20"/>
        </w:rPr>
        <w:t>20,1</w:t>
      </w:r>
      <w:r w:rsidRPr="00AB64E8">
        <w:rPr>
          <w:rFonts w:cs="Arial"/>
          <w:szCs w:val="20"/>
        </w:rPr>
        <w:t xml:space="preserve"> mld. Kč) se vztahuje k níže uvedeným </w:t>
      </w:r>
      <w:r w:rsidRPr="00AB64E8">
        <w:rPr>
          <w:rFonts w:cs="Arial"/>
          <w:b/>
          <w:szCs w:val="20"/>
        </w:rPr>
        <w:t>službám sociální péče</w:t>
      </w:r>
      <w:r w:rsidRPr="00AB64E8">
        <w:rPr>
          <w:rFonts w:cs="Arial"/>
          <w:szCs w:val="20"/>
        </w:rPr>
        <w:t xml:space="preserve"> určeným pro osoby </w:t>
      </w:r>
      <w:r w:rsidRPr="00AB64E8">
        <w:rPr>
          <w:rFonts w:eastAsia="Calibri" w:cs="Arial"/>
          <w:szCs w:val="20"/>
          <w:lang w:eastAsia="en-US"/>
        </w:rPr>
        <w:t>potřebujících zároveň péči zdravotnickou.</w:t>
      </w:r>
    </w:p>
    <w:p w:rsidR="00214E6F" w:rsidRDefault="00214E6F" w:rsidP="00214E6F">
      <w:pPr>
        <w:spacing w:before="120"/>
        <w:jc w:val="both"/>
        <w:rPr>
          <w:rFonts w:cs="Arial"/>
          <w:b/>
          <w:sz w:val="18"/>
          <w:szCs w:val="18"/>
        </w:rPr>
      </w:pPr>
      <w:r w:rsidRPr="00AB64E8">
        <w:rPr>
          <w:rFonts w:cs="Arial"/>
          <w:b/>
          <w:sz w:val="18"/>
          <w:szCs w:val="18"/>
        </w:rPr>
        <w:t>Graf č. 3.3.1 Výdaje na dlouhodobou</w:t>
      </w:r>
      <w:r>
        <w:rPr>
          <w:rFonts w:cs="Arial"/>
          <w:b/>
          <w:sz w:val="18"/>
          <w:szCs w:val="18"/>
        </w:rPr>
        <w:t xml:space="preserve"> </w:t>
      </w:r>
      <w:r w:rsidRPr="00AB64E8">
        <w:rPr>
          <w:rFonts w:cs="Arial"/>
          <w:b/>
          <w:sz w:val="18"/>
          <w:szCs w:val="18"/>
        </w:rPr>
        <w:t>zdravotní a související sociální péči v Č</w:t>
      </w:r>
      <w:r w:rsidR="00005515">
        <w:rPr>
          <w:rFonts w:cs="Arial"/>
          <w:b/>
          <w:sz w:val="18"/>
          <w:szCs w:val="18"/>
        </w:rPr>
        <w:t>esku</w:t>
      </w:r>
      <w:r w:rsidRPr="00AB64E8">
        <w:rPr>
          <w:rFonts w:cs="Arial"/>
          <w:b/>
          <w:sz w:val="18"/>
          <w:szCs w:val="18"/>
        </w:rPr>
        <w:t>, 2010-201</w:t>
      </w:r>
      <w:r>
        <w:rPr>
          <w:rFonts w:cs="Arial"/>
          <w:b/>
          <w:sz w:val="18"/>
          <w:szCs w:val="18"/>
        </w:rPr>
        <w:t>6</w:t>
      </w:r>
      <w:r w:rsidRPr="00AB64E8">
        <w:rPr>
          <w:rFonts w:cs="Arial"/>
          <w:b/>
          <w:sz w:val="18"/>
          <w:szCs w:val="18"/>
        </w:rPr>
        <w:t xml:space="preserve"> (mld. Kč; %)</w:t>
      </w:r>
    </w:p>
    <w:p w:rsidR="00214E6F" w:rsidRDefault="00214E6F" w:rsidP="00214E6F">
      <w:pPr>
        <w:spacing w:before="120"/>
        <w:rPr>
          <w:rFonts w:cs="Arial"/>
          <w:b/>
          <w:sz w:val="18"/>
          <w:szCs w:val="18"/>
        </w:rPr>
      </w:pPr>
      <w:r>
        <w:rPr>
          <w:noProof/>
        </w:rPr>
        <w:drawing>
          <wp:inline distT="0" distB="0" distL="0" distR="0">
            <wp:extent cx="6067425" cy="2736000"/>
            <wp:effectExtent l="0" t="0" r="0" b="762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4E6F" w:rsidRPr="00AB64E8" w:rsidRDefault="00214E6F" w:rsidP="00214E6F">
      <w:pPr>
        <w:spacing w:after="200"/>
        <w:jc w:val="right"/>
        <w:rPr>
          <w:i/>
          <w:sz w:val="16"/>
          <w:szCs w:val="16"/>
        </w:rPr>
      </w:pPr>
      <w:r w:rsidRPr="00AB64E8">
        <w:rPr>
          <w:b/>
          <w:i/>
          <w:sz w:val="16"/>
          <w:szCs w:val="16"/>
        </w:rPr>
        <w:t>Zdroj: ČSÚ 201</w:t>
      </w:r>
      <w:r>
        <w:rPr>
          <w:b/>
          <w:i/>
          <w:sz w:val="16"/>
          <w:szCs w:val="16"/>
        </w:rPr>
        <w:t>8</w:t>
      </w:r>
      <w:r w:rsidRPr="00AB64E8">
        <w:rPr>
          <w:b/>
          <w:i/>
          <w:sz w:val="16"/>
          <w:szCs w:val="16"/>
        </w:rPr>
        <w:t>, Zdravotnické účty ČR 2010 - 201</w:t>
      </w:r>
      <w:r>
        <w:rPr>
          <w:b/>
          <w:i/>
          <w:sz w:val="16"/>
          <w:szCs w:val="16"/>
        </w:rPr>
        <w:t>6</w:t>
      </w:r>
      <w:r w:rsidRPr="00AB64E8">
        <w:rPr>
          <w:i/>
          <w:sz w:val="16"/>
          <w:szCs w:val="16"/>
        </w:rPr>
        <w:t xml:space="preserve"> </w:t>
      </w:r>
    </w:p>
    <w:p w:rsidR="00214E6F" w:rsidRPr="0087055B" w:rsidRDefault="00214E6F" w:rsidP="00214E6F">
      <w:pPr>
        <w:spacing w:before="120"/>
        <w:jc w:val="both"/>
        <w:rPr>
          <w:sz w:val="2"/>
        </w:rPr>
      </w:pPr>
      <w:r w:rsidRPr="00AB64E8">
        <w:rPr>
          <w:b/>
        </w:rPr>
        <w:lastRenderedPageBreak/>
        <w:t>V letech 2010 až 201</w:t>
      </w:r>
      <w:r>
        <w:rPr>
          <w:b/>
        </w:rPr>
        <w:t>6</w:t>
      </w:r>
      <w:r w:rsidRPr="00AB64E8">
        <w:t xml:space="preserve"> se podíl dlouhodobé péče na celkových </w:t>
      </w:r>
      <w:r>
        <w:t xml:space="preserve">běžných </w:t>
      </w:r>
      <w:r w:rsidRPr="00AB64E8">
        <w:t xml:space="preserve">výdajích na zdravotní péči pohyboval v České republice </w:t>
      </w:r>
      <w:r w:rsidRPr="00AB64E8">
        <w:rPr>
          <w:b/>
        </w:rPr>
        <w:t>mezi 1</w:t>
      </w:r>
      <w:r>
        <w:rPr>
          <w:b/>
        </w:rPr>
        <w:t>6</w:t>
      </w:r>
      <w:r w:rsidRPr="00AB64E8">
        <w:rPr>
          <w:b/>
        </w:rPr>
        <w:t xml:space="preserve"> a 18 %</w:t>
      </w:r>
      <w:r w:rsidRPr="00AB64E8">
        <w:t xml:space="preserve">. Výdaje na dlouhodobou péči </w:t>
      </w:r>
      <w:r w:rsidRPr="00AB64E8">
        <w:rPr>
          <w:b/>
        </w:rPr>
        <w:t>sociální</w:t>
      </w:r>
      <w:r w:rsidRPr="00AB64E8">
        <w:t xml:space="preserve"> od roku 2012 vzrostly o </w:t>
      </w:r>
      <w:r>
        <w:t>26</w:t>
      </w:r>
      <w:r w:rsidRPr="00AB64E8">
        <w:t xml:space="preserve"> % a</w:t>
      </w:r>
      <w:r>
        <w:t> </w:t>
      </w:r>
      <w:r w:rsidRPr="00AB64E8">
        <w:t>v roce 201</w:t>
      </w:r>
      <w:r>
        <w:t>6</w:t>
      </w:r>
      <w:r w:rsidRPr="00AB64E8">
        <w:t xml:space="preserve"> dosáhly v absolutních </w:t>
      </w:r>
      <w:r>
        <w:t xml:space="preserve">hodnotách prozatím maximální </w:t>
      </w:r>
      <w:r w:rsidRPr="00AB64E8">
        <w:t xml:space="preserve">hodnoty </w:t>
      </w:r>
      <w:r>
        <w:t>20,1</w:t>
      </w:r>
      <w:r w:rsidRPr="00AB64E8">
        <w:t xml:space="preserve"> mld. Kč. Výdaje na dlouhodobou péči </w:t>
      </w:r>
      <w:r w:rsidRPr="00AB64E8">
        <w:rPr>
          <w:b/>
        </w:rPr>
        <w:t>zdravotní</w:t>
      </w:r>
      <w:r w:rsidRPr="00AB64E8">
        <w:t xml:space="preserve"> </w:t>
      </w:r>
      <w:r>
        <w:t>dlouhodobě rostou. Od roku 2010 byl nárůst výdajů přerušen pouze jednou, v roce 2015. V meziročním srovnání 2015 – 2016 se uvedené výdaje zvýšily o 6 % tj. o 2,7 mld. Kč.</w:t>
      </w:r>
      <w:r w:rsidRPr="00AB64E8">
        <w:t xml:space="preserve"> </w:t>
      </w:r>
    </w:p>
    <w:p w:rsidR="00214E6F" w:rsidRPr="00AB64E8" w:rsidRDefault="00214E6F" w:rsidP="00214E6F">
      <w:pPr>
        <w:spacing w:before="120" w:after="120"/>
        <w:jc w:val="both"/>
        <w:rPr>
          <w:rFonts w:cs="Arial"/>
          <w:b/>
          <w:bCs/>
          <w:color w:val="000000"/>
          <w:sz w:val="18"/>
          <w:szCs w:val="18"/>
        </w:rPr>
      </w:pPr>
      <w:r w:rsidRPr="00AB64E8">
        <w:rPr>
          <w:rFonts w:cs="Arial"/>
          <w:b/>
          <w:sz w:val="18"/>
          <w:szCs w:val="18"/>
        </w:rPr>
        <w:t xml:space="preserve">Graf č. 3.3.2 </w:t>
      </w:r>
      <w:r w:rsidRPr="00AB64E8">
        <w:rPr>
          <w:rFonts w:cs="Arial"/>
          <w:b/>
          <w:bCs/>
          <w:color w:val="000000"/>
          <w:sz w:val="18"/>
          <w:szCs w:val="18"/>
        </w:rPr>
        <w:t>Výdaje na dlouhodobou péči v ČR podle typu poskytnuté péče, 201</w:t>
      </w:r>
      <w:r>
        <w:rPr>
          <w:rFonts w:cs="Arial"/>
          <w:b/>
          <w:bCs/>
          <w:color w:val="000000"/>
          <w:sz w:val="18"/>
          <w:szCs w:val="18"/>
        </w:rPr>
        <w:t>2</w:t>
      </w:r>
      <w:r w:rsidRPr="00AB64E8">
        <w:rPr>
          <w:rFonts w:cs="Arial"/>
          <w:b/>
          <w:bCs/>
          <w:color w:val="000000"/>
          <w:sz w:val="18"/>
          <w:szCs w:val="18"/>
        </w:rPr>
        <w:t>-201</w:t>
      </w:r>
      <w:r>
        <w:rPr>
          <w:rFonts w:cs="Arial"/>
          <w:b/>
          <w:bCs/>
          <w:color w:val="000000"/>
          <w:sz w:val="18"/>
          <w:szCs w:val="18"/>
        </w:rPr>
        <w:t>6</w:t>
      </w:r>
      <w:r w:rsidRPr="00AB64E8">
        <w:rPr>
          <w:rFonts w:cs="Arial"/>
          <w:b/>
          <w:bCs/>
          <w:color w:val="000000"/>
          <w:sz w:val="18"/>
          <w:szCs w:val="18"/>
        </w:rPr>
        <w:t xml:space="preserve"> (mld. Kč, %)</w:t>
      </w:r>
    </w:p>
    <w:p w:rsidR="00214E6F" w:rsidRPr="006609FB" w:rsidRDefault="00214E6F" w:rsidP="00214E6F">
      <w:pPr>
        <w:keepNext/>
        <w:numPr>
          <w:ilvl w:val="0"/>
          <w:numId w:val="29"/>
        </w:numPr>
        <w:spacing w:before="120" w:after="120" w:line="240" w:lineRule="auto"/>
        <w:ind w:left="360"/>
        <w:contextualSpacing/>
        <w:jc w:val="both"/>
        <w:rPr>
          <w:b/>
          <w:sz w:val="18"/>
          <w:szCs w:val="18"/>
        </w:rPr>
      </w:pPr>
      <w:r w:rsidRPr="00AB64E8">
        <w:rPr>
          <w:b/>
          <w:sz w:val="18"/>
          <w:szCs w:val="18"/>
        </w:rPr>
        <w:t>v mld. Kč</w:t>
      </w:r>
      <w:r>
        <w:rPr>
          <w:b/>
          <w:sz w:val="18"/>
          <w:szCs w:val="18"/>
        </w:rPr>
        <w:t xml:space="preserve">                                                                                                    </w:t>
      </w:r>
      <w:r w:rsidRPr="006609FB">
        <w:rPr>
          <w:b/>
          <w:sz w:val="18"/>
          <w:szCs w:val="18"/>
        </w:rPr>
        <w:t>b)  struktura (%)</w:t>
      </w:r>
    </w:p>
    <w:p w:rsidR="00214E6F" w:rsidRPr="006609FB" w:rsidRDefault="00214E6F" w:rsidP="00214E6F">
      <w:pPr>
        <w:rPr>
          <w:b/>
          <w:sz w:val="16"/>
          <w:szCs w:val="16"/>
        </w:rPr>
      </w:pPr>
      <w:r w:rsidRPr="006609FB">
        <w:rPr>
          <w:i/>
          <w:sz w:val="18"/>
          <w:szCs w:val="18"/>
        </w:rPr>
        <w:t xml:space="preserve">                                                                                                                                             </w:t>
      </w:r>
      <w:r w:rsidRPr="006609FB">
        <w:rPr>
          <w:i/>
          <w:sz w:val="16"/>
          <w:szCs w:val="16"/>
        </w:rPr>
        <w:tab/>
      </w:r>
    </w:p>
    <w:p w:rsidR="00214E6F" w:rsidRPr="00D56A6B" w:rsidRDefault="00214E6F" w:rsidP="00C901F9">
      <w:pPr>
        <w:rPr>
          <w:sz w:val="16"/>
          <w:szCs w:val="16"/>
        </w:rPr>
      </w:pPr>
      <w:r>
        <w:rPr>
          <w:noProof/>
        </w:rPr>
        <w:drawing>
          <wp:inline distT="0" distB="0" distL="0" distR="0">
            <wp:extent cx="3564000" cy="28800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14E0C">
        <w:rPr>
          <w:noProof/>
        </w:rPr>
        <w:t xml:space="preserve"> </w:t>
      </w:r>
      <w:r>
        <w:rPr>
          <w:noProof/>
        </w:rPr>
        <w:drawing>
          <wp:inline distT="0" distB="0" distL="0" distR="0">
            <wp:extent cx="2520000" cy="28800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t xml:space="preserve">  </w:t>
      </w:r>
      <w:r w:rsidRPr="00D56A6B">
        <w:rPr>
          <w:sz w:val="16"/>
          <w:szCs w:val="16"/>
        </w:rPr>
        <w:t>Ostatní – denní dlouhodobá zdravotní péče, sociální služby</w:t>
      </w:r>
    </w:p>
    <w:p w:rsidR="00214E6F" w:rsidRDefault="00214E6F" w:rsidP="00214E6F">
      <w:pPr>
        <w:spacing w:after="200"/>
        <w:jc w:val="right"/>
        <w:rPr>
          <w:i/>
          <w:sz w:val="16"/>
          <w:szCs w:val="16"/>
        </w:rPr>
      </w:pPr>
      <w:r w:rsidRPr="00AB64E8">
        <w:rPr>
          <w:b/>
          <w:i/>
          <w:sz w:val="16"/>
          <w:szCs w:val="16"/>
        </w:rPr>
        <w:t>Zdroj: ČSÚ 201</w:t>
      </w:r>
      <w:r>
        <w:rPr>
          <w:b/>
          <w:i/>
          <w:sz w:val="16"/>
          <w:szCs w:val="16"/>
        </w:rPr>
        <w:t>8,</w:t>
      </w:r>
      <w:r w:rsidRPr="00AB64E8">
        <w:rPr>
          <w:b/>
          <w:i/>
          <w:sz w:val="16"/>
          <w:szCs w:val="16"/>
        </w:rPr>
        <w:t xml:space="preserve"> </w:t>
      </w:r>
      <w:r>
        <w:rPr>
          <w:b/>
          <w:i/>
          <w:sz w:val="16"/>
          <w:szCs w:val="16"/>
        </w:rPr>
        <w:t>Zdravotnické účty ČR 2010 - 2016</w:t>
      </w:r>
      <w:r w:rsidRPr="00AB64E8">
        <w:rPr>
          <w:i/>
          <w:sz w:val="16"/>
          <w:szCs w:val="16"/>
        </w:rPr>
        <w:t xml:space="preserve"> </w:t>
      </w:r>
    </w:p>
    <w:p w:rsidR="00214E6F" w:rsidRPr="000421BC" w:rsidRDefault="00214E6F" w:rsidP="00214E6F">
      <w:pPr>
        <w:spacing w:after="200"/>
        <w:jc w:val="both"/>
        <w:rPr>
          <w:szCs w:val="20"/>
        </w:rPr>
      </w:pPr>
      <w:r>
        <w:rPr>
          <w:szCs w:val="20"/>
        </w:rPr>
        <w:t>Jak naznačuje předchozí graf, z</w:t>
      </w:r>
      <w:r w:rsidRPr="000421BC">
        <w:rPr>
          <w:szCs w:val="20"/>
        </w:rPr>
        <w:t xml:space="preserve">a uplynulých pět let dosahují výdaje </w:t>
      </w:r>
      <w:r w:rsidRPr="00840D8E">
        <w:rPr>
          <w:b/>
          <w:szCs w:val="20"/>
        </w:rPr>
        <w:t>na dlouhodobou lůžkovou péči</w:t>
      </w:r>
      <w:r>
        <w:rPr>
          <w:szCs w:val="20"/>
        </w:rPr>
        <w:t xml:space="preserve"> 57 % z celkových výdajů na dlouhodobou péči. Stoupající trend z roku 2014, kdy bylo dosaženo maxima 60 %, se v dalších letech neopakoval. Výdaje za </w:t>
      </w:r>
      <w:r w:rsidRPr="00840D8E">
        <w:rPr>
          <w:b/>
          <w:szCs w:val="20"/>
        </w:rPr>
        <w:t>peněžité dávky</w:t>
      </w:r>
      <w:r>
        <w:rPr>
          <w:szCs w:val="20"/>
        </w:rPr>
        <w:t xml:space="preserve"> (příspěvky na péči, na mobilitu a kompenzační pomůcky) hrazené ze státního rozpočtu se pohybují okolo 27 %. Výdaje na péči o dlouhodobě nemocného pacienta </w:t>
      </w:r>
      <w:r w:rsidRPr="00840D8E">
        <w:rPr>
          <w:b/>
          <w:szCs w:val="20"/>
        </w:rPr>
        <w:t>v domácím prostředí</w:t>
      </w:r>
      <w:r>
        <w:rPr>
          <w:szCs w:val="20"/>
        </w:rPr>
        <w:t xml:space="preserve"> tvoří desetinu celkových výdajů na dlouhodobou péči. </w:t>
      </w:r>
    </w:p>
    <w:p w:rsidR="00214E6F" w:rsidRDefault="00214E6F" w:rsidP="00214E6F">
      <w:pPr>
        <w:spacing w:before="240" w:after="120"/>
        <w:rPr>
          <w:rFonts w:eastAsia="MS Gothic"/>
          <w:b/>
          <w:i/>
        </w:rPr>
      </w:pPr>
      <w:r w:rsidRPr="007949E3">
        <w:rPr>
          <w:rFonts w:eastAsia="MS Gothic"/>
          <w:b/>
          <w:i/>
        </w:rPr>
        <w:t>Formu dlouhodobé péče ovlivňují tradice rodinného života</w:t>
      </w:r>
    </w:p>
    <w:p w:rsidR="00214E6F" w:rsidRDefault="00214E6F" w:rsidP="00C901F9">
      <w:pPr>
        <w:spacing w:before="120"/>
        <w:jc w:val="both"/>
        <w:rPr>
          <w:rFonts w:eastAsia="MS Gothic"/>
          <w:b/>
          <w:i/>
        </w:rPr>
      </w:pPr>
      <w:r w:rsidRPr="00AB64E8">
        <w:rPr>
          <w:b/>
        </w:rPr>
        <w:t>Systémy dlouhodobé péče</w:t>
      </w:r>
      <w:r w:rsidRPr="00AB64E8">
        <w:t xml:space="preserve"> </w:t>
      </w:r>
      <w:r w:rsidRPr="00AB64E8">
        <w:rPr>
          <w:b/>
        </w:rPr>
        <w:t>se v jednotlivých zemích velmi liší</w:t>
      </w:r>
      <w:r w:rsidRPr="00AB64E8">
        <w:t xml:space="preserve">, stejně jako vymezení zdravotní a sociální složky dlouhodobé péče. To </w:t>
      </w:r>
      <w:r w:rsidR="00C901F9">
        <w:t xml:space="preserve">znesnadňuje mezinárodní </w:t>
      </w:r>
      <w:r w:rsidRPr="00AB64E8">
        <w:t xml:space="preserve">srovnatelnost údajů o dlouhodobé péči. Důvodem této situace je odlišný historický vývoj systémů zdravotnictví a sociálních služeb v zemích OECD. Jednotlivé země často dávají k dispozici jen údaje za ústavní nebo domácí část dlouhodobé péče nebo pouze za zdravotní či sociální část systému. </w:t>
      </w:r>
    </w:p>
    <w:p w:rsidR="00C901F9" w:rsidRDefault="00214E6F" w:rsidP="00214E6F">
      <w:pPr>
        <w:spacing w:before="120"/>
        <w:jc w:val="both"/>
      </w:pPr>
      <w:r w:rsidRPr="00AB64E8">
        <w:t xml:space="preserve">V </w:t>
      </w:r>
      <w:r w:rsidRPr="00C901F9">
        <w:rPr>
          <w:b/>
        </w:rPr>
        <w:t>Evropě</w:t>
      </w:r>
      <w:r w:rsidRPr="00AB64E8">
        <w:t xml:space="preserve"> vydávají </w:t>
      </w:r>
      <w:r w:rsidRPr="00AB64E8">
        <w:rPr>
          <w:b/>
        </w:rPr>
        <w:t xml:space="preserve">za dlouhodobou péči </w:t>
      </w:r>
      <w:r w:rsidRPr="00C901F9">
        <w:t xml:space="preserve">nejvíce země, které se soustředí především na formální, tj. institucemi poskytovanou zdravotní péči ve specializovaných zařízeních nebo přímo v domácnostech uživatelů. Jde o skandinávské státy - Norsko, Švédsko, Dánsko, jejichž výdaje na dlouhodobou péči tvoří zhruba čtvrtinu celkových nákladů na zdravotní péči. </w:t>
      </w:r>
    </w:p>
    <w:p w:rsidR="00214E6F" w:rsidRPr="009E4C7D" w:rsidRDefault="00214E6F" w:rsidP="00214E6F">
      <w:pPr>
        <w:spacing w:before="120"/>
        <w:jc w:val="both"/>
        <w:rPr>
          <w:rFonts w:eastAsia="MS Gothic"/>
          <w:b/>
          <w:i/>
        </w:rPr>
      </w:pPr>
      <w:r w:rsidRPr="00C901F9">
        <w:t>V mnoha zemích jižní Evropy, kde je kladen důraz na neformální péči, tj. péči, která je poskytována zejména rodinnými příslušníky či osobami blízkými, dosahují výdaje na dlouhodobou péči nižších hodnot v poměru k celkovým nákladům na zdravotní péči. Např. v Řecku byla vydána na dlouhodobou péči v roce 2015 pouze 2 % z celkových výdajů na zdravotní péči a v Portugalsku 3 %. Průměr zemí OECD v roce 2015 byl 14 %. V České republice bylo vyplaceno na dlouhodobou péči z veřejných zdrojů o 3 % více finančních prostředků než činil průměr OECD.</w:t>
      </w:r>
      <w:r>
        <w:t xml:space="preserve"> </w:t>
      </w:r>
    </w:p>
    <w:p w:rsidR="00214E6F" w:rsidRPr="009E4C7D" w:rsidRDefault="00214E6F" w:rsidP="00214E6F">
      <w:pPr>
        <w:pStyle w:val="Nadpis3"/>
      </w:pPr>
      <w:bookmarkStart w:id="31" w:name="_Toc481748796"/>
      <w:r w:rsidRPr="009E4C7D">
        <w:lastRenderedPageBreak/>
        <w:t>3.3.2. Výdaje na dlouhodobou zdravotní péči</w:t>
      </w:r>
      <w:bookmarkEnd w:id="31"/>
      <w:r w:rsidRPr="009E4C7D">
        <w:t xml:space="preserve"> </w:t>
      </w:r>
    </w:p>
    <w:p w:rsidR="00214E6F" w:rsidRPr="00AB64E8" w:rsidRDefault="00214E6F" w:rsidP="00214E6F">
      <w:pPr>
        <w:keepNext/>
        <w:spacing w:before="120"/>
        <w:jc w:val="both"/>
      </w:pPr>
      <w:r w:rsidRPr="00AB64E8">
        <w:t>Dlouhodobá zdravotní péče je složena z řady služeb zdravotní a související osobní péče</w:t>
      </w:r>
      <w:r w:rsidRPr="00AB64E8">
        <w:rPr>
          <w:rFonts w:cs="Arial"/>
        </w:rPr>
        <w:t xml:space="preserve"> (např. </w:t>
      </w:r>
      <w:r w:rsidRPr="00AB64E8">
        <w:t xml:space="preserve">podávání léků, ošetřování chronických ran, rehabilitace, </w:t>
      </w:r>
      <w:r w:rsidRPr="00AB64E8">
        <w:rPr>
          <w:rFonts w:cs="Arial"/>
        </w:rPr>
        <w:t>pomoc při osobní hygieně, pomoc při zvládání běžných úkonů, pomoc při poskytnutí stravy</w:t>
      </w:r>
      <w:r w:rsidRPr="00AB64E8">
        <w:t xml:space="preserve"> atd.), které pacient čerpá s primárním cílem zmírnit bolest a zvládnout špatný zdravotní stav s určitým stupněm závislosti. Pro účely zdravotnických účtů ji členíme </w:t>
      </w:r>
      <w:r w:rsidRPr="00356E1F">
        <w:t>na</w:t>
      </w:r>
      <w:r w:rsidRPr="00AB64E8">
        <w:rPr>
          <w:b/>
        </w:rPr>
        <w:t xml:space="preserve"> dlouhodobou lůžkovou, denní a domácí péči</w:t>
      </w:r>
      <w:r w:rsidRPr="00AB64E8">
        <w:t>.</w:t>
      </w:r>
    </w:p>
    <w:p w:rsidR="00214E6F" w:rsidRPr="00AB64E8" w:rsidRDefault="00214E6F" w:rsidP="00214E6F">
      <w:pPr>
        <w:keepNext/>
        <w:spacing w:before="240" w:after="120"/>
        <w:jc w:val="both"/>
        <w:rPr>
          <w:rFonts w:cs="Arial"/>
          <w:b/>
          <w:sz w:val="18"/>
          <w:szCs w:val="18"/>
        </w:rPr>
      </w:pPr>
      <w:r w:rsidRPr="00AB64E8">
        <w:rPr>
          <w:rFonts w:cs="Arial"/>
          <w:b/>
          <w:sz w:val="18"/>
          <w:szCs w:val="18"/>
        </w:rPr>
        <w:t>Graf č. 3.3.3 Výdaje na dlouhodobou zdravotní péči v ČR podle typu poskytnuté péče, 201</w:t>
      </w:r>
      <w:r>
        <w:rPr>
          <w:rFonts w:cs="Arial"/>
          <w:b/>
          <w:sz w:val="18"/>
          <w:szCs w:val="18"/>
        </w:rPr>
        <w:t>6</w:t>
      </w:r>
      <w:r w:rsidRPr="00AB64E8">
        <w:rPr>
          <w:rFonts w:cs="Arial"/>
          <w:b/>
          <w:sz w:val="18"/>
          <w:szCs w:val="18"/>
        </w:rPr>
        <w:t xml:space="preserve"> (mld. Kč; %)</w:t>
      </w:r>
    </w:p>
    <w:p w:rsidR="00214E6F" w:rsidRPr="00AB64E8" w:rsidRDefault="004D5E24" w:rsidP="00214E6F">
      <w:pPr>
        <w:keepNext/>
        <w:spacing w:before="120" w:after="120"/>
        <w:jc w:val="center"/>
        <w:rPr>
          <w:rFonts w:cs="Arial"/>
          <w:b/>
          <w:sz w:val="18"/>
          <w:szCs w:val="18"/>
        </w:rPr>
      </w:pPr>
      <w:r>
        <w:rPr>
          <w:noProof/>
          <w:szCs w:val="20"/>
        </w:rPr>
        <mc:AlternateContent>
          <mc:Choice Requires="wps">
            <w:drawing>
              <wp:anchor distT="0" distB="0" distL="114300" distR="114300" simplePos="0" relativeHeight="251670016" behindDoc="0" locked="0" layoutInCell="1" allowOverlap="1">
                <wp:simplePos x="0" y="0"/>
                <wp:positionH relativeFrom="column">
                  <wp:posOffset>3051810</wp:posOffset>
                </wp:positionH>
                <wp:positionV relativeFrom="paragraph">
                  <wp:posOffset>1327785</wp:posOffset>
                </wp:positionV>
                <wp:extent cx="838200" cy="266700"/>
                <wp:effectExtent l="0" t="0" r="0" b="0"/>
                <wp:wrapNone/>
                <wp:docPr id="43" name="Textové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66700"/>
                        </a:xfrm>
                        <a:prstGeom prst="rect">
                          <a:avLst/>
                        </a:prstGeom>
                        <a:noFill/>
                        <a:ln w="9525" cmpd="sng">
                          <a:noFill/>
                        </a:ln>
                        <a:effectLst/>
                      </wps:spPr>
                      <wps:txbx>
                        <w:txbxContent>
                          <w:p w:rsidR="00216072" w:rsidRPr="009020FE" w:rsidRDefault="00216072" w:rsidP="00214E6F">
                            <w:pPr>
                              <w:pStyle w:val="Normlnweb"/>
                              <w:spacing w:before="0" w:beforeAutospacing="0" w:after="0" w:afterAutospacing="0"/>
                            </w:pPr>
                            <w:r>
                              <w:rPr>
                                <w:rFonts w:cs="Arial"/>
                                <w:sz w:val="16"/>
                                <w:szCs w:val="16"/>
                              </w:rPr>
                              <w:t>37,1</w:t>
                            </w:r>
                            <w:r w:rsidRPr="009020FE">
                              <w:rPr>
                                <w:rFonts w:cs="Arial"/>
                                <w:sz w:val="16"/>
                                <w:szCs w:val="16"/>
                              </w:rPr>
                              <w:t xml:space="preserve"> mld. Kč</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ovéPole 4" o:spid="_x0000_s1033" type="#_x0000_t202" style="position:absolute;left:0;text-align:left;margin-left:240.3pt;margin-top:104.55pt;width:66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" filled="f" stroked="f">
                <v:path arrowok="t"/>
                <v:textbox>
                  <w:txbxContent>
                    <w:p w:rsidR="00216072" w:rsidRPr="009020FE" w:rsidRDefault="00216072" w:rsidP="00214E6F">
                      <w:pPr>
                        <w:pStyle w:val="Normlnweb"/>
                        <w:spacing w:before="0" w:beforeAutospacing="0" w:after="0" w:afterAutospacing="0"/>
                      </w:pPr>
                      <w:r>
                        <w:rPr>
                          <w:rFonts w:cs="Arial"/>
                          <w:sz w:val="16"/>
                          <w:szCs w:val="16"/>
                        </w:rPr>
                        <w:t>37,1</w:t>
                      </w:r>
                      <w:r w:rsidRPr="009020FE">
                        <w:rPr>
                          <w:rFonts w:cs="Arial"/>
                          <w:sz w:val="16"/>
                          <w:szCs w:val="16"/>
                        </w:rPr>
                        <w:t xml:space="preserve"> mld. Kč</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1918335</wp:posOffset>
                </wp:positionH>
                <wp:positionV relativeFrom="paragraph">
                  <wp:posOffset>1037590</wp:posOffset>
                </wp:positionV>
                <wp:extent cx="752475" cy="292735"/>
                <wp:effectExtent l="0" t="0" r="0" b="0"/>
                <wp:wrapNone/>
                <wp:docPr id="25" name="Textové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92735"/>
                        </a:xfrm>
                        <a:prstGeom prst="rect">
                          <a:avLst/>
                        </a:prstGeom>
                        <a:noFill/>
                        <a:ln w="9525" cmpd="sng">
                          <a:noFill/>
                        </a:ln>
                        <a:effectLst/>
                      </wps:spPr>
                      <wps:txbx>
                        <w:txbxContent>
                          <w:p w:rsidR="00216072" w:rsidRPr="009020FE" w:rsidRDefault="00216072" w:rsidP="00214E6F">
                            <w:pPr>
                              <w:pStyle w:val="Normlnweb"/>
                              <w:spacing w:before="0" w:beforeAutospacing="0" w:after="0" w:afterAutospacing="0"/>
                            </w:pPr>
                            <w:r w:rsidRPr="009020FE">
                              <w:rPr>
                                <w:rFonts w:cs="Arial"/>
                                <w:sz w:val="16"/>
                                <w:szCs w:val="16"/>
                              </w:rPr>
                              <w:t>1</w:t>
                            </w:r>
                            <w:r>
                              <w:rPr>
                                <w:rFonts w:cs="Arial"/>
                                <w:sz w:val="16"/>
                                <w:szCs w:val="16"/>
                              </w:rPr>
                              <w:t>,8</w:t>
                            </w:r>
                            <w:r w:rsidRPr="009020FE">
                              <w:rPr>
                                <w:rFonts w:cs="Arial"/>
                                <w:sz w:val="16"/>
                                <w:szCs w:val="16"/>
                              </w:rPr>
                              <w:t xml:space="preserve"> mld. Kč</w:t>
                            </w:r>
                          </w:p>
                          <w:p w:rsidR="00216072" w:rsidRPr="009E144A" w:rsidRDefault="00216072" w:rsidP="00214E6F"/>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ovéPole 5" o:spid="_x0000_s1034" type="#_x0000_t202" style="position:absolute;left:0;text-align:left;margin-left:151.05pt;margin-top:81.7pt;width:59.25pt;height:2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" filled="f" stroked="f">
                <v:path arrowok="t"/>
                <v:textbox>
                  <w:txbxContent>
                    <w:p w:rsidR="00216072" w:rsidRPr="009020FE" w:rsidRDefault="00216072" w:rsidP="00214E6F">
                      <w:pPr>
                        <w:pStyle w:val="Normlnweb"/>
                        <w:spacing w:before="0" w:beforeAutospacing="0" w:after="0" w:afterAutospacing="0"/>
                      </w:pPr>
                      <w:r w:rsidRPr="009020FE">
                        <w:rPr>
                          <w:rFonts w:cs="Arial"/>
                          <w:sz w:val="16"/>
                          <w:szCs w:val="16"/>
                        </w:rPr>
                        <w:t>1</w:t>
                      </w:r>
                      <w:r>
                        <w:rPr>
                          <w:rFonts w:cs="Arial"/>
                          <w:sz w:val="16"/>
                          <w:szCs w:val="16"/>
                        </w:rPr>
                        <w:t>,8</w:t>
                      </w:r>
                      <w:r w:rsidRPr="009020FE">
                        <w:rPr>
                          <w:rFonts w:cs="Arial"/>
                          <w:sz w:val="16"/>
                          <w:szCs w:val="16"/>
                        </w:rPr>
                        <w:t xml:space="preserve"> mld. Kč</w:t>
                      </w:r>
                    </w:p>
                    <w:p w:rsidR="00216072" w:rsidRPr="009E144A" w:rsidRDefault="00216072" w:rsidP="00214E6F"/>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1975485</wp:posOffset>
                </wp:positionH>
                <wp:positionV relativeFrom="paragraph">
                  <wp:posOffset>716280</wp:posOffset>
                </wp:positionV>
                <wp:extent cx="819150" cy="266700"/>
                <wp:effectExtent l="0" t="0" r="0" b="0"/>
                <wp:wrapNone/>
                <wp:docPr id="11" name="Textové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9525" cmpd="sng">
                          <a:noFill/>
                        </a:ln>
                        <a:effectLst/>
                      </wps:spPr>
                      <wps:txbx>
                        <w:txbxContent>
                          <w:p w:rsidR="00216072" w:rsidRPr="009020FE" w:rsidRDefault="00216072" w:rsidP="00214E6F">
                            <w:pPr>
                              <w:pStyle w:val="Normlnweb"/>
                              <w:spacing w:before="0" w:beforeAutospacing="0" w:after="0" w:afterAutospacing="0"/>
                            </w:pPr>
                            <w:r>
                              <w:rPr>
                                <w:rFonts w:cs="Arial"/>
                                <w:sz w:val="16"/>
                                <w:szCs w:val="16"/>
                              </w:rPr>
                              <w:t>6,2</w:t>
                            </w:r>
                            <w:r w:rsidRPr="009020FE">
                              <w:rPr>
                                <w:rFonts w:cs="Arial"/>
                                <w:sz w:val="16"/>
                                <w:szCs w:val="16"/>
                              </w:rPr>
                              <w:t xml:space="preserve"> mld. Kč</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55.55pt;margin-top:56.4pt;width:64.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" filled="f" stroked="f">
                <v:path arrowok="t"/>
                <v:textbox>
                  <w:txbxContent>
                    <w:p w:rsidR="00216072" w:rsidRPr="009020FE" w:rsidRDefault="00216072" w:rsidP="00214E6F">
                      <w:pPr>
                        <w:pStyle w:val="Normlnweb"/>
                        <w:spacing w:before="0" w:beforeAutospacing="0" w:after="0" w:afterAutospacing="0"/>
                      </w:pPr>
                      <w:r>
                        <w:rPr>
                          <w:rFonts w:cs="Arial"/>
                          <w:sz w:val="16"/>
                          <w:szCs w:val="16"/>
                        </w:rPr>
                        <w:t>6,2</w:t>
                      </w:r>
                      <w:r w:rsidRPr="009020FE">
                        <w:rPr>
                          <w:rFonts w:cs="Arial"/>
                          <w:sz w:val="16"/>
                          <w:szCs w:val="16"/>
                        </w:rPr>
                        <w:t xml:space="preserve"> mld. Kč</w:t>
                      </w:r>
                    </w:p>
                  </w:txbxContent>
                </v:textbox>
              </v:shape>
            </w:pict>
          </mc:Fallback>
        </mc:AlternateContent>
      </w:r>
      <w:r w:rsidR="00214E6F" w:rsidRPr="00AB64E8">
        <w:rPr>
          <w:noProof/>
        </w:rPr>
        <w:drawing>
          <wp:inline distT="0" distB="0" distL="0" distR="0">
            <wp:extent cx="5248275" cy="2152650"/>
            <wp:effectExtent l="0" t="0" r="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14E6F" w:rsidRPr="00AB64E8" w:rsidRDefault="00214E6F" w:rsidP="005376E3">
      <w:pPr>
        <w:spacing w:before="120" w:after="240" w:line="240" w:lineRule="auto"/>
        <w:jc w:val="right"/>
        <w:rPr>
          <w:b/>
          <w:bCs/>
          <w:i/>
          <w:sz w:val="16"/>
          <w:szCs w:val="16"/>
        </w:rPr>
      </w:pPr>
      <w:r w:rsidRPr="00AB64E8">
        <w:rPr>
          <w:b/>
          <w:bCs/>
          <w:i/>
          <w:sz w:val="16"/>
          <w:szCs w:val="16"/>
        </w:rPr>
        <w:t>Zdroj: ČSÚ 201</w:t>
      </w:r>
      <w:r>
        <w:rPr>
          <w:b/>
          <w:bCs/>
          <w:i/>
          <w:sz w:val="16"/>
          <w:szCs w:val="16"/>
        </w:rPr>
        <w:t>8</w:t>
      </w:r>
      <w:r w:rsidRPr="00AB64E8">
        <w:rPr>
          <w:b/>
          <w:bCs/>
          <w:i/>
          <w:sz w:val="16"/>
          <w:szCs w:val="16"/>
        </w:rPr>
        <w:t>, Zdravotnické účty ČR 2010 - 201</w:t>
      </w:r>
      <w:r>
        <w:rPr>
          <w:b/>
          <w:bCs/>
          <w:i/>
          <w:sz w:val="16"/>
          <w:szCs w:val="16"/>
        </w:rPr>
        <w:t>6</w:t>
      </w:r>
      <w:r w:rsidRPr="00AB64E8">
        <w:rPr>
          <w:b/>
          <w:bCs/>
          <w:i/>
          <w:sz w:val="16"/>
          <w:szCs w:val="16"/>
        </w:rPr>
        <w:t xml:space="preserve"> </w:t>
      </w:r>
    </w:p>
    <w:p w:rsidR="00214E6F" w:rsidRDefault="00214E6F" w:rsidP="00214E6F">
      <w:pPr>
        <w:spacing w:before="120"/>
        <w:jc w:val="both"/>
        <w:rPr>
          <w:rFonts w:cs="Arial"/>
        </w:rPr>
      </w:pPr>
      <w:r w:rsidRPr="00AB64E8">
        <w:rPr>
          <w:rFonts w:cs="Arial"/>
          <w:szCs w:val="20"/>
        </w:rPr>
        <w:t xml:space="preserve">Celkové výdaje na dlouhodobou péči </w:t>
      </w:r>
      <w:r w:rsidRPr="00AB64E8">
        <w:rPr>
          <w:rFonts w:cs="Arial"/>
          <w:b/>
          <w:szCs w:val="20"/>
        </w:rPr>
        <w:t>zdravotní</w:t>
      </w:r>
      <w:r w:rsidRPr="00AB64E8">
        <w:rPr>
          <w:rFonts w:cs="Arial"/>
          <w:szCs w:val="20"/>
        </w:rPr>
        <w:t xml:space="preserve"> dosáhly v roce </w:t>
      </w:r>
      <w:r>
        <w:rPr>
          <w:rFonts w:cs="Arial"/>
          <w:b/>
          <w:szCs w:val="20"/>
        </w:rPr>
        <w:t>2016 výše 45</w:t>
      </w:r>
      <w:r w:rsidRPr="00AB64E8">
        <w:rPr>
          <w:rFonts w:cs="Arial"/>
          <w:b/>
          <w:szCs w:val="20"/>
        </w:rPr>
        <w:t>,</w:t>
      </w:r>
      <w:r>
        <w:rPr>
          <w:rFonts w:cs="Arial"/>
          <w:b/>
          <w:szCs w:val="20"/>
        </w:rPr>
        <w:t>1</w:t>
      </w:r>
      <w:r w:rsidRPr="00AB64E8">
        <w:rPr>
          <w:rFonts w:cs="Arial"/>
          <w:b/>
          <w:szCs w:val="20"/>
        </w:rPr>
        <w:t xml:space="preserve"> mld</w:t>
      </w:r>
      <w:r w:rsidRPr="00AB64E8">
        <w:rPr>
          <w:rFonts w:cs="Arial"/>
          <w:szCs w:val="20"/>
        </w:rPr>
        <w:t xml:space="preserve">. Kč a z nich </w:t>
      </w:r>
      <w:r w:rsidRPr="00AB64E8">
        <w:rPr>
          <w:rFonts w:cs="Arial"/>
          <w:b/>
          <w:szCs w:val="20"/>
        </w:rPr>
        <w:t>dlouhodobá lůžková péče</w:t>
      </w:r>
      <w:r w:rsidRPr="00AB64E8">
        <w:rPr>
          <w:rFonts w:cs="Arial"/>
          <w:szCs w:val="20"/>
        </w:rPr>
        <w:t xml:space="preserve"> tvořila </w:t>
      </w:r>
      <w:r w:rsidRPr="00AB64E8">
        <w:rPr>
          <w:rFonts w:cs="Arial"/>
          <w:b/>
          <w:szCs w:val="20"/>
        </w:rPr>
        <w:t>více než čtyři pětiny</w:t>
      </w:r>
      <w:r w:rsidRPr="00AB64E8">
        <w:rPr>
          <w:rFonts w:cs="Arial"/>
          <w:szCs w:val="20"/>
        </w:rPr>
        <w:t xml:space="preserve"> těchto výdajů. Zahrnuje lůžkovou péči jak v</w:t>
      </w:r>
      <w:r>
        <w:rPr>
          <w:rFonts w:cs="Arial"/>
          <w:szCs w:val="20"/>
        </w:rPr>
        <w:t> </w:t>
      </w:r>
      <w:r w:rsidRPr="00AB64E8">
        <w:rPr>
          <w:rFonts w:cs="Arial"/>
          <w:szCs w:val="20"/>
        </w:rPr>
        <w:t>různých typech zdravotnických zařízeních (např. nemocnice, léčebny dlouhodobě nemocných, ostatní specializované léčebny, hospice apod.)</w:t>
      </w:r>
      <w:r w:rsidR="0051478D">
        <w:rPr>
          <w:rFonts w:cs="Arial"/>
          <w:szCs w:val="20"/>
        </w:rPr>
        <w:t>,</w:t>
      </w:r>
      <w:r w:rsidRPr="00AB64E8">
        <w:rPr>
          <w:rFonts w:cs="Arial"/>
          <w:szCs w:val="20"/>
        </w:rPr>
        <w:t xml:space="preserve"> tak i v rámci poskytovatelů sociálních služeb (domovy pro seniory, domovy se zvláštním režimem, týdenní stacionáře apod.). </w:t>
      </w:r>
      <w:r w:rsidRPr="00AB64E8">
        <w:rPr>
          <w:rFonts w:cs="Arial"/>
        </w:rPr>
        <w:t>V roce 201</w:t>
      </w:r>
      <w:r>
        <w:rPr>
          <w:rFonts w:cs="Arial"/>
        </w:rPr>
        <w:t>6</w:t>
      </w:r>
      <w:r w:rsidRPr="00AB64E8">
        <w:rPr>
          <w:rFonts w:cs="Arial"/>
        </w:rPr>
        <w:t xml:space="preserve"> byly služby dlouhodobé lůžkové péče financovány především ze státního rozpočtu a veřejného zdravotního pojištění. I když si na nadstandardní ubytování, stravu a některé druhy služeb klienti připlácí i z vlastní kapsy, pro dlouhodobou lůžkovou péči v pobytových zařízeních sociálních služeb jsou k dispozici pouze výdaje z veřejných zdrojů.</w:t>
      </w:r>
      <w:r>
        <w:rPr>
          <w:rFonts w:cs="Arial"/>
        </w:rPr>
        <w:t xml:space="preserve"> </w:t>
      </w:r>
    </w:p>
    <w:p w:rsidR="00214E6F" w:rsidRPr="0034055C" w:rsidRDefault="00214E6F" w:rsidP="00214E6F">
      <w:pPr>
        <w:spacing w:before="120"/>
        <w:jc w:val="both"/>
        <w:rPr>
          <w:rStyle w:val="st"/>
          <w:i/>
        </w:rPr>
      </w:pPr>
      <w:r w:rsidRPr="00575517">
        <w:rPr>
          <w:rFonts w:cs="Arial"/>
          <w:b/>
        </w:rPr>
        <w:t>Nejvíce finančních prostředků</w:t>
      </w:r>
      <w:r>
        <w:rPr>
          <w:rFonts w:cs="Arial"/>
        </w:rPr>
        <w:t xml:space="preserve"> z kategorie dlouhodobé lůžkové péče bylo </w:t>
      </w:r>
      <w:r w:rsidR="00C901F9" w:rsidRPr="00C901F9">
        <w:rPr>
          <w:rFonts w:cs="Arial"/>
        </w:rPr>
        <w:t xml:space="preserve">v letech 2010 </w:t>
      </w:r>
      <w:r w:rsidR="00C901F9">
        <w:rPr>
          <w:rFonts w:cs="Arial"/>
        </w:rPr>
        <w:t>až</w:t>
      </w:r>
      <w:r w:rsidR="00C901F9" w:rsidRPr="00C901F9">
        <w:rPr>
          <w:rFonts w:cs="Arial"/>
        </w:rPr>
        <w:t xml:space="preserve"> 2016 z veřejných rozpočtů </w:t>
      </w:r>
      <w:r>
        <w:rPr>
          <w:rFonts w:cs="Arial"/>
        </w:rPr>
        <w:t xml:space="preserve">vydáno na provoz domovů pro seniory (každoročně v průměru 10,6 mld. Kč), což dohromady za sledované období tvoří částku ve výši 74,3 mld. Kč. Zatímco v roce 2010 pobývalo v domovech pro osoby se zvláštním režimem více než 8,5 tisíc </w:t>
      </w:r>
      <w:r w:rsidR="00957CD1">
        <w:rPr>
          <w:rFonts w:cs="Arial"/>
        </w:rPr>
        <w:t>klientů</w:t>
      </w:r>
      <w:r>
        <w:rPr>
          <w:rFonts w:cs="Arial"/>
        </w:rPr>
        <w:t xml:space="preserve">, v roce 2016 se jejich počet zdvojnásobil, což se odráží na výrazně vyšších výdajích ze státního a místních rozpočtů na provoz zařízeních tohoto typu. </w:t>
      </w:r>
      <w:r w:rsidRPr="0034055C">
        <w:rPr>
          <w:rFonts w:cs="Arial"/>
          <w:i/>
        </w:rPr>
        <w:t xml:space="preserve">V roce 2016 bylo vynaloženo z veřejných rozpočtů na domovy se zvláštním režimem 6,2 mld. Kč, </w:t>
      </w:r>
      <w:r w:rsidRPr="0034055C">
        <w:rPr>
          <w:rStyle w:val="st"/>
          <w:i/>
        </w:rPr>
        <w:t xml:space="preserve">což představuje 122% </w:t>
      </w:r>
      <w:r w:rsidRPr="0034055C">
        <w:rPr>
          <w:rStyle w:val="Zvraznn"/>
        </w:rPr>
        <w:t>nárůst oproti roku</w:t>
      </w:r>
      <w:r w:rsidRPr="0034055C">
        <w:rPr>
          <w:rStyle w:val="st"/>
          <w:i/>
        </w:rPr>
        <w:t xml:space="preserve"> 2010.</w:t>
      </w:r>
    </w:p>
    <w:p w:rsidR="00214E6F" w:rsidRPr="00AB64E8" w:rsidRDefault="00214E6F" w:rsidP="00214E6F">
      <w:pPr>
        <w:spacing w:before="120"/>
        <w:jc w:val="both"/>
        <w:rPr>
          <w:rFonts w:eastAsia="Calibri" w:cs="Arial"/>
          <w:szCs w:val="20"/>
        </w:rPr>
      </w:pPr>
      <w:r w:rsidRPr="00AB64E8">
        <w:rPr>
          <w:rFonts w:cs="Arial"/>
          <w:szCs w:val="20"/>
        </w:rPr>
        <w:t xml:space="preserve">Více než desetina výdajů z celkových nákladů na dlouhodobou zdravotní péči spadá do kategorie </w:t>
      </w:r>
      <w:r w:rsidRPr="00AB64E8">
        <w:rPr>
          <w:rFonts w:cs="Arial"/>
          <w:b/>
          <w:szCs w:val="20"/>
        </w:rPr>
        <w:t>domácí péče</w:t>
      </w:r>
      <w:r w:rsidRPr="00AB64E8">
        <w:rPr>
          <w:rFonts w:cs="Arial"/>
          <w:szCs w:val="20"/>
        </w:rPr>
        <w:t xml:space="preserve">, prostřednictvím které jsou služby </w:t>
      </w:r>
      <w:r w:rsidRPr="00AB64E8">
        <w:rPr>
          <w:rFonts w:cs="Arial"/>
          <w:bCs/>
          <w:szCs w:val="20"/>
        </w:rPr>
        <w:t xml:space="preserve">pacientům s chronickým popř. nevyléčitelným onemocněním včetně </w:t>
      </w:r>
      <w:r w:rsidRPr="00AB64E8">
        <w:rPr>
          <w:rFonts w:cs="Arial"/>
          <w:szCs w:val="20"/>
        </w:rPr>
        <w:t xml:space="preserve">hospicové péče poskytovány v domácím přirozeném prostředí. </w:t>
      </w:r>
      <w:r w:rsidRPr="00AB64E8">
        <w:rPr>
          <w:rFonts w:eastAsia="Calibri" w:cs="Arial"/>
          <w:szCs w:val="20"/>
        </w:rPr>
        <w:t>Vlastním sociálním prostředím pacienta se rozumí také pobytové zařízení nahrazující domácí prostředí pacienta např. zařízení sociálních služeb.</w:t>
      </w:r>
      <w:r w:rsidRPr="00AB64E8">
        <w:rPr>
          <w:rFonts w:eastAsia="Calibri" w:cs="Arial"/>
          <w:sz w:val="24"/>
        </w:rPr>
        <w:t xml:space="preserve"> </w:t>
      </w:r>
      <w:r w:rsidRPr="00AB64E8">
        <w:rPr>
          <w:rFonts w:eastAsia="Calibri" w:cs="Arial"/>
          <w:szCs w:val="20"/>
        </w:rPr>
        <w:t>Výdaje na domácí dlouhodobou péči jsou hrazeny především ze státního rozpočtu (7</w:t>
      </w:r>
      <w:r>
        <w:rPr>
          <w:rFonts w:eastAsia="Calibri" w:cs="Arial"/>
          <w:szCs w:val="20"/>
        </w:rPr>
        <w:t>2</w:t>
      </w:r>
      <w:r w:rsidRPr="00AB64E8">
        <w:rPr>
          <w:rFonts w:eastAsia="Calibri" w:cs="Arial"/>
          <w:szCs w:val="20"/>
        </w:rPr>
        <w:t> %) a zdravotních pojišťoven (2</w:t>
      </w:r>
      <w:r>
        <w:rPr>
          <w:rFonts w:eastAsia="Calibri" w:cs="Arial"/>
          <w:szCs w:val="20"/>
        </w:rPr>
        <w:t>8</w:t>
      </w:r>
      <w:r w:rsidRPr="00AB64E8">
        <w:rPr>
          <w:rFonts w:eastAsia="Calibri" w:cs="Arial"/>
          <w:szCs w:val="20"/>
        </w:rPr>
        <w:t xml:space="preserve"> %). </w:t>
      </w:r>
    </w:p>
    <w:p w:rsidR="00214E6F" w:rsidRPr="00AB64E8" w:rsidRDefault="00214E6F" w:rsidP="00214E6F">
      <w:pPr>
        <w:autoSpaceDE w:val="0"/>
        <w:autoSpaceDN w:val="0"/>
        <w:adjustRightInd w:val="0"/>
        <w:spacing w:before="120"/>
        <w:jc w:val="both"/>
        <w:rPr>
          <w:rFonts w:cs="Arial"/>
          <w:szCs w:val="20"/>
        </w:rPr>
      </w:pPr>
      <w:r w:rsidRPr="00AB64E8">
        <w:rPr>
          <w:rFonts w:cs="Arial"/>
          <w:szCs w:val="20"/>
        </w:rPr>
        <w:t xml:space="preserve">Pouze 4 % z celkových nákladů na dlouhodobou zdravotní péči se týkají </w:t>
      </w:r>
      <w:r w:rsidRPr="00AB64E8">
        <w:rPr>
          <w:rFonts w:cs="Arial"/>
          <w:b/>
          <w:szCs w:val="20"/>
        </w:rPr>
        <w:t>denní péče</w:t>
      </w:r>
      <w:r w:rsidRPr="00AB64E8">
        <w:rPr>
          <w:rFonts w:cs="Arial"/>
          <w:szCs w:val="20"/>
        </w:rPr>
        <w:t>. Jedná se především o odlehčovací služby poskytované osobám se zdravotním postižením a seniorům, jejichž situace vyžaduje pomoc jiné osoby, o které jinak p</w:t>
      </w:r>
      <w:r>
        <w:rPr>
          <w:rFonts w:cs="Arial"/>
          <w:szCs w:val="20"/>
        </w:rPr>
        <w:t>ečuje osoba blízká v domácnosti. C</w:t>
      </w:r>
      <w:r w:rsidRPr="00AB64E8">
        <w:rPr>
          <w:rFonts w:cs="Arial"/>
          <w:szCs w:val="20"/>
        </w:rPr>
        <w:t>ílem této služby je umožnit pečující osobě nezbytný odpočinek. Dále jde o denní stacionáře poskytující ambulantní služby ve specializovaném zařízení a centra denních služeb, směřující k posílení samostatnosti a soběstačnosti osob se zdravotním postižením a seniorů v nepříznivé sociální situaci. Výhradním zdrojem financování je státní rozpočet.</w:t>
      </w:r>
    </w:p>
    <w:p w:rsidR="00214E6F" w:rsidRPr="00AB64E8" w:rsidRDefault="00214E6F" w:rsidP="00214E6F">
      <w:pPr>
        <w:pStyle w:val="Nadpis3"/>
      </w:pPr>
      <w:bookmarkStart w:id="32" w:name="_Toc481748797"/>
      <w:r w:rsidRPr="00AB64E8">
        <w:lastRenderedPageBreak/>
        <w:t>3.3.3. Výdaje na dlouhodobou sociální péči</w:t>
      </w:r>
      <w:bookmarkEnd w:id="32"/>
      <w:r w:rsidRPr="00AB64E8">
        <w:t xml:space="preserve"> </w:t>
      </w:r>
    </w:p>
    <w:p w:rsidR="00214E6F" w:rsidRPr="00AB64E8" w:rsidRDefault="00214E6F" w:rsidP="00214E6F">
      <w:pPr>
        <w:spacing w:before="120"/>
        <w:jc w:val="both"/>
        <w:rPr>
          <w:szCs w:val="20"/>
        </w:rPr>
      </w:pPr>
      <w:r w:rsidRPr="00AB64E8">
        <w:rPr>
          <w:szCs w:val="20"/>
        </w:rPr>
        <w:t xml:space="preserve">Dlouhodobá sociální péče v systému zdravotnických účtů zahrnuje výdaje na služby, které zajišťují pomoc s činnostmi každodenního života, a dělí se </w:t>
      </w:r>
      <w:r w:rsidRPr="00AB64E8">
        <w:rPr>
          <w:b/>
          <w:szCs w:val="20"/>
        </w:rPr>
        <w:t>na sociální služby a peněžité dávky</w:t>
      </w:r>
      <w:r w:rsidRPr="00AB64E8">
        <w:rPr>
          <w:szCs w:val="20"/>
        </w:rPr>
        <w:t>. </w:t>
      </w:r>
      <w:r w:rsidRPr="00AB64E8">
        <w:rPr>
          <w:rFonts w:cs="Arial"/>
          <w:szCs w:val="20"/>
        </w:rPr>
        <w:t>Obojí je financováno ze státního rozpočtu.</w:t>
      </w:r>
      <w:r>
        <w:rPr>
          <w:rFonts w:cs="Arial"/>
          <w:szCs w:val="20"/>
        </w:rPr>
        <w:t xml:space="preserve"> </w:t>
      </w:r>
      <w:r w:rsidRPr="00AB64E8">
        <w:rPr>
          <w:szCs w:val="20"/>
        </w:rPr>
        <w:t>Peněžité dávky tvoří většinu výdajů na dlouhodobou sociální péči. V roce 2015</w:t>
      </w:r>
      <w:r>
        <w:rPr>
          <w:szCs w:val="20"/>
        </w:rPr>
        <w:t xml:space="preserve"> byla</w:t>
      </w:r>
      <w:r w:rsidRPr="00AB64E8">
        <w:rPr>
          <w:szCs w:val="20"/>
        </w:rPr>
        <w:t xml:space="preserve"> pouze desetina výdajů v této kategorii určena na sociální služby. </w:t>
      </w:r>
    </w:p>
    <w:p w:rsidR="00214E6F" w:rsidRPr="00AB64E8" w:rsidRDefault="00214E6F" w:rsidP="00214E6F">
      <w:pPr>
        <w:keepNext/>
        <w:spacing w:before="240" w:after="120"/>
        <w:jc w:val="both"/>
        <w:rPr>
          <w:rFonts w:cs="Arial"/>
          <w:b/>
          <w:sz w:val="18"/>
          <w:szCs w:val="18"/>
        </w:rPr>
      </w:pPr>
      <w:r w:rsidRPr="00AB64E8">
        <w:rPr>
          <w:rFonts w:cs="Arial"/>
          <w:b/>
          <w:sz w:val="18"/>
          <w:szCs w:val="18"/>
        </w:rPr>
        <w:t>Graf č. 3.3.4 Výdaje na dlouhodobou sociální péči v ČR podle typu poskytnuté péče, 201</w:t>
      </w:r>
      <w:r>
        <w:rPr>
          <w:rFonts w:cs="Arial"/>
          <w:b/>
          <w:sz w:val="18"/>
          <w:szCs w:val="18"/>
        </w:rPr>
        <w:t>6</w:t>
      </w:r>
      <w:r w:rsidRPr="00AB64E8">
        <w:rPr>
          <w:rFonts w:cs="Arial"/>
          <w:b/>
          <w:sz w:val="18"/>
          <w:szCs w:val="18"/>
        </w:rPr>
        <w:t xml:space="preserve"> (mld. Kč; %)</w:t>
      </w:r>
    </w:p>
    <w:p w:rsidR="00214E6F" w:rsidRPr="00AB64E8" w:rsidRDefault="004D5E24" w:rsidP="00214E6F">
      <w:pPr>
        <w:keepNext/>
        <w:spacing w:before="120" w:after="120"/>
        <w:jc w:val="center"/>
        <w:rPr>
          <w:rFonts w:cs="Arial"/>
          <w:b/>
          <w:sz w:val="18"/>
          <w:szCs w:val="18"/>
        </w:rPr>
      </w:pPr>
      <w:r>
        <w:rPr>
          <w:rFonts w:cs="Arial"/>
          <w:noProof/>
        </w:rPr>
        <mc:AlternateContent>
          <mc:Choice Requires="wps">
            <w:drawing>
              <wp:anchor distT="0" distB="0" distL="114300" distR="114300" simplePos="0" relativeHeight="251666944" behindDoc="0" locked="0" layoutInCell="1" allowOverlap="1">
                <wp:simplePos x="0" y="0"/>
                <wp:positionH relativeFrom="column">
                  <wp:posOffset>3204210</wp:posOffset>
                </wp:positionH>
                <wp:positionV relativeFrom="paragraph">
                  <wp:posOffset>405130</wp:posOffset>
                </wp:positionV>
                <wp:extent cx="1047750" cy="409575"/>
                <wp:effectExtent l="0" t="0" r="0" b="0"/>
                <wp:wrapNone/>
                <wp:docPr id="20" name="Textové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09575"/>
                        </a:xfrm>
                        <a:prstGeom prst="rect">
                          <a:avLst/>
                        </a:prstGeom>
                        <a:noFill/>
                        <a:ln w="9525" cmpd="sng">
                          <a:noFill/>
                        </a:ln>
                        <a:effectLst/>
                      </wps:spPr>
                      <wps:txbx>
                        <w:txbxContent>
                          <w:p w:rsidR="00216072" w:rsidRPr="009020FE" w:rsidRDefault="00216072" w:rsidP="00214E6F">
                            <w:pPr>
                              <w:pStyle w:val="Normlnweb"/>
                              <w:spacing w:before="0" w:beforeAutospacing="0" w:after="0" w:afterAutospacing="0"/>
                            </w:pPr>
                            <w:r w:rsidRPr="009020FE">
                              <w:rPr>
                                <w:rFonts w:cs="Arial"/>
                                <w:sz w:val="16"/>
                                <w:szCs w:val="16"/>
                              </w:rPr>
                              <w:t>1,</w:t>
                            </w:r>
                            <w:r>
                              <w:rPr>
                                <w:rFonts w:cs="Arial"/>
                                <w:sz w:val="16"/>
                                <w:szCs w:val="16"/>
                              </w:rPr>
                              <w:t>9</w:t>
                            </w:r>
                            <w:r w:rsidRPr="009020FE">
                              <w:rPr>
                                <w:rFonts w:cs="Arial"/>
                                <w:sz w:val="16"/>
                                <w:szCs w:val="16"/>
                              </w:rPr>
                              <w:t xml:space="preserve"> mld. Kč</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52.3pt;margin-top:31.9pt;width:82.5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" filled="f" stroked="f">
                <v:path arrowok="t"/>
                <v:textbox>
                  <w:txbxContent>
                    <w:p w:rsidR="00216072" w:rsidRPr="009020FE" w:rsidRDefault="00216072" w:rsidP="00214E6F">
                      <w:pPr>
                        <w:pStyle w:val="Normlnweb"/>
                        <w:spacing w:before="0" w:beforeAutospacing="0" w:after="0" w:afterAutospacing="0"/>
                      </w:pPr>
                      <w:r w:rsidRPr="009020FE">
                        <w:rPr>
                          <w:rFonts w:cs="Arial"/>
                          <w:sz w:val="16"/>
                          <w:szCs w:val="16"/>
                        </w:rPr>
                        <w:t>1,</w:t>
                      </w:r>
                      <w:r>
                        <w:rPr>
                          <w:rFonts w:cs="Arial"/>
                          <w:sz w:val="16"/>
                          <w:szCs w:val="16"/>
                        </w:rPr>
                        <w:t>9</w:t>
                      </w:r>
                      <w:r w:rsidRPr="009020FE">
                        <w:rPr>
                          <w:rFonts w:cs="Arial"/>
                          <w:sz w:val="16"/>
                          <w:szCs w:val="16"/>
                        </w:rPr>
                        <w:t xml:space="preserve"> mld. Kč</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2442210</wp:posOffset>
                </wp:positionH>
                <wp:positionV relativeFrom="paragraph">
                  <wp:posOffset>1303020</wp:posOffset>
                </wp:positionV>
                <wp:extent cx="819150" cy="342900"/>
                <wp:effectExtent l="0" t="0" r="0" b="0"/>
                <wp:wrapNone/>
                <wp:docPr id="3" name="Textové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42900"/>
                        </a:xfrm>
                        <a:prstGeom prst="rect">
                          <a:avLst/>
                        </a:prstGeom>
                        <a:noFill/>
                        <a:ln w="9525" cmpd="sng">
                          <a:noFill/>
                        </a:ln>
                        <a:effectLst/>
                      </wps:spPr>
                      <wps:txbx>
                        <w:txbxContent>
                          <w:p w:rsidR="00216072" w:rsidRPr="00904903" w:rsidRDefault="00216072" w:rsidP="00214E6F">
                            <w:pPr>
                              <w:pStyle w:val="Normlnweb"/>
                              <w:spacing w:before="0" w:beforeAutospacing="0" w:after="0" w:afterAutospacing="0"/>
                              <w:rPr>
                                <w:b/>
                                <w:color w:val="FFFFFF" w:themeColor="background1"/>
                              </w:rPr>
                            </w:pPr>
                            <w:r>
                              <w:rPr>
                                <w:rFonts w:cs="Arial"/>
                                <w:b/>
                                <w:color w:val="FFFFFF" w:themeColor="background1"/>
                                <w:sz w:val="16"/>
                                <w:szCs w:val="16"/>
                              </w:rPr>
                              <w:t xml:space="preserve">18,2 </w:t>
                            </w:r>
                            <w:r w:rsidRPr="009020FE">
                              <w:rPr>
                                <w:rFonts w:cs="Arial"/>
                                <w:b/>
                                <w:color w:val="FFFFFF" w:themeColor="background1"/>
                                <w:sz w:val="16"/>
                                <w:szCs w:val="16"/>
                              </w:rPr>
                              <w:t>mld. Kč</w:t>
                            </w:r>
                          </w:p>
                          <w:p w:rsidR="00216072" w:rsidRPr="00904903" w:rsidRDefault="00216072" w:rsidP="00214E6F">
                            <w:pPr>
                              <w:pStyle w:val="Normlnweb"/>
                              <w:spacing w:before="0" w:beforeAutospacing="0" w:after="0" w:afterAutospacing="0"/>
                              <w:rPr>
                                <w:b/>
                                <w:color w:val="FFFFFF" w:themeColor="background1"/>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ovéPole 3" o:spid="_x0000_s1037" type="#_x0000_t202" style="position:absolute;left:0;text-align:left;margin-left:192.3pt;margin-top:102.6pt;width:64.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" filled="f" stroked="f">
                <v:path arrowok="t"/>
                <v:textbox>
                  <w:txbxContent>
                    <w:p w:rsidR="00216072" w:rsidRPr="00904903" w:rsidRDefault="00216072" w:rsidP="00214E6F">
                      <w:pPr>
                        <w:pStyle w:val="Normlnweb"/>
                        <w:spacing w:before="0" w:beforeAutospacing="0" w:after="0" w:afterAutospacing="0"/>
                        <w:rPr>
                          <w:b/>
                          <w:color w:val="FFFFFF" w:themeColor="background1"/>
                        </w:rPr>
                      </w:pPr>
                      <w:r>
                        <w:rPr>
                          <w:rFonts w:cs="Arial"/>
                          <w:b/>
                          <w:color w:val="FFFFFF" w:themeColor="background1"/>
                          <w:sz w:val="16"/>
                          <w:szCs w:val="16"/>
                        </w:rPr>
                        <w:t xml:space="preserve">18,2 </w:t>
                      </w:r>
                      <w:r w:rsidRPr="009020FE">
                        <w:rPr>
                          <w:rFonts w:cs="Arial"/>
                          <w:b/>
                          <w:color w:val="FFFFFF" w:themeColor="background1"/>
                          <w:sz w:val="16"/>
                          <w:szCs w:val="16"/>
                        </w:rPr>
                        <w:t>mld. Kč</w:t>
                      </w:r>
                    </w:p>
                    <w:p w:rsidR="00216072" w:rsidRPr="00904903" w:rsidRDefault="00216072" w:rsidP="00214E6F">
                      <w:pPr>
                        <w:pStyle w:val="Normlnweb"/>
                        <w:spacing w:before="0" w:beforeAutospacing="0" w:after="0" w:afterAutospacing="0"/>
                        <w:rPr>
                          <w:b/>
                          <w:color w:val="FFFFFF" w:themeColor="background1"/>
                        </w:rPr>
                      </w:pPr>
                    </w:p>
                  </w:txbxContent>
                </v:textbox>
              </v:shape>
            </w:pict>
          </mc:Fallback>
        </mc:AlternateContent>
      </w:r>
      <w:r w:rsidR="00214E6F" w:rsidRPr="00AB64E8">
        <w:rPr>
          <w:noProof/>
        </w:rPr>
        <w:drawing>
          <wp:inline distT="0" distB="0" distL="0" distR="0">
            <wp:extent cx="4476750" cy="1895475"/>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4E6F" w:rsidRPr="00AB64E8" w:rsidRDefault="00214E6F" w:rsidP="00214E6F">
      <w:pPr>
        <w:spacing w:before="120" w:line="240" w:lineRule="auto"/>
        <w:jc w:val="right"/>
        <w:rPr>
          <w:b/>
          <w:bCs/>
          <w:i/>
          <w:sz w:val="16"/>
          <w:szCs w:val="16"/>
        </w:rPr>
      </w:pPr>
      <w:r>
        <w:rPr>
          <w:b/>
          <w:bCs/>
          <w:i/>
          <w:sz w:val="16"/>
          <w:szCs w:val="16"/>
        </w:rPr>
        <w:t>Zdroj: ČSÚ 2018,</w:t>
      </w:r>
      <w:r w:rsidRPr="00AB64E8">
        <w:rPr>
          <w:b/>
          <w:bCs/>
          <w:i/>
          <w:sz w:val="16"/>
          <w:szCs w:val="16"/>
        </w:rPr>
        <w:t xml:space="preserve"> Zdravotnické účty ČR 2010 - 201</w:t>
      </w:r>
      <w:r>
        <w:rPr>
          <w:b/>
          <w:bCs/>
          <w:i/>
          <w:sz w:val="16"/>
          <w:szCs w:val="16"/>
        </w:rPr>
        <w:t>6</w:t>
      </w:r>
      <w:r w:rsidRPr="00AB64E8">
        <w:rPr>
          <w:b/>
          <w:bCs/>
          <w:i/>
          <w:sz w:val="16"/>
          <w:szCs w:val="16"/>
        </w:rPr>
        <w:t xml:space="preserve"> </w:t>
      </w:r>
    </w:p>
    <w:p w:rsidR="00214E6F" w:rsidRPr="007949E3" w:rsidRDefault="00214E6F" w:rsidP="00214E6F">
      <w:pPr>
        <w:spacing w:before="240" w:after="120"/>
        <w:rPr>
          <w:rFonts w:eastAsia="MS Gothic"/>
          <w:b/>
          <w:i/>
        </w:rPr>
      </w:pPr>
      <w:r w:rsidRPr="007949E3">
        <w:rPr>
          <w:rFonts w:eastAsia="MS Gothic"/>
          <w:b/>
          <w:i/>
        </w:rPr>
        <w:t xml:space="preserve">Téměř polovina výdajů na sociální služby </w:t>
      </w:r>
      <w:r w:rsidR="005376E3">
        <w:rPr>
          <w:rFonts w:eastAsia="MS Gothic"/>
          <w:b/>
          <w:i/>
        </w:rPr>
        <w:t>byla</w:t>
      </w:r>
      <w:r w:rsidRPr="007949E3">
        <w:rPr>
          <w:rFonts w:eastAsia="MS Gothic"/>
          <w:b/>
          <w:i/>
        </w:rPr>
        <w:t xml:space="preserve"> investována do chráněného bydlení</w:t>
      </w:r>
    </w:p>
    <w:p w:rsidR="00957CD1" w:rsidRDefault="00214E6F" w:rsidP="00957CD1">
      <w:pPr>
        <w:spacing w:before="120"/>
        <w:jc w:val="both"/>
        <w:rPr>
          <w:rFonts w:cs="Arial"/>
          <w:szCs w:val="20"/>
        </w:rPr>
      </w:pPr>
      <w:r w:rsidRPr="00AB64E8">
        <w:rPr>
          <w:rFonts w:cs="Arial"/>
        </w:rPr>
        <w:t>V případě</w:t>
      </w:r>
      <w:r w:rsidRPr="00AB64E8">
        <w:rPr>
          <w:szCs w:val="20"/>
        </w:rPr>
        <w:t xml:space="preserve"> </w:t>
      </w:r>
      <w:r w:rsidRPr="00AB64E8">
        <w:rPr>
          <w:b/>
          <w:szCs w:val="20"/>
        </w:rPr>
        <w:t>sociálních služeb</w:t>
      </w:r>
      <w:r w:rsidRPr="00AB64E8">
        <w:rPr>
          <w:szCs w:val="20"/>
        </w:rPr>
        <w:t xml:space="preserve"> dlouhodobé sociální péče</w:t>
      </w:r>
      <w:r w:rsidRPr="00AB64E8">
        <w:rPr>
          <w:rFonts w:cs="Arial"/>
        </w:rPr>
        <w:t xml:space="preserve"> se jedná výhradně nebo převážně o poskytování tzv. asistenčních služeb typu pomoc při zajištění chodu domácnosti (úklid, nákupy, zajištění stravy), zprostředkování kontaktu se společenským prostředím, poskytnutí ubytování, sociálně terapeutické, výchovné a vzdělávací činnosti nebo pomoc </w:t>
      </w:r>
      <w:r w:rsidRPr="00AB64E8">
        <w:rPr>
          <w:rFonts w:cs="Arial"/>
          <w:szCs w:val="20"/>
        </w:rPr>
        <w:t xml:space="preserve">při uplatňování práv a oprávněných zájmů. </w:t>
      </w:r>
    </w:p>
    <w:p w:rsidR="005376E3" w:rsidRDefault="005376E3" w:rsidP="005376E3">
      <w:pPr>
        <w:widowControl w:val="0"/>
        <w:spacing w:before="240"/>
        <w:jc w:val="both"/>
        <w:rPr>
          <w:rFonts w:cs="Arial"/>
          <w:b/>
          <w:sz w:val="18"/>
          <w:szCs w:val="18"/>
        </w:rPr>
      </w:pPr>
      <w:r>
        <w:rPr>
          <w:rFonts w:cs="Arial"/>
          <w:b/>
          <w:sz w:val="18"/>
          <w:szCs w:val="18"/>
        </w:rPr>
        <w:t xml:space="preserve">Graf č. 3.3.5 </w:t>
      </w:r>
      <w:r w:rsidRPr="00AB64E8">
        <w:rPr>
          <w:rFonts w:cs="Arial"/>
          <w:b/>
          <w:sz w:val="18"/>
          <w:szCs w:val="18"/>
        </w:rPr>
        <w:t>Výdaje na sociální služby dlouhodobé péče v ČR podle druhu služeb, 201</w:t>
      </w:r>
      <w:r>
        <w:rPr>
          <w:rFonts w:cs="Arial"/>
          <w:b/>
          <w:sz w:val="18"/>
          <w:szCs w:val="18"/>
        </w:rPr>
        <w:t>2</w:t>
      </w:r>
      <w:r w:rsidRPr="00AB64E8">
        <w:rPr>
          <w:rFonts w:cs="Arial"/>
          <w:b/>
          <w:sz w:val="18"/>
          <w:szCs w:val="18"/>
        </w:rPr>
        <w:t>-201</w:t>
      </w:r>
      <w:r>
        <w:rPr>
          <w:rFonts w:cs="Arial"/>
          <w:b/>
          <w:sz w:val="18"/>
          <w:szCs w:val="18"/>
        </w:rPr>
        <w:t>6</w:t>
      </w:r>
      <w:r w:rsidRPr="00AB64E8">
        <w:rPr>
          <w:rFonts w:cs="Arial"/>
          <w:b/>
          <w:sz w:val="18"/>
          <w:szCs w:val="18"/>
        </w:rPr>
        <w:t xml:space="preserve"> </w:t>
      </w:r>
    </w:p>
    <w:p w:rsidR="005376E3" w:rsidRPr="00615AEA" w:rsidRDefault="005376E3" w:rsidP="005376E3">
      <w:pPr>
        <w:pStyle w:val="Odstavecseseznamem"/>
        <w:keepNext/>
        <w:numPr>
          <w:ilvl w:val="0"/>
          <w:numId w:val="37"/>
        </w:numPr>
        <w:spacing w:before="0" w:after="0"/>
        <w:ind w:left="714" w:hanging="357"/>
        <w:rPr>
          <w:rFonts w:cs="Arial"/>
          <w:b/>
          <w:sz w:val="18"/>
          <w:szCs w:val="18"/>
        </w:rPr>
      </w:pPr>
      <w:r w:rsidRPr="00615AEA">
        <w:rPr>
          <w:rFonts w:cs="Arial"/>
          <w:b/>
          <w:sz w:val="18"/>
          <w:szCs w:val="18"/>
        </w:rPr>
        <w:t>v m</w:t>
      </w:r>
      <w:r>
        <w:rPr>
          <w:rFonts w:cs="Arial"/>
          <w:b/>
          <w:sz w:val="18"/>
          <w:szCs w:val="18"/>
        </w:rPr>
        <w:t>il</w:t>
      </w:r>
      <w:r w:rsidRPr="00615AEA">
        <w:rPr>
          <w:rFonts w:cs="Arial"/>
          <w:b/>
          <w:sz w:val="18"/>
          <w:szCs w:val="18"/>
        </w:rPr>
        <w:t>. Kč                                                                                  b)  struktura (%)</w:t>
      </w:r>
    </w:p>
    <w:p w:rsidR="005376E3" w:rsidRDefault="005376E3" w:rsidP="005376E3">
      <w:pPr>
        <w:spacing w:line="240" w:lineRule="auto"/>
        <w:jc w:val="both"/>
        <w:rPr>
          <w:b/>
          <w:bCs/>
          <w:sz w:val="18"/>
          <w:szCs w:val="20"/>
        </w:rPr>
      </w:pPr>
      <w:r>
        <w:rPr>
          <w:noProof/>
        </w:rPr>
        <w:drawing>
          <wp:inline distT="0" distB="0" distL="0" distR="0">
            <wp:extent cx="3352800" cy="280800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extent cx="2638425" cy="2700000"/>
            <wp:effectExtent l="0" t="0" r="0" b="5715"/>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376E3" w:rsidRPr="00615AEA" w:rsidRDefault="005376E3" w:rsidP="005376E3">
      <w:pPr>
        <w:pStyle w:val="Odstavecseseznamem"/>
        <w:numPr>
          <w:ilvl w:val="0"/>
          <w:numId w:val="38"/>
        </w:numPr>
        <w:rPr>
          <w:rFonts w:cs="Arial"/>
          <w:color w:val="000000"/>
          <w:sz w:val="16"/>
          <w:szCs w:val="16"/>
        </w:rPr>
      </w:pPr>
      <w:r w:rsidRPr="00615AEA">
        <w:rPr>
          <w:rFonts w:cs="Arial"/>
          <w:color w:val="000000"/>
          <w:sz w:val="16"/>
          <w:szCs w:val="16"/>
        </w:rPr>
        <w:t>Ostatní</w:t>
      </w:r>
      <w:r>
        <w:rPr>
          <w:rFonts w:cs="Arial"/>
          <w:color w:val="000000"/>
          <w:sz w:val="16"/>
          <w:szCs w:val="16"/>
        </w:rPr>
        <w:t xml:space="preserve"> </w:t>
      </w:r>
      <w:r w:rsidRPr="00615AEA">
        <w:rPr>
          <w:rFonts w:cs="Arial"/>
          <w:color w:val="000000"/>
          <w:sz w:val="16"/>
          <w:szCs w:val="16"/>
        </w:rPr>
        <w:t>služby následné péče, podpora samostatného bydlení, preventivní programy, tísňová péče, tlumočnické služby, průvodcovské a předčitatelské služby</w:t>
      </w:r>
    </w:p>
    <w:p w:rsidR="005376E3" w:rsidRPr="00AB64E8" w:rsidRDefault="005376E3" w:rsidP="005376E3">
      <w:pPr>
        <w:spacing w:line="240" w:lineRule="auto"/>
        <w:jc w:val="right"/>
        <w:rPr>
          <w:b/>
          <w:bCs/>
          <w:i/>
          <w:sz w:val="16"/>
          <w:szCs w:val="16"/>
        </w:rPr>
      </w:pPr>
      <w:r w:rsidRPr="00AB64E8">
        <w:rPr>
          <w:b/>
          <w:bCs/>
          <w:i/>
          <w:sz w:val="16"/>
          <w:szCs w:val="16"/>
        </w:rPr>
        <w:t>Zdroj: ČSÚ 201</w:t>
      </w:r>
      <w:r>
        <w:rPr>
          <w:b/>
          <w:bCs/>
          <w:i/>
          <w:sz w:val="16"/>
          <w:szCs w:val="16"/>
        </w:rPr>
        <w:t>8</w:t>
      </w:r>
      <w:r w:rsidRPr="00AB64E8">
        <w:rPr>
          <w:b/>
          <w:bCs/>
          <w:i/>
          <w:sz w:val="16"/>
          <w:szCs w:val="16"/>
        </w:rPr>
        <w:t>, Zdravotnické účty ČR 2010 - 201</w:t>
      </w:r>
      <w:r>
        <w:rPr>
          <w:b/>
          <w:bCs/>
          <w:i/>
          <w:sz w:val="16"/>
          <w:szCs w:val="16"/>
        </w:rPr>
        <w:t>6</w:t>
      </w:r>
      <w:r w:rsidRPr="00AB64E8">
        <w:rPr>
          <w:b/>
          <w:bCs/>
          <w:i/>
          <w:sz w:val="16"/>
          <w:szCs w:val="16"/>
        </w:rPr>
        <w:t xml:space="preserve"> </w:t>
      </w:r>
    </w:p>
    <w:p w:rsidR="00214E6F" w:rsidRDefault="00214E6F" w:rsidP="00957CD1">
      <w:pPr>
        <w:spacing w:before="120"/>
        <w:jc w:val="both"/>
        <w:rPr>
          <w:rFonts w:cs="Arial"/>
          <w:szCs w:val="20"/>
        </w:rPr>
      </w:pPr>
      <w:r>
        <w:t>V roce 2016</w:t>
      </w:r>
      <w:r w:rsidRPr="00AB64E8">
        <w:t xml:space="preserve"> bylo investováno </w:t>
      </w:r>
      <w:r>
        <w:t>909</w:t>
      </w:r>
      <w:r w:rsidRPr="00AB64E8">
        <w:t xml:space="preserve"> miliónů</w:t>
      </w:r>
      <w:r w:rsidR="00D709E7">
        <w:t xml:space="preserve"> Kč</w:t>
      </w:r>
      <w:r w:rsidRPr="00AB64E8">
        <w:t xml:space="preserve"> </w:t>
      </w:r>
      <w:r w:rsidRPr="00AB64E8">
        <w:rPr>
          <w:b/>
        </w:rPr>
        <w:t>na provoz chráněného bydlení</w:t>
      </w:r>
      <w:r>
        <w:t xml:space="preserve">, což je </w:t>
      </w:r>
      <w:r w:rsidR="00957CD1">
        <w:t xml:space="preserve">o </w:t>
      </w:r>
      <w:r>
        <w:t>9 % více než v roce předchozím. Chráněné bydlení je pobytová</w:t>
      </w:r>
      <w:r w:rsidRPr="00AB64E8">
        <w:t xml:space="preserve"> služba</w:t>
      </w:r>
      <w:r w:rsidRPr="00AB64E8">
        <w:rPr>
          <w:rFonts w:cs="Arial"/>
          <w:szCs w:val="20"/>
        </w:rPr>
        <w:t xml:space="preserve"> umožňující lidem </w:t>
      </w:r>
      <w:r>
        <w:rPr>
          <w:rFonts w:cs="Arial"/>
          <w:szCs w:val="20"/>
        </w:rPr>
        <w:t>se</w:t>
      </w:r>
      <w:r w:rsidRPr="00AB64E8">
        <w:rPr>
          <w:rFonts w:cs="Arial"/>
          <w:szCs w:val="20"/>
        </w:rPr>
        <w:t> </w:t>
      </w:r>
      <w:r>
        <w:rPr>
          <w:rFonts w:cs="Arial"/>
          <w:szCs w:val="20"/>
        </w:rPr>
        <w:t>zdravotním postižením nebo chronickým onemocněním</w:t>
      </w:r>
      <w:r w:rsidRPr="00AB64E8">
        <w:rPr>
          <w:rFonts w:cs="Arial"/>
          <w:szCs w:val="20"/>
        </w:rPr>
        <w:t xml:space="preserve"> žít v běžném prostředí domácnosti. Výdaje na provoz chráněného bydlení mezi </w:t>
      </w:r>
      <w:r w:rsidRPr="00AB64E8">
        <w:rPr>
          <w:rFonts w:cs="Arial"/>
          <w:szCs w:val="20"/>
        </w:rPr>
        <w:lastRenderedPageBreak/>
        <w:t>roky 2010 a 201</w:t>
      </w:r>
      <w:r>
        <w:rPr>
          <w:rFonts w:cs="Arial"/>
          <w:szCs w:val="20"/>
        </w:rPr>
        <w:t>6</w:t>
      </w:r>
      <w:r w:rsidRPr="00AB64E8">
        <w:rPr>
          <w:rFonts w:cs="Arial"/>
          <w:szCs w:val="20"/>
        </w:rPr>
        <w:t xml:space="preserve"> narostly o více </w:t>
      </w:r>
      <w:r w:rsidR="00D709E7">
        <w:rPr>
          <w:rFonts w:cs="Arial"/>
          <w:szCs w:val="20"/>
        </w:rPr>
        <w:t xml:space="preserve">než </w:t>
      </w:r>
      <w:r>
        <w:rPr>
          <w:rFonts w:cs="Arial"/>
          <w:szCs w:val="20"/>
        </w:rPr>
        <w:t>90 %</w:t>
      </w:r>
      <w:r w:rsidRPr="00AB64E8">
        <w:rPr>
          <w:rFonts w:cs="Arial"/>
          <w:szCs w:val="20"/>
        </w:rPr>
        <w:t>, což je dáno postupným zvyšováním kapacit to</w:t>
      </w:r>
      <w:r>
        <w:rPr>
          <w:rFonts w:cs="Arial"/>
          <w:szCs w:val="20"/>
        </w:rPr>
        <w:t xml:space="preserve">hoto typu ubytování. Za uvedené období se zvýšil počet lůžek v těchto zařízeních téměř o dvě pětiny. </w:t>
      </w:r>
    </w:p>
    <w:p w:rsidR="006C0C43" w:rsidRDefault="00957CD1" w:rsidP="005376E3">
      <w:pPr>
        <w:autoSpaceDE w:val="0"/>
        <w:autoSpaceDN w:val="0"/>
        <w:adjustRightInd w:val="0"/>
        <w:spacing w:before="120"/>
        <w:jc w:val="both"/>
        <w:rPr>
          <w:rFonts w:cs="Arial"/>
          <w:szCs w:val="20"/>
        </w:rPr>
      </w:pPr>
      <w:r w:rsidRPr="006C0C43">
        <w:rPr>
          <w:rFonts w:cs="Arial"/>
          <w:b/>
          <w:szCs w:val="20"/>
        </w:rPr>
        <w:t>Sociální rehabilitace</w:t>
      </w:r>
      <w:r w:rsidRPr="00957CD1">
        <w:rPr>
          <w:rFonts w:cs="Arial"/>
          <w:szCs w:val="20"/>
        </w:rPr>
        <w:t xml:space="preserve"> zahrnuje soubor činností zaměřených na nácvik potřebných dovedností osob se zdravotním postižením směřujících k dosažení maximální možné soběstačnosti. </w:t>
      </w:r>
      <w:r w:rsidR="00214E6F" w:rsidRPr="00AB64E8">
        <w:rPr>
          <w:rFonts w:cs="Arial"/>
          <w:szCs w:val="20"/>
        </w:rPr>
        <w:t xml:space="preserve">Výdaje na služby </w:t>
      </w:r>
      <w:r w:rsidR="00214E6F" w:rsidRPr="006C0C43">
        <w:rPr>
          <w:rFonts w:cs="Arial"/>
          <w:szCs w:val="20"/>
        </w:rPr>
        <w:t>sociální rehabilitace</w:t>
      </w:r>
      <w:r w:rsidR="00214E6F" w:rsidRPr="00AB64E8">
        <w:rPr>
          <w:rFonts w:cs="Arial"/>
          <w:szCs w:val="20"/>
        </w:rPr>
        <w:t xml:space="preserve"> se </w:t>
      </w:r>
      <w:r w:rsidR="006C0C43">
        <w:rPr>
          <w:rFonts w:cs="Arial"/>
          <w:szCs w:val="20"/>
        </w:rPr>
        <w:t xml:space="preserve">až </w:t>
      </w:r>
      <w:r w:rsidR="00214E6F" w:rsidRPr="00AB64E8">
        <w:rPr>
          <w:rFonts w:cs="Arial"/>
          <w:szCs w:val="20"/>
        </w:rPr>
        <w:t>do roku 2014 každoročně zvyšovaly</w:t>
      </w:r>
      <w:r w:rsidR="006C0C43">
        <w:rPr>
          <w:rFonts w:cs="Arial"/>
          <w:szCs w:val="20"/>
        </w:rPr>
        <w:t>.</w:t>
      </w:r>
    </w:p>
    <w:p w:rsidR="006C0C43" w:rsidRPr="007949E3" w:rsidRDefault="006C0C43" w:rsidP="006C0C43">
      <w:pPr>
        <w:spacing w:before="240" w:after="120"/>
        <w:rPr>
          <w:rFonts w:eastAsia="MS Gothic"/>
          <w:b/>
          <w:i/>
        </w:rPr>
      </w:pPr>
      <w:r w:rsidRPr="007949E3">
        <w:rPr>
          <w:rFonts w:eastAsia="MS Gothic"/>
          <w:b/>
          <w:i/>
        </w:rPr>
        <w:t>Výdaje státu na příspěvky na péči pro postižené a seniory vzrostly od roku 201</w:t>
      </w:r>
      <w:r>
        <w:rPr>
          <w:rFonts w:eastAsia="MS Gothic"/>
          <w:b/>
          <w:i/>
        </w:rPr>
        <w:t>5</w:t>
      </w:r>
      <w:r w:rsidRPr="007949E3">
        <w:rPr>
          <w:rFonts w:eastAsia="MS Gothic"/>
          <w:b/>
          <w:i/>
        </w:rPr>
        <w:t xml:space="preserve"> o </w:t>
      </w:r>
      <w:r>
        <w:rPr>
          <w:rFonts w:eastAsia="MS Gothic"/>
          <w:b/>
          <w:i/>
        </w:rPr>
        <w:t>9 %</w:t>
      </w:r>
    </w:p>
    <w:p w:rsidR="00214E6F" w:rsidRDefault="00214E6F" w:rsidP="005376E3">
      <w:pPr>
        <w:spacing w:before="120"/>
        <w:jc w:val="both"/>
        <w:rPr>
          <w:rFonts w:cs="Arial"/>
          <w:szCs w:val="20"/>
        </w:rPr>
      </w:pPr>
      <w:r w:rsidRPr="00AB64E8">
        <w:rPr>
          <w:rFonts w:cs="Arial"/>
          <w:b/>
          <w:szCs w:val="20"/>
        </w:rPr>
        <w:t>Peněžité sociální dávky</w:t>
      </w:r>
      <w:r w:rsidRPr="00AB64E8">
        <w:rPr>
          <w:rFonts w:cs="Arial"/>
          <w:szCs w:val="20"/>
        </w:rPr>
        <w:t xml:space="preserve"> zahrnují dávky dlouhodobé sociální péče pro jednotlivce nebo domácnosti, a to zejména </w:t>
      </w:r>
      <w:r w:rsidRPr="00AB64E8">
        <w:rPr>
          <w:rFonts w:cs="Arial"/>
          <w:b/>
          <w:szCs w:val="20"/>
        </w:rPr>
        <w:t>příspěvek na péči</w:t>
      </w:r>
      <w:r w:rsidRPr="00AB64E8">
        <w:rPr>
          <w:rFonts w:cs="Arial"/>
          <w:szCs w:val="20"/>
        </w:rPr>
        <w:t xml:space="preserve">, který byl zaveden v roce 2007. Ten je určen osobám, které z důvodů dlouhodobě nepříznivého zdravotního stavu potřebují pomoc jiné osoby při zvládání základních životních potřeb. Z příspěvku je pak hrazena pomoc poskytovaná osobou blízkou, asistentem sociální péče nebo poskytovatelem sociálních služeb. </w:t>
      </w:r>
      <w:r>
        <w:rPr>
          <w:rFonts w:cs="Arial"/>
          <w:szCs w:val="20"/>
        </w:rPr>
        <w:t xml:space="preserve">Nárok na příspěvek má osoba starší jednoho roku. </w:t>
      </w:r>
    </w:p>
    <w:p w:rsidR="00214E6F" w:rsidRPr="00AB64E8" w:rsidRDefault="00214E6F" w:rsidP="005376E3">
      <w:pPr>
        <w:spacing w:before="120"/>
        <w:jc w:val="both"/>
        <w:rPr>
          <w:rFonts w:cs="Arial"/>
          <w:szCs w:val="20"/>
        </w:rPr>
      </w:pPr>
      <w:r w:rsidRPr="00AB64E8">
        <w:t>Jak je</w:t>
      </w:r>
      <w:r>
        <w:t xml:space="preserve"> </w:t>
      </w:r>
      <w:r w:rsidRPr="00AB64E8">
        <w:t>patrné z absolutních hodnot v grafu č. 3.3.6</w:t>
      </w:r>
      <w:r>
        <w:t xml:space="preserve">, </w:t>
      </w:r>
      <w:r w:rsidR="00271AC3">
        <w:t xml:space="preserve">od roku </w:t>
      </w:r>
      <w:r w:rsidRPr="00AB64E8">
        <w:t>2012 se výdaje na peněžité dávky</w:t>
      </w:r>
      <w:r>
        <w:t xml:space="preserve"> </w:t>
      </w:r>
      <w:r w:rsidR="00271AC3">
        <w:t>pozvolna zvyšovaly a pohybova</w:t>
      </w:r>
      <w:r>
        <w:t>ly</w:t>
      </w:r>
      <w:r w:rsidRPr="00AB64E8">
        <w:t xml:space="preserve"> </w:t>
      </w:r>
      <w:r w:rsidR="00271AC3">
        <w:t xml:space="preserve">se </w:t>
      </w:r>
      <w:r w:rsidRPr="00AB64E8">
        <w:t>pod hranicí 15 miliard Kč</w:t>
      </w:r>
      <w:r w:rsidR="00271AC3">
        <w:t>.</w:t>
      </w:r>
      <w:r w:rsidRPr="00AB64E8">
        <w:t xml:space="preserve"> Výše jednotlivých </w:t>
      </w:r>
      <w:r w:rsidR="00271AC3">
        <w:t xml:space="preserve">stupňů </w:t>
      </w:r>
      <w:r w:rsidRPr="00AB64E8">
        <w:t>státních příspěvků na péči zůstala v</w:t>
      </w:r>
      <w:r>
        <w:t> </w:t>
      </w:r>
      <w:r w:rsidRPr="00AB64E8">
        <w:t>období 201</w:t>
      </w:r>
      <w:r w:rsidR="00271AC3">
        <w:t>2</w:t>
      </w:r>
      <w:r w:rsidRPr="00AB64E8">
        <w:t xml:space="preserve"> až 2015 stejná, avšak k</w:t>
      </w:r>
      <w:r>
        <w:t>aždoročně se měnil jejich počet. V srpnu 2016 se poprvé za dobu své existence navýšil příspěvek na péči u všech stupňů postižení o deset procent</w:t>
      </w:r>
      <w:r w:rsidR="005376E3">
        <w:t>,</w:t>
      </w:r>
      <w:r>
        <w:t xml:space="preserve"> a proto byla i jeho celková částka za uvedený rok vyšší o 1,2 mld. Kč v porovnání s rokem 2015 (viz graf č. 3.3.6.). Podle informací MPSV ČR byl vyplacen příspěvek na péči v roce 2016 měsíčně v průměru 346 tisícům osob, což je zhruba o 3 % více než v roce předchozím. </w:t>
      </w:r>
    </w:p>
    <w:p w:rsidR="00214E6F" w:rsidRDefault="00214E6F" w:rsidP="00214E6F">
      <w:pPr>
        <w:keepNext/>
        <w:spacing w:before="120"/>
        <w:jc w:val="both"/>
        <w:rPr>
          <w:rFonts w:cs="Arial"/>
        </w:rPr>
      </w:pPr>
      <w:r w:rsidRPr="00AB64E8">
        <w:rPr>
          <w:rFonts w:cs="Arial"/>
        </w:rPr>
        <w:t xml:space="preserve">V kategorii </w:t>
      </w:r>
      <w:r w:rsidRPr="00AB64E8">
        <w:rPr>
          <w:rFonts w:cs="Arial"/>
          <w:b/>
        </w:rPr>
        <w:t>peněžitých dávek</w:t>
      </w:r>
      <w:r w:rsidRPr="00AB64E8">
        <w:rPr>
          <w:rFonts w:cs="Arial"/>
        </w:rPr>
        <w:t xml:space="preserve"> dlouhodobé sociální péče patři z hlediska výdajů k nejnákladnějším </w:t>
      </w:r>
      <w:r w:rsidRPr="00AB64E8">
        <w:rPr>
          <w:rFonts w:cs="Arial"/>
          <w:b/>
        </w:rPr>
        <w:t>příspěvek na péči</w:t>
      </w:r>
      <w:r w:rsidRPr="00AB64E8">
        <w:rPr>
          <w:rFonts w:cs="Arial"/>
        </w:rPr>
        <w:t>, určený osobám, které z důvodu svého zdravotního stavu potřebují pomoc jiné osoby (1</w:t>
      </w:r>
      <w:r>
        <w:rPr>
          <w:rFonts w:cs="Arial"/>
        </w:rPr>
        <w:t>6</w:t>
      </w:r>
      <w:r w:rsidRPr="00AB64E8">
        <w:rPr>
          <w:rFonts w:cs="Arial"/>
        </w:rPr>
        <w:t> </w:t>
      </w:r>
      <w:r>
        <w:rPr>
          <w:rFonts w:cs="Arial"/>
        </w:rPr>
        <w:t>213</w:t>
      </w:r>
      <w:r w:rsidRPr="00AB64E8">
        <w:rPr>
          <w:rFonts w:cs="Arial"/>
        </w:rPr>
        <w:t> mil. Kč v roce 201</w:t>
      </w:r>
      <w:r>
        <w:rPr>
          <w:rFonts w:cs="Arial"/>
        </w:rPr>
        <w:t>6</w:t>
      </w:r>
      <w:r w:rsidRPr="00AB64E8">
        <w:rPr>
          <w:rFonts w:cs="Arial"/>
        </w:rPr>
        <w:t>). V</w:t>
      </w:r>
      <w:r>
        <w:rPr>
          <w:rFonts w:cs="Arial"/>
        </w:rPr>
        <w:t xml:space="preserve"> důsledku výše uvedeného zvýšení se v </w:t>
      </w:r>
      <w:r w:rsidRPr="00AB64E8">
        <w:rPr>
          <w:rFonts w:cs="Arial"/>
        </w:rPr>
        <w:t xml:space="preserve">meziročním srovnání </w:t>
      </w:r>
      <w:r>
        <w:rPr>
          <w:rFonts w:cs="Arial"/>
        </w:rPr>
        <w:t xml:space="preserve">2015 a </w:t>
      </w:r>
      <w:r w:rsidRPr="00AB64E8">
        <w:rPr>
          <w:rFonts w:cs="Arial"/>
        </w:rPr>
        <w:t>201</w:t>
      </w:r>
      <w:r>
        <w:rPr>
          <w:rFonts w:cs="Arial"/>
        </w:rPr>
        <w:t>6</w:t>
      </w:r>
      <w:r w:rsidRPr="00AB64E8">
        <w:rPr>
          <w:rFonts w:cs="Arial"/>
        </w:rPr>
        <w:t xml:space="preserve"> </w:t>
      </w:r>
      <w:r>
        <w:rPr>
          <w:rFonts w:cs="Arial"/>
        </w:rPr>
        <w:t>vzrostly</w:t>
      </w:r>
      <w:r w:rsidRPr="00AB64E8">
        <w:rPr>
          <w:rFonts w:cs="Arial"/>
        </w:rPr>
        <w:t xml:space="preserve"> výdaje na příspěvky na péči </w:t>
      </w:r>
      <w:r>
        <w:rPr>
          <w:rFonts w:cs="Arial"/>
        </w:rPr>
        <w:t>téměř o 9 %.</w:t>
      </w:r>
    </w:p>
    <w:p w:rsidR="00214E6F" w:rsidRPr="00AB64E8" w:rsidRDefault="00214E6F" w:rsidP="00214E6F">
      <w:pPr>
        <w:keepNext/>
        <w:spacing w:before="240" w:after="120"/>
        <w:jc w:val="both"/>
        <w:rPr>
          <w:rFonts w:cs="Arial"/>
          <w:b/>
          <w:sz w:val="18"/>
          <w:szCs w:val="18"/>
        </w:rPr>
      </w:pPr>
      <w:r w:rsidRPr="00AB64E8">
        <w:rPr>
          <w:rFonts w:cs="Arial"/>
          <w:b/>
          <w:sz w:val="18"/>
          <w:szCs w:val="18"/>
        </w:rPr>
        <w:t>Graf č.</w:t>
      </w:r>
      <w:r>
        <w:rPr>
          <w:rFonts w:cs="Arial"/>
          <w:b/>
          <w:sz w:val="18"/>
          <w:szCs w:val="18"/>
        </w:rPr>
        <w:t xml:space="preserve"> 3.3.6 P</w:t>
      </w:r>
      <w:r w:rsidRPr="00AB64E8">
        <w:rPr>
          <w:rFonts w:cs="Arial"/>
          <w:b/>
          <w:sz w:val="18"/>
          <w:szCs w:val="18"/>
        </w:rPr>
        <w:t>eněžité dávky na sociální služby podle druhů příspěvku, 201</w:t>
      </w:r>
      <w:r>
        <w:rPr>
          <w:rFonts w:cs="Arial"/>
          <w:b/>
          <w:sz w:val="18"/>
          <w:szCs w:val="18"/>
        </w:rPr>
        <w:t>2</w:t>
      </w:r>
      <w:r w:rsidRPr="00AB64E8">
        <w:rPr>
          <w:rFonts w:cs="Arial"/>
          <w:b/>
          <w:sz w:val="18"/>
          <w:szCs w:val="18"/>
        </w:rPr>
        <w:t>-201</w:t>
      </w:r>
      <w:r>
        <w:rPr>
          <w:rFonts w:cs="Arial"/>
          <w:b/>
          <w:sz w:val="18"/>
          <w:szCs w:val="18"/>
        </w:rPr>
        <w:t xml:space="preserve">6 </w:t>
      </w:r>
    </w:p>
    <w:p w:rsidR="00214E6F" w:rsidRPr="009C1F88" w:rsidRDefault="00214E6F" w:rsidP="006C0C43">
      <w:pPr>
        <w:pStyle w:val="Odstavecseseznamem"/>
        <w:numPr>
          <w:ilvl w:val="0"/>
          <w:numId w:val="39"/>
        </w:numPr>
        <w:autoSpaceDE w:val="0"/>
        <w:autoSpaceDN w:val="0"/>
        <w:adjustRightInd w:val="0"/>
        <w:spacing w:before="0" w:after="0"/>
        <w:ind w:left="714" w:hanging="357"/>
        <w:rPr>
          <w:b/>
          <w:sz w:val="18"/>
          <w:szCs w:val="18"/>
        </w:rPr>
      </w:pPr>
      <w:r>
        <w:rPr>
          <w:b/>
          <w:sz w:val="18"/>
          <w:szCs w:val="18"/>
        </w:rPr>
        <w:t>v mld</w:t>
      </w:r>
      <w:r w:rsidRPr="009C1F88">
        <w:rPr>
          <w:b/>
          <w:sz w:val="18"/>
          <w:szCs w:val="18"/>
        </w:rPr>
        <w:t xml:space="preserve">. Kč                                                                                 </w:t>
      </w:r>
      <w:r>
        <w:rPr>
          <w:b/>
          <w:sz w:val="18"/>
          <w:szCs w:val="18"/>
        </w:rPr>
        <w:t xml:space="preserve">      </w:t>
      </w:r>
      <w:r w:rsidRPr="009C1F88">
        <w:rPr>
          <w:b/>
          <w:sz w:val="18"/>
          <w:szCs w:val="18"/>
        </w:rPr>
        <w:t xml:space="preserve"> b)  struktura (%)</w:t>
      </w:r>
    </w:p>
    <w:p w:rsidR="00214E6F" w:rsidRDefault="00214E6F" w:rsidP="00214E6F">
      <w:pPr>
        <w:autoSpaceDE w:val="0"/>
        <w:autoSpaceDN w:val="0"/>
        <w:adjustRightInd w:val="0"/>
        <w:jc w:val="both"/>
        <w:rPr>
          <w:i/>
          <w:sz w:val="16"/>
          <w:szCs w:val="16"/>
        </w:rPr>
      </w:pPr>
      <w:r>
        <w:rPr>
          <w:noProof/>
        </w:rPr>
        <w:drawing>
          <wp:inline distT="0" distB="0" distL="0" distR="0">
            <wp:extent cx="3676650" cy="2520000"/>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9C1F88">
        <w:rPr>
          <w:noProof/>
        </w:rPr>
        <w:t xml:space="preserve"> </w:t>
      </w:r>
      <w:r>
        <w:rPr>
          <w:noProof/>
        </w:rPr>
        <w:drawing>
          <wp:inline distT="0" distB="0" distL="0" distR="0">
            <wp:extent cx="2324100" cy="2520000"/>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14E6F" w:rsidRPr="00AB64E8" w:rsidRDefault="00214E6F" w:rsidP="00214E6F">
      <w:pPr>
        <w:autoSpaceDE w:val="0"/>
        <w:autoSpaceDN w:val="0"/>
        <w:adjustRightInd w:val="0"/>
        <w:jc w:val="right"/>
        <w:rPr>
          <w:b/>
          <w:i/>
          <w:sz w:val="16"/>
          <w:szCs w:val="16"/>
        </w:rPr>
      </w:pPr>
      <w:r>
        <w:rPr>
          <w:b/>
          <w:i/>
          <w:sz w:val="16"/>
          <w:szCs w:val="16"/>
        </w:rPr>
        <w:t>Zdroj: ČSÚ 2018</w:t>
      </w:r>
      <w:r w:rsidRPr="00AB64E8">
        <w:rPr>
          <w:b/>
          <w:i/>
          <w:sz w:val="16"/>
          <w:szCs w:val="16"/>
        </w:rPr>
        <w:t>, Zdravotnické účty ČR 2010 - 201</w:t>
      </w:r>
      <w:r>
        <w:rPr>
          <w:b/>
          <w:i/>
          <w:sz w:val="16"/>
          <w:szCs w:val="16"/>
        </w:rPr>
        <w:t>6</w:t>
      </w:r>
      <w:r w:rsidRPr="00AB64E8">
        <w:rPr>
          <w:b/>
          <w:i/>
          <w:sz w:val="16"/>
          <w:szCs w:val="16"/>
        </w:rPr>
        <w:t xml:space="preserve"> </w:t>
      </w:r>
    </w:p>
    <w:p w:rsidR="00214E6F" w:rsidRDefault="00214E6F" w:rsidP="00214E6F">
      <w:pPr>
        <w:keepNext/>
        <w:spacing w:before="300"/>
        <w:jc w:val="both"/>
        <w:rPr>
          <w:rFonts w:cs="Arial"/>
          <w:szCs w:val="20"/>
        </w:rPr>
      </w:pPr>
      <w:r w:rsidRPr="00AB64E8">
        <w:rPr>
          <w:rFonts w:cs="Arial"/>
          <w:szCs w:val="20"/>
        </w:rPr>
        <w:t xml:space="preserve">Výdaje na příspěvek </w:t>
      </w:r>
      <w:r w:rsidRPr="00AB64E8">
        <w:rPr>
          <w:rFonts w:cs="Arial"/>
          <w:b/>
          <w:szCs w:val="20"/>
        </w:rPr>
        <w:t>na mobilitu</w:t>
      </w:r>
      <w:r w:rsidRPr="00AB64E8">
        <w:rPr>
          <w:rFonts w:cs="Arial"/>
          <w:szCs w:val="20"/>
        </w:rPr>
        <w:t xml:space="preserve"> pro osoby s nárokem na průkaz ZTP nebo ZTP/P, které se opakovaně za úhradu dopravují, dosáhly</w:t>
      </w:r>
      <w:r>
        <w:rPr>
          <w:rFonts w:cs="Arial"/>
          <w:szCs w:val="20"/>
        </w:rPr>
        <w:t xml:space="preserve"> v roce 2016 výše 1 167 mil. Kč. Od roku 2013 zůstává výše vyplaceného příspěvku na mobilitu bez výrazných změn. P</w:t>
      </w:r>
      <w:r w:rsidRPr="00AB64E8">
        <w:rPr>
          <w:rFonts w:cs="Arial"/>
          <w:szCs w:val="20"/>
        </w:rPr>
        <w:t>říspěvk</w:t>
      </w:r>
      <w:r w:rsidR="00957CD1">
        <w:rPr>
          <w:rFonts w:cs="Arial"/>
          <w:szCs w:val="20"/>
        </w:rPr>
        <w:t>y</w:t>
      </w:r>
      <w:r w:rsidRPr="00AB64E8">
        <w:rPr>
          <w:rFonts w:cs="Arial"/>
          <w:szCs w:val="20"/>
        </w:rPr>
        <w:t xml:space="preserve"> </w:t>
      </w:r>
      <w:r w:rsidRPr="00AB64E8">
        <w:rPr>
          <w:rFonts w:cs="Arial"/>
          <w:b/>
          <w:szCs w:val="20"/>
        </w:rPr>
        <w:t>na zvláštní pomůcku</w:t>
      </w:r>
      <w:r w:rsidRPr="00AB64E8">
        <w:rPr>
          <w:rFonts w:cs="Arial"/>
          <w:szCs w:val="20"/>
        </w:rPr>
        <w:t xml:space="preserve"> pro osoby s těžkou vadou nosného nebo pohybového ústrojí nebo s těžkým zrakovým či </w:t>
      </w:r>
      <w:r>
        <w:rPr>
          <w:rFonts w:cs="Arial"/>
          <w:szCs w:val="20"/>
        </w:rPr>
        <w:t>sluchovým postižením dosáhl</w:t>
      </w:r>
      <w:r w:rsidR="00957CD1">
        <w:rPr>
          <w:rFonts w:cs="Arial"/>
          <w:szCs w:val="20"/>
        </w:rPr>
        <w:t>y</w:t>
      </w:r>
      <w:r>
        <w:rPr>
          <w:rFonts w:cs="Arial"/>
          <w:szCs w:val="20"/>
        </w:rPr>
        <w:t xml:space="preserve"> v roce 2016</w:t>
      </w:r>
      <w:r w:rsidR="00957CD1">
        <w:rPr>
          <w:rFonts w:cs="Arial"/>
          <w:szCs w:val="20"/>
        </w:rPr>
        <w:t xml:space="preserve"> celkem</w:t>
      </w:r>
      <w:r>
        <w:rPr>
          <w:rFonts w:cs="Arial"/>
          <w:szCs w:val="20"/>
        </w:rPr>
        <w:t xml:space="preserve"> 827 mil. Kč</w:t>
      </w:r>
      <w:r w:rsidRPr="00AB64E8">
        <w:rPr>
          <w:rFonts w:cs="Arial"/>
          <w:szCs w:val="20"/>
        </w:rPr>
        <w:t xml:space="preserve">. </w:t>
      </w:r>
    </w:p>
    <w:p w:rsidR="00214E6F" w:rsidRPr="005F153A" w:rsidRDefault="00214E6F" w:rsidP="00957CD1">
      <w:pPr>
        <w:pStyle w:val="Nadpis2"/>
        <w:pageBreakBefore/>
      </w:pPr>
      <w:bookmarkStart w:id="33" w:name="_Toc481748798"/>
      <w:r w:rsidRPr="005F153A">
        <w:lastRenderedPageBreak/>
        <w:t>3.4 Výdaje za léky</w:t>
      </w:r>
      <w:bookmarkEnd w:id="33"/>
    </w:p>
    <w:p w:rsidR="00214E6F" w:rsidRDefault="00214E6F" w:rsidP="00606B1B">
      <w:pPr>
        <w:keepNext/>
        <w:spacing w:before="120"/>
        <w:jc w:val="both"/>
        <w:rPr>
          <w:bCs/>
        </w:rPr>
      </w:pPr>
      <w:r w:rsidRPr="005F153A">
        <w:rPr>
          <w:bCs/>
        </w:rPr>
        <w:t>Tato kapitola podává přehled základních údajů o celkových výdajích na léky od roku 2010. Poskytuje</w:t>
      </w:r>
      <w:r>
        <w:rPr>
          <w:bCs/>
        </w:rPr>
        <w:t> </w:t>
      </w:r>
      <w:r w:rsidRPr="005F153A">
        <w:rPr>
          <w:bCs/>
        </w:rPr>
        <w:t xml:space="preserve">především podrobné údaje o výdajích na léky </w:t>
      </w:r>
      <w:r w:rsidRPr="005F153A">
        <w:rPr>
          <w:b/>
          <w:bCs/>
        </w:rPr>
        <w:t>dle místa spotřeby a zdroje financování</w:t>
      </w:r>
      <w:r w:rsidRPr="005F153A">
        <w:rPr>
          <w:bCs/>
        </w:rPr>
        <w:t>. Místem</w:t>
      </w:r>
      <w:r>
        <w:rPr>
          <w:bCs/>
        </w:rPr>
        <w:t> </w:t>
      </w:r>
      <w:r w:rsidRPr="005F153A">
        <w:rPr>
          <w:bCs/>
        </w:rPr>
        <w:t xml:space="preserve">spotřeby jsou v této souvislosti myšleny </w:t>
      </w:r>
      <w:r w:rsidRPr="005F153A">
        <w:rPr>
          <w:b/>
          <w:bCs/>
        </w:rPr>
        <w:t>ambulantně vydávané léky</w:t>
      </w:r>
      <w:r w:rsidRPr="005F153A">
        <w:rPr>
          <w:bCs/>
        </w:rPr>
        <w:t>, tedy ty, které jsou buď vydávány pacientům na lékařský předpis, nebo jsou nakupovány v rámci volného prodeje léků</w:t>
      </w:r>
      <w:r>
        <w:rPr>
          <w:rStyle w:val="Znakapoznpodarou"/>
          <w:bCs/>
        </w:rPr>
        <w:footnoteReference w:id="9"/>
      </w:r>
      <w:r>
        <w:rPr>
          <w:bCs/>
        </w:rPr>
        <w:t>.</w:t>
      </w:r>
      <w:r w:rsidRPr="005F153A">
        <w:rPr>
          <w:bCs/>
        </w:rPr>
        <w:t xml:space="preserve"> Výdaje na ambulantně vydávané léky jsou doplněny o informace o lécích spotřebovávaných v rámci léčby přímo </w:t>
      </w:r>
      <w:r w:rsidRPr="005F153A">
        <w:rPr>
          <w:b/>
          <w:bCs/>
        </w:rPr>
        <w:t>ve</w:t>
      </w:r>
      <w:r>
        <w:rPr>
          <w:b/>
          <w:bCs/>
        </w:rPr>
        <w:t> </w:t>
      </w:r>
      <w:r w:rsidRPr="005F153A">
        <w:rPr>
          <w:b/>
          <w:bCs/>
        </w:rPr>
        <w:t>zdravotnických zařízeních</w:t>
      </w:r>
      <w:r w:rsidRPr="005F153A">
        <w:rPr>
          <w:bCs/>
        </w:rPr>
        <w:t xml:space="preserve"> (obvykle v rámci hospitalizací). </w:t>
      </w:r>
    </w:p>
    <w:p w:rsidR="00214E6F" w:rsidRDefault="00214E6F" w:rsidP="00606B1B">
      <w:pPr>
        <w:keepNext/>
        <w:spacing w:before="120"/>
        <w:jc w:val="both"/>
      </w:pPr>
      <w:r w:rsidRPr="005F153A">
        <w:rPr>
          <w:bCs/>
        </w:rPr>
        <w:t xml:space="preserve">Pozornost je zaměřena rovněž na výdaje na léky </w:t>
      </w:r>
      <w:r w:rsidRPr="005F153A">
        <w:rPr>
          <w:b/>
          <w:bCs/>
        </w:rPr>
        <w:t>z hlediska jejich financování.</w:t>
      </w:r>
      <w:r w:rsidRPr="005F153A">
        <w:rPr>
          <w:bCs/>
        </w:rPr>
        <w:t xml:space="preserve"> </w:t>
      </w:r>
      <w:r w:rsidRPr="005F153A">
        <w:t>V České republice mají v tomto směru klíčové postavení zdravotní pojišťovny, které hradí až 7</w:t>
      </w:r>
      <w:r>
        <w:t>0</w:t>
      </w:r>
      <w:r w:rsidRPr="005F153A">
        <w:t xml:space="preserve"> % veškerých výdajů na léky. Zbývající část výdajů na léky si lidé platí z vlastních kapes.</w:t>
      </w:r>
    </w:p>
    <w:p w:rsidR="00214E6F" w:rsidRPr="00403484" w:rsidRDefault="00214E6F" w:rsidP="00214E6F">
      <w:pPr>
        <w:pStyle w:val="Nadpis3"/>
      </w:pPr>
      <w:bookmarkStart w:id="34" w:name="_Toc481748799"/>
      <w:r w:rsidRPr="00403484">
        <w:t xml:space="preserve">3.4.1 </w:t>
      </w:r>
      <w:bookmarkEnd w:id="34"/>
      <w:r w:rsidR="00930E84">
        <w:t>Celkové výdaje za léky</w:t>
      </w:r>
    </w:p>
    <w:p w:rsidR="00005515" w:rsidRPr="005F153A" w:rsidRDefault="00214E6F" w:rsidP="00005515">
      <w:pPr>
        <w:keepNext/>
        <w:spacing w:before="120"/>
        <w:jc w:val="both"/>
        <w:rPr>
          <w:bCs/>
        </w:rPr>
      </w:pPr>
      <w:r w:rsidRPr="005F153A">
        <w:rPr>
          <w:bCs/>
        </w:rPr>
        <w:t>V České republice bylo v roce 201</w:t>
      </w:r>
      <w:r>
        <w:rPr>
          <w:bCs/>
        </w:rPr>
        <w:t>6</w:t>
      </w:r>
      <w:r w:rsidRPr="005F153A">
        <w:rPr>
          <w:bCs/>
        </w:rPr>
        <w:t xml:space="preserve"> vydáno </w:t>
      </w:r>
      <w:r w:rsidRPr="005F153A">
        <w:rPr>
          <w:b/>
          <w:bCs/>
        </w:rPr>
        <w:t>za léky</w:t>
      </w:r>
      <w:r>
        <w:rPr>
          <w:b/>
          <w:bCs/>
        </w:rPr>
        <w:t xml:space="preserve"> celkem</w:t>
      </w:r>
      <w:r w:rsidRPr="005F153A">
        <w:rPr>
          <w:bCs/>
        </w:rPr>
        <w:t xml:space="preserve"> 7</w:t>
      </w:r>
      <w:r>
        <w:rPr>
          <w:bCs/>
        </w:rPr>
        <w:t>9</w:t>
      </w:r>
      <w:r w:rsidRPr="005F153A">
        <w:rPr>
          <w:bCs/>
        </w:rPr>
        <w:t>,</w:t>
      </w:r>
      <w:r>
        <w:rPr>
          <w:bCs/>
        </w:rPr>
        <w:t>1</w:t>
      </w:r>
      <w:r w:rsidRPr="005F153A">
        <w:rPr>
          <w:bCs/>
        </w:rPr>
        <w:t xml:space="preserve"> mld. Kč</w:t>
      </w:r>
      <w:r>
        <w:rPr>
          <w:rStyle w:val="Znakapoznpodarou"/>
          <w:bCs/>
        </w:rPr>
        <w:footnoteReference w:id="10"/>
      </w:r>
      <w:r w:rsidRPr="005F153A">
        <w:rPr>
          <w:bCs/>
        </w:rPr>
        <w:t>, což představovalo 21,</w:t>
      </w:r>
      <w:r>
        <w:rPr>
          <w:bCs/>
        </w:rPr>
        <w:t>9</w:t>
      </w:r>
      <w:r w:rsidRPr="005F153A">
        <w:rPr>
          <w:bCs/>
        </w:rPr>
        <w:t xml:space="preserve"> % </w:t>
      </w:r>
      <w:r>
        <w:rPr>
          <w:bCs/>
        </w:rPr>
        <w:t>běžných</w:t>
      </w:r>
      <w:r w:rsidRPr="005F153A">
        <w:rPr>
          <w:bCs/>
        </w:rPr>
        <w:t xml:space="preserve"> výdajů na zdravotní péči. Na jednoho obyvatele ČR bylo </w:t>
      </w:r>
      <w:r w:rsidR="00EA29F0" w:rsidRPr="00EA29F0">
        <w:rPr>
          <w:bCs/>
        </w:rPr>
        <w:t xml:space="preserve">v roce 2016 za léky </w:t>
      </w:r>
      <w:r w:rsidRPr="005F153A">
        <w:rPr>
          <w:bCs/>
        </w:rPr>
        <w:t>v průměru utraceno 7 </w:t>
      </w:r>
      <w:r>
        <w:rPr>
          <w:bCs/>
        </w:rPr>
        <w:t>487</w:t>
      </w:r>
      <w:r w:rsidRPr="005F153A">
        <w:rPr>
          <w:bCs/>
        </w:rPr>
        <w:t xml:space="preserve"> Kč. </w:t>
      </w:r>
      <w:r w:rsidR="00005515" w:rsidRPr="005F153A">
        <w:rPr>
          <w:bCs/>
        </w:rPr>
        <w:t xml:space="preserve">Od roku 2010 včetně, tj. v uplynulých </w:t>
      </w:r>
      <w:r w:rsidR="00005515">
        <w:rPr>
          <w:bCs/>
        </w:rPr>
        <w:t>sedmi</w:t>
      </w:r>
      <w:r w:rsidR="00005515" w:rsidRPr="005F153A">
        <w:rPr>
          <w:bCs/>
        </w:rPr>
        <w:t xml:space="preserve"> letech bylo za lék</w:t>
      </w:r>
      <w:r w:rsidR="00005515">
        <w:rPr>
          <w:bCs/>
        </w:rPr>
        <w:t>y v České republice utraceno 520</w:t>
      </w:r>
      <w:r w:rsidR="00005515" w:rsidRPr="005F153A">
        <w:rPr>
          <w:bCs/>
        </w:rPr>
        <w:t xml:space="preserve"> mld. Kč, z nich 3</w:t>
      </w:r>
      <w:r w:rsidR="00005515">
        <w:rPr>
          <w:bCs/>
        </w:rPr>
        <w:t>67</w:t>
      </w:r>
      <w:r w:rsidR="00005515" w:rsidRPr="005F153A">
        <w:rPr>
          <w:bCs/>
        </w:rPr>
        <w:t xml:space="preserve"> miliard připadlo na léky placené z veřejného zdravotního pojištění a zbyl</w:t>
      </w:r>
      <w:r w:rsidR="00005515">
        <w:rPr>
          <w:bCs/>
        </w:rPr>
        <w:t>ých 153</w:t>
      </w:r>
      <w:r w:rsidR="00005515" w:rsidRPr="005F153A">
        <w:rPr>
          <w:bCs/>
        </w:rPr>
        <w:t xml:space="preserve"> miliard na léky placené přímo domácnostmi.</w:t>
      </w:r>
    </w:p>
    <w:p w:rsidR="00214E6F" w:rsidRPr="005F153A" w:rsidRDefault="00214E6F" w:rsidP="00214E6F">
      <w:pPr>
        <w:keepNext/>
        <w:spacing w:before="120"/>
        <w:jc w:val="both"/>
        <w:rPr>
          <w:bCs/>
        </w:rPr>
      </w:pPr>
      <w:r w:rsidRPr="00606B1B">
        <w:rPr>
          <w:b/>
          <w:bCs/>
        </w:rPr>
        <w:t>Léky na předpis</w:t>
      </w:r>
      <w:r w:rsidRPr="005F153A">
        <w:rPr>
          <w:bCs/>
        </w:rPr>
        <w:t xml:space="preserve"> hrazené z veřejného pojištění tvoří dlouhodobě více než 40 % celkových výdajů na léky (4</w:t>
      </w:r>
      <w:r>
        <w:rPr>
          <w:bCs/>
        </w:rPr>
        <w:t>0</w:t>
      </w:r>
      <w:r w:rsidRPr="005F153A">
        <w:rPr>
          <w:bCs/>
        </w:rPr>
        <w:t> % v roce 201</w:t>
      </w:r>
      <w:r>
        <w:rPr>
          <w:bCs/>
        </w:rPr>
        <w:t>6</w:t>
      </w:r>
      <w:r w:rsidRPr="005F153A">
        <w:rPr>
          <w:bCs/>
        </w:rPr>
        <w:t xml:space="preserve"> v porovnání s 4</w:t>
      </w:r>
      <w:r>
        <w:rPr>
          <w:bCs/>
        </w:rPr>
        <w:t>7</w:t>
      </w:r>
      <w:r w:rsidRPr="005F153A">
        <w:rPr>
          <w:bCs/>
        </w:rPr>
        <w:t xml:space="preserve"> % v roce 2010). Výdaje za </w:t>
      </w:r>
      <w:r w:rsidRPr="00606B1B">
        <w:rPr>
          <w:b/>
          <w:bCs/>
        </w:rPr>
        <w:t>léky spotřebované přímo v lůžkových zdravotnických zařízeních</w:t>
      </w:r>
      <w:r w:rsidRPr="005F153A">
        <w:rPr>
          <w:bCs/>
        </w:rPr>
        <w:t xml:space="preserve"> dosáhly v roce 201</w:t>
      </w:r>
      <w:r>
        <w:rPr>
          <w:bCs/>
        </w:rPr>
        <w:t>6</w:t>
      </w:r>
      <w:r w:rsidRPr="005F153A">
        <w:rPr>
          <w:bCs/>
        </w:rPr>
        <w:t xml:space="preserve"> </w:t>
      </w:r>
      <w:r>
        <w:rPr>
          <w:bCs/>
        </w:rPr>
        <w:t xml:space="preserve">téměř </w:t>
      </w:r>
      <w:r w:rsidR="00EA29F0">
        <w:rPr>
          <w:bCs/>
        </w:rPr>
        <w:t xml:space="preserve">třetinový podíl. V absolutním vyjádření bylo na tyto léky v roce 2016 vynaloženo </w:t>
      </w:r>
      <w:r w:rsidRPr="005F153A">
        <w:rPr>
          <w:bCs/>
        </w:rPr>
        <w:t>2</w:t>
      </w:r>
      <w:r>
        <w:rPr>
          <w:bCs/>
        </w:rPr>
        <w:t>3,4</w:t>
      </w:r>
      <w:r w:rsidRPr="005F153A">
        <w:rPr>
          <w:bCs/>
        </w:rPr>
        <w:t xml:space="preserve"> mld. Kč, což je nejvíce od roku 2010. Zbývajících 3</w:t>
      </w:r>
      <w:r>
        <w:rPr>
          <w:bCs/>
        </w:rPr>
        <w:t>0</w:t>
      </w:r>
      <w:r w:rsidRPr="005F153A">
        <w:rPr>
          <w:bCs/>
        </w:rPr>
        <w:t xml:space="preserve"> % v roce 201</w:t>
      </w:r>
      <w:r>
        <w:rPr>
          <w:bCs/>
        </w:rPr>
        <w:t>6</w:t>
      </w:r>
      <w:r w:rsidRPr="005F153A">
        <w:rPr>
          <w:bCs/>
        </w:rPr>
        <w:t xml:space="preserve"> zahrnovaly </w:t>
      </w:r>
      <w:r w:rsidRPr="00606B1B">
        <w:rPr>
          <w:b/>
          <w:bCs/>
        </w:rPr>
        <w:t>přímé výdaje domácností na doplatky na léky na předpis</w:t>
      </w:r>
      <w:r w:rsidRPr="005F153A">
        <w:rPr>
          <w:bCs/>
        </w:rPr>
        <w:t xml:space="preserve"> (</w:t>
      </w:r>
      <w:r>
        <w:rPr>
          <w:bCs/>
        </w:rPr>
        <w:t>10,3</w:t>
      </w:r>
      <w:r w:rsidRPr="005F153A">
        <w:rPr>
          <w:bCs/>
        </w:rPr>
        <w:t xml:space="preserve"> mld.</w:t>
      </w:r>
      <w:r>
        <w:rPr>
          <w:bCs/>
        </w:rPr>
        <w:t xml:space="preserve"> Kč) a </w:t>
      </w:r>
      <w:r w:rsidRPr="00606B1B">
        <w:rPr>
          <w:b/>
          <w:bCs/>
        </w:rPr>
        <w:t>volně prodejné léky</w:t>
      </w:r>
      <w:r>
        <w:rPr>
          <w:bCs/>
        </w:rPr>
        <w:t xml:space="preserve"> (13,4</w:t>
      </w:r>
      <w:r w:rsidRPr="005F153A">
        <w:rPr>
          <w:bCs/>
        </w:rPr>
        <w:t xml:space="preserve"> mld. Kč).</w:t>
      </w:r>
    </w:p>
    <w:p w:rsidR="00214E6F" w:rsidRDefault="00214E6F" w:rsidP="00214E6F">
      <w:pPr>
        <w:keepNext/>
        <w:spacing w:before="240" w:after="120"/>
        <w:rPr>
          <w:rFonts w:cs="Arial"/>
          <w:b/>
          <w:sz w:val="18"/>
          <w:szCs w:val="18"/>
        </w:rPr>
      </w:pPr>
      <w:r w:rsidRPr="005F153A">
        <w:rPr>
          <w:rFonts w:cs="Arial"/>
          <w:b/>
          <w:sz w:val="18"/>
          <w:szCs w:val="18"/>
        </w:rPr>
        <w:t>Graf č. 3.4.1 Celkové výdaje za léky v České republice, 2010-201</w:t>
      </w:r>
      <w:r>
        <w:rPr>
          <w:rFonts w:cs="Arial"/>
          <w:b/>
          <w:sz w:val="18"/>
          <w:szCs w:val="18"/>
        </w:rPr>
        <w:t>6</w:t>
      </w:r>
      <w:r w:rsidRPr="005F153A">
        <w:rPr>
          <w:rFonts w:cs="Arial"/>
          <w:b/>
          <w:sz w:val="18"/>
          <w:szCs w:val="18"/>
        </w:rPr>
        <w:t xml:space="preserve"> (mld. Kč; na 1 obyv., %)</w:t>
      </w:r>
    </w:p>
    <w:p w:rsidR="00214E6F" w:rsidRPr="00312437" w:rsidRDefault="00214E6F" w:rsidP="00214E6F">
      <w:pPr>
        <w:keepNext/>
        <w:spacing w:before="240" w:after="120"/>
        <w:jc w:val="right"/>
        <w:rPr>
          <w:rFonts w:cs="Arial"/>
          <w:b/>
          <w:sz w:val="18"/>
          <w:szCs w:val="18"/>
        </w:rPr>
      </w:pPr>
      <w:r>
        <w:rPr>
          <w:noProof/>
        </w:rPr>
        <w:drawing>
          <wp:inline distT="0" distB="0" distL="0" distR="0">
            <wp:extent cx="6084000" cy="2592000"/>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b/>
          <w:i/>
          <w:sz w:val="16"/>
          <w:szCs w:val="16"/>
        </w:rPr>
        <w:t xml:space="preserve">                                                                                                                                Z</w:t>
      </w:r>
      <w:r w:rsidRPr="005F153A">
        <w:rPr>
          <w:b/>
          <w:i/>
          <w:sz w:val="16"/>
          <w:szCs w:val="16"/>
        </w:rPr>
        <w:t>droj: ČSÚ 201</w:t>
      </w:r>
      <w:r>
        <w:rPr>
          <w:b/>
          <w:i/>
          <w:sz w:val="16"/>
          <w:szCs w:val="16"/>
        </w:rPr>
        <w:t>8</w:t>
      </w:r>
      <w:r w:rsidRPr="005F153A">
        <w:rPr>
          <w:b/>
          <w:i/>
          <w:sz w:val="16"/>
          <w:szCs w:val="16"/>
        </w:rPr>
        <w:t>, Zdravotnické účty ČR 2010 - 201</w:t>
      </w:r>
      <w:r>
        <w:rPr>
          <w:b/>
          <w:i/>
          <w:sz w:val="16"/>
          <w:szCs w:val="16"/>
        </w:rPr>
        <w:t>6</w:t>
      </w:r>
    </w:p>
    <w:p w:rsidR="00214E6F" w:rsidRPr="005F153A" w:rsidRDefault="00214E6F" w:rsidP="00214E6F">
      <w:pPr>
        <w:keepNext/>
        <w:spacing w:before="120"/>
        <w:jc w:val="both"/>
        <w:rPr>
          <w:bCs/>
        </w:rPr>
      </w:pPr>
      <w:r w:rsidRPr="005F153A">
        <w:rPr>
          <w:bCs/>
        </w:rPr>
        <w:t>Jak je patrné z</w:t>
      </w:r>
      <w:r>
        <w:rPr>
          <w:bCs/>
        </w:rPr>
        <w:t> </w:t>
      </w:r>
      <w:r w:rsidRPr="005F153A">
        <w:rPr>
          <w:bCs/>
        </w:rPr>
        <w:t>grafu</w:t>
      </w:r>
      <w:r>
        <w:rPr>
          <w:bCs/>
        </w:rPr>
        <w:t xml:space="preserve"> č. 3.4.1</w:t>
      </w:r>
      <w:r w:rsidRPr="005F153A">
        <w:rPr>
          <w:bCs/>
        </w:rPr>
        <w:t>, vývoj celkových výdajů za léky nevykazuje za období 2010 – 201</w:t>
      </w:r>
      <w:r>
        <w:rPr>
          <w:bCs/>
        </w:rPr>
        <w:t>6</w:t>
      </w:r>
      <w:r w:rsidRPr="005F153A">
        <w:rPr>
          <w:bCs/>
        </w:rPr>
        <w:t xml:space="preserve"> jednoznačný trend. Celkové výdaje za léky postupně rostly mezi roky 2010 až 2012 až na částku </w:t>
      </w:r>
      <w:r w:rsidRPr="005F153A">
        <w:rPr>
          <w:bCs/>
        </w:rPr>
        <w:lastRenderedPageBreak/>
        <w:t>75,9</w:t>
      </w:r>
      <w:r>
        <w:rPr>
          <w:bCs/>
        </w:rPr>
        <w:t> </w:t>
      </w:r>
      <w:r w:rsidRPr="005F153A">
        <w:rPr>
          <w:bCs/>
        </w:rPr>
        <w:t>mld.</w:t>
      </w:r>
      <w:r>
        <w:rPr>
          <w:bCs/>
        </w:rPr>
        <w:t> </w:t>
      </w:r>
      <w:r w:rsidRPr="005F153A">
        <w:rPr>
          <w:bCs/>
        </w:rPr>
        <w:t xml:space="preserve">Kč, poté byl zaznamenán jejich pokles na 71,9 mld. Kč, </w:t>
      </w:r>
      <w:r w:rsidRPr="005F153A">
        <w:rPr>
          <w:szCs w:val="20"/>
        </w:rPr>
        <w:t>což bylo dáno nižšími výdaji na léky na předpis. Ve výročních zprávách SÚKL se uvádí</w:t>
      </w:r>
      <w:r>
        <w:rPr>
          <w:szCs w:val="20"/>
        </w:rPr>
        <w:t>,</w:t>
      </w:r>
      <w:r w:rsidRPr="005F153A">
        <w:rPr>
          <w:szCs w:val="20"/>
        </w:rPr>
        <w:t xml:space="preserve"> že při relativně stálém objemu léků na předpis byly patrné mírně klesající úhrady zdravotních pojišťoven za léky. V </w:t>
      </w:r>
      <w:r w:rsidRPr="005F153A">
        <w:rPr>
          <w:bCs/>
          <w:szCs w:val="20"/>
        </w:rPr>
        <w:t xml:space="preserve">roce 2014 dosahovaly </w:t>
      </w:r>
      <w:r>
        <w:rPr>
          <w:bCs/>
          <w:szCs w:val="20"/>
        </w:rPr>
        <w:t xml:space="preserve">celkové </w:t>
      </w:r>
      <w:r w:rsidRPr="005F153A">
        <w:rPr>
          <w:bCs/>
          <w:szCs w:val="20"/>
        </w:rPr>
        <w:t>výdaje</w:t>
      </w:r>
      <w:r w:rsidRPr="005F153A">
        <w:rPr>
          <w:bCs/>
        </w:rPr>
        <w:t xml:space="preserve"> na </w:t>
      </w:r>
      <w:r>
        <w:rPr>
          <w:bCs/>
        </w:rPr>
        <w:t>léky téměř k hranici 74 mld. Kč a vzestupný trend pokračoval i v letech následujících. V roce 2016 se výdaje za léky vyšplhaly těsně pod hranici 80 mld. Kč.</w:t>
      </w:r>
    </w:p>
    <w:p w:rsidR="00EA29F0" w:rsidRPr="004F78C3" w:rsidRDefault="00214E6F" w:rsidP="00EA29F0">
      <w:pPr>
        <w:keepNext/>
        <w:spacing w:before="120"/>
        <w:jc w:val="both"/>
      </w:pPr>
      <w:r w:rsidRPr="005F153A">
        <w:t>V </w:t>
      </w:r>
      <w:r w:rsidRPr="005F153A">
        <w:rPr>
          <w:b/>
        </w:rPr>
        <w:t>mezinárodním srovnání</w:t>
      </w:r>
      <w:r w:rsidRPr="005F153A">
        <w:t xml:space="preserve"> jsou dostupné pouze výdaje </w:t>
      </w:r>
      <w:r w:rsidR="00EA29F0">
        <w:t xml:space="preserve">na </w:t>
      </w:r>
      <w:r w:rsidRPr="005F153A">
        <w:t>ambulantně podávané léky</w:t>
      </w:r>
      <w:r w:rsidR="00EA29F0">
        <w:t xml:space="preserve">, </w:t>
      </w:r>
      <w:r w:rsidRPr="005F153A">
        <w:t xml:space="preserve">ať už na předpis </w:t>
      </w:r>
      <w:r w:rsidR="00EA29F0">
        <w:t xml:space="preserve">či </w:t>
      </w:r>
      <w:r w:rsidRPr="005F153A">
        <w:t>volně prodejné</w:t>
      </w:r>
      <w:r w:rsidR="00EA29F0">
        <w:t>. V roce 2015 v</w:t>
      </w:r>
      <w:r w:rsidR="00EA29F0" w:rsidRPr="005F153A">
        <w:t xml:space="preserve">ýdaje na </w:t>
      </w:r>
      <w:r w:rsidR="00EA29F0">
        <w:t xml:space="preserve">tyto </w:t>
      </w:r>
      <w:r w:rsidR="00EA29F0" w:rsidRPr="005F153A">
        <w:t xml:space="preserve">ambulantně podávané léky </w:t>
      </w:r>
      <w:r w:rsidR="00EA29F0">
        <w:t xml:space="preserve">se stejně jako v průměru za země OECD podílely z 19 % na celkových výdajích na zdravotní péči. </w:t>
      </w:r>
      <w:r w:rsidR="00EA29F0" w:rsidRPr="005F153A">
        <w:t xml:space="preserve">Nejvyšší </w:t>
      </w:r>
      <w:r w:rsidR="00EA29F0">
        <w:t xml:space="preserve">podíl těchto léků na celkové zdravotní péči byl zaznamenán na Slovensku (35 </w:t>
      </w:r>
      <w:r w:rsidR="00EA29F0" w:rsidRPr="005F153A">
        <w:t xml:space="preserve">%) a </w:t>
      </w:r>
      <w:r w:rsidR="00EA29F0">
        <w:t>v Maďarsku (32 %), nejnižší n</w:t>
      </w:r>
      <w:r w:rsidR="00EA29F0" w:rsidRPr="005F153A">
        <w:t xml:space="preserve">aopak </w:t>
      </w:r>
      <w:r w:rsidR="00EA29F0">
        <w:t xml:space="preserve">v </w:t>
      </w:r>
      <w:r w:rsidR="00EA29F0" w:rsidRPr="005F153A">
        <w:t>Lucembursk</w:t>
      </w:r>
      <w:r w:rsidR="00EA29F0">
        <w:t>u</w:t>
      </w:r>
      <w:r w:rsidR="00EA29F0" w:rsidRPr="005F153A">
        <w:t xml:space="preserve"> (11 %)</w:t>
      </w:r>
      <w:r w:rsidR="00EA29F0">
        <w:t xml:space="preserve"> a v Dánsku (10 %).</w:t>
      </w:r>
      <w:r w:rsidR="00EA29F0" w:rsidRPr="005F153A">
        <w:t xml:space="preserve"> </w:t>
      </w:r>
      <w:r w:rsidR="00EA29F0" w:rsidRPr="00EA29F0">
        <w:rPr>
          <w:i/>
        </w:rPr>
        <w:t>Bližší podrobnosti jsou uvedeny v kapitole s mezinárodním srovnáním</w:t>
      </w:r>
      <w:r w:rsidR="00EA29F0" w:rsidRPr="004F78C3">
        <w:t>.</w:t>
      </w:r>
    </w:p>
    <w:p w:rsidR="00214E6F" w:rsidRPr="004F78C3" w:rsidRDefault="00214E6F" w:rsidP="00214E6F">
      <w:pPr>
        <w:keepNext/>
        <w:spacing w:before="120"/>
        <w:jc w:val="both"/>
        <w:rPr>
          <w:b/>
          <w:bCs/>
          <w:i/>
        </w:rPr>
      </w:pPr>
      <w:r w:rsidRPr="004F78C3">
        <w:rPr>
          <w:b/>
          <w:bCs/>
          <w:i/>
        </w:rPr>
        <w:t>Rostou především výdaje za léky spotřebované přímo ve zdravotnických zařízeních</w:t>
      </w:r>
    </w:p>
    <w:p w:rsidR="00EA29F0" w:rsidRPr="00EA29F0" w:rsidRDefault="00214E6F" w:rsidP="00EA29F0">
      <w:pPr>
        <w:keepNext/>
        <w:spacing w:before="120"/>
        <w:jc w:val="both"/>
        <w:rPr>
          <w:bCs/>
          <w:i/>
        </w:rPr>
      </w:pPr>
      <w:r>
        <w:rPr>
          <w:bCs/>
        </w:rPr>
        <w:t>V roce 2016</w:t>
      </w:r>
      <w:r w:rsidRPr="004F78C3">
        <w:rPr>
          <w:bCs/>
        </w:rPr>
        <w:t xml:space="preserve"> </w:t>
      </w:r>
      <w:r w:rsidRPr="004F78C3">
        <w:rPr>
          <w:b/>
          <w:bCs/>
        </w:rPr>
        <w:t>meziročně</w:t>
      </w:r>
      <w:r w:rsidRPr="004F78C3">
        <w:rPr>
          <w:bCs/>
        </w:rPr>
        <w:t xml:space="preserve"> vzrostly výdaje na léky o </w:t>
      </w:r>
      <w:r>
        <w:rPr>
          <w:bCs/>
        </w:rPr>
        <w:t>3</w:t>
      </w:r>
      <w:r w:rsidRPr="004F78C3">
        <w:rPr>
          <w:bCs/>
        </w:rPr>
        <w:t> % (2</w:t>
      </w:r>
      <w:r>
        <w:rPr>
          <w:bCs/>
        </w:rPr>
        <w:t>,3</w:t>
      </w:r>
      <w:r w:rsidRPr="004F78C3">
        <w:rPr>
          <w:bCs/>
        </w:rPr>
        <w:t xml:space="preserve"> mld. Kč), a to především díky výdajům za léky spotřebovaných přímo ve zdravotnických zařízeních, které se v porovnání s rokem 201</w:t>
      </w:r>
      <w:r>
        <w:rPr>
          <w:bCs/>
        </w:rPr>
        <w:t>5</w:t>
      </w:r>
      <w:r w:rsidRPr="004F78C3">
        <w:rPr>
          <w:bCs/>
        </w:rPr>
        <w:t xml:space="preserve"> zvýšily o </w:t>
      </w:r>
      <w:r>
        <w:rPr>
          <w:bCs/>
        </w:rPr>
        <w:t>5 %</w:t>
      </w:r>
      <w:r w:rsidRPr="004F78C3">
        <w:rPr>
          <w:bCs/>
        </w:rPr>
        <w:t xml:space="preserve"> (</w:t>
      </w:r>
      <w:r>
        <w:rPr>
          <w:bCs/>
        </w:rPr>
        <w:t>1</w:t>
      </w:r>
      <w:r w:rsidRPr="004F78C3">
        <w:rPr>
          <w:bCs/>
        </w:rPr>
        <w:t xml:space="preserve">,1 mld. Kč). </w:t>
      </w:r>
      <w:r w:rsidR="00EA29F0" w:rsidRPr="004F78C3">
        <w:rPr>
          <w:bCs/>
        </w:rPr>
        <w:t>V roce 201</w:t>
      </w:r>
      <w:r w:rsidR="00EA29F0">
        <w:rPr>
          <w:bCs/>
        </w:rPr>
        <w:t>6</w:t>
      </w:r>
      <w:r w:rsidR="00EA29F0" w:rsidRPr="004F78C3">
        <w:rPr>
          <w:bCs/>
        </w:rPr>
        <w:t xml:space="preserve"> </w:t>
      </w:r>
      <w:r w:rsidR="00EA29F0">
        <w:rPr>
          <w:bCs/>
        </w:rPr>
        <w:t>podobně</w:t>
      </w:r>
      <w:r w:rsidR="00EA29F0" w:rsidRPr="004F78C3">
        <w:rPr>
          <w:bCs/>
        </w:rPr>
        <w:t xml:space="preserve"> vzrostly přímé výdaje domácností (jednotlivců) na volně prodejné léky</w:t>
      </w:r>
      <w:r w:rsidR="00EA29F0">
        <w:rPr>
          <w:bCs/>
        </w:rPr>
        <w:t xml:space="preserve"> </w:t>
      </w:r>
      <w:r w:rsidR="00EA29F0" w:rsidRPr="004F78C3">
        <w:rPr>
          <w:bCs/>
        </w:rPr>
        <w:t xml:space="preserve">(o </w:t>
      </w:r>
      <w:r w:rsidR="00EA29F0">
        <w:rPr>
          <w:bCs/>
        </w:rPr>
        <w:t>5,9</w:t>
      </w:r>
      <w:r w:rsidR="00EA29F0" w:rsidRPr="004F78C3">
        <w:rPr>
          <w:bCs/>
        </w:rPr>
        <w:t> %; 0,</w:t>
      </w:r>
      <w:r w:rsidR="00EA29F0">
        <w:rPr>
          <w:bCs/>
        </w:rPr>
        <w:t>7</w:t>
      </w:r>
      <w:r w:rsidR="00EA29F0" w:rsidRPr="004F78C3">
        <w:rPr>
          <w:bCs/>
        </w:rPr>
        <w:t xml:space="preserve"> mld. Kč). </w:t>
      </w:r>
      <w:r w:rsidR="00EA29F0" w:rsidRPr="00EA29F0">
        <w:rPr>
          <w:bCs/>
          <w:i/>
        </w:rPr>
        <w:t>Podrobněji viz podkapitola č. 3.4.3.</w:t>
      </w:r>
    </w:p>
    <w:p w:rsidR="00214E6F" w:rsidRDefault="00214E6F" w:rsidP="00214E6F">
      <w:pPr>
        <w:keepNext/>
        <w:spacing w:before="120"/>
        <w:jc w:val="both"/>
      </w:pPr>
      <w:r w:rsidRPr="002B6C0B">
        <w:t>Vývoj jednotlivých skupin výdajů za léky se ve sledo</w:t>
      </w:r>
      <w:r>
        <w:t>vaném období lišil, jak ukazuje graf č.</w:t>
      </w:r>
      <w:r w:rsidRPr="002B6C0B">
        <w:t xml:space="preserve">3.4.2). </w:t>
      </w:r>
      <w:r w:rsidRPr="002B6C0B">
        <w:rPr>
          <w:b/>
        </w:rPr>
        <w:t>U léků spotřebovaných ve zdravotnických zařízeních</w:t>
      </w:r>
      <w:r w:rsidRPr="002B6C0B">
        <w:t xml:space="preserve"> lze sledovat postupný nárůst až do roku 2015, další rok došlo k mírnému poklesu na 1,3násobek hodnoty z roku 2010. </w:t>
      </w:r>
      <w:r w:rsidRPr="002B6C0B">
        <w:rPr>
          <w:b/>
        </w:rPr>
        <w:t>U léků na předpis z veřejného zdravotního pojištění</w:t>
      </w:r>
      <w:r w:rsidRPr="002B6C0B">
        <w:t xml:space="preserve"> index výdajů ve sledovaném období průběžně kolísal s maximem v roce 2012 (110 % hodnoty roku 2010) a v následujících letech měl spíše sestupnou tendenci. </w:t>
      </w:r>
      <w:r w:rsidRPr="002B6C0B">
        <w:rPr>
          <w:b/>
        </w:rPr>
        <w:t>Doplatky na předepsané léky</w:t>
      </w:r>
      <w:r w:rsidRPr="002B6C0B">
        <w:t xml:space="preserve">, které hradí domácnosti, od roku 2013 výrazně vzrostly. Také u </w:t>
      </w:r>
      <w:r w:rsidRPr="002B6C0B">
        <w:rPr>
          <w:b/>
        </w:rPr>
        <w:t xml:space="preserve">volně prodejných léků </w:t>
      </w:r>
      <w:r w:rsidRPr="002B6C0B">
        <w:t>se</w:t>
      </w:r>
      <w:r w:rsidRPr="002B6C0B">
        <w:rPr>
          <w:b/>
        </w:rPr>
        <w:t xml:space="preserve"> </w:t>
      </w:r>
      <w:r w:rsidRPr="002B6C0B">
        <w:t>index výdajů od roku 2013 postupně zvyšuje.</w:t>
      </w:r>
      <w:r>
        <w:t xml:space="preserve"> </w:t>
      </w:r>
      <w:r w:rsidRPr="005F153A">
        <w:t xml:space="preserve"> </w:t>
      </w:r>
    </w:p>
    <w:p w:rsidR="00214E6F" w:rsidRPr="005F153A" w:rsidRDefault="00214E6F" w:rsidP="00214E6F">
      <w:pPr>
        <w:keepNext/>
        <w:spacing w:before="120"/>
        <w:jc w:val="both"/>
        <w:rPr>
          <w:b/>
          <w:bCs/>
          <w:sz w:val="18"/>
          <w:szCs w:val="18"/>
        </w:rPr>
      </w:pPr>
      <w:r w:rsidRPr="005F153A">
        <w:rPr>
          <w:b/>
          <w:bCs/>
          <w:sz w:val="18"/>
          <w:szCs w:val="18"/>
        </w:rPr>
        <w:t xml:space="preserve">Graf 3.4.2 Vývoj výdajů za léky </w:t>
      </w:r>
      <w:r w:rsidR="00005515">
        <w:rPr>
          <w:b/>
          <w:bCs/>
          <w:sz w:val="18"/>
          <w:szCs w:val="18"/>
        </w:rPr>
        <w:t xml:space="preserve">v Česku </w:t>
      </w:r>
      <w:r w:rsidRPr="005F153A">
        <w:rPr>
          <w:b/>
          <w:bCs/>
          <w:sz w:val="18"/>
          <w:szCs w:val="18"/>
        </w:rPr>
        <w:t>v letech 2010 - 201</w:t>
      </w:r>
      <w:r>
        <w:rPr>
          <w:b/>
          <w:bCs/>
          <w:sz w:val="18"/>
          <w:szCs w:val="18"/>
        </w:rPr>
        <w:t>6</w:t>
      </w:r>
      <w:r w:rsidRPr="005F153A">
        <w:rPr>
          <w:b/>
          <w:bCs/>
          <w:sz w:val="18"/>
          <w:szCs w:val="18"/>
        </w:rPr>
        <w:t xml:space="preserve"> (index, 2010 = 100)</w:t>
      </w:r>
    </w:p>
    <w:p w:rsidR="00214E6F" w:rsidRDefault="00214E6F" w:rsidP="00214E6F">
      <w:pPr>
        <w:keepNext/>
        <w:spacing w:before="120"/>
        <w:jc w:val="right"/>
        <w:rPr>
          <w:b/>
          <w:i/>
          <w:sz w:val="16"/>
          <w:szCs w:val="16"/>
        </w:rPr>
      </w:pPr>
      <w:r>
        <w:rPr>
          <w:noProof/>
        </w:rPr>
        <w:drawing>
          <wp:inline distT="0" distB="0" distL="0" distR="0">
            <wp:extent cx="6124575" cy="2533650"/>
            <wp:effectExtent l="0" t="0" r="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14E6F" w:rsidRPr="005F153A" w:rsidRDefault="00214E6F" w:rsidP="00005515">
      <w:pPr>
        <w:keepNext/>
        <w:spacing w:before="120" w:after="240"/>
        <w:jc w:val="right"/>
        <w:rPr>
          <w:bCs/>
        </w:rPr>
      </w:pPr>
      <w:r w:rsidRPr="005F153A">
        <w:rPr>
          <w:b/>
          <w:i/>
          <w:sz w:val="16"/>
          <w:szCs w:val="16"/>
        </w:rPr>
        <w:t>Zdroj: ČSÚ 201</w:t>
      </w:r>
      <w:r>
        <w:rPr>
          <w:b/>
          <w:i/>
          <w:sz w:val="16"/>
          <w:szCs w:val="16"/>
        </w:rPr>
        <w:t>8</w:t>
      </w:r>
      <w:r w:rsidRPr="005F153A">
        <w:rPr>
          <w:b/>
          <w:i/>
          <w:sz w:val="16"/>
          <w:szCs w:val="16"/>
        </w:rPr>
        <w:t xml:space="preserve">, </w:t>
      </w:r>
      <w:r>
        <w:rPr>
          <w:b/>
          <w:i/>
          <w:sz w:val="16"/>
          <w:szCs w:val="16"/>
        </w:rPr>
        <w:t>Zdravotnické účty ČR 2010 - 2016</w:t>
      </w:r>
    </w:p>
    <w:p w:rsidR="00214E6F" w:rsidRPr="00606B1B" w:rsidRDefault="00214E6F" w:rsidP="00F53404">
      <w:pPr>
        <w:keepNext/>
        <w:jc w:val="both"/>
        <w:rPr>
          <w:i/>
        </w:rPr>
      </w:pPr>
      <w:r w:rsidRPr="00606B1B">
        <w:rPr>
          <w:i/>
        </w:rPr>
        <w:t xml:space="preserve">Následujících několik údajů o spotřebě léčiv je čerpáno ze zdrojů </w:t>
      </w:r>
      <w:r w:rsidRPr="00606B1B">
        <w:rPr>
          <w:b/>
          <w:i/>
        </w:rPr>
        <w:t>Státního ústavu pro kontrolu léčiv</w:t>
      </w:r>
      <w:r w:rsidRPr="00606B1B">
        <w:rPr>
          <w:i/>
        </w:rPr>
        <w:t xml:space="preserve"> (SÚKL). V roce 2016 bylo do sítě zdravotnických zařízení v České republice dodáno 260,8 milionů balení léčivých přípravků, což ve srovnání s rokem 2010 znamená pokles o 16,8 %. Počet definovaných denních dávek</w:t>
      </w:r>
      <w:r w:rsidRPr="00606B1B">
        <w:rPr>
          <w:rStyle w:val="Znakapoznpodarou"/>
          <w:i/>
        </w:rPr>
        <w:footnoteReference w:id="11"/>
      </w:r>
      <w:r w:rsidRPr="00606B1B">
        <w:rPr>
          <w:i/>
        </w:rPr>
        <w:t xml:space="preserve"> celkem v roce 2016 dosáhl 6 542,9 mil., od roku 2010 vzrostl o 7,7 %. Finanční hodnota distribuovaných léčivých přípravků byla 64,3 miliard Kč (</w:t>
      </w:r>
      <w:r w:rsidR="00AD4FBF" w:rsidRPr="00606B1B">
        <w:rPr>
          <w:i/>
        </w:rPr>
        <w:t>v cenách stanovených výrobcem bez obchodní přirážky a DPH), oproti roku 2010 se jejich cena zvýšila o 9 %.</w:t>
      </w:r>
      <w:bookmarkStart w:id="35" w:name="_Toc481748800"/>
    </w:p>
    <w:p w:rsidR="00214E6F" w:rsidRPr="005F153A" w:rsidRDefault="00214E6F" w:rsidP="00F53404">
      <w:pPr>
        <w:pStyle w:val="Nadpis3"/>
        <w:pageBreakBefore/>
      </w:pPr>
      <w:r w:rsidRPr="005F153A">
        <w:lastRenderedPageBreak/>
        <w:t>3.4.2 Výdaje za léky podle místa jejich spotřeby</w:t>
      </w:r>
      <w:bookmarkEnd w:id="35"/>
      <w:r w:rsidRPr="005F153A">
        <w:t xml:space="preserve"> </w:t>
      </w:r>
    </w:p>
    <w:p w:rsidR="00214E6F" w:rsidRDefault="00214E6F" w:rsidP="00214E6F">
      <w:pPr>
        <w:spacing w:before="120"/>
        <w:jc w:val="both"/>
        <w:rPr>
          <w:bCs/>
        </w:rPr>
      </w:pPr>
      <w:r w:rsidRPr="005F153A">
        <w:rPr>
          <w:bCs/>
        </w:rPr>
        <w:t xml:space="preserve">Za </w:t>
      </w:r>
      <w:r w:rsidRPr="005F153A">
        <w:rPr>
          <w:b/>
          <w:bCs/>
        </w:rPr>
        <w:t>ambulantně vydávané léky</w:t>
      </w:r>
      <w:r w:rsidRPr="005F153A">
        <w:rPr>
          <w:bCs/>
        </w:rPr>
        <w:t xml:space="preserve"> </w:t>
      </w:r>
      <w:r>
        <w:rPr>
          <w:bCs/>
        </w:rPr>
        <w:t xml:space="preserve">hrazené z veřejného zdravotního pojištění a doplatků domácností </w:t>
      </w:r>
      <w:r w:rsidRPr="005F153A">
        <w:rPr>
          <w:bCs/>
        </w:rPr>
        <w:t>bylo v roce 201</w:t>
      </w:r>
      <w:r>
        <w:rPr>
          <w:bCs/>
        </w:rPr>
        <w:t>6</w:t>
      </w:r>
      <w:r w:rsidRPr="005F153A">
        <w:rPr>
          <w:bCs/>
        </w:rPr>
        <w:t xml:space="preserve"> vyn</w:t>
      </w:r>
      <w:r>
        <w:rPr>
          <w:bCs/>
        </w:rPr>
        <w:t>aloženo téměř 56</w:t>
      </w:r>
      <w:r w:rsidRPr="005F153A">
        <w:rPr>
          <w:bCs/>
        </w:rPr>
        <w:t xml:space="preserve"> mld. Kč, přičemž za léky vydané na předpis to bylo 4</w:t>
      </w:r>
      <w:r>
        <w:rPr>
          <w:bCs/>
        </w:rPr>
        <w:t>2,3</w:t>
      </w:r>
      <w:r w:rsidRPr="005F153A">
        <w:rPr>
          <w:bCs/>
        </w:rPr>
        <w:t xml:space="preserve"> mld. Kč a za volně prodejné léky 1</w:t>
      </w:r>
      <w:r>
        <w:rPr>
          <w:bCs/>
        </w:rPr>
        <w:t>3</w:t>
      </w:r>
      <w:r w:rsidRPr="005F153A">
        <w:rPr>
          <w:bCs/>
        </w:rPr>
        <w:t>,</w:t>
      </w:r>
      <w:r>
        <w:rPr>
          <w:bCs/>
        </w:rPr>
        <w:t>4</w:t>
      </w:r>
      <w:r w:rsidRPr="005F153A">
        <w:rPr>
          <w:bCs/>
        </w:rPr>
        <w:t xml:space="preserve"> mld. Kč. Výdaje na ambulantně vydávané léky</w:t>
      </w:r>
      <w:r>
        <w:rPr>
          <w:bCs/>
        </w:rPr>
        <w:t xml:space="preserve"> </w:t>
      </w:r>
      <w:r w:rsidRPr="005F153A">
        <w:rPr>
          <w:bCs/>
        </w:rPr>
        <w:t xml:space="preserve">tak tvořily 15 % </w:t>
      </w:r>
      <w:r>
        <w:rPr>
          <w:bCs/>
        </w:rPr>
        <w:t>celkových</w:t>
      </w:r>
      <w:r w:rsidRPr="005F153A">
        <w:rPr>
          <w:bCs/>
        </w:rPr>
        <w:t xml:space="preserve"> výdajů na z</w:t>
      </w:r>
      <w:r>
        <w:rPr>
          <w:bCs/>
        </w:rPr>
        <w:t>dravotní péči, které v roce 2016</w:t>
      </w:r>
      <w:r w:rsidRPr="005F153A">
        <w:rPr>
          <w:bCs/>
        </w:rPr>
        <w:t xml:space="preserve"> dosáhly výše 3</w:t>
      </w:r>
      <w:r>
        <w:rPr>
          <w:bCs/>
        </w:rPr>
        <w:t>61,6</w:t>
      </w:r>
      <w:r w:rsidRPr="005F153A">
        <w:rPr>
          <w:bCs/>
        </w:rPr>
        <w:t xml:space="preserve"> mld. Kč. Na </w:t>
      </w:r>
      <w:r w:rsidRPr="005F153A">
        <w:rPr>
          <w:b/>
          <w:bCs/>
        </w:rPr>
        <w:t>léky spotřebované ve zdravotnických zařízeních</w:t>
      </w:r>
      <w:r w:rsidRPr="005F153A">
        <w:rPr>
          <w:bCs/>
        </w:rPr>
        <w:t xml:space="preserve"> bylo v roce 201</w:t>
      </w:r>
      <w:r>
        <w:rPr>
          <w:bCs/>
        </w:rPr>
        <w:t>6</w:t>
      </w:r>
      <w:r w:rsidRPr="005F153A">
        <w:rPr>
          <w:bCs/>
        </w:rPr>
        <w:t xml:space="preserve"> vydáno o </w:t>
      </w:r>
      <w:r>
        <w:rPr>
          <w:bCs/>
        </w:rPr>
        <w:t>třetinu více</w:t>
      </w:r>
      <w:r w:rsidRPr="005F153A">
        <w:rPr>
          <w:bCs/>
        </w:rPr>
        <w:t xml:space="preserve"> korun než v roce 201</w:t>
      </w:r>
      <w:r>
        <w:rPr>
          <w:bCs/>
        </w:rPr>
        <w:t>2</w:t>
      </w:r>
      <w:r w:rsidRPr="005F153A">
        <w:rPr>
          <w:bCs/>
        </w:rPr>
        <w:t xml:space="preserve"> (2</w:t>
      </w:r>
      <w:r>
        <w:rPr>
          <w:bCs/>
        </w:rPr>
        <w:t xml:space="preserve">3,4 mld. </w:t>
      </w:r>
      <w:r w:rsidRPr="005F153A">
        <w:rPr>
          <w:bCs/>
        </w:rPr>
        <w:t>Kč oproti 1</w:t>
      </w:r>
      <w:r>
        <w:rPr>
          <w:bCs/>
        </w:rPr>
        <w:t>7,6</w:t>
      </w:r>
      <w:r w:rsidRPr="005F153A">
        <w:rPr>
          <w:bCs/>
        </w:rPr>
        <w:t xml:space="preserve"> mld. Kč). V roce 201</w:t>
      </w:r>
      <w:r>
        <w:rPr>
          <w:bCs/>
        </w:rPr>
        <w:t>6</w:t>
      </w:r>
      <w:r w:rsidRPr="005F153A">
        <w:rPr>
          <w:bCs/>
        </w:rPr>
        <w:t xml:space="preserve"> léky spotřebované ve zdravotnických zařízeních představovaly 6,</w:t>
      </w:r>
      <w:r>
        <w:rPr>
          <w:bCs/>
        </w:rPr>
        <w:t>5 % z celkových</w:t>
      </w:r>
      <w:r w:rsidRPr="005F153A">
        <w:rPr>
          <w:bCs/>
        </w:rPr>
        <w:t xml:space="preserve"> výdajů n</w:t>
      </w:r>
      <w:r>
        <w:rPr>
          <w:bCs/>
        </w:rPr>
        <w:t>a zdravotní péči oproti 5,1 % v roce 2012.</w:t>
      </w:r>
    </w:p>
    <w:p w:rsidR="00214E6F" w:rsidRDefault="00214E6F" w:rsidP="00C8098B">
      <w:pPr>
        <w:spacing w:before="120"/>
        <w:jc w:val="both"/>
        <w:rPr>
          <w:rFonts w:cs="Arial"/>
          <w:b/>
          <w:sz w:val="18"/>
          <w:szCs w:val="18"/>
        </w:rPr>
      </w:pPr>
      <w:r w:rsidRPr="00C8098B">
        <w:rPr>
          <w:rFonts w:cs="Arial"/>
          <w:b/>
          <w:sz w:val="18"/>
          <w:szCs w:val="18"/>
        </w:rPr>
        <w:t>Graf č. 3.4.3 Výdaje za léky v České republice podle místa spotřeby, 2012-2016 (mld. Kč; %)</w:t>
      </w:r>
      <w:r>
        <w:rPr>
          <w:rFonts w:cs="Arial"/>
          <w:b/>
          <w:sz w:val="18"/>
          <w:szCs w:val="18"/>
        </w:rPr>
        <w:t xml:space="preserve"> </w:t>
      </w:r>
    </w:p>
    <w:p w:rsidR="00214E6F" w:rsidRDefault="00101535" w:rsidP="00101535">
      <w:pPr>
        <w:jc w:val="both"/>
        <w:rPr>
          <w:rFonts w:cs="Arial"/>
          <w:b/>
          <w:sz w:val="18"/>
          <w:szCs w:val="18"/>
        </w:rPr>
      </w:pPr>
      <w:r>
        <w:rPr>
          <w:rFonts w:cs="Arial"/>
          <w:b/>
          <w:sz w:val="18"/>
          <w:szCs w:val="18"/>
        </w:rPr>
        <w:t xml:space="preserve">a) </w:t>
      </w:r>
      <w:r w:rsidR="00214E6F" w:rsidRPr="00BA4D62">
        <w:rPr>
          <w:rFonts w:cs="Arial"/>
          <w:b/>
          <w:sz w:val="18"/>
          <w:szCs w:val="18"/>
        </w:rPr>
        <w:t>v mld. Kč</w:t>
      </w:r>
      <w:r w:rsidR="00214E6F" w:rsidRPr="005F4275">
        <w:rPr>
          <w:rFonts w:cs="Arial"/>
          <w:b/>
          <w:sz w:val="18"/>
          <w:szCs w:val="18"/>
        </w:rPr>
        <w:t xml:space="preserve"> </w:t>
      </w:r>
      <w:r w:rsidR="00214E6F">
        <w:rPr>
          <w:rFonts w:cs="Arial"/>
          <w:b/>
          <w:sz w:val="18"/>
          <w:szCs w:val="18"/>
        </w:rPr>
        <w:t xml:space="preserve">                                                                                              </w:t>
      </w:r>
      <w:r>
        <w:rPr>
          <w:rFonts w:cs="Arial"/>
          <w:b/>
          <w:sz w:val="18"/>
          <w:szCs w:val="18"/>
        </w:rPr>
        <w:t xml:space="preserve">        </w:t>
      </w:r>
      <w:r w:rsidR="00214E6F">
        <w:rPr>
          <w:rFonts w:cs="Arial"/>
          <w:b/>
          <w:sz w:val="18"/>
          <w:szCs w:val="18"/>
        </w:rPr>
        <w:t xml:space="preserve">b) </w:t>
      </w:r>
      <w:r w:rsidR="00214E6F" w:rsidRPr="00AA3BA1">
        <w:rPr>
          <w:rFonts w:cs="Arial"/>
          <w:b/>
          <w:sz w:val="18"/>
          <w:szCs w:val="18"/>
        </w:rPr>
        <w:t>struktura (%)</w:t>
      </w:r>
    </w:p>
    <w:p w:rsidR="00216072" w:rsidRDefault="00216072" w:rsidP="00EE1E7F">
      <w:pPr>
        <w:rPr>
          <w:noProof/>
        </w:rPr>
      </w:pPr>
      <w:r>
        <w:rPr>
          <w:noProof/>
        </w:rPr>
        <w:drawing>
          <wp:inline distT="0" distB="0" distL="0" distR="0" wp14:anchorId="4B5ED40C" wp14:editId="771D428B">
            <wp:extent cx="3600450" cy="243840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0" distR="0" wp14:anchorId="00ACC5A1" wp14:editId="7F267020">
            <wp:extent cx="2381250" cy="2409825"/>
            <wp:effectExtent l="0" t="0" r="0" b="0"/>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14E6F" w:rsidRPr="00DE44A3" w:rsidRDefault="00216072" w:rsidP="00EE1E7F">
      <w:pPr>
        <w:rPr>
          <w:rFonts w:cs="Arial"/>
          <w:b/>
          <w:sz w:val="18"/>
          <w:szCs w:val="18"/>
        </w:rPr>
      </w:pPr>
      <w:r>
        <w:rPr>
          <w:b/>
          <w:i/>
          <w:sz w:val="16"/>
          <w:szCs w:val="16"/>
        </w:rPr>
        <w:t xml:space="preserve">   </w:t>
      </w:r>
      <w:r w:rsidR="00214E6F">
        <w:rPr>
          <w:b/>
          <w:i/>
          <w:sz w:val="16"/>
          <w:szCs w:val="16"/>
        </w:rPr>
        <w:t xml:space="preserve">                                                                                                                           </w:t>
      </w:r>
      <w:r w:rsidR="00214E6F" w:rsidRPr="00DE44A3">
        <w:rPr>
          <w:b/>
          <w:i/>
          <w:sz w:val="16"/>
          <w:szCs w:val="16"/>
        </w:rPr>
        <w:t>Zdroj: ČSÚ 201</w:t>
      </w:r>
      <w:r w:rsidR="00214E6F">
        <w:rPr>
          <w:b/>
          <w:i/>
          <w:sz w:val="16"/>
          <w:szCs w:val="16"/>
        </w:rPr>
        <w:t>8</w:t>
      </w:r>
      <w:r w:rsidR="00214E6F" w:rsidRPr="00DE44A3">
        <w:rPr>
          <w:b/>
          <w:i/>
          <w:sz w:val="16"/>
          <w:szCs w:val="16"/>
        </w:rPr>
        <w:t>, Zdravotnické účty ČR 2010 - 201</w:t>
      </w:r>
      <w:r w:rsidR="00214E6F">
        <w:rPr>
          <w:b/>
          <w:i/>
          <w:sz w:val="16"/>
          <w:szCs w:val="16"/>
        </w:rPr>
        <w:t>6</w:t>
      </w:r>
    </w:p>
    <w:p w:rsidR="00214E6F" w:rsidRPr="005F153A" w:rsidRDefault="00214E6F" w:rsidP="00214E6F">
      <w:pPr>
        <w:keepNext/>
        <w:tabs>
          <w:tab w:val="left" w:pos="945"/>
        </w:tabs>
        <w:spacing w:before="120"/>
        <w:jc w:val="both"/>
        <w:rPr>
          <w:szCs w:val="20"/>
        </w:rPr>
      </w:pPr>
      <w:r w:rsidRPr="005F153A">
        <w:rPr>
          <w:szCs w:val="20"/>
        </w:rPr>
        <w:t>Jak je patrné z grafu č.</w:t>
      </w:r>
      <w:r>
        <w:rPr>
          <w:szCs w:val="20"/>
        </w:rPr>
        <w:t xml:space="preserve"> </w:t>
      </w:r>
      <w:r w:rsidRPr="005F153A">
        <w:rPr>
          <w:szCs w:val="20"/>
        </w:rPr>
        <w:t>3.4.3</w:t>
      </w:r>
      <w:r>
        <w:rPr>
          <w:szCs w:val="20"/>
        </w:rPr>
        <w:t>,</w:t>
      </w:r>
      <w:r w:rsidRPr="005F153A">
        <w:rPr>
          <w:szCs w:val="20"/>
        </w:rPr>
        <w:t xml:space="preserve"> v </w:t>
      </w:r>
      <w:r>
        <w:rPr>
          <w:szCs w:val="20"/>
        </w:rPr>
        <w:t>r</w:t>
      </w:r>
      <w:r w:rsidRPr="005F153A">
        <w:rPr>
          <w:szCs w:val="20"/>
        </w:rPr>
        <w:t xml:space="preserve">oce 2012 dosáhly výdaje na </w:t>
      </w:r>
      <w:r w:rsidRPr="005F153A">
        <w:rPr>
          <w:b/>
          <w:szCs w:val="20"/>
        </w:rPr>
        <w:t>léky na předpis hrazené z veřejného zdravotního pojištění</w:t>
      </w:r>
      <w:r w:rsidRPr="005F153A">
        <w:rPr>
          <w:szCs w:val="20"/>
        </w:rPr>
        <w:t xml:space="preserve"> zatím svého maxima ve výši 36,7 mld. Kč</w:t>
      </w:r>
      <w:r>
        <w:rPr>
          <w:szCs w:val="20"/>
        </w:rPr>
        <w:t xml:space="preserve">. O rok později došlo však k jejich snížení o 11 % (4 mld. Kč) a od té doby se </w:t>
      </w:r>
      <w:r w:rsidRPr="005F153A">
        <w:rPr>
          <w:szCs w:val="20"/>
        </w:rPr>
        <w:t xml:space="preserve">se výdaje na předepsané léky </w:t>
      </w:r>
      <w:r>
        <w:rPr>
          <w:szCs w:val="20"/>
        </w:rPr>
        <w:t>pohybují na úrovni 32 mld. Kč.</w:t>
      </w:r>
    </w:p>
    <w:p w:rsidR="00005515" w:rsidRPr="005F153A" w:rsidRDefault="00005515" w:rsidP="00005515">
      <w:pPr>
        <w:spacing w:before="120"/>
        <w:jc w:val="both"/>
        <w:rPr>
          <w:bCs/>
        </w:rPr>
      </w:pPr>
      <w:r w:rsidRPr="005F153A">
        <w:rPr>
          <w:b/>
          <w:bCs/>
        </w:rPr>
        <w:t>Celkové výdaje na léky</w:t>
      </w:r>
      <w:r w:rsidRPr="005F153A">
        <w:rPr>
          <w:bCs/>
        </w:rPr>
        <w:t xml:space="preserve"> </w:t>
      </w:r>
      <w:r w:rsidRPr="005F153A">
        <w:rPr>
          <w:b/>
          <w:bCs/>
        </w:rPr>
        <w:t>vydávané ambulantně</w:t>
      </w:r>
      <w:r w:rsidRPr="005F153A">
        <w:rPr>
          <w:bCs/>
        </w:rPr>
        <w:t xml:space="preserve"> dosáhly v roce 201</w:t>
      </w:r>
      <w:r>
        <w:rPr>
          <w:bCs/>
        </w:rPr>
        <w:t>6</w:t>
      </w:r>
      <w:r w:rsidRPr="005F153A">
        <w:rPr>
          <w:bCs/>
        </w:rPr>
        <w:t xml:space="preserve"> částky </w:t>
      </w:r>
      <w:r w:rsidRPr="005F153A">
        <w:rPr>
          <w:b/>
          <w:bCs/>
        </w:rPr>
        <w:t>5</w:t>
      </w:r>
      <w:r>
        <w:rPr>
          <w:b/>
          <w:bCs/>
        </w:rPr>
        <w:t>5,7</w:t>
      </w:r>
      <w:r w:rsidRPr="005F153A">
        <w:rPr>
          <w:b/>
          <w:bCs/>
        </w:rPr>
        <w:t xml:space="preserve"> mld. Kč</w:t>
      </w:r>
      <w:r w:rsidRPr="005F153A">
        <w:rPr>
          <w:bCs/>
        </w:rPr>
        <w:t>. Téměř tři pětiny výdajů (3</w:t>
      </w:r>
      <w:r>
        <w:rPr>
          <w:bCs/>
        </w:rPr>
        <w:t>2</w:t>
      </w:r>
      <w:r w:rsidRPr="005F153A">
        <w:rPr>
          <w:bCs/>
        </w:rPr>
        <w:t xml:space="preserve"> mld. Kč) tvořily výdaje za léky na předpis uhrazené z veřejného zdravotního pojištění. Za volně prodejné léky a doplatky za léky na předpis zaplatili pacienti dohromady 2</w:t>
      </w:r>
      <w:r>
        <w:rPr>
          <w:bCs/>
        </w:rPr>
        <w:t>3</w:t>
      </w:r>
      <w:r w:rsidRPr="005F153A">
        <w:rPr>
          <w:bCs/>
        </w:rPr>
        <w:t>,</w:t>
      </w:r>
      <w:r>
        <w:rPr>
          <w:bCs/>
        </w:rPr>
        <w:t>7</w:t>
      </w:r>
      <w:r w:rsidRPr="005F153A">
        <w:rPr>
          <w:bCs/>
        </w:rPr>
        <w:t xml:space="preserve"> mld. Kč.</w:t>
      </w:r>
      <w:r>
        <w:rPr>
          <w:bCs/>
        </w:rPr>
        <w:t xml:space="preserve"> V uplynulých pěti letech uhradily z</w:t>
      </w:r>
      <w:r w:rsidRPr="0092569A">
        <w:rPr>
          <w:bCs/>
        </w:rPr>
        <w:t xml:space="preserve">dravotní pojišťovny </w:t>
      </w:r>
      <w:r>
        <w:rPr>
          <w:bCs/>
        </w:rPr>
        <w:t xml:space="preserve">pro své klienty léky na předpis za více než 165 mld. korun, na které pacienti doplatili z vlastních kapes ještě celkem 49 mld. korun. </w:t>
      </w:r>
    </w:p>
    <w:p w:rsidR="00214E6F" w:rsidRPr="005F153A" w:rsidRDefault="00214E6F" w:rsidP="00C8098B">
      <w:pPr>
        <w:spacing w:before="120" w:after="120"/>
        <w:rPr>
          <w:rFonts w:cs="Arial"/>
          <w:b/>
          <w:sz w:val="18"/>
          <w:szCs w:val="18"/>
        </w:rPr>
      </w:pPr>
      <w:r w:rsidRPr="005F153A">
        <w:rPr>
          <w:rFonts w:cs="Arial"/>
          <w:b/>
          <w:sz w:val="18"/>
          <w:szCs w:val="18"/>
        </w:rPr>
        <w:t xml:space="preserve">Graf č. 3.4.4 Výdaje za ambulantně vydávané léky, </w:t>
      </w:r>
      <w:r>
        <w:rPr>
          <w:rFonts w:cs="Arial"/>
          <w:b/>
          <w:sz w:val="18"/>
          <w:szCs w:val="18"/>
        </w:rPr>
        <w:t xml:space="preserve">2012 - </w:t>
      </w:r>
      <w:r w:rsidRPr="005F153A">
        <w:rPr>
          <w:rFonts w:cs="Arial"/>
          <w:b/>
          <w:sz w:val="18"/>
          <w:szCs w:val="18"/>
        </w:rPr>
        <w:t>201</w:t>
      </w:r>
      <w:r>
        <w:rPr>
          <w:rFonts w:cs="Arial"/>
          <w:b/>
          <w:sz w:val="18"/>
          <w:szCs w:val="18"/>
        </w:rPr>
        <w:t>6</w:t>
      </w:r>
      <w:r w:rsidRPr="005F153A">
        <w:rPr>
          <w:rFonts w:cs="Arial"/>
          <w:b/>
          <w:sz w:val="18"/>
          <w:szCs w:val="18"/>
        </w:rPr>
        <w:t xml:space="preserve"> (mld. Kč; %)</w:t>
      </w:r>
    </w:p>
    <w:p w:rsidR="00214E6F" w:rsidRDefault="00214E6F" w:rsidP="00005515">
      <w:pPr>
        <w:pStyle w:val="Odstavecseseznamem"/>
        <w:widowControl w:val="0"/>
        <w:numPr>
          <w:ilvl w:val="0"/>
          <w:numId w:val="40"/>
        </w:numPr>
        <w:spacing w:after="0"/>
        <w:ind w:left="714" w:hanging="357"/>
        <w:rPr>
          <w:noProof/>
        </w:rPr>
      </w:pPr>
      <w:r w:rsidRPr="006979FE">
        <w:rPr>
          <w:b/>
          <w:noProof/>
          <w:sz w:val="18"/>
          <w:szCs w:val="18"/>
        </w:rPr>
        <w:t>v mld. Kč                                                                                  b) struktura (%)</w:t>
      </w:r>
    </w:p>
    <w:p w:rsidR="00214E6F" w:rsidRDefault="00214E6F" w:rsidP="00005515">
      <w:pPr>
        <w:widowControl w:val="0"/>
        <w:jc w:val="both"/>
        <w:rPr>
          <w:noProof/>
        </w:rPr>
      </w:pPr>
      <w:r>
        <w:rPr>
          <w:noProof/>
        </w:rPr>
        <w:drawing>
          <wp:inline distT="0" distB="0" distL="0" distR="0">
            <wp:extent cx="3762375" cy="2160000"/>
            <wp:effectExtent l="0" t="0" r="0" b="0"/>
            <wp:docPr id="67" name="Graf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657BA">
        <w:rPr>
          <w:noProof/>
        </w:rPr>
        <w:t xml:space="preserve"> </w:t>
      </w:r>
      <w:r>
        <w:rPr>
          <w:noProof/>
        </w:rPr>
        <w:drawing>
          <wp:inline distT="0" distB="0" distL="0" distR="0">
            <wp:extent cx="2295525" cy="2160000"/>
            <wp:effectExtent l="0" t="0" r="0" b="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14E6F" w:rsidRPr="00D56CF2" w:rsidRDefault="00214E6F" w:rsidP="00214E6F">
      <w:pPr>
        <w:spacing w:before="120"/>
        <w:jc w:val="right"/>
        <w:rPr>
          <w:bCs/>
        </w:rPr>
      </w:pPr>
      <w:r>
        <w:rPr>
          <w:b/>
          <w:bCs/>
          <w:i/>
          <w:sz w:val="16"/>
          <w:szCs w:val="16"/>
        </w:rPr>
        <w:t xml:space="preserve">      </w:t>
      </w:r>
      <w:r w:rsidRPr="005F153A">
        <w:rPr>
          <w:b/>
          <w:bCs/>
          <w:i/>
          <w:sz w:val="16"/>
          <w:szCs w:val="16"/>
        </w:rPr>
        <w:t>Zdroj: ČSÚ 201</w:t>
      </w:r>
      <w:r>
        <w:rPr>
          <w:b/>
          <w:bCs/>
          <w:i/>
          <w:sz w:val="16"/>
          <w:szCs w:val="16"/>
        </w:rPr>
        <w:t>8</w:t>
      </w:r>
      <w:r w:rsidRPr="005F153A">
        <w:rPr>
          <w:b/>
          <w:bCs/>
          <w:i/>
          <w:sz w:val="16"/>
          <w:szCs w:val="16"/>
        </w:rPr>
        <w:t xml:space="preserve">, </w:t>
      </w:r>
      <w:r>
        <w:rPr>
          <w:b/>
          <w:bCs/>
          <w:i/>
          <w:sz w:val="16"/>
          <w:szCs w:val="16"/>
        </w:rPr>
        <w:t>Zdravotnické účty ČR 2010 - 2016</w:t>
      </w:r>
      <w:r w:rsidRPr="005F153A">
        <w:rPr>
          <w:b/>
          <w:bCs/>
          <w:i/>
          <w:sz w:val="16"/>
          <w:szCs w:val="16"/>
        </w:rPr>
        <w:t xml:space="preserve"> </w:t>
      </w:r>
    </w:p>
    <w:p w:rsidR="00EE1E7F" w:rsidRPr="005F153A" w:rsidRDefault="00EE1E7F" w:rsidP="00EE1E7F">
      <w:pPr>
        <w:keepNext/>
        <w:spacing w:before="120"/>
        <w:jc w:val="both"/>
      </w:pPr>
      <w:bookmarkStart w:id="36" w:name="_3.4.3_Výdaje_za"/>
      <w:bookmarkStart w:id="37" w:name="_Toc481748801"/>
      <w:bookmarkEnd w:id="36"/>
      <w:r w:rsidRPr="005F153A">
        <w:lastRenderedPageBreak/>
        <w:t>Jak dokumentuje graf č.</w:t>
      </w:r>
      <w:r>
        <w:t xml:space="preserve"> </w:t>
      </w:r>
      <w:r w:rsidRPr="005F153A">
        <w:t>3.4.</w:t>
      </w:r>
      <w:r>
        <w:t>4</w:t>
      </w:r>
      <w:r w:rsidRPr="005F153A">
        <w:t xml:space="preserve"> </w:t>
      </w:r>
      <w:r w:rsidRPr="005F153A">
        <w:rPr>
          <w:b/>
        </w:rPr>
        <w:t>výdaje na léky na předpis</w:t>
      </w:r>
      <w:r w:rsidRPr="005F153A">
        <w:t xml:space="preserve"> </w:t>
      </w:r>
      <w:r w:rsidRPr="005F153A">
        <w:rPr>
          <w:b/>
        </w:rPr>
        <w:t>(hrazen</w:t>
      </w:r>
      <w:r>
        <w:rPr>
          <w:b/>
        </w:rPr>
        <w:t>ých z</w:t>
      </w:r>
      <w:r w:rsidRPr="005F153A">
        <w:rPr>
          <w:b/>
        </w:rPr>
        <w:t> veřejného pojištění i doplatků domácností)</w:t>
      </w:r>
      <w:r>
        <w:t xml:space="preserve">, tvořily </w:t>
      </w:r>
      <w:r w:rsidRPr="00AA252D">
        <w:t>v letech 2012 –</w:t>
      </w:r>
      <w:r>
        <w:t xml:space="preserve"> 2016</w:t>
      </w:r>
      <w:r w:rsidRPr="005F153A">
        <w:t xml:space="preserve"> až 7</w:t>
      </w:r>
      <w:r>
        <w:t>6</w:t>
      </w:r>
      <w:r w:rsidRPr="005F153A">
        <w:t xml:space="preserve"> % - 79 % ve skupině léků vydávaných ambulantně. </w:t>
      </w:r>
      <w:r w:rsidRPr="005F153A">
        <w:rPr>
          <w:b/>
        </w:rPr>
        <w:t>Doplatky pacientů za léky na předpis hrazené domácnost</w:t>
      </w:r>
      <w:r>
        <w:rPr>
          <w:b/>
        </w:rPr>
        <w:t>mi</w:t>
      </w:r>
      <w:r w:rsidRPr="005F153A">
        <w:t xml:space="preserve"> se pohybovaly v </w:t>
      </w:r>
      <w:r>
        <w:t>letech</w:t>
      </w:r>
      <w:r w:rsidRPr="005F153A">
        <w:t xml:space="preserve"> 201</w:t>
      </w:r>
      <w:r>
        <w:t>2 až 2014</w:t>
      </w:r>
      <w:r w:rsidRPr="005F153A">
        <w:t xml:space="preserve"> </w:t>
      </w:r>
      <w:r>
        <w:t>na úrovni 9,4 mld. Kč</w:t>
      </w:r>
      <w:r w:rsidRPr="005F153A">
        <w:t>.</w:t>
      </w:r>
      <w:r>
        <w:t xml:space="preserve"> V roce 2015 přesáhly 10 miliard Kč, stejně jako v roce 2016.</w:t>
      </w:r>
    </w:p>
    <w:p w:rsidR="00214E6F" w:rsidRPr="005F153A" w:rsidRDefault="00214E6F" w:rsidP="00214E6F">
      <w:pPr>
        <w:spacing w:before="120"/>
        <w:jc w:val="both"/>
        <w:rPr>
          <w:b/>
          <w:bCs/>
          <w:i/>
          <w:szCs w:val="22"/>
        </w:rPr>
      </w:pPr>
      <w:r w:rsidRPr="005F153A">
        <w:rPr>
          <w:b/>
          <w:bCs/>
          <w:i/>
          <w:szCs w:val="22"/>
        </w:rPr>
        <w:t xml:space="preserve">Každý obyvatel České republiky ročně zaplatí z vlastní peněženky za léky 2 tisíce korun </w:t>
      </w:r>
    </w:p>
    <w:p w:rsidR="00214E6F" w:rsidRPr="005F153A" w:rsidRDefault="00214E6F" w:rsidP="00214E6F">
      <w:pPr>
        <w:spacing w:before="120"/>
        <w:jc w:val="both"/>
        <w:rPr>
          <w:bCs/>
          <w:szCs w:val="22"/>
        </w:rPr>
      </w:pPr>
      <w:r w:rsidRPr="005F153A">
        <w:rPr>
          <w:bCs/>
          <w:szCs w:val="22"/>
        </w:rPr>
        <w:t>Z grafu č.</w:t>
      </w:r>
      <w:r>
        <w:rPr>
          <w:bCs/>
          <w:szCs w:val="22"/>
        </w:rPr>
        <w:t xml:space="preserve"> </w:t>
      </w:r>
      <w:r w:rsidRPr="005F153A">
        <w:rPr>
          <w:bCs/>
          <w:szCs w:val="22"/>
        </w:rPr>
        <w:t>3.4.</w:t>
      </w:r>
      <w:r>
        <w:rPr>
          <w:bCs/>
          <w:szCs w:val="22"/>
        </w:rPr>
        <w:t>5</w:t>
      </w:r>
      <w:r w:rsidRPr="005F153A">
        <w:rPr>
          <w:bCs/>
          <w:szCs w:val="22"/>
        </w:rPr>
        <w:t xml:space="preserve"> je patrný vývoj </w:t>
      </w:r>
      <w:r w:rsidRPr="005F153A">
        <w:rPr>
          <w:b/>
          <w:bCs/>
          <w:szCs w:val="22"/>
        </w:rPr>
        <w:t>výdajů domácností za doplatky za léky na předpis a za volně prodejné léky</w:t>
      </w:r>
      <w:r w:rsidRPr="005F153A">
        <w:rPr>
          <w:bCs/>
          <w:szCs w:val="22"/>
        </w:rPr>
        <w:t xml:space="preserve"> </w:t>
      </w:r>
      <w:r w:rsidRPr="005F153A">
        <w:rPr>
          <w:b/>
          <w:bCs/>
          <w:szCs w:val="22"/>
        </w:rPr>
        <w:t>přepočtený na jednoho obyvatele</w:t>
      </w:r>
      <w:r w:rsidRPr="005F153A">
        <w:rPr>
          <w:bCs/>
          <w:szCs w:val="22"/>
        </w:rPr>
        <w:t>. V průměru na 1 obyvatele bylo v ČR v roce 201</w:t>
      </w:r>
      <w:r>
        <w:rPr>
          <w:bCs/>
          <w:szCs w:val="22"/>
        </w:rPr>
        <w:t>6</w:t>
      </w:r>
      <w:r w:rsidRPr="005F153A">
        <w:rPr>
          <w:bCs/>
          <w:szCs w:val="22"/>
        </w:rPr>
        <w:t xml:space="preserve"> vydáno domácnostmi více než 2 </w:t>
      </w:r>
      <w:r>
        <w:rPr>
          <w:bCs/>
          <w:szCs w:val="22"/>
        </w:rPr>
        <w:t>2</w:t>
      </w:r>
      <w:r w:rsidRPr="005F153A">
        <w:rPr>
          <w:bCs/>
          <w:szCs w:val="22"/>
        </w:rPr>
        <w:t>00 Kč, přičemž z toho 9</w:t>
      </w:r>
      <w:r>
        <w:rPr>
          <w:bCs/>
          <w:szCs w:val="22"/>
        </w:rPr>
        <w:t>75</w:t>
      </w:r>
      <w:r w:rsidRPr="005F153A">
        <w:rPr>
          <w:bCs/>
          <w:szCs w:val="22"/>
        </w:rPr>
        <w:t xml:space="preserve"> Kč stály doplatky za léky na předpis a 1</w:t>
      </w:r>
      <w:r>
        <w:rPr>
          <w:bCs/>
          <w:szCs w:val="22"/>
        </w:rPr>
        <w:t xml:space="preserve"> 268</w:t>
      </w:r>
      <w:r w:rsidRPr="005F153A">
        <w:rPr>
          <w:bCs/>
          <w:szCs w:val="22"/>
        </w:rPr>
        <w:t xml:space="preserve"> Kč volně prodejné léky. </w:t>
      </w:r>
    </w:p>
    <w:p w:rsidR="00214E6F" w:rsidRPr="005F153A" w:rsidRDefault="00214E6F" w:rsidP="00214E6F">
      <w:pPr>
        <w:spacing w:before="120"/>
        <w:jc w:val="both"/>
        <w:rPr>
          <w:bCs/>
          <w:szCs w:val="22"/>
        </w:rPr>
      </w:pPr>
      <w:r w:rsidRPr="005F153A">
        <w:rPr>
          <w:bCs/>
          <w:szCs w:val="22"/>
        </w:rPr>
        <w:t xml:space="preserve">Doplatky na léky na předpis dosáhly </w:t>
      </w:r>
      <w:r>
        <w:rPr>
          <w:bCs/>
          <w:szCs w:val="22"/>
        </w:rPr>
        <w:t>v roce 2012 zhruba</w:t>
      </w:r>
      <w:r w:rsidRPr="005F153A">
        <w:rPr>
          <w:bCs/>
          <w:szCs w:val="22"/>
        </w:rPr>
        <w:t xml:space="preserve"> 890 Kč. Po mírném poklesu v roce 2013 (885 Kč) překonaly doplatky na 1 obyvatele v následujících </w:t>
      </w:r>
      <w:r>
        <w:rPr>
          <w:bCs/>
          <w:szCs w:val="22"/>
        </w:rPr>
        <w:t>třech</w:t>
      </w:r>
      <w:r w:rsidRPr="005F153A">
        <w:rPr>
          <w:bCs/>
          <w:szCs w:val="22"/>
        </w:rPr>
        <w:t xml:space="preserve"> letech hranici 900 Kč. Výdaje</w:t>
      </w:r>
      <w:r>
        <w:rPr>
          <w:bCs/>
          <w:szCs w:val="22"/>
        </w:rPr>
        <w:t> </w:t>
      </w:r>
      <w:r w:rsidRPr="005F153A">
        <w:rPr>
          <w:bCs/>
          <w:szCs w:val="22"/>
        </w:rPr>
        <w:t xml:space="preserve">na volně prodejné </w:t>
      </w:r>
      <w:r>
        <w:rPr>
          <w:bCs/>
          <w:szCs w:val="22"/>
        </w:rPr>
        <w:t>léky se po mírném propadu v roce 2013 každoročně pozvolna zvyšují.</w:t>
      </w:r>
    </w:p>
    <w:p w:rsidR="00214E6F" w:rsidRPr="005F153A" w:rsidRDefault="00214E6F" w:rsidP="00214E6F">
      <w:pPr>
        <w:keepNext/>
        <w:spacing w:before="240" w:after="120"/>
        <w:jc w:val="both"/>
        <w:rPr>
          <w:rFonts w:cs="Arial"/>
          <w:b/>
          <w:sz w:val="18"/>
          <w:szCs w:val="18"/>
        </w:rPr>
      </w:pPr>
      <w:r w:rsidRPr="005F153A">
        <w:rPr>
          <w:rFonts w:cs="Arial"/>
          <w:b/>
          <w:sz w:val="18"/>
          <w:szCs w:val="18"/>
        </w:rPr>
        <w:t>Graf č</w:t>
      </w:r>
      <w:r>
        <w:rPr>
          <w:noProof/>
        </w:rPr>
        <w:t>.</w:t>
      </w:r>
      <w:r>
        <w:rPr>
          <w:rFonts w:cs="Arial"/>
          <w:b/>
          <w:sz w:val="18"/>
          <w:szCs w:val="18"/>
        </w:rPr>
        <w:t xml:space="preserve">3.4.5 </w:t>
      </w:r>
      <w:r w:rsidRPr="005F153A">
        <w:rPr>
          <w:rFonts w:cs="Arial"/>
          <w:b/>
          <w:sz w:val="18"/>
          <w:szCs w:val="18"/>
        </w:rPr>
        <w:t>Výdaje domácností v ČR za léky, 201</w:t>
      </w:r>
      <w:r>
        <w:rPr>
          <w:rFonts w:cs="Arial"/>
          <w:b/>
          <w:sz w:val="18"/>
          <w:szCs w:val="18"/>
        </w:rPr>
        <w:t>2</w:t>
      </w:r>
      <w:r w:rsidRPr="005F153A">
        <w:rPr>
          <w:rFonts w:cs="Arial"/>
          <w:b/>
          <w:sz w:val="18"/>
          <w:szCs w:val="18"/>
        </w:rPr>
        <w:t>-201</w:t>
      </w:r>
      <w:r>
        <w:rPr>
          <w:rFonts w:cs="Arial"/>
          <w:b/>
          <w:sz w:val="18"/>
          <w:szCs w:val="18"/>
        </w:rPr>
        <w:t>6</w:t>
      </w:r>
      <w:r w:rsidRPr="005F153A">
        <w:rPr>
          <w:rFonts w:cs="Arial"/>
          <w:b/>
          <w:sz w:val="18"/>
          <w:szCs w:val="18"/>
        </w:rPr>
        <w:t xml:space="preserve"> (na 1 obyvatele v</w:t>
      </w:r>
      <w:r>
        <w:rPr>
          <w:rFonts w:cs="Arial"/>
          <w:b/>
          <w:sz w:val="18"/>
          <w:szCs w:val="18"/>
        </w:rPr>
        <w:t> </w:t>
      </w:r>
      <w:r w:rsidRPr="005F153A">
        <w:rPr>
          <w:rFonts w:cs="Arial"/>
          <w:b/>
          <w:sz w:val="18"/>
          <w:szCs w:val="18"/>
        </w:rPr>
        <w:t>Kč</w:t>
      </w:r>
      <w:r>
        <w:rPr>
          <w:rFonts w:cs="Arial"/>
          <w:b/>
          <w:sz w:val="18"/>
          <w:szCs w:val="18"/>
        </w:rPr>
        <w:t xml:space="preserve">, </w:t>
      </w:r>
      <w:r w:rsidRPr="005F153A">
        <w:rPr>
          <w:rFonts w:cs="Arial"/>
          <w:b/>
          <w:sz w:val="18"/>
          <w:szCs w:val="18"/>
        </w:rPr>
        <w:t>podíl na zdravotní péči v %)</w:t>
      </w:r>
    </w:p>
    <w:p w:rsidR="00214E6F" w:rsidRPr="005F153A" w:rsidRDefault="00214E6F" w:rsidP="00214E6F">
      <w:pPr>
        <w:keepNext/>
        <w:spacing w:before="240" w:after="120"/>
        <w:jc w:val="both"/>
        <w:rPr>
          <w:rFonts w:cs="Arial"/>
          <w:b/>
          <w:sz w:val="18"/>
          <w:szCs w:val="18"/>
        </w:rPr>
      </w:pPr>
      <w:r>
        <w:rPr>
          <w:noProof/>
        </w:rPr>
        <w:drawing>
          <wp:inline distT="0" distB="0" distL="0" distR="0">
            <wp:extent cx="6181725" cy="3028950"/>
            <wp:effectExtent l="0" t="0" r="0" b="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14E6F" w:rsidRPr="005D514D" w:rsidRDefault="00214E6F" w:rsidP="00214E6F">
      <w:pPr>
        <w:spacing w:before="240" w:after="120"/>
        <w:rPr>
          <w:rFonts w:eastAsia="MS Gothic"/>
          <w:b/>
          <w:i/>
        </w:rPr>
      </w:pPr>
      <w:r w:rsidRPr="00BB1856">
        <w:rPr>
          <w:rFonts w:eastAsia="MS Gothic"/>
          <w:b/>
          <w:i/>
        </w:rPr>
        <w:t>Maximální výdaje zdravotních pojišťoven na léky spotřebované ve zdravotnických zařízeních</w:t>
      </w:r>
      <w:r w:rsidRPr="005D514D">
        <w:rPr>
          <w:rFonts w:eastAsia="MS Gothic"/>
          <w:b/>
          <w:i/>
        </w:rPr>
        <w:t xml:space="preserve"> </w:t>
      </w:r>
    </w:p>
    <w:p w:rsidR="00214E6F" w:rsidRPr="005F153A" w:rsidRDefault="00214E6F" w:rsidP="00214E6F">
      <w:pPr>
        <w:spacing w:before="120"/>
        <w:jc w:val="both"/>
        <w:rPr>
          <w:bCs/>
          <w:szCs w:val="22"/>
        </w:rPr>
      </w:pPr>
      <w:r w:rsidRPr="005F153A">
        <w:rPr>
          <w:rFonts w:cs="Arial"/>
          <w:b/>
          <w:color w:val="000000"/>
          <w:szCs w:val="20"/>
        </w:rPr>
        <w:t>Výdaje zdravotních pojišťoven na zdravotní péči</w:t>
      </w:r>
      <w:r>
        <w:rPr>
          <w:rFonts w:cs="Arial"/>
          <w:color w:val="000000"/>
          <w:szCs w:val="20"/>
        </w:rPr>
        <w:t xml:space="preserve"> v roce 2016 dosáhly 237</w:t>
      </w:r>
      <w:r w:rsidRPr="005F153A">
        <w:rPr>
          <w:rFonts w:cs="Arial"/>
          <w:color w:val="000000"/>
          <w:szCs w:val="20"/>
        </w:rPr>
        <w:t xml:space="preserve">,7 </w:t>
      </w:r>
      <w:r w:rsidRPr="005F153A">
        <w:rPr>
          <w:szCs w:val="17"/>
        </w:rPr>
        <w:t>mld. Kč</w:t>
      </w:r>
      <w:r>
        <w:rPr>
          <w:rFonts w:cs="Arial"/>
          <w:color w:val="000000"/>
          <w:szCs w:val="20"/>
        </w:rPr>
        <w:t xml:space="preserve">, téměř </w:t>
      </w:r>
      <w:r w:rsidRPr="005F153A">
        <w:rPr>
          <w:rFonts w:cs="Arial"/>
          <w:color w:val="000000"/>
          <w:szCs w:val="20"/>
        </w:rPr>
        <w:t>66 % z</w:t>
      </w:r>
      <w:r>
        <w:rPr>
          <w:rFonts w:cs="Arial"/>
          <w:color w:val="000000"/>
          <w:szCs w:val="20"/>
        </w:rPr>
        <w:t xml:space="preserve"> celkových </w:t>
      </w:r>
      <w:r w:rsidRPr="005F153A">
        <w:rPr>
          <w:rFonts w:cs="Arial"/>
          <w:color w:val="000000"/>
          <w:szCs w:val="20"/>
        </w:rPr>
        <w:t xml:space="preserve">výdajů na zdravotní péči v České republice. </w:t>
      </w:r>
      <w:r w:rsidRPr="005F153A">
        <w:rPr>
          <w:b/>
          <w:bCs/>
          <w:szCs w:val="22"/>
        </w:rPr>
        <w:t>Úhrady z veřejného pojištění</w:t>
      </w:r>
      <w:r w:rsidRPr="005F153A">
        <w:rPr>
          <w:bCs/>
          <w:szCs w:val="22"/>
        </w:rPr>
        <w:t xml:space="preserve"> za léky na předpis a</w:t>
      </w:r>
      <w:r>
        <w:rPr>
          <w:bCs/>
          <w:szCs w:val="22"/>
        </w:rPr>
        <w:t> </w:t>
      </w:r>
      <w:r w:rsidRPr="005F153A">
        <w:rPr>
          <w:bCs/>
          <w:szCs w:val="22"/>
        </w:rPr>
        <w:t>léky spotřebované ve zdravotnických zařízeních dosáhly v </w:t>
      </w:r>
      <w:r>
        <w:rPr>
          <w:bCs/>
          <w:szCs w:val="22"/>
        </w:rPr>
        <w:t>roce 2016 výše 55,4 mld. Kč (viz</w:t>
      </w:r>
      <w:r w:rsidRPr="005F153A">
        <w:rPr>
          <w:bCs/>
          <w:szCs w:val="22"/>
        </w:rPr>
        <w:t xml:space="preserve"> </w:t>
      </w:r>
      <w:r w:rsidRPr="004F78C3">
        <w:rPr>
          <w:bCs/>
          <w:szCs w:val="22"/>
        </w:rPr>
        <w:t>graf č. 3.4.3) a tvořily tak 23 % celkových výdajů zdravotních pojišťoven na zdravotní péči. Podíl výdajů za uvedené</w:t>
      </w:r>
      <w:r w:rsidRPr="005F153A">
        <w:rPr>
          <w:bCs/>
          <w:szCs w:val="22"/>
        </w:rPr>
        <w:t xml:space="preserve"> skupiny léků na kompletních výdajích zdravotních pojišťoven na zdravotní péči zůstává od roku 201</w:t>
      </w:r>
      <w:r>
        <w:rPr>
          <w:bCs/>
          <w:szCs w:val="22"/>
        </w:rPr>
        <w:t>2</w:t>
      </w:r>
      <w:r w:rsidRPr="005F153A">
        <w:rPr>
          <w:bCs/>
          <w:szCs w:val="22"/>
        </w:rPr>
        <w:t xml:space="preserve"> bez výrazných z</w:t>
      </w:r>
      <w:r>
        <w:rPr>
          <w:bCs/>
          <w:szCs w:val="22"/>
        </w:rPr>
        <w:t>měn a pohybuje se v rozmezí 21</w:t>
      </w:r>
      <w:r w:rsidRPr="005F153A">
        <w:rPr>
          <w:bCs/>
          <w:szCs w:val="22"/>
        </w:rPr>
        <w:t xml:space="preserve"> - 23 %.</w:t>
      </w:r>
    </w:p>
    <w:p w:rsidR="00214E6F" w:rsidRPr="005F153A" w:rsidRDefault="00214E6F" w:rsidP="00214E6F">
      <w:pPr>
        <w:keepNext/>
        <w:spacing w:before="120"/>
        <w:jc w:val="both"/>
        <w:rPr>
          <w:szCs w:val="20"/>
        </w:rPr>
      </w:pPr>
      <w:r w:rsidRPr="005F153A">
        <w:rPr>
          <w:bCs/>
          <w:szCs w:val="22"/>
        </w:rPr>
        <w:lastRenderedPageBreak/>
        <w:t xml:space="preserve">Výdaje zdravotních pojišťoven </w:t>
      </w:r>
      <w:r w:rsidRPr="005F153A">
        <w:rPr>
          <w:b/>
          <w:bCs/>
          <w:szCs w:val="22"/>
        </w:rPr>
        <w:t>za léky na předpis</w:t>
      </w:r>
      <w:r w:rsidRPr="005F153A">
        <w:rPr>
          <w:bCs/>
          <w:szCs w:val="22"/>
        </w:rPr>
        <w:t xml:space="preserve"> dosahují </w:t>
      </w:r>
      <w:r>
        <w:rPr>
          <w:bCs/>
          <w:szCs w:val="22"/>
        </w:rPr>
        <w:t>ve sledovaném období 2012 – 2016</w:t>
      </w:r>
      <w:r w:rsidRPr="005F153A">
        <w:rPr>
          <w:bCs/>
          <w:szCs w:val="22"/>
        </w:rPr>
        <w:t xml:space="preserve"> v průměru okolo 32,5 mld. Kč. Výjimkou byl rok 2012, který znamenal pro zdravotní pojišťovny vyšší výdaje za léky na předpis (36,7 mld. Kč), především v důsledku zvýšení DPH z 10 na 14</w:t>
      </w:r>
      <w:r>
        <w:rPr>
          <w:bCs/>
          <w:szCs w:val="22"/>
        </w:rPr>
        <w:t xml:space="preserve"> </w:t>
      </w:r>
      <w:r w:rsidRPr="005F153A">
        <w:rPr>
          <w:bCs/>
          <w:szCs w:val="22"/>
        </w:rPr>
        <w:t xml:space="preserve">%. </w:t>
      </w:r>
      <w:r w:rsidRPr="005F153A">
        <w:rPr>
          <w:szCs w:val="20"/>
        </w:rPr>
        <w:t xml:space="preserve">Pokles výdajů </w:t>
      </w:r>
      <w:r w:rsidRPr="005F153A">
        <w:rPr>
          <w:b/>
          <w:szCs w:val="20"/>
        </w:rPr>
        <w:t>zdravotních pojišťoven</w:t>
      </w:r>
      <w:r w:rsidRPr="005F153A">
        <w:rPr>
          <w:szCs w:val="20"/>
        </w:rPr>
        <w:t xml:space="preserve"> na léky na předpis byl v průběhu sledovaného období ovlivněn mnoha administrativními změnami např. snížením počtu úhrad z veřejného zdravotního pojištění, každoroční kolísání v počtu vydaných receptů, zařazení léčivých prostředků na Pozitivní listy, přesun nákladů na léčivé prostředky z receptu na zvlášť účtované léčivé přípravky (viz </w:t>
      </w:r>
      <w:r w:rsidRPr="00E13A3C">
        <w:rPr>
          <w:szCs w:val="20"/>
        </w:rPr>
        <w:t>metodická příloha</w:t>
      </w:r>
      <w:r w:rsidRPr="005F153A">
        <w:rPr>
          <w:szCs w:val="20"/>
        </w:rPr>
        <w:t xml:space="preserve">). </w:t>
      </w:r>
    </w:p>
    <w:p w:rsidR="00214E6F" w:rsidRPr="005F153A" w:rsidRDefault="00214E6F" w:rsidP="00214E6F">
      <w:pPr>
        <w:spacing w:before="120"/>
        <w:jc w:val="both"/>
        <w:rPr>
          <w:bCs/>
          <w:szCs w:val="22"/>
        </w:rPr>
      </w:pPr>
      <w:r w:rsidRPr="005F153A">
        <w:rPr>
          <w:bCs/>
          <w:szCs w:val="22"/>
        </w:rPr>
        <w:t xml:space="preserve">Výdaje zdravotních pojišťoven </w:t>
      </w:r>
      <w:r w:rsidRPr="005F153A">
        <w:rPr>
          <w:b/>
          <w:bCs/>
          <w:szCs w:val="22"/>
        </w:rPr>
        <w:t>za léky</w:t>
      </w:r>
      <w:r w:rsidRPr="005F153A">
        <w:rPr>
          <w:bCs/>
          <w:szCs w:val="22"/>
        </w:rPr>
        <w:t xml:space="preserve"> </w:t>
      </w:r>
      <w:r w:rsidRPr="005F153A">
        <w:rPr>
          <w:b/>
          <w:bCs/>
          <w:szCs w:val="22"/>
        </w:rPr>
        <w:t>spotřebované ve zdravotnických zařízeních</w:t>
      </w:r>
      <w:r w:rsidRPr="005F153A">
        <w:rPr>
          <w:bCs/>
          <w:szCs w:val="22"/>
        </w:rPr>
        <w:t xml:space="preserve"> se </w:t>
      </w:r>
      <w:r w:rsidR="00EE1E7F">
        <w:rPr>
          <w:bCs/>
          <w:szCs w:val="22"/>
        </w:rPr>
        <w:t xml:space="preserve">každoročně </w:t>
      </w:r>
      <w:r w:rsidRPr="005F153A">
        <w:rPr>
          <w:bCs/>
          <w:szCs w:val="22"/>
        </w:rPr>
        <w:t>zvyšují. V roce 201</w:t>
      </w:r>
      <w:r>
        <w:rPr>
          <w:bCs/>
          <w:szCs w:val="22"/>
        </w:rPr>
        <w:t>6</w:t>
      </w:r>
      <w:r w:rsidRPr="005F153A">
        <w:rPr>
          <w:bCs/>
          <w:szCs w:val="22"/>
        </w:rPr>
        <w:t xml:space="preserve"> dosáhly výše 2</w:t>
      </w:r>
      <w:r>
        <w:rPr>
          <w:bCs/>
          <w:szCs w:val="22"/>
        </w:rPr>
        <w:t>3,4</w:t>
      </w:r>
      <w:r w:rsidRPr="005F153A">
        <w:rPr>
          <w:bCs/>
          <w:szCs w:val="22"/>
        </w:rPr>
        <w:t xml:space="preserve"> mld. Kč, </w:t>
      </w:r>
      <w:r>
        <w:rPr>
          <w:bCs/>
          <w:szCs w:val="22"/>
        </w:rPr>
        <w:t>což je téměř o 5,8 mld. Kč více než v roce 2012</w:t>
      </w:r>
      <w:r w:rsidRPr="005F153A">
        <w:rPr>
          <w:bCs/>
          <w:szCs w:val="22"/>
        </w:rPr>
        <w:t xml:space="preserve">. </w:t>
      </w:r>
      <w:r>
        <w:rPr>
          <w:bCs/>
          <w:szCs w:val="22"/>
        </w:rPr>
        <w:t>Průměrné tempo růstu od roku 2012 činilo 7,4 %.</w:t>
      </w:r>
    </w:p>
    <w:p w:rsidR="00214E6F" w:rsidRPr="002A78EE" w:rsidRDefault="00214E6F" w:rsidP="00214E6F">
      <w:pPr>
        <w:pStyle w:val="Nadpis3"/>
        <w:rPr>
          <w:color w:val="C00000"/>
        </w:rPr>
      </w:pPr>
      <w:r w:rsidRPr="002A78EE">
        <w:rPr>
          <w:color w:val="C00000"/>
        </w:rPr>
        <w:t>3.4.3 Výdaje za léky podle zdrojů jejich financování</w:t>
      </w:r>
      <w:bookmarkEnd w:id="37"/>
      <w:r w:rsidRPr="002A78EE">
        <w:rPr>
          <w:color w:val="C00000"/>
        </w:rPr>
        <w:t xml:space="preserve"> </w:t>
      </w:r>
    </w:p>
    <w:p w:rsidR="00214E6F" w:rsidRPr="005D514D" w:rsidRDefault="00214E6F" w:rsidP="00214E6F">
      <w:pPr>
        <w:spacing w:before="240" w:after="120"/>
        <w:rPr>
          <w:rFonts w:eastAsia="MS Gothic"/>
          <w:b/>
          <w:i/>
        </w:rPr>
      </w:pPr>
      <w:r w:rsidRPr="005D514D">
        <w:rPr>
          <w:rFonts w:eastAsia="MS Gothic"/>
          <w:b/>
          <w:i/>
        </w:rPr>
        <w:t>Polovina výdajů domácností na zdravotní péči jde na doplatky na léky a volně prodejné léky</w:t>
      </w:r>
    </w:p>
    <w:p w:rsidR="00214E6F" w:rsidRPr="005F153A" w:rsidRDefault="00214E6F" w:rsidP="00214E6F">
      <w:pPr>
        <w:spacing w:before="120"/>
        <w:jc w:val="both"/>
        <w:rPr>
          <w:bCs/>
          <w:szCs w:val="22"/>
        </w:rPr>
      </w:pPr>
      <w:r w:rsidRPr="005F153A">
        <w:rPr>
          <w:bCs/>
          <w:szCs w:val="22"/>
        </w:rPr>
        <w:t xml:space="preserve">Výdaje za léky představují největší položku výdajů domácností na </w:t>
      </w:r>
      <w:r>
        <w:rPr>
          <w:bCs/>
          <w:szCs w:val="22"/>
        </w:rPr>
        <w:t>zdravotní péči. V roce 2016</w:t>
      </w:r>
      <w:r w:rsidRPr="005F153A">
        <w:rPr>
          <w:bCs/>
          <w:szCs w:val="22"/>
        </w:rPr>
        <w:t xml:space="preserve"> utratily domácnosti za volně prodejné léky a doplatky za léky na předpis </w:t>
      </w:r>
      <w:r w:rsidR="00EE1E7F">
        <w:rPr>
          <w:bCs/>
          <w:szCs w:val="22"/>
        </w:rPr>
        <w:t xml:space="preserve">celkem </w:t>
      </w:r>
      <w:r w:rsidRPr="005F153A">
        <w:rPr>
          <w:bCs/>
          <w:szCs w:val="22"/>
        </w:rPr>
        <w:t>2</w:t>
      </w:r>
      <w:r>
        <w:rPr>
          <w:bCs/>
          <w:szCs w:val="22"/>
        </w:rPr>
        <w:t>3</w:t>
      </w:r>
      <w:r w:rsidRPr="005F153A">
        <w:rPr>
          <w:bCs/>
          <w:szCs w:val="22"/>
        </w:rPr>
        <w:t>,</w:t>
      </w:r>
      <w:r>
        <w:rPr>
          <w:bCs/>
          <w:szCs w:val="22"/>
        </w:rPr>
        <w:t>7</w:t>
      </w:r>
      <w:r w:rsidRPr="005F153A">
        <w:rPr>
          <w:bCs/>
          <w:szCs w:val="22"/>
        </w:rPr>
        <w:t xml:space="preserve"> mld. Kč, což představovalo více než 4</w:t>
      </w:r>
      <w:r>
        <w:rPr>
          <w:bCs/>
          <w:szCs w:val="22"/>
        </w:rPr>
        <w:t>6</w:t>
      </w:r>
      <w:r w:rsidRPr="005F153A">
        <w:rPr>
          <w:bCs/>
          <w:szCs w:val="22"/>
        </w:rPr>
        <w:t> % veškerých výdajů domácností na zdravotní péči. Jak naznačuje graf č</w:t>
      </w:r>
      <w:r>
        <w:rPr>
          <w:bCs/>
          <w:szCs w:val="22"/>
        </w:rPr>
        <w:t>.</w:t>
      </w:r>
      <w:r w:rsidRPr="005F153A">
        <w:rPr>
          <w:bCs/>
          <w:szCs w:val="22"/>
        </w:rPr>
        <w:t xml:space="preserve"> </w:t>
      </w:r>
      <w:r>
        <w:rPr>
          <w:bCs/>
          <w:szCs w:val="22"/>
        </w:rPr>
        <w:t>3.4.6</w:t>
      </w:r>
      <w:r w:rsidRPr="005F153A">
        <w:rPr>
          <w:bCs/>
          <w:szCs w:val="22"/>
        </w:rPr>
        <w:t>, ve sledovaném období nedocházelo k výrazným změnám, co se týká relativní zátěže plateb za léky v rozpočtech domácností na zdravotní péči. Od roku 201</w:t>
      </w:r>
      <w:r>
        <w:rPr>
          <w:bCs/>
          <w:szCs w:val="22"/>
        </w:rPr>
        <w:t>2</w:t>
      </w:r>
      <w:r w:rsidRPr="005F153A">
        <w:rPr>
          <w:bCs/>
          <w:szCs w:val="22"/>
        </w:rPr>
        <w:t xml:space="preserve"> se pohybuje mezi 46 % a 49 % výdajů domácností na zdravotní péči.</w:t>
      </w:r>
    </w:p>
    <w:p w:rsidR="00214E6F" w:rsidRDefault="00214E6F" w:rsidP="00214E6F">
      <w:pPr>
        <w:spacing w:before="120"/>
        <w:jc w:val="both"/>
        <w:rPr>
          <w:bCs/>
          <w:szCs w:val="22"/>
        </w:rPr>
      </w:pPr>
      <w:r w:rsidRPr="005F153A">
        <w:rPr>
          <w:bCs/>
          <w:szCs w:val="22"/>
        </w:rPr>
        <w:t>Z údajů v grafu č</w:t>
      </w:r>
      <w:r w:rsidRPr="00F03967">
        <w:rPr>
          <w:bCs/>
          <w:szCs w:val="22"/>
        </w:rPr>
        <w:t>. 3.4.</w:t>
      </w:r>
      <w:r>
        <w:rPr>
          <w:bCs/>
          <w:szCs w:val="22"/>
        </w:rPr>
        <w:t>4</w:t>
      </w:r>
      <w:r w:rsidRPr="005F153A">
        <w:rPr>
          <w:bCs/>
          <w:szCs w:val="22"/>
        </w:rPr>
        <w:t xml:space="preserve"> vyplývá, že v roce 201</w:t>
      </w:r>
      <w:r>
        <w:rPr>
          <w:bCs/>
          <w:szCs w:val="22"/>
        </w:rPr>
        <w:t>6</w:t>
      </w:r>
      <w:r w:rsidRPr="005F153A">
        <w:rPr>
          <w:bCs/>
          <w:szCs w:val="22"/>
        </w:rPr>
        <w:t xml:space="preserve"> doplácely domácnosti celkem </w:t>
      </w:r>
      <w:r>
        <w:rPr>
          <w:bCs/>
          <w:szCs w:val="22"/>
        </w:rPr>
        <w:t>10,3</w:t>
      </w:r>
      <w:r w:rsidRPr="005F153A">
        <w:rPr>
          <w:bCs/>
          <w:szCs w:val="22"/>
        </w:rPr>
        <w:t xml:space="preserve"> mld. Kč za léky na předpis, což </w:t>
      </w:r>
      <w:r>
        <w:rPr>
          <w:bCs/>
          <w:szCs w:val="22"/>
        </w:rPr>
        <w:t xml:space="preserve">je </w:t>
      </w:r>
      <w:r w:rsidRPr="005F153A">
        <w:rPr>
          <w:bCs/>
          <w:szCs w:val="22"/>
        </w:rPr>
        <w:t xml:space="preserve">o </w:t>
      </w:r>
      <w:r>
        <w:rPr>
          <w:bCs/>
          <w:szCs w:val="22"/>
        </w:rPr>
        <w:t>0,9</w:t>
      </w:r>
      <w:r w:rsidRPr="005F153A">
        <w:rPr>
          <w:bCs/>
          <w:szCs w:val="22"/>
        </w:rPr>
        <w:t xml:space="preserve"> mld. Kč více než v roce 201</w:t>
      </w:r>
      <w:r>
        <w:rPr>
          <w:bCs/>
          <w:szCs w:val="22"/>
        </w:rPr>
        <w:t>2</w:t>
      </w:r>
      <w:r w:rsidRPr="005F153A">
        <w:rPr>
          <w:bCs/>
          <w:szCs w:val="22"/>
        </w:rPr>
        <w:t xml:space="preserve"> (</w:t>
      </w:r>
      <w:r>
        <w:rPr>
          <w:bCs/>
          <w:szCs w:val="22"/>
        </w:rPr>
        <w:t>9,4</w:t>
      </w:r>
      <w:r w:rsidRPr="005F153A">
        <w:rPr>
          <w:bCs/>
          <w:szCs w:val="22"/>
        </w:rPr>
        <w:t xml:space="preserve"> mld. Kč). </w:t>
      </w:r>
      <w:r>
        <w:rPr>
          <w:bCs/>
          <w:szCs w:val="22"/>
        </w:rPr>
        <w:t>Domácnosti dále vydaly celkem 13,4 </w:t>
      </w:r>
      <w:r w:rsidRPr="005F153A">
        <w:rPr>
          <w:bCs/>
          <w:szCs w:val="22"/>
        </w:rPr>
        <w:t>mld.</w:t>
      </w:r>
      <w:r>
        <w:rPr>
          <w:bCs/>
          <w:szCs w:val="22"/>
        </w:rPr>
        <w:t> </w:t>
      </w:r>
      <w:r w:rsidRPr="005F153A">
        <w:rPr>
          <w:bCs/>
          <w:szCs w:val="22"/>
        </w:rPr>
        <w:t xml:space="preserve">Kč za volně prodejné léky, což představovalo nárůst o </w:t>
      </w:r>
      <w:r>
        <w:rPr>
          <w:bCs/>
          <w:szCs w:val="22"/>
        </w:rPr>
        <w:t xml:space="preserve">10,7 </w:t>
      </w:r>
      <w:r w:rsidRPr="005F153A">
        <w:rPr>
          <w:bCs/>
          <w:szCs w:val="22"/>
        </w:rPr>
        <w:t>% oproti roku 201</w:t>
      </w:r>
      <w:r>
        <w:rPr>
          <w:bCs/>
          <w:szCs w:val="22"/>
        </w:rPr>
        <w:t>2</w:t>
      </w:r>
      <w:r w:rsidRPr="005F153A">
        <w:rPr>
          <w:bCs/>
          <w:szCs w:val="22"/>
        </w:rPr>
        <w:t xml:space="preserve"> (1</w:t>
      </w:r>
      <w:r>
        <w:rPr>
          <w:bCs/>
          <w:szCs w:val="22"/>
        </w:rPr>
        <w:t>2,1</w:t>
      </w:r>
      <w:r w:rsidRPr="005F153A">
        <w:rPr>
          <w:bCs/>
          <w:szCs w:val="22"/>
        </w:rPr>
        <w:t xml:space="preserve"> mld. Kč). </w:t>
      </w:r>
      <w:r>
        <w:rPr>
          <w:bCs/>
          <w:szCs w:val="22"/>
        </w:rPr>
        <w:t xml:space="preserve">Domácnosti utratily za léky za období 2012 – 2016 celkově 110,1 mld. Kč s průměrným ročním tempem růstu 2.1 %. </w:t>
      </w:r>
      <w:r w:rsidRPr="005F153A">
        <w:rPr>
          <w:bCs/>
          <w:szCs w:val="22"/>
        </w:rPr>
        <w:t>Do</w:t>
      </w:r>
      <w:r>
        <w:rPr>
          <w:bCs/>
          <w:szCs w:val="22"/>
        </w:rPr>
        <w:t> </w:t>
      </w:r>
      <w:r w:rsidRPr="005F153A">
        <w:rPr>
          <w:bCs/>
          <w:szCs w:val="22"/>
        </w:rPr>
        <w:t xml:space="preserve">ceny léků se mimo jiné promítá také aktuální výše snížené sazby daně z přidané hodnoty, která se ve sledovaném období několikrát měnila. </w:t>
      </w:r>
    </w:p>
    <w:p w:rsidR="00214E6F" w:rsidRPr="005F153A" w:rsidRDefault="00214E6F" w:rsidP="00214E6F">
      <w:pPr>
        <w:keepNext/>
        <w:spacing w:before="120" w:after="120"/>
        <w:rPr>
          <w:rFonts w:cs="Arial"/>
          <w:b/>
          <w:sz w:val="18"/>
          <w:szCs w:val="18"/>
        </w:rPr>
      </w:pPr>
      <w:r w:rsidRPr="005F153A">
        <w:rPr>
          <w:rFonts w:cs="Arial"/>
          <w:b/>
          <w:sz w:val="18"/>
          <w:szCs w:val="18"/>
        </w:rPr>
        <w:t>Graf č.</w:t>
      </w:r>
      <w:r>
        <w:rPr>
          <w:rFonts w:cs="Arial"/>
          <w:b/>
          <w:sz w:val="18"/>
          <w:szCs w:val="18"/>
        </w:rPr>
        <w:t xml:space="preserve"> </w:t>
      </w:r>
      <w:r w:rsidRPr="005F153A">
        <w:rPr>
          <w:rFonts w:cs="Arial"/>
          <w:b/>
          <w:sz w:val="18"/>
          <w:szCs w:val="18"/>
        </w:rPr>
        <w:t>3.4.</w:t>
      </w:r>
      <w:r>
        <w:rPr>
          <w:rFonts w:cs="Arial"/>
          <w:b/>
          <w:sz w:val="18"/>
          <w:szCs w:val="18"/>
        </w:rPr>
        <w:t>6</w:t>
      </w:r>
      <w:r w:rsidRPr="005F153A">
        <w:rPr>
          <w:rFonts w:cs="Arial"/>
          <w:b/>
          <w:sz w:val="18"/>
          <w:szCs w:val="18"/>
        </w:rPr>
        <w:t xml:space="preserve"> Výdaje za léky v České republice podle zdroje financování, 201</w:t>
      </w:r>
      <w:r>
        <w:rPr>
          <w:rFonts w:cs="Arial"/>
          <w:b/>
          <w:sz w:val="18"/>
          <w:szCs w:val="18"/>
        </w:rPr>
        <w:t>2</w:t>
      </w:r>
      <w:r w:rsidRPr="005F153A">
        <w:rPr>
          <w:rFonts w:cs="Arial"/>
          <w:b/>
          <w:sz w:val="18"/>
          <w:szCs w:val="18"/>
        </w:rPr>
        <w:t>-201</w:t>
      </w:r>
      <w:r>
        <w:rPr>
          <w:rFonts w:cs="Arial"/>
          <w:b/>
          <w:sz w:val="18"/>
          <w:szCs w:val="18"/>
        </w:rPr>
        <w:t>6</w:t>
      </w:r>
      <w:r w:rsidRPr="005F153A">
        <w:rPr>
          <w:rFonts w:cs="Arial"/>
          <w:b/>
          <w:sz w:val="18"/>
          <w:szCs w:val="18"/>
        </w:rPr>
        <w:t xml:space="preserve"> (mld. Kč; %)</w:t>
      </w:r>
    </w:p>
    <w:p w:rsidR="00214E6F" w:rsidRPr="00992E19" w:rsidRDefault="00214E6F" w:rsidP="00EE1E7F">
      <w:pPr>
        <w:pStyle w:val="Odstavecseseznamem"/>
        <w:keepNext/>
        <w:numPr>
          <w:ilvl w:val="0"/>
          <w:numId w:val="41"/>
        </w:numPr>
        <w:spacing w:before="0" w:after="0"/>
        <w:ind w:left="357" w:hanging="357"/>
        <w:rPr>
          <w:b/>
          <w:bCs/>
          <w:szCs w:val="22"/>
        </w:rPr>
      </w:pPr>
      <w:r w:rsidRPr="00992E19">
        <w:rPr>
          <w:b/>
          <w:bCs/>
          <w:szCs w:val="22"/>
        </w:rPr>
        <w:t xml:space="preserve">v mld. Kč                                                                             </w:t>
      </w:r>
      <w:r>
        <w:rPr>
          <w:b/>
          <w:bCs/>
          <w:szCs w:val="22"/>
        </w:rPr>
        <w:t xml:space="preserve"> </w:t>
      </w:r>
      <w:r w:rsidRPr="00992E19">
        <w:rPr>
          <w:b/>
          <w:bCs/>
          <w:szCs w:val="22"/>
        </w:rPr>
        <w:t>b) struktura (%)</w:t>
      </w:r>
    </w:p>
    <w:p w:rsidR="00214E6F" w:rsidRDefault="00214E6F" w:rsidP="00214E6F">
      <w:pPr>
        <w:spacing w:before="120"/>
        <w:jc w:val="both"/>
        <w:rPr>
          <w:bCs/>
          <w:szCs w:val="22"/>
        </w:rPr>
      </w:pPr>
      <w:r>
        <w:rPr>
          <w:noProof/>
        </w:rPr>
        <w:drawing>
          <wp:inline distT="0" distB="0" distL="0" distR="0">
            <wp:extent cx="3672000" cy="2340000"/>
            <wp:effectExtent l="0" t="0" r="5080" b="3175"/>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extent cx="2362200" cy="2340000"/>
            <wp:effectExtent l="0" t="0" r="0" b="3175"/>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14E6F" w:rsidRPr="00DE0195" w:rsidRDefault="00214E6F" w:rsidP="00214E6F">
      <w:pPr>
        <w:spacing w:before="120"/>
        <w:ind w:left="45"/>
        <w:jc w:val="both"/>
        <w:rPr>
          <w:b/>
          <w:bCs/>
          <w:i/>
          <w:szCs w:val="22"/>
        </w:rPr>
      </w:pPr>
      <w:r>
        <w:rPr>
          <w:b/>
          <w:bCs/>
          <w:i/>
          <w:sz w:val="16"/>
          <w:szCs w:val="16"/>
        </w:rPr>
        <w:t xml:space="preserve">                                                                                                                              Zdroj: ČSÚ 2018</w:t>
      </w:r>
      <w:r w:rsidRPr="005F153A">
        <w:rPr>
          <w:b/>
          <w:bCs/>
          <w:i/>
          <w:sz w:val="16"/>
          <w:szCs w:val="16"/>
        </w:rPr>
        <w:t>, Zdravotnické účty ČR 2010 - 201</w:t>
      </w:r>
      <w:r>
        <w:rPr>
          <w:b/>
          <w:bCs/>
          <w:i/>
          <w:sz w:val="16"/>
          <w:szCs w:val="16"/>
        </w:rPr>
        <w:t>6</w:t>
      </w:r>
      <w:r w:rsidRPr="005F153A">
        <w:rPr>
          <w:b/>
          <w:bCs/>
          <w:i/>
          <w:sz w:val="16"/>
          <w:szCs w:val="16"/>
        </w:rPr>
        <w:t xml:space="preserve"> </w:t>
      </w:r>
    </w:p>
    <w:p w:rsidR="00214E6F" w:rsidRPr="00F34649" w:rsidRDefault="00214E6F" w:rsidP="00214E6F">
      <w:pPr>
        <w:spacing w:before="120"/>
        <w:jc w:val="both"/>
        <w:rPr>
          <w:b/>
          <w:bCs/>
          <w:i/>
          <w:szCs w:val="22"/>
        </w:rPr>
      </w:pPr>
      <w:r w:rsidRPr="00F34649">
        <w:rPr>
          <w:b/>
          <w:bCs/>
          <w:i/>
          <w:szCs w:val="22"/>
        </w:rPr>
        <w:t xml:space="preserve">V roce 2016 uhradily zdravotní pojišťovny za léky pro 1 pojištěného klienta 5,3 tisíce korun </w:t>
      </w:r>
    </w:p>
    <w:p w:rsidR="00214E6F" w:rsidRDefault="00214E6F" w:rsidP="00214E6F">
      <w:pPr>
        <w:spacing w:before="120"/>
        <w:jc w:val="both"/>
        <w:rPr>
          <w:bCs/>
          <w:szCs w:val="22"/>
        </w:rPr>
      </w:pPr>
      <w:r w:rsidRPr="005F153A">
        <w:rPr>
          <w:bCs/>
          <w:szCs w:val="22"/>
        </w:rPr>
        <w:t>Graf č. 3.4.</w:t>
      </w:r>
      <w:r>
        <w:rPr>
          <w:bCs/>
          <w:szCs w:val="22"/>
        </w:rPr>
        <w:t>7</w:t>
      </w:r>
      <w:r w:rsidRPr="005F153A">
        <w:rPr>
          <w:bCs/>
          <w:szCs w:val="22"/>
        </w:rPr>
        <w:t xml:space="preserve"> </w:t>
      </w:r>
      <w:r>
        <w:rPr>
          <w:bCs/>
          <w:szCs w:val="22"/>
        </w:rPr>
        <w:t>znázorňuje</w:t>
      </w:r>
      <w:r w:rsidRPr="005F153A">
        <w:rPr>
          <w:bCs/>
          <w:szCs w:val="22"/>
        </w:rPr>
        <w:t xml:space="preserve"> přehled </w:t>
      </w:r>
      <w:r w:rsidRPr="005F153A">
        <w:rPr>
          <w:b/>
          <w:bCs/>
          <w:szCs w:val="22"/>
        </w:rPr>
        <w:t>výdajů zdravotních pojišťoven za léky na předpis a za léky poskytnuté pacientům ve zdravotnických zařízeních na jednoho pojištěnce</w:t>
      </w:r>
      <w:r w:rsidRPr="005F153A">
        <w:rPr>
          <w:bCs/>
          <w:szCs w:val="22"/>
        </w:rPr>
        <w:t xml:space="preserve"> veřejného zdravotního pojištění. Výdaje</w:t>
      </w:r>
      <w:r>
        <w:rPr>
          <w:bCs/>
          <w:szCs w:val="22"/>
        </w:rPr>
        <w:t> </w:t>
      </w:r>
      <w:r w:rsidRPr="005F153A">
        <w:rPr>
          <w:bCs/>
          <w:szCs w:val="22"/>
        </w:rPr>
        <w:t>zdravotních pojišťoven za jmenované kategorie léků dosáhly v roce 201</w:t>
      </w:r>
      <w:r>
        <w:rPr>
          <w:bCs/>
          <w:szCs w:val="22"/>
        </w:rPr>
        <w:t>6</w:t>
      </w:r>
      <w:r w:rsidRPr="005F153A">
        <w:rPr>
          <w:bCs/>
          <w:szCs w:val="22"/>
        </w:rPr>
        <w:t xml:space="preserve"> </w:t>
      </w:r>
      <w:r>
        <w:rPr>
          <w:bCs/>
          <w:szCs w:val="22"/>
        </w:rPr>
        <w:t>více než</w:t>
      </w:r>
      <w:r w:rsidRPr="005F153A">
        <w:rPr>
          <w:bCs/>
          <w:szCs w:val="22"/>
        </w:rPr>
        <w:t xml:space="preserve"> 5 tisíc Kč za 1</w:t>
      </w:r>
      <w:r>
        <w:rPr>
          <w:bCs/>
          <w:szCs w:val="22"/>
        </w:rPr>
        <w:t> </w:t>
      </w:r>
      <w:r w:rsidRPr="005F153A">
        <w:rPr>
          <w:bCs/>
          <w:szCs w:val="22"/>
        </w:rPr>
        <w:t>pojištěnce, z čehož za léky na předpis to bylo 3 0</w:t>
      </w:r>
      <w:r>
        <w:rPr>
          <w:bCs/>
          <w:szCs w:val="22"/>
        </w:rPr>
        <w:t>59</w:t>
      </w:r>
      <w:r w:rsidRPr="005F153A">
        <w:rPr>
          <w:bCs/>
          <w:szCs w:val="22"/>
        </w:rPr>
        <w:t xml:space="preserve"> Kč a za léky spotřebované ve zdravotnických zařízeních 2 </w:t>
      </w:r>
      <w:r>
        <w:rPr>
          <w:bCs/>
          <w:szCs w:val="22"/>
        </w:rPr>
        <w:t>2</w:t>
      </w:r>
      <w:r w:rsidRPr="005F153A">
        <w:rPr>
          <w:bCs/>
          <w:szCs w:val="22"/>
        </w:rPr>
        <w:t>40 Kč</w:t>
      </w:r>
      <w:r>
        <w:rPr>
          <w:bCs/>
          <w:szCs w:val="22"/>
        </w:rPr>
        <w:t>.</w:t>
      </w:r>
    </w:p>
    <w:p w:rsidR="00214E6F" w:rsidRPr="005F153A" w:rsidRDefault="00214E6F" w:rsidP="00214E6F">
      <w:pPr>
        <w:keepNext/>
        <w:spacing w:before="240" w:after="120"/>
        <w:jc w:val="both"/>
        <w:rPr>
          <w:rFonts w:cs="Arial"/>
          <w:b/>
          <w:sz w:val="18"/>
          <w:szCs w:val="18"/>
        </w:rPr>
      </w:pPr>
      <w:r w:rsidRPr="005F153A">
        <w:rPr>
          <w:rFonts w:cs="Arial"/>
          <w:b/>
          <w:sz w:val="18"/>
          <w:szCs w:val="18"/>
        </w:rPr>
        <w:lastRenderedPageBreak/>
        <w:t>Graf č. 3.4.</w:t>
      </w:r>
      <w:r>
        <w:rPr>
          <w:rFonts w:cs="Arial"/>
          <w:b/>
          <w:sz w:val="18"/>
          <w:szCs w:val="18"/>
        </w:rPr>
        <w:t>7</w:t>
      </w:r>
      <w:r w:rsidRPr="005F153A">
        <w:rPr>
          <w:rFonts w:cs="Arial"/>
          <w:b/>
          <w:sz w:val="18"/>
          <w:szCs w:val="18"/>
        </w:rPr>
        <w:t xml:space="preserve"> Výdaje zdravotních pojišťoven za léky, </w:t>
      </w:r>
      <w:r w:rsidRPr="005F153A">
        <w:rPr>
          <w:b/>
          <w:bCs/>
          <w:sz w:val="18"/>
          <w:szCs w:val="18"/>
        </w:rPr>
        <w:t>201</w:t>
      </w:r>
      <w:r>
        <w:rPr>
          <w:b/>
          <w:bCs/>
          <w:sz w:val="18"/>
          <w:szCs w:val="18"/>
        </w:rPr>
        <w:t>2</w:t>
      </w:r>
      <w:r w:rsidRPr="005F153A">
        <w:rPr>
          <w:b/>
          <w:bCs/>
          <w:sz w:val="18"/>
          <w:szCs w:val="18"/>
        </w:rPr>
        <w:t>-201</w:t>
      </w:r>
      <w:r>
        <w:rPr>
          <w:b/>
          <w:bCs/>
          <w:sz w:val="18"/>
          <w:szCs w:val="18"/>
        </w:rPr>
        <w:t>6</w:t>
      </w:r>
      <w:r w:rsidRPr="005F153A">
        <w:rPr>
          <w:b/>
          <w:bCs/>
          <w:sz w:val="18"/>
          <w:szCs w:val="18"/>
        </w:rPr>
        <w:t xml:space="preserve"> (</w:t>
      </w:r>
      <w:r>
        <w:rPr>
          <w:rFonts w:cs="Arial"/>
          <w:b/>
          <w:sz w:val="18"/>
          <w:szCs w:val="18"/>
        </w:rPr>
        <w:t xml:space="preserve">na 1 pojištěnce </w:t>
      </w:r>
      <w:r w:rsidRPr="005F153A">
        <w:rPr>
          <w:b/>
          <w:bCs/>
          <w:sz w:val="18"/>
          <w:szCs w:val="18"/>
        </w:rPr>
        <w:t>v</w:t>
      </w:r>
      <w:r>
        <w:rPr>
          <w:rFonts w:cs="Arial"/>
          <w:b/>
          <w:sz w:val="18"/>
          <w:szCs w:val="18"/>
        </w:rPr>
        <w:t> Kč</w:t>
      </w:r>
      <w:r>
        <w:rPr>
          <w:rFonts w:cs="Arial"/>
          <w:b/>
          <w:sz w:val="18"/>
          <w:szCs w:val="18"/>
          <w:lang w:val="en-US"/>
        </w:rPr>
        <w:t>;</w:t>
      </w:r>
      <w:r w:rsidRPr="005F153A">
        <w:rPr>
          <w:rFonts w:cs="Arial"/>
          <w:b/>
          <w:sz w:val="18"/>
          <w:szCs w:val="18"/>
        </w:rPr>
        <w:t xml:space="preserve"> podíl na zdrav.  péči v %)</w:t>
      </w:r>
    </w:p>
    <w:p w:rsidR="00214E6F" w:rsidRPr="005F153A" w:rsidRDefault="00214E6F" w:rsidP="00214E6F">
      <w:pPr>
        <w:spacing w:before="240" w:after="120"/>
        <w:jc w:val="both"/>
        <w:rPr>
          <w:b/>
          <w:bCs/>
          <w:sz w:val="18"/>
          <w:szCs w:val="18"/>
        </w:rPr>
      </w:pPr>
      <w:r>
        <w:rPr>
          <w:noProof/>
        </w:rPr>
        <w:drawing>
          <wp:inline distT="0" distB="0" distL="0" distR="0">
            <wp:extent cx="6200775" cy="2838450"/>
            <wp:effectExtent l="0" t="0" r="0" b="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14E6F" w:rsidRPr="005F153A" w:rsidRDefault="00214E6F" w:rsidP="00214E6F">
      <w:pPr>
        <w:spacing w:line="240" w:lineRule="auto"/>
        <w:jc w:val="right"/>
        <w:rPr>
          <w:b/>
          <w:bCs/>
          <w:i/>
          <w:sz w:val="16"/>
          <w:szCs w:val="16"/>
        </w:rPr>
      </w:pPr>
      <w:r w:rsidRPr="005F153A">
        <w:rPr>
          <w:b/>
          <w:bCs/>
          <w:i/>
          <w:sz w:val="16"/>
          <w:szCs w:val="16"/>
        </w:rPr>
        <w:t>Zdroj: ČSÚ 201</w:t>
      </w:r>
      <w:r>
        <w:rPr>
          <w:b/>
          <w:bCs/>
          <w:i/>
          <w:sz w:val="16"/>
          <w:szCs w:val="16"/>
        </w:rPr>
        <w:t>8</w:t>
      </w:r>
      <w:r w:rsidRPr="005F153A">
        <w:rPr>
          <w:b/>
          <w:bCs/>
          <w:i/>
          <w:sz w:val="16"/>
          <w:szCs w:val="16"/>
        </w:rPr>
        <w:t>, Zdravotnické účty ČR 2010 - 201</w:t>
      </w:r>
      <w:r>
        <w:rPr>
          <w:b/>
          <w:bCs/>
          <w:i/>
          <w:sz w:val="16"/>
          <w:szCs w:val="16"/>
        </w:rPr>
        <w:t>6</w:t>
      </w:r>
      <w:r w:rsidRPr="005F153A">
        <w:rPr>
          <w:b/>
          <w:bCs/>
          <w:i/>
          <w:sz w:val="16"/>
          <w:szCs w:val="16"/>
        </w:rPr>
        <w:t xml:space="preserve"> </w:t>
      </w:r>
    </w:p>
    <w:p w:rsidR="00214E6F" w:rsidRPr="009D0548" w:rsidRDefault="00214E6F" w:rsidP="00214E6F">
      <w:pPr>
        <w:spacing w:before="120"/>
        <w:jc w:val="both"/>
        <w:rPr>
          <w:b/>
          <w:bCs/>
          <w:i/>
          <w:szCs w:val="22"/>
        </w:rPr>
      </w:pPr>
      <w:r w:rsidRPr="009D0548">
        <w:rPr>
          <w:b/>
          <w:bCs/>
          <w:i/>
          <w:szCs w:val="22"/>
        </w:rPr>
        <w:t xml:space="preserve">Výdaje zdravotních pojišťoven </w:t>
      </w:r>
      <w:r w:rsidRPr="009D0548">
        <w:rPr>
          <w:b/>
          <w:i/>
        </w:rPr>
        <w:t>na centrov</w:t>
      </w:r>
      <w:r>
        <w:rPr>
          <w:b/>
          <w:i/>
        </w:rPr>
        <w:t>é</w:t>
      </w:r>
      <w:r w:rsidRPr="009D0548">
        <w:rPr>
          <w:b/>
          <w:i/>
        </w:rPr>
        <w:t xml:space="preserve"> </w:t>
      </w:r>
      <w:r>
        <w:rPr>
          <w:b/>
          <w:i/>
        </w:rPr>
        <w:t>léky</w:t>
      </w:r>
      <w:r w:rsidRPr="009D0548">
        <w:rPr>
          <w:b/>
          <w:i/>
        </w:rPr>
        <w:t xml:space="preserve"> vzrostly meziročně o dvě pětiny</w:t>
      </w:r>
    </w:p>
    <w:p w:rsidR="00214E6F" w:rsidRPr="005F153A" w:rsidRDefault="00214E6F" w:rsidP="00214E6F">
      <w:pPr>
        <w:spacing w:before="120"/>
        <w:jc w:val="both"/>
      </w:pPr>
      <w:r w:rsidRPr="0013135D">
        <w:rPr>
          <w:bCs/>
          <w:szCs w:val="22"/>
        </w:rPr>
        <w:t>Zdravotní pojišťovny vydaly v roce 2016</w:t>
      </w:r>
      <w:r w:rsidRPr="005F153A">
        <w:rPr>
          <w:bCs/>
          <w:szCs w:val="22"/>
        </w:rPr>
        <w:t xml:space="preserve"> </w:t>
      </w:r>
      <w:r w:rsidRPr="005F153A">
        <w:rPr>
          <w:b/>
          <w:bCs/>
          <w:szCs w:val="22"/>
        </w:rPr>
        <w:t>za léky pro specializovaná centra</w:t>
      </w:r>
      <w:r>
        <w:rPr>
          <w:bCs/>
          <w:szCs w:val="22"/>
        </w:rPr>
        <w:t xml:space="preserve"> více než 15 miliard korun. Za léčivé prostředky poskytované v rámci lůžkové péče bylo vydáno až 93 % celkových výdajů. Ve specializovaných pracovištích se léčí především </w:t>
      </w:r>
      <w:r>
        <w:t xml:space="preserve">metabolická, </w:t>
      </w:r>
      <w:r w:rsidRPr="005F153A">
        <w:t>kardiovask</w:t>
      </w:r>
      <w:r>
        <w:t>ulární a neurologická onemocnění</w:t>
      </w:r>
      <w:r w:rsidRPr="005F153A">
        <w:t xml:space="preserve">. </w:t>
      </w:r>
      <w:r>
        <w:rPr>
          <w:bCs/>
          <w:szCs w:val="22"/>
        </w:rPr>
        <w:t xml:space="preserve">Jedná se o léčivé přípravky poskytované v uvedených pracovištích, ať už formou ambulantní nebo lůžkové péče. </w:t>
      </w:r>
      <w:r>
        <w:t>S rozvojem léčebných metod roste ekonomická náročnost léčby, což dokazuje výrazné zvýšení nákladů zdravotních pojišťoven. Zatímco v roce 2012 vynaložily zdravotní pojišťovny na léčivé prostředky ve specializovaných centrech s lůžkovým oddělením 7,9 mld. Kč, v roce 2016 vzrostla částka o 80 % na stávajících 14,2 mld. Kč s průměrným ročním tempem růstu 15,9 %. Výdaje za léky poskytované při ambulantní léčbě v roce 2016 poprvé překročily hranici jedné miliardy Kč a v porovnání s rokem 2012 se zvýšily o dvě třetiny.</w:t>
      </w:r>
    </w:p>
    <w:p w:rsidR="00214E6F" w:rsidRDefault="00214E6F" w:rsidP="00005515">
      <w:pPr>
        <w:widowControl w:val="0"/>
        <w:spacing w:before="240" w:after="120"/>
        <w:jc w:val="both"/>
        <w:rPr>
          <w:b/>
          <w:bCs/>
          <w:sz w:val="18"/>
          <w:szCs w:val="18"/>
        </w:rPr>
      </w:pPr>
      <w:r w:rsidRPr="005F153A">
        <w:rPr>
          <w:rFonts w:cs="Arial"/>
          <w:b/>
          <w:sz w:val="18"/>
          <w:szCs w:val="18"/>
        </w:rPr>
        <w:t>Graf č. 3.4.</w:t>
      </w:r>
      <w:r>
        <w:rPr>
          <w:rFonts w:cs="Arial"/>
          <w:b/>
          <w:sz w:val="18"/>
          <w:szCs w:val="18"/>
        </w:rPr>
        <w:t>8</w:t>
      </w:r>
      <w:r w:rsidRPr="005F153A">
        <w:rPr>
          <w:rFonts w:cs="Arial"/>
          <w:b/>
          <w:sz w:val="18"/>
          <w:szCs w:val="18"/>
        </w:rPr>
        <w:t xml:space="preserve"> Výdaje zdravotních pojišťoven </w:t>
      </w:r>
      <w:r>
        <w:rPr>
          <w:rFonts w:cs="Arial"/>
          <w:b/>
          <w:sz w:val="18"/>
          <w:szCs w:val="18"/>
        </w:rPr>
        <w:t xml:space="preserve">na léčivé přípravky poskytované ve specializovaných pracovištích, </w:t>
      </w:r>
      <w:r w:rsidRPr="005F153A">
        <w:rPr>
          <w:b/>
          <w:bCs/>
          <w:sz w:val="18"/>
          <w:szCs w:val="18"/>
        </w:rPr>
        <w:t>201</w:t>
      </w:r>
      <w:r>
        <w:rPr>
          <w:b/>
          <w:bCs/>
          <w:sz w:val="18"/>
          <w:szCs w:val="18"/>
        </w:rPr>
        <w:t>2</w:t>
      </w:r>
      <w:r w:rsidRPr="005F153A">
        <w:rPr>
          <w:b/>
          <w:bCs/>
          <w:sz w:val="18"/>
          <w:szCs w:val="18"/>
        </w:rPr>
        <w:t>-201</w:t>
      </w:r>
      <w:r>
        <w:rPr>
          <w:b/>
          <w:bCs/>
          <w:sz w:val="18"/>
          <w:szCs w:val="18"/>
        </w:rPr>
        <w:t>6</w:t>
      </w:r>
      <w:r w:rsidRPr="005F153A">
        <w:rPr>
          <w:b/>
          <w:bCs/>
          <w:sz w:val="18"/>
          <w:szCs w:val="18"/>
        </w:rPr>
        <w:t xml:space="preserve"> </w:t>
      </w:r>
      <w:r>
        <w:rPr>
          <w:b/>
          <w:bCs/>
          <w:sz w:val="18"/>
          <w:szCs w:val="18"/>
        </w:rPr>
        <w:t xml:space="preserve">(v </w:t>
      </w:r>
      <w:r w:rsidR="00D709E7">
        <w:rPr>
          <w:b/>
          <w:bCs/>
          <w:sz w:val="18"/>
          <w:szCs w:val="18"/>
        </w:rPr>
        <w:t>mil</w:t>
      </w:r>
      <w:r>
        <w:rPr>
          <w:b/>
          <w:bCs/>
          <w:sz w:val="18"/>
          <w:szCs w:val="18"/>
        </w:rPr>
        <w:t>. Kč)</w:t>
      </w:r>
    </w:p>
    <w:p w:rsidR="00214E6F" w:rsidRPr="005F153A" w:rsidRDefault="00214E6F" w:rsidP="00005515">
      <w:pPr>
        <w:widowControl w:val="0"/>
        <w:spacing w:before="240" w:after="120"/>
        <w:jc w:val="both"/>
        <w:rPr>
          <w:rFonts w:cs="Arial"/>
          <w:b/>
          <w:sz w:val="18"/>
          <w:szCs w:val="18"/>
        </w:rPr>
      </w:pPr>
      <w:r>
        <w:rPr>
          <w:noProof/>
        </w:rPr>
        <w:drawing>
          <wp:inline distT="0" distB="0" distL="0" distR="0" wp14:anchorId="293A1BF4" wp14:editId="354F1C8F">
            <wp:extent cx="5867400" cy="2524125"/>
            <wp:effectExtent l="0" t="0" r="0" b="0"/>
            <wp:docPr id="77" name="Graf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14E6F" w:rsidRPr="005F153A" w:rsidRDefault="00214E6F" w:rsidP="00005515">
      <w:pPr>
        <w:widowControl w:val="0"/>
        <w:spacing w:line="240" w:lineRule="auto"/>
        <w:jc w:val="right"/>
        <w:rPr>
          <w:b/>
          <w:bCs/>
          <w:i/>
          <w:sz w:val="16"/>
          <w:szCs w:val="16"/>
        </w:rPr>
      </w:pPr>
      <w:r w:rsidRPr="005F153A">
        <w:rPr>
          <w:b/>
          <w:bCs/>
          <w:i/>
          <w:sz w:val="16"/>
          <w:szCs w:val="16"/>
        </w:rPr>
        <w:t xml:space="preserve">Zdroj: </w:t>
      </w:r>
      <w:r>
        <w:rPr>
          <w:b/>
          <w:bCs/>
          <w:i/>
          <w:sz w:val="16"/>
          <w:szCs w:val="16"/>
        </w:rPr>
        <w:t>Ministerstvo zdravotnictví ČR, 2017</w:t>
      </w:r>
      <w:r w:rsidRPr="005F153A">
        <w:rPr>
          <w:b/>
          <w:bCs/>
          <w:i/>
          <w:sz w:val="16"/>
          <w:szCs w:val="16"/>
        </w:rPr>
        <w:t xml:space="preserve"> </w:t>
      </w:r>
    </w:p>
    <w:p w:rsidR="008C1793" w:rsidRPr="00FE6403" w:rsidRDefault="008C1793" w:rsidP="008C1793">
      <w:pPr>
        <w:pStyle w:val="Nadpis1"/>
        <w:rPr>
          <w:sz w:val="28"/>
        </w:rPr>
      </w:pPr>
      <w:bookmarkStart w:id="38" w:name="_Metodická_příloha"/>
      <w:bookmarkStart w:id="39" w:name="_5._Metodická_příloha"/>
      <w:bookmarkStart w:id="40" w:name="_4._Mezinárodní_srovnání"/>
      <w:bookmarkStart w:id="41" w:name="_Toc481748803"/>
      <w:bookmarkStart w:id="42" w:name="_Toc481748804"/>
      <w:bookmarkEnd w:id="38"/>
      <w:bookmarkEnd w:id="39"/>
      <w:bookmarkEnd w:id="40"/>
      <w:r w:rsidRPr="00FE6403">
        <w:rPr>
          <w:sz w:val="28"/>
        </w:rPr>
        <w:lastRenderedPageBreak/>
        <w:t>4. Mezinárodní srovnání výdajů na zdravotní péči</w:t>
      </w:r>
      <w:bookmarkEnd w:id="41"/>
    </w:p>
    <w:p w:rsidR="008C1793" w:rsidRPr="00D35655" w:rsidRDefault="008C1793" w:rsidP="008C1793">
      <w:pPr>
        <w:keepNext/>
        <w:spacing w:before="240" w:after="120"/>
        <w:jc w:val="both"/>
        <w:rPr>
          <w:rFonts w:cs="Arial"/>
          <w:color w:val="000000"/>
          <w:szCs w:val="20"/>
        </w:rPr>
      </w:pPr>
      <w:r w:rsidRPr="00D35655">
        <w:rPr>
          <w:rFonts w:cs="Arial"/>
          <w:color w:val="000000"/>
          <w:szCs w:val="20"/>
        </w:rPr>
        <w:t xml:space="preserve">V této části je prezentováno porovnání základních ukazatelů výdajů na zdravotní péči ve vybraných zemích </w:t>
      </w:r>
      <w:r>
        <w:rPr>
          <w:rFonts w:cs="Arial"/>
          <w:color w:val="000000"/>
          <w:szCs w:val="20"/>
        </w:rPr>
        <w:t xml:space="preserve">Evropské Unie (EU) a Evropského sdružení volného obchodu (EFTA – Státy EFTA jsou Island, Lichtenštejnsko, Norsko a Švýcarsko a Organizace </w:t>
      </w:r>
      <w:r w:rsidRPr="00D35655">
        <w:rPr>
          <w:rFonts w:cs="Arial"/>
          <w:color w:val="000000"/>
          <w:szCs w:val="20"/>
        </w:rPr>
        <w:t>pro hospodářskou spolupráci a rozvoj</w:t>
      </w:r>
      <w:r>
        <w:rPr>
          <w:rFonts w:cs="Arial"/>
          <w:color w:val="000000"/>
          <w:szCs w:val="20"/>
        </w:rPr>
        <w:t xml:space="preserve"> (OECD). </w:t>
      </w:r>
      <w:r w:rsidRPr="00D35655">
        <w:rPr>
          <w:rFonts w:cs="Arial"/>
          <w:color w:val="000000"/>
          <w:szCs w:val="20"/>
        </w:rPr>
        <w:t>Předkládané statistiky přinášejí pohled na financování našeho zdrav</w:t>
      </w:r>
      <w:r>
        <w:rPr>
          <w:rFonts w:cs="Arial"/>
          <w:color w:val="000000"/>
          <w:szCs w:val="20"/>
        </w:rPr>
        <w:t xml:space="preserve">otnictví v širším mezinárodním </w:t>
      </w:r>
      <w:r w:rsidRPr="00D35655">
        <w:rPr>
          <w:rFonts w:cs="Arial"/>
          <w:color w:val="000000"/>
          <w:szCs w:val="20"/>
        </w:rPr>
        <w:t>kontextu a mohou tak poskytnout užitečné podklady pro jeho hodnocení a přispět do diskuze o jeho budoucím směřování. Údaje byly převzaty z publikace He</w:t>
      </w:r>
      <w:r>
        <w:rPr>
          <w:rFonts w:cs="Arial"/>
          <w:color w:val="000000"/>
          <w:szCs w:val="20"/>
        </w:rPr>
        <w:t>alth at a Glance 2017</w:t>
      </w:r>
      <w:r w:rsidRPr="00D35655">
        <w:rPr>
          <w:rFonts w:cs="Arial"/>
          <w:color w:val="000000"/>
          <w:szCs w:val="20"/>
        </w:rPr>
        <w:t xml:space="preserve"> a doplněny dalšími údaji z databáze ukazatelů Organizace pro hospodářskou spolupráci a rozvoj (OECD)</w:t>
      </w:r>
      <w:r w:rsidRPr="004C303E">
        <w:rPr>
          <w:rFonts w:cs="Arial"/>
          <w:szCs w:val="20"/>
        </w:rPr>
        <w:t xml:space="preserve"> </w:t>
      </w:r>
      <w:r w:rsidRPr="00341B64">
        <w:rPr>
          <w:rFonts w:cs="Arial"/>
          <w:szCs w:val="20"/>
        </w:rPr>
        <w:t>http://www.oecd-ilibrary.org/</w:t>
      </w:r>
      <w:r>
        <w:rPr>
          <w:rFonts w:cs="Arial"/>
          <w:szCs w:val="20"/>
        </w:rPr>
        <w:t>.</w:t>
      </w:r>
    </w:p>
    <w:p w:rsidR="008C1793" w:rsidRPr="001E3731" w:rsidRDefault="008C1793" w:rsidP="008C1793">
      <w:pPr>
        <w:spacing w:before="120"/>
        <w:jc w:val="both"/>
        <w:rPr>
          <w:b/>
          <w:i/>
          <w:szCs w:val="20"/>
        </w:rPr>
      </w:pPr>
      <w:r w:rsidRPr="001E3731">
        <w:rPr>
          <w:b/>
          <w:i/>
          <w:szCs w:val="20"/>
        </w:rPr>
        <w:t>Nejvíce</w:t>
      </w:r>
      <w:r>
        <w:rPr>
          <w:b/>
          <w:i/>
          <w:szCs w:val="20"/>
        </w:rPr>
        <w:t xml:space="preserve"> peněz </w:t>
      </w:r>
      <w:r w:rsidRPr="001E3731">
        <w:rPr>
          <w:b/>
          <w:i/>
          <w:szCs w:val="20"/>
        </w:rPr>
        <w:t>za zdravotní pé</w:t>
      </w:r>
      <w:r>
        <w:rPr>
          <w:b/>
          <w:i/>
          <w:szCs w:val="20"/>
        </w:rPr>
        <w:t xml:space="preserve">či na jednoho obyvatele </w:t>
      </w:r>
      <w:r w:rsidRPr="001E3731">
        <w:rPr>
          <w:b/>
          <w:i/>
          <w:szCs w:val="20"/>
        </w:rPr>
        <w:t>v roce 201</w:t>
      </w:r>
      <w:r>
        <w:rPr>
          <w:b/>
          <w:i/>
          <w:szCs w:val="20"/>
        </w:rPr>
        <w:t>6</w:t>
      </w:r>
      <w:r w:rsidRPr="001E3731">
        <w:rPr>
          <w:b/>
          <w:i/>
          <w:szCs w:val="20"/>
        </w:rPr>
        <w:t xml:space="preserve"> </w:t>
      </w:r>
      <w:r>
        <w:rPr>
          <w:b/>
          <w:i/>
          <w:szCs w:val="20"/>
        </w:rPr>
        <w:t>vydaly Spojené státy</w:t>
      </w:r>
    </w:p>
    <w:p w:rsidR="008C1793" w:rsidRPr="001E3731" w:rsidRDefault="008C1793" w:rsidP="008C1793">
      <w:pPr>
        <w:spacing w:before="120"/>
        <w:jc w:val="both"/>
        <w:rPr>
          <w:rFonts w:cs="Arial"/>
          <w:color w:val="000000"/>
          <w:szCs w:val="20"/>
        </w:rPr>
      </w:pPr>
      <w:r w:rsidRPr="001E3731">
        <w:rPr>
          <w:rFonts w:cs="Arial"/>
          <w:color w:val="000000"/>
          <w:szCs w:val="20"/>
        </w:rPr>
        <w:t xml:space="preserve">Jednoznačně nejvyšší částky na zdravotní péči v přepočtu na jednoho obyvatele mezi státy </w:t>
      </w:r>
      <w:r>
        <w:rPr>
          <w:rFonts w:cs="Arial"/>
          <w:color w:val="000000"/>
          <w:szCs w:val="20"/>
        </w:rPr>
        <w:t>OECD</w:t>
      </w:r>
      <w:r w:rsidRPr="001E3731">
        <w:rPr>
          <w:rFonts w:cs="Arial"/>
          <w:color w:val="000000"/>
          <w:szCs w:val="20"/>
        </w:rPr>
        <w:t xml:space="preserve"> </w:t>
      </w:r>
      <w:r>
        <w:rPr>
          <w:rFonts w:cs="Arial"/>
          <w:color w:val="000000"/>
          <w:szCs w:val="20"/>
        </w:rPr>
        <w:t>zaplatily</w:t>
      </w:r>
      <w:r w:rsidRPr="001E3731">
        <w:rPr>
          <w:rFonts w:cs="Arial"/>
          <w:color w:val="000000"/>
          <w:szCs w:val="20"/>
        </w:rPr>
        <w:t xml:space="preserve"> v roce 201</w:t>
      </w:r>
      <w:r>
        <w:rPr>
          <w:rFonts w:cs="Arial"/>
          <w:color w:val="000000"/>
          <w:szCs w:val="20"/>
        </w:rPr>
        <w:t>6</w:t>
      </w:r>
      <w:r w:rsidRPr="001E3731">
        <w:rPr>
          <w:rFonts w:cs="Arial"/>
          <w:color w:val="000000"/>
          <w:szCs w:val="20"/>
        </w:rPr>
        <w:t xml:space="preserve"> </w:t>
      </w:r>
      <w:r>
        <w:rPr>
          <w:rFonts w:cs="Arial"/>
          <w:color w:val="000000"/>
          <w:szCs w:val="20"/>
        </w:rPr>
        <w:t>Spojené státy</w:t>
      </w:r>
      <w:r w:rsidRPr="001E3731">
        <w:rPr>
          <w:rFonts w:cs="Arial"/>
          <w:color w:val="000000"/>
          <w:szCs w:val="20"/>
        </w:rPr>
        <w:t xml:space="preserve">, kdy se jednalo o </w:t>
      </w:r>
      <w:r>
        <w:rPr>
          <w:rFonts w:cs="Arial"/>
          <w:color w:val="000000"/>
          <w:szCs w:val="20"/>
        </w:rPr>
        <w:t>téměř 10</w:t>
      </w:r>
      <w:r w:rsidRPr="001E3731">
        <w:rPr>
          <w:rFonts w:cs="Arial"/>
          <w:color w:val="000000"/>
          <w:szCs w:val="20"/>
        </w:rPr>
        <w:t xml:space="preserve"> tisíc </w:t>
      </w:r>
      <w:r>
        <w:rPr>
          <w:rFonts w:cs="Arial"/>
          <w:color w:val="000000"/>
          <w:szCs w:val="20"/>
        </w:rPr>
        <w:t>USD</w:t>
      </w:r>
      <w:r w:rsidRPr="001E3731">
        <w:rPr>
          <w:rFonts w:cs="Arial"/>
          <w:color w:val="000000"/>
          <w:szCs w:val="20"/>
        </w:rPr>
        <w:t xml:space="preserve"> přepočtenýc</w:t>
      </w:r>
      <w:r>
        <w:rPr>
          <w:rFonts w:cs="Arial"/>
          <w:color w:val="000000"/>
          <w:szCs w:val="20"/>
        </w:rPr>
        <w:t xml:space="preserve">h podle parity kupní síly </w:t>
      </w:r>
      <w:r w:rsidRPr="001E3731">
        <w:rPr>
          <w:rFonts w:cs="Arial"/>
          <w:color w:val="000000"/>
          <w:szCs w:val="20"/>
        </w:rPr>
        <w:t>(viz graf č</w:t>
      </w:r>
      <w:r>
        <w:rPr>
          <w:rFonts w:cs="Arial"/>
          <w:color w:val="000000"/>
          <w:szCs w:val="20"/>
        </w:rPr>
        <w:t xml:space="preserve"> </w:t>
      </w:r>
      <w:r w:rsidRPr="001E3731">
        <w:rPr>
          <w:rFonts w:cs="Arial"/>
          <w:color w:val="000000"/>
          <w:szCs w:val="20"/>
        </w:rPr>
        <w:t xml:space="preserve">4.1). K hranici </w:t>
      </w:r>
      <w:r>
        <w:rPr>
          <w:rFonts w:cs="Arial"/>
          <w:color w:val="000000"/>
          <w:szCs w:val="20"/>
        </w:rPr>
        <w:t>8</w:t>
      </w:r>
      <w:r w:rsidRPr="001E3731">
        <w:rPr>
          <w:rFonts w:cs="Arial"/>
          <w:color w:val="000000"/>
          <w:szCs w:val="20"/>
        </w:rPr>
        <w:t xml:space="preserve"> tisíc </w:t>
      </w:r>
      <w:r>
        <w:rPr>
          <w:rFonts w:cs="Arial"/>
          <w:color w:val="000000"/>
          <w:szCs w:val="20"/>
        </w:rPr>
        <w:t>USD</w:t>
      </w:r>
      <w:r w:rsidRPr="001E3731">
        <w:rPr>
          <w:rFonts w:cs="Arial"/>
          <w:color w:val="000000"/>
          <w:szCs w:val="20"/>
        </w:rPr>
        <w:t xml:space="preserve"> vynaložených na zdravotní péči na jednoho obyvatele se přiblížilo v</w:t>
      </w:r>
      <w:r>
        <w:rPr>
          <w:rFonts w:cs="Arial"/>
          <w:color w:val="000000"/>
          <w:szCs w:val="20"/>
        </w:rPr>
        <w:t xml:space="preserve"> daném </w:t>
      </w:r>
      <w:r w:rsidRPr="001E3731">
        <w:rPr>
          <w:rFonts w:cs="Arial"/>
          <w:color w:val="000000"/>
          <w:szCs w:val="20"/>
        </w:rPr>
        <w:t xml:space="preserve">roce </w:t>
      </w:r>
      <w:r>
        <w:rPr>
          <w:rFonts w:cs="Arial"/>
          <w:color w:val="000000"/>
          <w:szCs w:val="20"/>
        </w:rPr>
        <w:t xml:space="preserve">Švýcarsko a Lucembursko, následované Norskem </w:t>
      </w:r>
      <w:r w:rsidR="00FC12FB">
        <w:rPr>
          <w:rFonts w:cs="Arial"/>
          <w:color w:val="000000"/>
          <w:szCs w:val="20"/>
        </w:rPr>
        <w:t xml:space="preserve">s </w:t>
      </w:r>
      <w:r>
        <w:rPr>
          <w:rFonts w:cs="Arial"/>
          <w:color w:val="000000"/>
          <w:szCs w:val="20"/>
        </w:rPr>
        <w:t>téměř 7 tisíc</w:t>
      </w:r>
      <w:r w:rsidR="00FC12FB">
        <w:rPr>
          <w:rFonts w:cs="Arial"/>
          <w:color w:val="000000"/>
          <w:szCs w:val="20"/>
        </w:rPr>
        <w:t>i</w:t>
      </w:r>
      <w:r>
        <w:rPr>
          <w:rFonts w:cs="Arial"/>
          <w:color w:val="000000"/>
          <w:szCs w:val="20"/>
        </w:rPr>
        <w:t xml:space="preserve"> USD. Za uvedenými zeměmi pak následují Německo, </w:t>
      </w:r>
      <w:r w:rsidRPr="001E3731">
        <w:rPr>
          <w:rFonts w:cs="Arial"/>
          <w:color w:val="000000"/>
          <w:szCs w:val="20"/>
        </w:rPr>
        <w:t>Švédsko</w:t>
      </w:r>
      <w:r>
        <w:rPr>
          <w:rFonts w:cs="Arial"/>
          <w:color w:val="000000"/>
          <w:szCs w:val="20"/>
        </w:rPr>
        <w:t>,</w:t>
      </w:r>
      <w:r w:rsidRPr="001E3731">
        <w:rPr>
          <w:rFonts w:cs="Arial"/>
          <w:color w:val="000000"/>
          <w:szCs w:val="20"/>
        </w:rPr>
        <w:t xml:space="preserve"> Nizozemsko, </w:t>
      </w:r>
      <w:r>
        <w:rPr>
          <w:rFonts w:cs="Arial"/>
          <w:color w:val="000000"/>
          <w:szCs w:val="20"/>
        </w:rPr>
        <w:t>Rakousko či Dánsko</w:t>
      </w:r>
      <w:r w:rsidRPr="001E3731">
        <w:rPr>
          <w:rFonts w:cs="Arial"/>
          <w:color w:val="000000"/>
          <w:szCs w:val="20"/>
        </w:rPr>
        <w:t xml:space="preserve">, jejichž výdaje na zdravotní péči na jednoho obyvatele se pohybují </w:t>
      </w:r>
      <w:r>
        <w:rPr>
          <w:rFonts w:cs="Arial"/>
          <w:color w:val="000000"/>
          <w:szCs w:val="20"/>
        </w:rPr>
        <w:t xml:space="preserve">nad hranicí 5 tisíc </w:t>
      </w:r>
      <w:r w:rsidR="00FC12FB">
        <w:rPr>
          <w:rFonts w:cs="Arial"/>
          <w:color w:val="000000"/>
          <w:szCs w:val="20"/>
        </w:rPr>
        <w:t>USD</w:t>
      </w:r>
      <w:r>
        <w:rPr>
          <w:rFonts w:cs="Arial"/>
          <w:color w:val="000000"/>
          <w:szCs w:val="20"/>
        </w:rPr>
        <w:t>. Na opačné straně žebříčku jsou Chorvatsko, Turecko a Mexiko s výdaji na jednoho obyvatele okolo jednoho tisíce USD</w:t>
      </w:r>
      <w:r w:rsidRPr="001E3731">
        <w:rPr>
          <w:rFonts w:cs="Arial"/>
          <w:color w:val="000000"/>
          <w:szCs w:val="20"/>
        </w:rPr>
        <w:t xml:space="preserve">. V průměru bylo na zdravotní péči na jednoho obyvatele </w:t>
      </w:r>
      <w:r>
        <w:rPr>
          <w:rFonts w:cs="Arial"/>
          <w:color w:val="000000"/>
          <w:szCs w:val="20"/>
        </w:rPr>
        <w:t xml:space="preserve">v uvedených zemích OECD </w:t>
      </w:r>
      <w:r w:rsidRPr="001E3731">
        <w:rPr>
          <w:rFonts w:cs="Arial"/>
          <w:color w:val="000000"/>
          <w:szCs w:val="20"/>
        </w:rPr>
        <w:t>vydáno v roce 201</w:t>
      </w:r>
      <w:r>
        <w:rPr>
          <w:rFonts w:cs="Arial"/>
          <w:color w:val="000000"/>
          <w:szCs w:val="20"/>
        </w:rPr>
        <w:t xml:space="preserve">6 zhruba 4 000 USD. </w:t>
      </w:r>
      <w:r w:rsidRPr="001E3731">
        <w:rPr>
          <w:rFonts w:cs="Arial"/>
          <w:color w:val="000000"/>
          <w:szCs w:val="20"/>
        </w:rPr>
        <w:t xml:space="preserve">Česká republika patří mezi </w:t>
      </w:r>
      <w:r>
        <w:rPr>
          <w:rFonts w:cs="Arial"/>
          <w:color w:val="000000"/>
          <w:szCs w:val="20"/>
        </w:rPr>
        <w:t>státy</w:t>
      </w:r>
      <w:r w:rsidRPr="001E3731">
        <w:rPr>
          <w:rFonts w:cs="Arial"/>
          <w:color w:val="000000"/>
          <w:szCs w:val="20"/>
        </w:rPr>
        <w:t xml:space="preserve"> </w:t>
      </w:r>
      <w:r>
        <w:rPr>
          <w:rFonts w:cs="Arial"/>
          <w:color w:val="000000"/>
          <w:szCs w:val="20"/>
        </w:rPr>
        <w:t xml:space="preserve">s </w:t>
      </w:r>
      <w:r w:rsidRPr="001E3731">
        <w:rPr>
          <w:rFonts w:cs="Arial"/>
          <w:color w:val="000000"/>
          <w:szCs w:val="20"/>
        </w:rPr>
        <w:t xml:space="preserve"> nižšími výdaji na zdravotní péči na obyvatele </w:t>
      </w:r>
      <w:r>
        <w:rPr>
          <w:rFonts w:cs="Arial"/>
          <w:color w:val="000000"/>
          <w:szCs w:val="20"/>
        </w:rPr>
        <w:t>(hodnota</w:t>
      </w:r>
      <w:r w:rsidRPr="001E3731">
        <w:rPr>
          <w:rFonts w:cs="Arial"/>
          <w:color w:val="000000"/>
          <w:szCs w:val="20"/>
        </w:rPr>
        <w:t xml:space="preserve"> </w:t>
      </w:r>
      <w:r>
        <w:rPr>
          <w:rFonts w:cs="Arial"/>
          <w:color w:val="000000"/>
          <w:szCs w:val="20"/>
        </w:rPr>
        <w:t xml:space="preserve">okolo 2 500 USD). Z grafu č. 4.1 je patrná </w:t>
      </w:r>
      <w:r w:rsidRPr="001E3731">
        <w:rPr>
          <w:rFonts w:cs="Arial"/>
          <w:color w:val="000000"/>
          <w:szCs w:val="20"/>
        </w:rPr>
        <w:t>změna těc</w:t>
      </w:r>
      <w:r>
        <w:rPr>
          <w:rFonts w:cs="Arial"/>
          <w:color w:val="000000"/>
          <w:szCs w:val="20"/>
        </w:rPr>
        <w:t>hto výdajů mezi lety 2010 a 2016. V</w:t>
      </w:r>
      <w:r w:rsidRPr="001E3731">
        <w:rPr>
          <w:rFonts w:cs="Arial"/>
          <w:color w:val="000000"/>
          <w:szCs w:val="20"/>
        </w:rPr>
        <w:t> </w:t>
      </w:r>
      <w:r>
        <w:rPr>
          <w:rFonts w:cs="Arial"/>
          <w:color w:val="000000"/>
          <w:szCs w:val="20"/>
        </w:rPr>
        <w:t xml:space="preserve">naprosté </w:t>
      </w:r>
      <w:r w:rsidRPr="001E3731">
        <w:rPr>
          <w:rFonts w:cs="Arial"/>
          <w:color w:val="000000"/>
          <w:szCs w:val="20"/>
        </w:rPr>
        <w:t>většině sledovaných zemí došlo k jejich nárůstu, pokles byl zaznamenán pouze v případě Řecka a Chorvatska. Více o vývoji tohoto ukazatele v čase viz graf č. 4.2 a příslušný text.</w:t>
      </w:r>
    </w:p>
    <w:p w:rsidR="008C1793" w:rsidRPr="001E3731" w:rsidRDefault="008C1793" w:rsidP="008C1793">
      <w:pPr>
        <w:spacing w:before="240"/>
        <w:jc w:val="both"/>
        <w:rPr>
          <w:rFonts w:cs="Arial"/>
          <w:b/>
          <w:sz w:val="18"/>
          <w:szCs w:val="18"/>
        </w:rPr>
      </w:pPr>
      <w:r w:rsidRPr="001E3731">
        <w:rPr>
          <w:rFonts w:cs="Arial"/>
          <w:b/>
          <w:sz w:val="18"/>
          <w:szCs w:val="18"/>
        </w:rPr>
        <w:t xml:space="preserve">Graf č. 4.1 Průměrné výdaje na zdravotní péči na jednoho obyvatele v zemích </w:t>
      </w:r>
      <w:r>
        <w:rPr>
          <w:rFonts w:cs="Arial"/>
          <w:b/>
          <w:sz w:val="18"/>
          <w:szCs w:val="18"/>
        </w:rPr>
        <w:t xml:space="preserve">OECD </w:t>
      </w:r>
      <w:r w:rsidRPr="001E3731">
        <w:rPr>
          <w:rFonts w:cs="Arial"/>
          <w:b/>
          <w:sz w:val="18"/>
          <w:szCs w:val="18"/>
        </w:rPr>
        <w:t xml:space="preserve">(v </w:t>
      </w:r>
      <w:r>
        <w:rPr>
          <w:rFonts w:cs="Arial"/>
          <w:b/>
          <w:sz w:val="18"/>
          <w:szCs w:val="18"/>
        </w:rPr>
        <w:t xml:space="preserve">USD </w:t>
      </w:r>
      <w:r w:rsidRPr="001E3731">
        <w:rPr>
          <w:rFonts w:cs="Arial"/>
          <w:b/>
          <w:sz w:val="18"/>
          <w:szCs w:val="18"/>
        </w:rPr>
        <w:t>PPP)</w:t>
      </w:r>
    </w:p>
    <w:p w:rsidR="008C1793" w:rsidRPr="001E3731" w:rsidRDefault="008C1793" w:rsidP="008C1793">
      <w:pPr>
        <w:spacing w:before="240"/>
        <w:jc w:val="both"/>
        <w:rPr>
          <w:rFonts w:cs="Arial"/>
          <w:b/>
          <w:sz w:val="18"/>
          <w:szCs w:val="18"/>
        </w:rPr>
      </w:pPr>
      <w:r>
        <w:rPr>
          <w:noProof/>
        </w:rPr>
        <w:drawing>
          <wp:inline distT="0" distB="0" distL="0" distR="0" wp14:anchorId="40A8433F" wp14:editId="122894D7">
            <wp:extent cx="6084000" cy="3960000"/>
            <wp:effectExtent l="0" t="0" r="0" b="2540"/>
            <wp:docPr id="84" name="Graf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C1793" w:rsidRPr="001E3731" w:rsidRDefault="008C1793" w:rsidP="008C1793">
      <w:pPr>
        <w:jc w:val="both"/>
        <w:rPr>
          <w:rFonts w:cs="Arial"/>
          <w:i/>
          <w:noProof/>
          <w:sz w:val="16"/>
          <w:szCs w:val="16"/>
        </w:rPr>
      </w:pPr>
      <w:r>
        <w:rPr>
          <w:rFonts w:cs="Arial"/>
          <w:i/>
          <w:noProof/>
          <w:sz w:val="16"/>
          <w:szCs w:val="16"/>
        </w:rPr>
        <w:t>D</w:t>
      </w:r>
      <w:r w:rsidRPr="001E3731">
        <w:rPr>
          <w:rFonts w:cs="Arial"/>
          <w:i/>
          <w:noProof/>
          <w:sz w:val="16"/>
          <w:szCs w:val="16"/>
        </w:rPr>
        <w:t>ata za rok 201</w:t>
      </w:r>
      <w:r>
        <w:rPr>
          <w:rFonts w:cs="Arial"/>
          <w:i/>
          <w:noProof/>
          <w:sz w:val="16"/>
          <w:szCs w:val="16"/>
        </w:rPr>
        <w:t>6</w:t>
      </w:r>
      <w:r w:rsidRPr="001E3731">
        <w:rPr>
          <w:rFonts w:cs="Arial"/>
          <w:i/>
          <w:noProof/>
          <w:sz w:val="16"/>
          <w:szCs w:val="16"/>
        </w:rPr>
        <w:t xml:space="preserve"> - odhad OECD </w:t>
      </w:r>
    </w:p>
    <w:p w:rsidR="008C1793" w:rsidRPr="001E3731" w:rsidRDefault="008C1793" w:rsidP="008C1793">
      <w:pPr>
        <w:pageBreakBefore/>
        <w:spacing w:before="200" w:after="120"/>
        <w:jc w:val="both"/>
        <w:rPr>
          <w:rFonts w:cs="Arial"/>
          <w:color w:val="000000"/>
          <w:szCs w:val="20"/>
        </w:rPr>
      </w:pPr>
      <w:r w:rsidRPr="001E3731">
        <w:rPr>
          <w:b/>
          <w:i/>
          <w:szCs w:val="20"/>
        </w:rPr>
        <w:lastRenderedPageBreak/>
        <w:t>Nejvyšší reálný pokles výdajů na zdravotní péči v letech 2009 – 201</w:t>
      </w:r>
      <w:r>
        <w:rPr>
          <w:b/>
          <w:i/>
          <w:szCs w:val="20"/>
        </w:rPr>
        <w:t>6</w:t>
      </w:r>
      <w:r w:rsidRPr="001E3731">
        <w:rPr>
          <w:b/>
          <w:i/>
          <w:szCs w:val="20"/>
        </w:rPr>
        <w:t xml:space="preserve"> byl zaznamenán v Řecku</w:t>
      </w:r>
      <w:r w:rsidRPr="001E3731">
        <w:rPr>
          <w:rFonts w:cs="Arial"/>
          <w:color w:val="000000"/>
          <w:szCs w:val="20"/>
        </w:rPr>
        <w:t xml:space="preserve"> </w:t>
      </w:r>
    </w:p>
    <w:p w:rsidR="008C1793" w:rsidRDefault="008C1793" w:rsidP="008C1793">
      <w:pPr>
        <w:spacing w:before="120"/>
        <w:jc w:val="both"/>
        <w:rPr>
          <w:rFonts w:cs="Arial"/>
          <w:szCs w:val="20"/>
        </w:rPr>
      </w:pPr>
      <w:r w:rsidRPr="001E3731">
        <w:rPr>
          <w:rFonts w:cs="Arial"/>
          <w:szCs w:val="20"/>
        </w:rPr>
        <w:t xml:space="preserve">V letech 2005 až 2009 výdaje na zdravotní péči ve stálých cenách rostly v naprosté většině </w:t>
      </w:r>
      <w:r>
        <w:rPr>
          <w:rFonts w:cs="Arial"/>
          <w:szCs w:val="20"/>
        </w:rPr>
        <w:t xml:space="preserve">uvedených </w:t>
      </w:r>
      <w:r w:rsidRPr="001E3731">
        <w:rPr>
          <w:rFonts w:cs="Arial"/>
          <w:szCs w:val="20"/>
        </w:rPr>
        <w:t xml:space="preserve">zemí. </w:t>
      </w:r>
      <w:r>
        <w:t xml:space="preserve">V letech 2009 – 2016 došlo v řadě zemí k výraznému obratu v ročních výdajích na zdravotní péči ve srovnání s obdobím po finanční krizi. Obecně se růst výdajů ve většině zemí OECD zpomalil. Pouze Švýcarsko a Maďarsko zaznamenaly vyšší průměrný růst ve srovnání s předchozím obdobím. </w:t>
      </w:r>
      <w:r w:rsidRPr="001E3731">
        <w:rPr>
          <w:rFonts w:cs="Arial"/>
          <w:szCs w:val="20"/>
        </w:rPr>
        <w:t>Nejvýznamnější obrat ve vývoji výdajů na zdravotní péči mezi dvěma sledovanými obdobími zaznamenalo Řecko, kdy prům</w:t>
      </w:r>
      <w:r>
        <w:rPr>
          <w:rFonts w:cs="Arial"/>
          <w:szCs w:val="20"/>
        </w:rPr>
        <w:t>ěrné roční tempo růstu pokleslo</w:t>
      </w:r>
      <w:r w:rsidRPr="001E3731">
        <w:rPr>
          <w:rFonts w:cs="Arial"/>
          <w:szCs w:val="20"/>
        </w:rPr>
        <w:t xml:space="preserve"> ze 4,5</w:t>
      </w:r>
      <w:r>
        <w:rPr>
          <w:rFonts w:cs="Arial"/>
          <w:szCs w:val="20"/>
        </w:rPr>
        <w:t> % na -5</w:t>
      </w:r>
      <w:r w:rsidRPr="001E3731">
        <w:rPr>
          <w:rFonts w:cs="Arial"/>
          <w:szCs w:val="20"/>
        </w:rPr>
        <w:t>,</w:t>
      </w:r>
      <w:r>
        <w:rPr>
          <w:rFonts w:cs="Arial"/>
          <w:szCs w:val="20"/>
        </w:rPr>
        <w:t xml:space="preserve">0 % a Portugalsko z 2 % na -1 %. </w:t>
      </w:r>
    </w:p>
    <w:p w:rsidR="008C1793" w:rsidRPr="001E3731" w:rsidRDefault="008C1793" w:rsidP="008C1793">
      <w:pPr>
        <w:spacing w:before="240"/>
        <w:jc w:val="both"/>
        <w:rPr>
          <w:rFonts w:cs="Arial"/>
          <w:b/>
          <w:sz w:val="18"/>
          <w:szCs w:val="18"/>
        </w:rPr>
      </w:pPr>
      <w:r w:rsidRPr="001E3731">
        <w:rPr>
          <w:rFonts w:cs="Arial"/>
          <w:b/>
          <w:sz w:val="18"/>
          <w:szCs w:val="18"/>
        </w:rPr>
        <w:t>Graf č. 4.2 Průměrné roční tempo růstu výdajů na zdravotní péči na jednoho obyvatele ve stálých cenách (v %)</w:t>
      </w:r>
    </w:p>
    <w:p w:rsidR="008C1793" w:rsidRPr="001E3731" w:rsidRDefault="008C1793" w:rsidP="008C1793">
      <w:pPr>
        <w:spacing w:before="240"/>
        <w:jc w:val="both"/>
        <w:rPr>
          <w:rFonts w:cs="Arial"/>
          <w:b/>
          <w:sz w:val="18"/>
          <w:szCs w:val="18"/>
        </w:rPr>
      </w:pPr>
      <w:r>
        <w:rPr>
          <w:noProof/>
        </w:rPr>
        <w:drawing>
          <wp:inline distT="0" distB="0" distL="0" distR="0" wp14:anchorId="39E2C47D" wp14:editId="4B98B4B8">
            <wp:extent cx="6084000" cy="3924000"/>
            <wp:effectExtent l="0" t="0" r="0" b="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C1793" w:rsidRPr="001E3731" w:rsidRDefault="008C1793" w:rsidP="008C1793">
      <w:pPr>
        <w:jc w:val="both"/>
        <w:rPr>
          <w:rFonts w:cs="Arial"/>
          <w:b/>
          <w:sz w:val="2"/>
          <w:szCs w:val="2"/>
        </w:rPr>
      </w:pPr>
    </w:p>
    <w:p w:rsidR="008C1793" w:rsidRPr="001E3731" w:rsidRDefault="008C1793" w:rsidP="008C1793">
      <w:pPr>
        <w:jc w:val="both"/>
        <w:rPr>
          <w:rFonts w:cs="Arial"/>
          <w:i/>
          <w:noProof/>
          <w:sz w:val="16"/>
          <w:szCs w:val="16"/>
        </w:rPr>
      </w:pPr>
      <w:r>
        <w:rPr>
          <w:rFonts w:cs="Arial"/>
          <w:i/>
          <w:noProof/>
          <w:sz w:val="16"/>
          <w:szCs w:val="16"/>
        </w:rPr>
        <w:t>D</w:t>
      </w:r>
      <w:r w:rsidRPr="001E3731">
        <w:rPr>
          <w:rFonts w:cs="Arial"/>
          <w:i/>
          <w:noProof/>
          <w:sz w:val="16"/>
          <w:szCs w:val="16"/>
        </w:rPr>
        <w:t>ata za rok 201</w:t>
      </w:r>
      <w:r>
        <w:rPr>
          <w:rFonts w:cs="Arial"/>
          <w:i/>
          <w:noProof/>
          <w:sz w:val="16"/>
          <w:szCs w:val="16"/>
        </w:rPr>
        <w:t>6</w:t>
      </w:r>
      <w:r w:rsidRPr="001E3731">
        <w:rPr>
          <w:rFonts w:cs="Arial"/>
          <w:i/>
          <w:noProof/>
          <w:sz w:val="16"/>
          <w:szCs w:val="16"/>
        </w:rPr>
        <w:t xml:space="preserve"> - odhad OECD </w:t>
      </w:r>
    </w:p>
    <w:p w:rsidR="008C1793" w:rsidRDefault="008C1793" w:rsidP="008C1793">
      <w:pPr>
        <w:spacing w:before="240" w:after="120"/>
        <w:jc w:val="both"/>
        <w:rPr>
          <w:b/>
          <w:i/>
          <w:szCs w:val="20"/>
        </w:rPr>
      </w:pPr>
      <w:r w:rsidRPr="004033EF">
        <w:rPr>
          <w:b/>
          <w:i/>
          <w:szCs w:val="20"/>
        </w:rPr>
        <w:t xml:space="preserve">Nejvyšší podíl výdajů na zdravotní péči na HDP vykazují Spojené státy </w:t>
      </w:r>
    </w:p>
    <w:p w:rsidR="008C1793" w:rsidRDefault="008C1793" w:rsidP="008C1793">
      <w:pPr>
        <w:spacing w:before="120"/>
        <w:jc w:val="both"/>
        <w:rPr>
          <w:rFonts w:cs="Arial"/>
          <w:szCs w:val="20"/>
        </w:rPr>
      </w:pPr>
      <w:r>
        <w:t xml:space="preserve">Celkové výdaje na zdravotnictví představovaly v USA v roce 2016 až 17 % HDP, což je nejvíce ze všech členských zemí OECD, </w:t>
      </w:r>
      <w:r>
        <w:rPr>
          <w:rFonts w:cs="Arial"/>
          <w:szCs w:val="20"/>
        </w:rPr>
        <w:t>následovány Švýcarskem 12 %. Poměrně velkou skupinu, která se pohybovala na úrovni 11 %</w:t>
      </w:r>
      <w:r w:rsidR="00FC12FB">
        <w:rPr>
          <w:rFonts w:cs="Arial"/>
          <w:szCs w:val="20"/>
        </w:rPr>
        <w:t>,</w:t>
      </w:r>
      <w:r>
        <w:rPr>
          <w:rFonts w:cs="Arial"/>
          <w:szCs w:val="20"/>
        </w:rPr>
        <w:t xml:space="preserve"> tvoří evropské země Německo, Švédsko, Francie, Nizozemsko, Dánsko, ale také Japonsko.</w:t>
      </w:r>
      <w:r w:rsidRPr="001E3731">
        <w:rPr>
          <w:rFonts w:cs="Arial"/>
          <w:szCs w:val="20"/>
        </w:rPr>
        <w:t xml:space="preserve"> </w:t>
      </w:r>
      <w:r>
        <w:t xml:space="preserve">Celkové běžné výdaje na zdravotní péči v České republice činily v daném roce </w:t>
      </w:r>
      <w:r w:rsidRPr="00FC12FB">
        <w:rPr>
          <w:bCs/>
        </w:rPr>
        <w:t>7,6 % HDP</w:t>
      </w:r>
      <w:r>
        <w:t xml:space="preserve">. Průměrné výdaje na zdravotnictví v členských zemích OECD přitom činily 9,0 % k HDP. </w:t>
      </w:r>
      <w:r w:rsidRPr="00803675">
        <w:rPr>
          <w:rStyle w:val="Siln"/>
          <w:b w:val="0"/>
        </w:rPr>
        <w:t xml:space="preserve">Země střední a východní Evropy včetně </w:t>
      </w:r>
      <w:r w:rsidRPr="000B446A">
        <w:rPr>
          <w:rFonts w:cs="Arial"/>
          <w:szCs w:val="20"/>
        </w:rPr>
        <w:t>Slovenska</w:t>
      </w:r>
      <w:r w:rsidRPr="00803675">
        <w:rPr>
          <w:rStyle w:val="Siln"/>
          <w:b w:val="0"/>
        </w:rPr>
        <w:t xml:space="preserve"> vydaly na zdravotnictví přibližně </w:t>
      </w:r>
      <w:r>
        <w:rPr>
          <w:rStyle w:val="Siln"/>
          <w:b w:val="0"/>
        </w:rPr>
        <w:t xml:space="preserve">6 % - 8 % HDP. </w:t>
      </w:r>
      <w:r>
        <w:t>Nejméně finančních prostředků na zdravotnictví k poměru k HDP vydaly v Turecku 4 %.</w:t>
      </w:r>
    </w:p>
    <w:p w:rsidR="008C1793" w:rsidRPr="001E3731" w:rsidRDefault="008C1793" w:rsidP="008C1793">
      <w:pPr>
        <w:spacing w:before="120"/>
        <w:jc w:val="both"/>
        <w:rPr>
          <w:rFonts w:cs="Arial"/>
          <w:szCs w:val="20"/>
        </w:rPr>
      </w:pPr>
      <w:r w:rsidRPr="001E3731">
        <w:rPr>
          <w:rFonts w:cs="Arial"/>
          <w:szCs w:val="20"/>
        </w:rPr>
        <w:t>V grafu 4.3 je nastíněn také vývoj podílu výdajů na zdravotní péči na HDP i v letech 20</w:t>
      </w:r>
      <w:r>
        <w:rPr>
          <w:rFonts w:cs="Arial"/>
          <w:szCs w:val="20"/>
        </w:rPr>
        <w:t>16</w:t>
      </w:r>
      <w:r w:rsidRPr="001E3731">
        <w:rPr>
          <w:rFonts w:cs="Arial"/>
          <w:szCs w:val="20"/>
        </w:rPr>
        <w:t xml:space="preserve"> a 2010. Vývoj podílu výdajů na zdravotní péči na HDP byl </w:t>
      </w:r>
      <w:r>
        <w:rPr>
          <w:rFonts w:cs="Arial"/>
          <w:szCs w:val="20"/>
        </w:rPr>
        <w:t xml:space="preserve">v roce 2010 </w:t>
      </w:r>
      <w:r w:rsidRPr="001E3731">
        <w:rPr>
          <w:rFonts w:cs="Arial"/>
          <w:szCs w:val="20"/>
        </w:rPr>
        <w:t>významně ovlivněn světovou finanční a ekonomickou krizí a ukazuje na určitou setrvačnost financování zdravotnictví v závislosti na vývoji celé ekonomiky. Mezi lety 2010 a 201</w:t>
      </w:r>
      <w:r>
        <w:rPr>
          <w:rFonts w:cs="Arial"/>
          <w:szCs w:val="20"/>
        </w:rPr>
        <w:t>6</w:t>
      </w:r>
      <w:r w:rsidRPr="001E3731">
        <w:rPr>
          <w:rFonts w:cs="Arial"/>
          <w:szCs w:val="20"/>
        </w:rPr>
        <w:t xml:space="preserve"> lze vývoj u většiny sledovaných států označit spíše za stagnaci. Výjimkou j</w:t>
      </w:r>
      <w:r>
        <w:rPr>
          <w:rFonts w:cs="Arial"/>
          <w:szCs w:val="20"/>
        </w:rPr>
        <w:t>e</w:t>
      </w:r>
      <w:r w:rsidRPr="001E3731">
        <w:rPr>
          <w:rFonts w:cs="Arial"/>
          <w:szCs w:val="20"/>
        </w:rPr>
        <w:t xml:space="preserve"> Irsko</w:t>
      </w:r>
      <w:r>
        <w:rPr>
          <w:rFonts w:cs="Arial"/>
          <w:szCs w:val="20"/>
        </w:rPr>
        <w:t xml:space="preserve">, </w:t>
      </w:r>
      <w:r w:rsidRPr="001E3731">
        <w:rPr>
          <w:rFonts w:cs="Arial"/>
          <w:szCs w:val="20"/>
        </w:rPr>
        <w:t xml:space="preserve">kde mezi </w:t>
      </w:r>
      <w:r>
        <w:rPr>
          <w:rFonts w:cs="Arial"/>
          <w:szCs w:val="20"/>
        </w:rPr>
        <w:t xml:space="preserve">roky </w:t>
      </w:r>
      <w:r w:rsidRPr="001E3731">
        <w:rPr>
          <w:rFonts w:cs="Arial"/>
          <w:szCs w:val="20"/>
        </w:rPr>
        <w:t>2010 a 201</w:t>
      </w:r>
      <w:r>
        <w:rPr>
          <w:rFonts w:cs="Arial"/>
          <w:szCs w:val="20"/>
        </w:rPr>
        <w:t>6</w:t>
      </w:r>
      <w:r w:rsidRPr="001E3731">
        <w:rPr>
          <w:rFonts w:cs="Arial"/>
          <w:szCs w:val="20"/>
        </w:rPr>
        <w:t xml:space="preserve"> došlo k relativně významnému poklesu podílu výdajů na zdravotní péči </w:t>
      </w:r>
      <w:r w:rsidR="00FC12FB">
        <w:rPr>
          <w:rFonts w:cs="Arial"/>
          <w:szCs w:val="20"/>
        </w:rPr>
        <w:t>ve vztahu k </w:t>
      </w:r>
      <w:r w:rsidRPr="001E3731">
        <w:rPr>
          <w:rFonts w:cs="Arial"/>
          <w:szCs w:val="20"/>
        </w:rPr>
        <w:t>HDP</w:t>
      </w:r>
      <w:r w:rsidR="00FC12FB">
        <w:rPr>
          <w:rFonts w:cs="Arial"/>
          <w:szCs w:val="20"/>
        </w:rPr>
        <w:t>, který byl ovšem zapříčiněn výrazným meziročním nárůstem HDP v této zemi</w:t>
      </w:r>
      <w:r w:rsidRPr="001E3731">
        <w:rPr>
          <w:rFonts w:cs="Arial"/>
          <w:szCs w:val="20"/>
        </w:rPr>
        <w:t>.</w:t>
      </w:r>
    </w:p>
    <w:p w:rsidR="00005515" w:rsidRDefault="00005515" w:rsidP="008C1793">
      <w:pPr>
        <w:spacing w:before="240"/>
        <w:jc w:val="both"/>
      </w:pPr>
    </w:p>
    <w:p w:rsidR="008C1793" w:rsidRDefault="008C1793" w:rsidP="008C1793">
      <w:pPr>
        <w:spacing w:before="240"/>
        <w:jc w:val="both"/>
        <w:rPr>
          <w:rFonts w:cs="Arial"/>
          <w:b/>
          <w:sz w:val="18"/>
          <w:szCs w:val="18"/>
        </w:rPr>
      </w:pPr>
      <w:r>
        <w:lastRenderedPageBreak/>
        <w:t>G</w:t>
      </w:r>
      <w:r w:rsidRPr="001E3731">
        <w:rPr>
          <w:rFonts w:cs="Arial"/>
          <w:b/>
          <w:sz w:val="18"/>
          <w:szCs w:val="18"/>
        </w:rPr>
        <w:t xml:space="preserve">raf č. 4.3 Podíl výdajů na zdravotní péči na HDP v zemích </w:t>
      </w:r>
      <w:r>
        <w:rPr>
          <w:rFonts w:cs="Arial"/>
          <w:b/>
          <w:sz w:val="18"/>
          <w:szCs w:val="18"/>
        </w:rPr>
        <w:t>OECD v roce 20</w:t>
      </w:r>
      <w:r w:rsidR="0084681E">
        <w:rPr>
          <w:rFonts w:cs="Arial"/>
          <w:b/>
          <w:sz w:val="18"/>
          <w:szCs w:val="18"/>
        </w:rPr>
        <w:t>10 a 2016</w:t>
      </w:r>
      <w:r w:rsidRPr="001E3731">
        <w:rPr>
          <w:rFonts w:cs="Arial"/>
          <w:b/>
          <w:sz w:val="18"/>
          <w:szCs w:val="18"/>
        </w:rPr>
        <w:t xml:space="preserve"> (v %)</w:t>
      </w:r>
    </w:p>
    <w:p w:rsidR="008C1793" w:rsidRDefault="008C1793" w:rsidP="0084681E">
      <w:pPr>
        <w:jc w:val="both"/>
        <w:rPr>
          <w:rFonts w:cs="Arial"/>
          <w:i/>
          <w:noProof/>
          <w:sz w:val="16"/>
          <w:szCs w:val="16"/>
        </w:rPr>
      </w:pPr>
      <w:r>
        <w:rPr>
          <w:noProof/>
        </w:rPr>
        <w:drawing>
          <wp:inline distT="0" distB="0" distL="0" distR="0" wp14:anchorId="3C59D15C" wp14:editId="5CC17A15">
            <wp:extent cx="6084000" cy="3240000"/>
            <wp:effectExtent l="0" t="0" r="0" b="0"/>
            <wp:docPr id="86" name="Graf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C1793" w:rsidRPr="00852AC8" w:rsidRDefault="008C1793" w:rsidP="008C1793">
      <w:pPr>
        <w:jc w:val="both"/>
        <w:rPr>
          <w:rFonts w:cs="Arial"/>
          <w:i/>
          <w:noProof/>
          <w:sz w:val="16"/>
          <w:szCs w:val="16"/>
        </w:rPr>
      </w:pPr>
      <w:r w:rsidRPr="00852AC8">
        <w:rPr>
          <w:rFonts w:cs="Arial"/>
          <w:i/>
          <w:noProof/>
          <w:sz w:val="16"/>
          <w:szCs w:val="16"/>
        </w:rPr>
        <w:t xml:space="preserve">Data  za rok 2016 - odhad OECD </w:t>
      </w:r>
    </w:p>
    <w:p w:rsidR="008C1793" w:rsidRPr="00852AC8" w:rsidRDefault="008C1793" w:rsidP="008C1793">
      <w:pPr>
        <w:pStyle w:val="Textpoznpodarou"/>
        <w:spacing w:before="0" w:after="0" w:line="288" w:lineRule="auto"/>
        <w:rPr>
          <w:i/>
        </w:rPr>
      </w:pPr>
      <w:r w:rsidRPr="00271AC3">
        <w:rPr>
          <w:i/>
        </w:rPr>
        <w:t xml:space="preserve">Údaje za </w:t>
      </w:r>
      <w:r w:rsidR="0084681E" w:rsidRPr="00271AC3">
        <w:rPr>
          <w:i/>
        </w:rPr>
        <w:t xml:space="preserve">Spojené státy dosáhly hodnoty </w:t>
      </w:r>
      <w:r w:rsidR="00271AC3" w:rsidRPr="00271AC3">
        <w:rPr>
          <w:i/>
        </w:rPr>
        <w:t>17% v roce 2016 a 16%</w:t>
      </w:r>
      <w:r w:rsidR="0084681E" w:rsidRPr="00271AC3">
        <w:rPr>
          <w:i/>
        </w:rPr>
        <w:t xml:space="preserve"> v roce 2010</w:t>
      </w:r>
    </w:p>
    <w:p w:rsidR="008C1793" w:rsidRPr="001E3731" w:rsidRDefault="008C1793" w:rsidP="008C1793">
      <w:pPr>
        <w:spacing w:before="120" w:after="120"/>
        <w:jc w:val="both"/>
        <w:rPr>
          <w:b/>
          <w:i/>
          <w:szCs w:val="20"/>
        </w:rPr>
      </w:pPr>
      <w:r w:rsidRPr="000916A2">
        <w:rPr>
          <w:b/>
          <w:i/>
          <w:szCs w:val="20"/>
        </w:rPr>
        <w:t>Ve většině sledovaných zemí převládá financování zdravotní péče z veřejných zdrojů</w:t>
      </w:r>
    </w:p>
    <w:p w:rsidR="0084681E" w:rsidRDefault="008C1793" w:rsidP="008C1793">
      <w:pPr>
        <w:spacing w:before="120"/>
        <w:jc w:val="both"/>
        <w:rPr>
          <w:rFonts w:cs="Arial"/>
          <w:szCs w:val="20"/>
        </w:rPr>
      </w:pPr>
      <w:r w:rsidRPr="001E3731">
        <w:rPr>
          <w:rFonts w:cs="Arial"/>
          <w:szCs w:val="20"/>
        </w:rPr>
        <w:t xml:space="preserve">Jednotlivé státy se výrazně odlišují ve způsobu financování zdravotní péče, obecně lze říci, že ve všech sledovaných zemích </w:t>
      </w:r>
      <w:r>
        <w:rPr>
          <w:rFonts w:cs="Arial"/>
          <w:szCs w:val="20"/>
        </w:rPr>
        <w:t>OECD</w:t>
      </w:r>
      <w:r w:rsidRPr="001E3731">
        <w:rPr>
          <w:rFonts w:cs="Arial"/>
          <w:szCs w:val="20"/>
        </w:rPr>
        <w:t xml:space="preserve"> převládá financování z </w:t>
      </w:r>
      <w:r>
        <w:rPr>
          <w:rFonts w:cs="Arial"/>
          <w:szCs w:val="20"/>
        </w:rPr>
        <w:t xml:space="preserve">veřejných zdrojů nad soukromými. USA spolu s Mexikem patří k zemím, kde jsou výdaje z veřejných a soukromých zdrojů zhruba rovnoměrně rozděleny. </w:t>
      </w:r>
      <w:r>
        <w:t xml:space="preserve">Ve Spojených státech je hlavním zdrojem financování zdravotní péče </w:t>
      </w:r>
      <w:r>
        <w:rPr>
          <w:rFonts w:cs="Arial"/>
          <w:szCs w:val="20"/>
        </w:rPr>
        <w:t xml:space="preserve">soukromé dobrovolné pojištění (35 %) a v Mexiku přímé platby domácností (41 %). </w:t>
      </w:r>
      <w:r w:rsidRPr="001E3731">
        <w:rPr>
          <w:rFonts w:cs="Arial"/>
          <w:szCs w:val="20"/>
        </w:rPr>
        <w:t>Z grafu č. 4.4 je patrné, že nejvyšší podíl veřejných zdrojů na financování zdravotní péče vykazovalo v roce 201</w:t>
      </w:r>
      <w:r>
        <w:rPr>
          <w:rFonts w:cs="Arial"/>
          <w:szCs w:val="20"/>
        </w:rPr>
        <w:t>5</w:t>
      </w:r>
      <w:r w:rsidRPr="001E3731">
        <w:rPr>
          <w:rFonts w:cs="Arial"/>
          <w:szCs w:val="20"/>
        </w:rPr>
        <w:t xml:space="preserve"> Norsko </w:t>
      </w:r>
      <w:r>
        <w:rPr>
          <w:rFonts w:cs="Arial"/>
          <w:szCs w:val="20"/>
        </w:rPr>
        <w:t>a</w:t>
      </w:r>
      <w:r w:rsidRPr="001E3731">
        <w:rPr>
          <w:rFonts w:cs="Arial"/>
          <w:szCs w:val="20"/>
        </w:rPr>
        <w:t xml:space="preserve"> Německo (85 %), </w:t>
      </w:r>
      <w:r>
        <w:rPr>
          <w:rFonts w:cs="Arial"/>
          <w:szCs w:val="20"/>
        </w:rPr>
        <w:t>následovány Dánskem, Švédskem a Japonskem (84 %).</w:t>
      </w:r>
      <w:r w:rsidRPr="001E3731">
        <w:rPr>
          <w:rFonts w:cs="Arial"/>
          <w:szCs w:val="20"/>
        </w:rPr>
        <w:t xml:space="preserve"> </w:t>
      </w:r>
    </w:p>
    <w:p w:rsidR="008C1793" w:rsidRDefault="008C1793" w:rsidP="008C1793">
      <w:pPr>
        <w:spacing w:before="160"/>
        <w:jc w:val="both"/>
        <w:rPr>
          <w:rFonts w:cs="Arial"/>
          <w:b/>
          <w:sz w:val="18"/>
          <w:szCs w:val="18"/>
        </w:rPr>
      </w:pPr>
      <w:r w:rsidRPr="001E3731">
        <w:rPr>
          <w:rFonts w:cs="Arial"/>
          <w:b/>
          <w:sz w:val="18"/>
          <w:szCs w:val="18"/>
        </w:rPr>
        <w:t xml:space="preserve">Graf č. 4.4 Struktura výdajů na zdravotní péči podle zdrojů financování v zemích </w:t>
      </w:r>
      <w:r>
        <w:rPr>
          <w:rFonts w:cs="Arial"/>
          <w:b/>
          <w:sz w:val="18"/>
          <w:szCs w:val="18"/>
        </w:rPr>
        <w:t xml:space="preserve">OECD </w:t>
      </w:r>
      <w:r w:rsidRPr="001E3731">
        <w:rPr>
          <w:rFonts w:cs="Arial"/>
          <w:b/>
          <w:sz w:val="18"/>
          <w:szCs w:val="18"/>
        </w:rPr>
        <w:t>v roce 201</w:t>
      </w:r>
      <w:r>
        <w:rPr>
          <w:rFonts w:cs="Arial"/>
          <w:b/>
          <w:sz w:val="18"/>
          <w:szCs w:val="18"/>
        </w:rPr>
        <w:t>5</w:t>
      </w:r>
      <w:r w:rsidRPr="001E3731">
        <w:rPr>
          <w:rFonts w:cs="Arial"/>
          <w:b/>
          <w:sz w:val="18"/>
          <w:szCs w:val="18"/>
        </w:rPr>
        <w:t xml:space="preserve"> (v %)</w:t>
      </w:r>
    </w:p>
    <w:p w:rsidR="008C1793" w:rsidRPr="001E3731" w:rsidRDefault="008C1793" w:rsidP="008C1793">
      <w:pPr>
        <w:jc w:val="both"/>
        <w:rPr>
          <w:rFonts w:cs="Arial"/>
          <w:color w:val="C00000"/>
          <w:szCs w:val="20"/>
        </w:rPr>
      </w:pPr>
      <w:r>
        <w:rPr>
          <w:noProof/>
        </w:rPr>
        <w:drawing>
          <wp:inline distT="0" distB="0" distL="0" distR="0" wp14:anchorId="0575524C" wp14:editId="00E2D8D9">
            <wp:extent cx="6120000" cy="3528000"/>
            <wp:effectExtent l="0" t="0" r="0" b="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4681E" w:rsidRDefault="0084681E" w:rsidP="0084681E">
      <w:pPr>
        <w:spacing w:before="120"/>
        <w:jc w:val="both"/>
        <w:rPr>
          <w:rFonts w:cs="Arial"/>
          <w:szCs w:val="20"/>
        </w:rPr>
      </w:pPr>
      <w:r>
        <w:rPr>
          <w:rFonts w:cs="Arial"/>
          <w:szCs w:val="20"/>
        </w:rPr>
        <w:lastRenderedPageBreak/>
        <w:t xml:space="preserve">Výdaje z veřejných rozpočtů jsou také v České republice jedny z nejvyšších ze zemí OECD (83 %). </w:t>
      </w:r>
      <w:r w:rsidRPr="001E3731">
        <w:rPr>
          <w:rFonts w:cs="Arial"/>
          <w:szCs w:val="20"/>
        </w:rPr>
        <w:t xml:space="preserve">Naopak nejnižší veřejné výdaje na zdravotní péči zaznamenáváme </w:t>
      </w:r>
      <w:r>
        <w:rPr>
          <w:rFonts w:cs="Arial"/>
          <w:szCs w:val="20"/>
        </w:rPr>
        <w:t>v již zmiňovaných Spojených státech a Mexiku, ale také Lotyšsku a Řeck</w:t>
      </w:r>
      <w:r w:rsidR="00FC12FB">
        <w:rPr>
          <w:rFonts w:cs="Arial"/>
          <w:szCs w:val="20"/>
        </w:rPr>
        <w:t>u</w:t>
      </w:r>
      <w:r>
        <w:rPr>
          <w:rFonts w:cs="Arial"/>
          <w:szCs w:val="20"/>
        </w:rPr>
        <w:t xml:space="preserve"> (v průměru 58 %). Lotyšsko mělo v roce 2015 nejvyšší přímé platby domácností na zdravotní péči z uvedených států OECD (42 %).</w:t>
      </w:r>
    </w:p>
    <w:p w:rsidR="0084681E" w:rsidRPr="001E3731" w:rsidRDefault="0084681E" w:rsidP="0084681E">
      <w:pPr>
        <w:spacing w:before="120"/>
        <w:jc w:val="both"/>
        <w:rPr>
          <w:rFonts w:cs="Arial"/>
          <w:szCs w:val="20"/>
        </w:rPr>
      </w:pPr>
      <w:r>
        <w:rPr>
          <w:rFonts w:cs="Arial"/>
          <w:szCs w:val="20"/>
        </w:rPr>
        <w:t>Německo</w:t>
      </w:r>
      <w:r w:rsidRPr="001E3731">
        <w:rPr>
          <w:rFonts w:cs="Arial"/>
          <w:szCs w:val="20"/>
        </w:rPr>
        <w:t xml:space="preserve">, </w:t>
      </w:r>
      <w:r>
        <w:rPr>
          <w:rFonts w:cs="Arial"/>
          <w:szCs w:val="20"/>
        </w:rPr>
        <w:t>Japonsko, Francie či Slovensko</w:t>
      </w:r>
      <w:r w:rsidRPr="001E3731">
        <w:rPr>
          <w:rFonts w:cs="Arial"/>
          <w:szCs w:val="20"/>
        </w:rPr>
        <w:t xml:space="preserve"> </w:t>
      </w:r>
      <w:r>
        <w:rPr>
          <w:rFonts w:cs="Arial"/>
          <w:szCs w:val="20"/>
        </w:rPr>
        <w:t xml:space="preserve">patří </w:t>
      </w:r>
      <w:r w:rsidRPr="001E3731">
        <w:rPr>
          <w:rFonts w:cs="Arial"/>
          <w:szCs w:val="20"/>
        </w:rPr>
        <w:t>k zemím se systémem založeným především na všeobecném zdravotním pojištění, které se v těchto zemích podílí na veškerých výdajích na zdravotní péči více než 7</w:t>
      </w:r>
      <w:r>
        <w:rPr>
          <w:rFonts w:cs="Arial"/>
          <w:szCs w:val="20"/>
        </w:rPr>
        <w:t>5</w:t>
      </w:r>
      <w:r w:rsidRPr="001E3731">
        <w:rPr>
          <w:rFonts w:cs="Arial"/>
          <w:szCs w:val="20"/>
        </w:rPr>
        <w:t xml:space="preserve"> %. </w:t>
      </w:r>
      <w:r>
        <w:rPr>
          <w:rFonts w:cs="Arial"/>
          <w:szCs w:val="20"/>
        </w:rPr>
        <w:t>Do této skupiny patří i Česká republika, kde zdravotní pojišťovny hradí až dvě třetiny běžných nákladů na zdravotní péči. Ve  </w:t>
      </w:r>
      <w:r w:rsidRPr="001E3731">
        <w:rPr>
          <w:rFonts w:cs="Arial"/>
          <w:szCs w:val="20"/>
        </w:rPr>
        <w:t xml:space="preserve">Švédsku, </w:t>
      </w:r>
      <w:r>
        <w:rPr>
          <w:rFonts w:cs="Arial"/>
          <w:szCs w:val="20"/>
        </w:rPr>
        <w:t xml:space="preserve">Dánsku a </w:t>
      </w:r>
      <w:r w:rsidRPr="001E3731">
        <w:rPr>
          <w:rFonts w:cs="Arial"/>
          <w:szCs w:val="20"/>
        </w:rPr>
        <w:t xml:space="preserve">Velké Británii, je naopak zdravotní péče financovaná především nebo výhradně přímo z rozpočtů centrálních a místních vlád s jejich podílem </w:t>
      </w:r>
      <w:r>
        <w:rPr>
          <w:rFonts w:cs="Arial"/>
          <w:szCs w:val="20"/>
        </w:rPr>
        <w:t>80 % a více.</w:t>
      </w:r>
      <w:r w:rsidRPr="001E3731">
        <w:rPr>
          <w:rFonts w:cs="Arial"/>
          <w:szCs w:val="20"/>
        </w:rPr>
        <w:t xml:space="preserve"> Soukromé zdravotní pojištění či připojištění hraje významnější roli </w:t>
      </w:r>
      <w:r>
        <w:rPr>
          <w:rFonts w:cs="Arial"/>
          <w:szCs w:val="20"/>
        </w:rPr>
        <w:t xml:space="preserve">kromě výše uvedených Spojených států např. také </w:t>
      </w:r>
      <w:r w:rsidRPr="001E3731">
        <w:rPr>
          <w:rFonts w:cs="Arial"/>
          <w:szCs w:val="20"/>
        </w:rPr>
        <w:t xml:space="preserve">ve Slovinsku, Francii a Irsku, kde představuje více než desetinu výdajů na zdravotní péči. Domácnosti se velmi významně podílí na financování zdravotní péče </w:t>
      </w:r>
      <w:r>
        <w:rPr>
          <w:rFonts w:cs="Arial"/>
          <w:szCs w:val="20"/>
        </w:rPr>
        <w:t>v  Lotyšsku a Mexiku (více než 40 %) a také v Řecku (35 %).</w:t>
      </w:r>
      <w:r w:rsidRPr="001E3731">
        <w:rPr>
          <w:rFonts w:cs="Arial"/>
          <w:szCs w:val="20"/>
        </w:rPr>
        <w:t xml:space="preserve"> V České republice se domácn</w:t>
      </w:r>
      <w:r>
        <w:rPr>
          <w:rFonts w:cs="Arial"/>
          <w:szCs w:val="20"/>
        </w:rPr>
        <w:t xml:space="preserve">osti na zdravotní péči podílí </w:t>
      </w:r>
      <w:r w:rsidR="00FC12FB">
        <w:rPr>
          <w:rFonts w:cs="Arial"/>
          <w:szCs w:val="20"/>
        </w:rPr>
        <w:t xml:space="preserve">ze </w:t>
      </w:r>
      <w:r>
        <w:rPr>
          <w:rFonts w:cs="Arial"/>
          <w:szCs w:val="20"/>
        </w:rPr>
        <w:t>14</w:t>
      </w:r>
      <w:r w:rsidRPr="001E3731">
        <w:rPr>
          <w:rFonts w:cs="Arial"/>
          <w:szCs w:val="20"/>
        </w:rPr>
        <w:t xml:space="preserve"> %, </w:t>
      </w:r>
      <w:r>
        <w:rPr>
          <w:rFonts w:cs="Arial"/>
          <w:szCs w:val="20"/>
        </w:rPr>
        <w:t>stejně</w:t>
      </w:r>
      <w:r w:rsidRPr="001E3731">
        <w:rPr>
          <w:rFonts w:cs="Arial"/>
          <w:szCs w:val="20"/>
        </w:rPr>
        <w:t xml:space="preserve"> je tomu také v</w:t>
      </w:r>
      <w:r>
        <w:rPr>
          <w:rFonts w:cs="Arial"/>
          <w:szCs w:val="20"/>
        </w:rPr>
        <w:t> Norsku a Dánsku.</w:t>
      </w:r>
      <w:r w:rsidRPr="001E3731">
        <w:rPr>
          <w:rFonts w:cs="Arial"/>
          <w:szCs w:val="20"/>
        </w:rPr>
        <w:t xml:space="preserve"> </w:t>
      </w:r>
      <w:r w:rsidR="00FC12FB">
        <w:rPr>
          <w:rFonts w:cs="Arial"/>
          <w:szCs w:val="20"/>
        </w:rPr>
        <w:t xml:space="preserve">Naopak podíl domácností na financování zdravotní péče byl ze sledovaných zemích nejnižší ve </w:t>
      </w:r>
      <w:r w:rsidRPr="001E3731">
        <w:rPr>
          <w:rFonts w:cs="Arial"/>
          <w:szCs w:val="20"/>
        </w:rPr>
        <w:t xml:space="preserve">Francii, </w:t>
      </w:r>
      <w:r w:rsidR="00FC12FB">
        <w:rPr>
          <w:rFonts w:cs="Arial"/>
          <w:szCs w:val="20"/>
        </w:rPr>
        <w:t xml:space="preserve">pouze </w:t>
      </w:r>
      <w:r w:rsidRPr="001E3731">
        <w:rPr>
          <w:rFonts w:cs="Arial"/>
          <w:szCs w:val="20"/>
        </w:rPr>
        <w:t xml:space="preserve">7 %. </w:t>
      </w:r>
    </w:p>
    <w:p w:rsidR="008C1793" w:rsidRPr="001E3731" w:rsidRDefault="008C1793" w:rsidP="008C1793">
      <w:pPr>
        <w:spacing w:before="240" w:after="120"/>
        <w:jc w:val="both"/>
        <w:rPr>
          <w:b/>
          <w:i/>
          <w:szCs w:val="20"/>
        </w:rPr>
      </w:pPr>
      <w:r>
        <w:rPr>
          <w:b/>
          <w:i/>
          <w:szCs w:val="20"/>
        </w:rPr>
        <w:t>Z</w:t>
      </w:r>
      <w:r w:rsidRPr="001E3731">
        <w:rPr>
          <w:b/>
          <w:i/>
          <w:szCs w:val="20"/>
        </w:rPr>
        <w:t xml:space="preserve">a lůžkovou a ambulantní péči </w:t>
      </w:r>
      <w:r>
        <w:rPr>
          <w:b/>
          <w:i/>
          <w:szCs w:val="20"/>
        </w:rPr>
        <w:t>bylo v zemích OECD</w:t>
      </w:r>
      <w:r w:rsidRPr="001E3731">
        <w:rPr>
          <w:b/>
          <w:i/>
          <w:szCs w:val="20"/>
        </w:rPr>
        <w:t xml:space="preserve"> </w:t>
      </w:r>
      <w:r w:rsidR="00FC12FB" w:rsidRPr="001E3731">
        <w:rPr>
          <w:b/>
          <w:i/>
          <w:szCs w:val="20"/>
        </w:rPr>
        <w:t xml:space="preserve">vydáno </w:t>
      </w:r>
      <w:r>
        <w:rPr>
          <w:b/>
          <w:i/>
          <w:szCs w:val="20"/>
        </w:rPr>
        <w:t xml:space="preserve">v průměru </w:t>
      </w:r>
      <w:r w:rsidRPr="001E3731">
        <w:rPr>
          <w:b/>
          <w:i/>
          <w:szCs w:val="20"/>
        </w:rPr>
        <w:t xml:space="preserve">60 % </w:t>
      </w:r>
      <w:r w:rsidR="00FC12FB">
        <w:rPr>
          <w:b/>
          <w:i/>
          <w:szCs w:val="20"/>
        </w:rPr>
        <w:t xml:space="preserve">z celkových </w:t>
      </w:r>
      <w:r w:rsidRPr="001E3731">
        <w:rPr>
          <w:b/>
          <w:i/>
          <w:szCs w:val="20"/>
        </w:rPr>
        <w:t xml:space="preserve">výdajů na </w:t>
      </w:r>
      <w:r w:rsidR="00FC12FB">
        <w:rPr>
          <w:b/>
          <w:i/>
          <w:szCs w:val="20"/>
        </w:rPr>
        <w:t>zdravotní péči</w:t>
      </w:r>
    </w:p>
    <w:p w:rsidR="008C1793" w:rsidRPr="001E3731" w:rsidRDefault="008C1793" w:rsidP="008C1793">
      <w:pPr>
        <w:spacing w:before="120"/>
        <w:jc w:val="both"/>
        <w:rPr>
          <w:rFonts w:cs="Arial"/>
          <w:szCs w:val="20"/>
        </w:rPr>
      </w:pPr>
      <w:r w:rsidRPr="001E3731">
        <w:rPr>
          <w:rFonts w:cs="Arial"/>
          <w:szCs w:val="20"/>
        </w:rPr>
        <w:t>Více než polovina všech výdajů na zdravot</w:t>
      </w:r>
      <w:r>
        <w:rPr>
          <w:rFonts w:cs="Arial"/>
          <w:szCs w:val="20"/>
        </w:rPr>
        <w:t>ní péči byla v roce 2015</w:t>
      </w:r>
      <w:r w:rsidRPr="001E3731">
        <w:rPr>
          <w:rFonts w:cs="Arial"/>
          <w:szCs w:val="20"/>
        </w:rPr>
        <w:t xml:space="preserve"> ve všech sledovaných zemích </w:t>
      </w:r>
      <w:r>
        <w:rPr>
          <w:rFonts w:cs="Arial"/>
          <w:szCs w:val="20"/>
        </w:rPr>
        <w:t>OECD vynaložena</w:t>
      </w:r>
      <w:r w:rsidRPr="001E3731">
        <w:rPr>
          <w:rFonts w:cs="Arial"/>
          <w:szCs w:val="20"/>
        </w:rPr>
        <w:t xml:space="preserve"> na lůžkovou a ambulantní péči (včetně </w:t>
      </w:r>
      <w:r>
        <w:rPr>
          <w:rFonts w:cs="Arial"/>
          <w:szCs w:val="20"/>
        </w:rPr>
        <w:t>doplňkových</w:t>
      </w:r>
      <w:r w:rsidRPr="001E3731">
        <w:rPr>
          <w:rFonts w:cs="Arial"/>
          <w:szCs w:val="20"/>
        </w:rPr>
        <w:t xml:space="preserve"> služeb jako jsou laboratorní a zobrazovací vyšetření a zdravotnická doprava). </w:t>
      </w:r>
      <w:r>
        <w:rPr>
          <w:rFonts w:cs="Arial"/>
          <w:szCs w:val="20"/>
        </w:rPr>
        <w:t xml:space="preserve">V Portugalsku se jednalo dokonce až o tři čtvrtiny celkových běžných výdajů. </w:t>
      </w:r>
      <w:r w:rsidRPr="001E3731">
        <w:rPr>
          <w:rFonts w:cs="Arial"/>
          <w:szCs w:val="20"/>
        </w:rPr>
        <w:t xml:space="preserve">V průměru všech </w:t>
      </w:r>
      <w:r>
        <w:rPr>
          <w:rFonts w:cs="Arial"/>
          <w:szCs w:val="20"/>
        </w:rPr>
        <w:t>uvedených zemí OECD</w:t>
      </w:r>
      <w:r w:rsidRPr="001E3731">
        <w:rPr>
          <w:rFonts w:cs="Arial"/>
          <w:szCs w:val="20"/>
        </w:rPr>
        <w:t xml:space="preserve"> se jednalo ve zmiňovaném roce o 6</w:t>
      </w:r>
      <w:r>
        <w:rPr>
          <w:rFonts w:cs="Arial"/>
          <w:szCs w:val="20"/>
        </w:rPr>
        <w:t>1</w:t>
      </w:r>
      <w:r w:rsidRPr="001E3731">
        <w:rPr>
          <w:rFonts w:cs="Arial"/>
          <w:szCs w:val="20"/>
        </w:rPr>
        <w:t xml:space="preserve"> % veškerých financí vydaných za zdravotní péči. </w:t>
      </w:r>
      <w:r>
        <w:rPr>
          <w:rFonts w:cs="Arial"/>
          <w:szCs w:val="20"/>
        </w:rPr>
        <w:t xml:space="preserve">Výdaje na léky a zdravotnické potřeby tvořily v průměru 19 %, na dlouhodobou péči zdravotní </w:t>
      </w:r>
      <w:r w:rsidRPr="001E3731">
        <w:rPr>
          <w:rFonts w:cs="Arial"/>
          <w:szCs w:val="20"/>
        </w:rPr>
        <w:t>1</w:t>
      </w:r>
      <w:r>
        <w:rPr>
          <w:rFonts w:cs="Arial"/>
          <w:szCs w:val="20"/>
        </w:rPr>
        <w:t>4</w:t>
      </w:r>
      <w:r w:rsidRPr="001E3731">
        <w:rPr>
          <w:rFonts w:cs="Arial"/>
          <w:szCs w:val="20"/>
        </w:rPr>
        <w:t xml:space="preserve"> % a </w:t>
      </w:r>
      <w:r>
        <w:rPr>
          <w:rFonts w:cs="Arial"/>
          <w:szCs w:val="20"/>
        </w:rPr>
        <w:t xml:space="preserve">na </w:t>
      </w:r>
      <w:r w:rsidRPr="001E3731">
        <w:rPr>
          <w:rFonts w:cs="Arial"/>
          <w:szCs w:val="20"/>
        </w:rPr>
        <w:t>preventivní péč</w:t>
      </w:r>
      <w:r>
        <w:rPr>
          <w:rFonts w:cs="Arial"/>
          <w:szCs w:val="20"/>
        </w:rPr>
        <w:t>i a správu systému zdravotnictví odčerpaly</w:t>
      </w:r>
      <w:r w:rsidRPr="001E3731">
        <w:rPr>
          <w:rFonts w:cs="Arial"/>
          <w:szCs w:val="20"/>
        </w:rPr>
        <w:t xml:space="preserve"> </w:t>
      </w:r>
      <w:r>
        <w:rPr>
          <w:rFonts w:cs="Arial"/>
          <w:szCs w:val="20"/>
        </w:rPr>
        <w:t>6</w:t>
      </w:r>
      <w:r w:rsidRPr="001E3731">
        <w:rPr>
          <w:rFonts w:cs="Arial"/>
          <w:szCs w:val="20"/>
        </w:rPr>
        <w:t xml:space="preserve"> % (viz graf 4.5). </w:t>
      </w:r>
    </w:p>
    <w:p w:rsidR="008C1793" w:rsidRPr="001E3731" w:rsidRDefault="008C1793" w:rsidP="008C1793">
      <w:pPr>
        <w:spacing w:before="240"/>
        <w:jc w:val="both"/>
        <w:rPr>
          <w:rFonts w:cs="Arial"/>
          <w:b/>
          <w:sz w:val="18"/>
          <w:szCs w:val="18"/>
        </w:rPr>
      </w:pPr>
      <w:r w:rsidRPr="001E3731">
        <w:rPr>
          <w:rFonts w:cs="Arial"/>
          <w:b/>
          <w:sz w:val="18"/>
          <w:szCs w:val="18"/>
        </w:rPr>
        <w:t xml:space="preserve">Graf č. 4.5 Struktura výdajů na zdravotní péči podle druhu péče v zemích </w:t>
      </w:r>
      <w:r>
        <w:rPr>
          <w:rFonts w:cs="Arial"/>
          <w:b/>
          <w:sz w:val="18"/>
          <w:szCs w:val="18"/>
        </w:rPr>
        <w:t>OECD</w:t>
      </w:r>
      <w:r w:rsidRPr="001E3731">
        <w:rPr>
          <w:rFonts w:cs="Arial"/>
          <w:b/>
          <w:sz w:val="18"/>
          <w:szCs w:val="18"/>
        </w:rPr>
        <w:t xml:space="preserve"> v roce 201</w:t>
      </w:r>
      <w:r>
        <w:rPr>
          <w:rFonts w:cs="Arial"/>
          <w:b/>
          <w:sz w:val="18"/>
          <w:szCs w:val="18"/>
        </w:rPr>
        <w:t>5</w:t>
      </w:r>
      <w:r w:rsidRPr="001E3731">
        <w:rPr>
          <w:rFonts w:cs="Arial"/>
          <w:b/>
          <w:sz w:val="18"/>
          <w:szCs w:val="18"/>
        </w:rPr>
        <w:t xml:space="preserve"> (v %)</w:t>
      </w:r>
    </w:p>
    <w:p w:rsidR="008C1793" w:rsidRPr="001E3731" w:rsidRDefault="008C1793" w:rsidP="0084681E">
      <w:pPr>
        <w:jc w:val="both"/>
        <w:rPr>
          <w:rFonts w:cs="Arial"/>
          <w:b/>
          <w:sz w:val="18"/>
          <w:szCs w:val="18"/>
        </w:rPr>
      </w:pPr>
      <w:r>
        <w:rPr>
          <w:noProof/>
        </w:rPr>
        <w:drawing>
          <wp:inline distT="0" distB="0" distL="0" distR="0" wp14:anchorId="19A5A8E4" wp14:editId="034D052E">
            <wp:extent cx="6120000" cy="3600000"/>
            <wp:effectExtent l="0" t="0" r="0" b="635"/>
            <wp:docPr id="88" name="Graf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C1793" w:rsidRPr="001E3731" w:rsidRDefault="008C1793" w:rsidP="008C1793">
      <w:pPr>
        <w:jc w:val="both"/>
        <w:rPr>
          <w:i/>
          <w:noProof/>
          <w:sz w:val="16"/>
          <w:szCs w:val="16"/>
        </w:rPr>
      </w:pPr>
      <w:r w:rsidRPr="001E3731">
        <w:rPr>
          <w:i/>
          <w:noProof/>
          <w:sz w:val="16"/>
          <w:szCs w:val="16"/>
        </w:rPr>
        <w:t>* Zahrnuje léčebně-rehabilitační lůžkovou a jednodenní péči</w:t>
      </w:r>
      <w:r>
        <w:rPr>
          <w:i/>
          <w:noProof/>
          <w:sz w:val="16"/>
          <w:szCs w:val="16"/>
        </w:rPr>
        <w:t>.</w:t>
      </w:r>
    </w:p>
    <w:p w:rsidR="008C1793" w:rsidRPr="001E3731" w:rsidRDefault="008C1793" w:rsidP="008C1793">
      <w:pPr>
        <w:jc w:val="both"/>
        <w:rPr>
          <w:i/>
          <w:noProof/>
          <w:sz w:val="16"/>
          <w:szCs w:val="16"/>
        </w:rPr>
      </w:pPr>
      <w:r w:rsidRPr="001E3731">
        <w:rPr>
          <w:i/>
          <w:noProof/>
          <w:sz w:val="16"/>
          <w:szCs w:val="16"/>
        </w:rPr>
        <w:t xml:space="preserve">** Zahrnuje domácí péči a </w:t>
      </w:r>
      <w:r>
        <w:rPr>
          <w:i/>
          <w:noProof/>
          <w:sz w:val="16"/>
          <w:szCs w:val="16"/>
        </w:rPr>
        <w:t xml:space="preserve">doplňkové </w:t>
      </w:r>
      <w:r w:rsidRPr="001E3731">
        <w:rPr>
          <w:i/>
          <w:noProof/>
          <w:sz w:val="16"/>
          <w:szCs w:val="16"/>
        </w:rPr>
        <w:t xml:space="preserve"> služby</w:t>
      </w:r>
      <w:r>
        <w:rPr>
          <w:i/>
          <w:noProof/>
          <w:sz w:val="16"/>
          <w:szCs w:val="16"/>
        </w:rPr>
        <w:t xml:space="preserve"> (laboratorní a zobrazovací vy</w:t>
      </w:r>
      <w:r w:rsidRPr="001E3731">
        <w:rPr>
          <w:i/>
          <w:noProof/>
          <w:sz w:val="16"/>
          <w:szCs w:val="16"/>
        </w:rPr>
        <w:t>šetření a zdravotnickou dopravu)</w:t>
      </w:r>
      <w:r>
        <w:rPr>
          <w:i/>
          <w:noProof/>
          <w:sz w:val="16"/>
          <w:szCs w:val="16"/>
        </w:rPr>
        <w:t>.</w:t>
      </w:r>
    </w:p>
    <w:p w:rsidR="008C1793" w:rsidRPr="001E3731" w:rsidRDefault="008C1793" w:rsidP="008C1793">
      <w:pPr>
        <w:spacing w:before="120"/>
        <w:jc w:val="both"/>
        <w:rPr>
          <w:rFonts w:cs="Arial"/>
          <w:szCs w:val="20"/>
        </w:rPr>
      </w:pPr>
      <w:r w:rsidRPr="001E3731">
        <w:rPr>
          <w:rFonts w:cs="Arial"/>
          <w:szCs w:val="20"/>
        </w:rPr>
        <w:t>Pokud se zaměříme na strukturu výdajů na zdravotní péči podle konkrétních druhů péče v jednotlivých státech, je patrné, že jsou mezi zeměmi výrazné rozdíly. Lůžková péče zaujímá nejvyšší podíl v</w:t>
      </w:r>
      <w:r>
        <w:rPr>
          <w:rFonts w:cs="Arial"/>
          <w:szCs w:val="20"/>
        </w:rPr>
        <w:t xml:space="preserve">ýdajů </w:t>
      </w:r>
      <w:r>
        <w:rPr>
          <w:rFonts w:cs="Arial"/>
          <w:szCs w:val="20"/>
        </w:rPr>
        <w:lastRenderedPageBreak/>
        <w:t xml:space="preserve">na zdravotní péči v Řecku a Polsku v průměru 38 % </w:t>
      </w:r>
      <w:r w:rsidRPr="001E3731">
        <w:rPr>
          <w:rFonts w:cs="Arial"/>
          <w:szCs w:val="20"/>
        </w:rPr>
        <w:t>a naopak nejméně například ve Švédsku</w:t>
      </w:r>
      <w:r>
        <w:rPr>
          <w:rFonts w:cs="Arial"/>
          <w:szCs w:val="20"/>
        </w:rPr>
        <w:t xml:space="preserve"> nebo Švýcarsku 22 %. </w:t>
      </w:r>
      <w:r w:rsidRPr="001E3731">
        <w:rPr>
          <w:rFonts w:cs="Arial"/>
          <w:szCs w:val="20"/>
        </w:rPr>
        <w:t>Ambulantní péče nejvíce z rozpočtu na zdravot</w:t>
      </w:r>
      <w:r>
        <w:rPr>
          <w:rFonts w:cs="Arial"/>
          <w:szCs w:val="20"/>
        </w:rPr>
        <w:t>ní péči ukrajuje v Portugalsku (48 %) n</w:t>
      </w:r>
      <w:r w:rsidRPr="001E3731">
        <w:rPr>
          <w:rFonts w:cs="Arial"/>
          <w:szCs w:val="20"/>
        </w:rPr>
        <w:t>ebo také v Estonsku (</w:t>
      </w:r>
      <w:r>
        <w:rPr>
          <w:rFonts w:cs="Arial"/>
          <w:szCs w:val="20"/>
        </w:rPr>
        <w:t>41 %)</w:t>
      </w:r>
      <w:r w:rsidRPr="001E3731">
        <w:rPr>
          <w:rFonts w:cs="Arial"/>
          <w:szCs w:val="20"/>
        </w:rPr>
        <w:t xml:space="preserve"> a nejméně v</w:t>
      </w:r>
      <w:r>
        <w:rPr>
          <w:rFonts w:cs="Arial"/>
          <w:szCs w:val="20"/>
        </w:rPr>
        <w:t> Belgii 24 %.</w:t>
      </w:r>
      <w:r w:rsidRPr="001E3731">
        <w:rPr>
          <w:rFonts w:cs="Arial"/>
          <w:szCs w:val="20"/>
        </w:rPr>
        <w:t xml:space="preserve"> Ještě větší rozdíly </w:t>
      </w:r>
      <w:r>
        <w:rPr>
          <w:rFonts w:cs="Arial"/>
          <w:szCs w:val="20"/>
        </w:rPr>
        <w:t>mezi jednotlivými státy</w:t>
      </w:r>
      <w:r w:rsidRPr="001E3731">
        <w:rPr>
          <w:rFonts w:cs="Arial"/>
          <w:szCs w:val="20"/>
        </w:rPr>
        <w:t xml:space="preserve"> zaznamenáváme </w:t>
      </w:r>
      <w:r>
        <w:rPr>
          <w:rFonts w:cs="Arial"/>
          <w:szCs w:val="20"/>
        </w:rPr>
        <w:t>ve výdajích</w:t>
      </w:r>
      <w:r w:rsidRPr="001E3731">
        <w:rPr>
          <w:rFonts w:cs="Arial"/>
          <w:szCs w:val="20"/>
        </w:rPr>
        <w:t xml:space="preserve"> na dlouhodobou péči</w:t>
      </w:r>
      <w:r>
        <w:rPr>
          <w:rFonts w:cs="Arial"/>
          <w:szCs w:val="20"/>
        </w:rPr>
        <w:t xml:space="preserve"> zdravotní</w:t>
      </w:r>
      <w:r w:rsidRPr="001E3731">
        <w:rPr>
          <w:rFonts w:cs="Arial"/>
          <w:szCs w:val="20"/>
        </w:rPr>
        <w:t xml:space="preserve">. V tomto případě se hodnoty pohybují od méně než 2 % </w:t>
      </w:r>
      <w:r>
        <w:rPr>
          <w:rFonts w:cs="Arial"/>
          <w:szCs w:val="20"/>
        </w:rPr>
        <w:t xml:space="preserve">na Slovensku a v Řecku až po více než 25 % v Belgii </w:t>
      </w:r>
      <w:r w:rsidRPr="001E3731">
        <w:rPr>
          <w:rFonts w:cs="Arial"/>
          <w:szCs w:val="20"/>
        </w:rPr>
        <w:t xml:space="preserve">a Švédsku. Významné rozdíly jsou i v případě výdajů za </w:t>
      </w:r>
      <w:r>
        <w:rPr>
          <w:rFonts w:cs="Arial"/>
          <w:szCs w:val="20"/>
        </w:rPr>
        <w:t xml:space="preserve">léky. Nejméně, zhruba desetinu všech výdajů na zdravotní péči, zaplatili za léky </w:t>
      </w:r>
      <w:r w:rsidRPr="001E3731">
        <w:rPr>
          <w:rFonts w:cs="Arial"/>
          <w:szCs w:val="20"/>
        </w:rPr>
        <w:t xml:space="preserve">v Dánsku, Norsku a </w:t>
      </w:r>
      <w:r>
        <w:rPr>
          <w:rFonts w:cs="Arial"/>
          <w:szCs w:val="20"/>
        </w:rPr>
        <w:t>také v Lucembursku. N</w:t>
      </w:r>
      <w:r w:rsidRPr="001E3731">
        <w:rPr>
          <w:rFonts w:cs="Arial"/>
          <w:szCs w:val="20"/>
        </w:rPr>
        <w:t xml:space="preserve">aopak nejvíce </w:t>
      </w:r>
      <w:r>
        <w:rPr>
          <w:rFonts w:cs="Arial"/>
          <w:szCs w:val="20"/>
        </w:rPr>
        <w:t xml:space="preserve">peněz za léky bylo vydáno </w:t>
      </w:r>
      <w:r w:rsidRPr="001E3731">
        <w:rPr>
          <w:rFonts w:cs="Arial"/>
          <w:szCs w:val="20"/>
        </w:rPr>
        <w:t xml:space="preserve">na Slovensku </w:t>
      </w:r>
      <w:r>
        <w:rPr>
          <w:rFonts w:cs="Arial"/>
          <w:szCs w:val="20"/>
        </w:rPr>
        <w:t xml:space="preserve">a v Maďarsku </w:t>
      </w:r>
      <w:r w:rsidRPr="001E3731">
        <w:rPr>
          <w:rFonts w:cs="Arial"/>
          <w:szCs w:val="20"/>
        </w:rPr>
        <w:t>(více než 3</w:t>
      </w:r>
      <w:r>
        <w:rPr>
          <w:rFonts w:cs="Arial"/>
          <w:szCs w:val="20"/>
        </w:rPr>
        <w:t>0</w:t>
      </w:r>
      <w:r w:rsidRPr="001E3731">
        <w:rPr>
          <w:rFonts w:cs="Arial"/>
          <w:szCs w:val="20"/>
        </w:rPr>
        <w:t> %). Výdaje na kolektivní služby, tedy</w:t>
      </w:r>
      <w:r>
        <w:rPr>
          <w:rFonts w:cs="Arial"/>
          <w:szCs w:val="20"/>
        </w:rPr>
        <w:t> </w:t>
      </w:r>
      <w:r w:rsidRPr="001E3731">
        <w:rPr>
          <w:rFonts w:cs="Arial"/>
          <w:szCs w:val="20"/>
        </w:rPr>
        <w:t xml:space="preserve">prevenci a správu systému zdravotní péče, se pohybovaly od </w:t>
      </w:r>
      <w:r>
        <w:rPr>
          <w:rFonts w:cs="Arial"/>
          <w:szCs w:val="20"/>
        </w:rPr>
        <w:t>3</w:t>
      </w:r>
      <w:r w:rsidRPr="001E3731">
        <w:rPr>
          <w:rFonts w:cs="Arial"/>
          <w:szCs w:val="20"/>
        </w:rPr>
        <w:t xml:space="preserve"> % </w:t>
      </w:r>
      <w:r>
        <w:rPr>
          <w:rFonts w:cs="Arial"/>
          <w:szCs w:val="20"/>
        </w:rPr>
        <w:t>v Norsku</w:t>
      </w:r>
      <w:r w:rsidRPr="001E3731">
        <w:rPr>
          <w:rFonts w:cs="Arial"/>
          <w:szCs w:val="20"/>
        </w:rPr>
        <w:t xml:space="preserve"> </w:t>
      </w:r>
      <w:r>
        <w:rPr>
          <w:rFonts w:cs="Arial"/>
          <w:szCs w:val="20"/>
        </w:rPr>
        <w:t xml:space="preserve">a Portugalsku </w:t>
      </w:r>
      <w:r w:rsidRPr="001E3731">
        <w:rPr>
          <w:rFonts w:cs="Arial"/>
          <w:szCs w:val="20"/>
        </w:rPr>
        <w:t>až po 9 % v</w:t>
      </w:r>
      <w:r>
        <w:rPr>
          <w:rFonts w:cs="Arial"/>
          <w:szCs w:val="20"/>
        </w:rPr>
        <w:t> evropských zemích jako je Velká Británie</w:t>
      </w:r>
      <w:r w:rsidRPr="001E3731">
        <w:rPr>
          <w:rFonts w:cs="Arial"/>
          <w:szCs w:val="20"/>
        </w:rPr>
        <w:t xml:space="preserve"> a </w:t>
      </w:r>
      <w:r>
        <w:rPr>
          <w:rFonts w:cs="Arial"/>
          <w:szCs w:val="20"/>
        </w:rPr>
        <w:t>Švýcarsko.</w:t>
      </w:r>
    </w:p>
    <w:p w:rsidR="008C1793" w:rsidRPr="001E3731" w:rsidRDefault="008C1793" w:rsidP="008C1793">
      <w:pPr>
        <w:spacing w:before="240" w:after="120"/>
        <w:jc w:val="both"/>
        <w:rPr>
          <w:rFonts w:cs="Arial"/>
          <w:szCs w:val="20"/>
        </w:rPr>
      </w:pPr>
      <w:r w:rsidRPr="001E3731">
        <w:rPr>
          <w:b/>
          <w:i/>
          <w:szCs w:val="20"/>
        </w:rPr>
        <w:t>V Bulharsku jsou ze soukromých zdrojů hrazeny přibližně dvě třetiny výdajů za léky</w:t>
      </w:r>
      <w:r w:rsidRPr="001E3731">
        <w:rPr>
          <w:rFonts w:cs="Arial"/>
          <w:szCs w:val="20"/>
        </w:rPr>
        <w:t xml:space="preserve"> </w:t>
      </w:r>
    </w:p>
    <w:p w:rsidR="008C1793" w:rsidRDefault="008C1793" w:rsidP="008C1793">
      <w:pPr>
        <w:spacing w:before="120"/>
        <w:jc w:val="both"/>
        <w:rPr>
          <w:rFonts w:cs="Arial"/>
          <w:szCs w:val="20"/>
        </w:rPr>
      </w:pPr>
      <w:r w:rsidRPr="001E3731">
        <w:rPr>
          <w:rFonts w:cs="Arial"/>
          <w:szCs w:val="20"/>
        </w:rPr>
        <w:t>Výdaje za léky představují významnou položku v</w:t>
      </w:r>
      <w:r>
        <w:rPr>
          <w:rFonts w:cs="Arial"/>
          <w:szCs w:val="20"/>
        </w:rPr>
        <w:t xml:space="preserve"> běžných </w:t>
      </w:r>
      <w:r w:rsidRPr="001E3731">
        <w:rPr>
          <w:rFonts w:cs="Arial"/>
          <w:szCs w:val="20"/>
        </w:rPr>
        <w:t>výdajích na zdravotní péči a v</w:t>
      </w:r>
      <w:r>
        <w:rPr>
          <w:rFonts w:cs="Arial"/>
          <w:szCs w:val="20"/>
        </w:rPr>
        <w:t xml:space="preserve"> zemích OCED se pohybují v rozpětí od 10 % v Dánsku až po 35 % na Slovensku.  Průměrná hodnota zemí OECD je 19 % (viz předchozí graf). </w:t>
      </w:r>
      <w:r w:rsidRPr="001E3731">
        <w:rPr>
          <w:rFonts w:cs="Arial"/>
          <w:szCs w:val="20"/>
        </w:rPr>
        <w:t xml:space="preserve">Jak je </w:t>
      </w:r>
      <w:r>
        <w:rPr>
          <w:rFonts w:cs="Arial"/>
          <w:szCs w:val="20"/>
        </w:rPr>
        <w:t xml:space="preserve">patrné </w:t>
      </w:r>
      <w:r w:rsidRPr="001E3731">
        <w:rPr>
          <w:rFonts w:cs="Arial"/>
          <w:szCs w:val="20"/>
        </w:rPr>
        <w:t xml:space="preserve">z grafu 4.6, zdroj financování léků se v jednotlivých zemích výrazně odlišuje. V Německu </w:t>
      </w:r>
      <w:r>
        <w:rPr>
          <w:rFonts w:cs="Arial"/>
          <w:szCs w:val="20"/>
        </w:rPr>
        <w:t xml:space="preserve">a </w:t>
      </w:r>
      <w:r w:rsidRPr="001E3731">
        <w:rPr>
          <w:rFonts w:cs="Arial"/>
          <w:szCs w:val="20"/>
        </w:rPr>
        <w:t>Nizozemsku jsou léky z více než 8</w:t>
      </w:r>
      <w:r>
        <w:rPr>
          <w:rFonts w:cs="Arial"/>
          <w:szCs w:val="20"/>
        </w:rPr>
        <w:t>0 % hrazeny z veřejných zdrojů. V osmi</w:t>
      </w:r>
      <w:r>
        <w:t xml:space="preserve"> státech zahrnují veřejné a povinné programy méně než polovinu částky vynaložené na léky</w:t>
      </w:r>
      <w:r>
        <w:rPr>
          <w:rFonts w:cs="Arial"/>
          <w:szCs w:val="20"/>
        </w:rPr>
        <w:t xml:space="preserve">. Nejméně je tomu v Lotyšsku a Polsku, ve kterých </w:t>
      </w:r>
      <w:r w:rsidR="00FC12FB">
        <w:rPr>
          <w:rFonts w:cs="Arial"/>
          <w:szCs w:val="20"/>
        </w:rPr>
        <w:t xml:space="preserve">jsou </w:t>
      </w:r>
      <w:r>
        <w:rPr>
          <w:rFonts w:cs="Arial"/>
          <w:szCs w:val="20"/>
        </w:rPr>
        <w:t>až dvě třetiny výdajů na léky hrazeny z rozpočtů domácností. Ve Spojených státech a Kanadě pochází třetina výdajů na léky ze soukromého pojištění.</w:t>
      </w:r>
    </w:p>
    <w:p w:rsidR="008C1793" w:rsidRDefault="008C1793" w:rsidP="008C1793">
      <w:pPr>
        <w:spacing w:before="240"/>
        <w:rPr>
          <w:rFonts w:cs="Arial"/>
          <w:b/>
          <w:sz w:val="18"/>
          <w:szCs w:val="18"/>
        </w:rPr>
      </w:pPr>
      <w:r w:rsidRPr="001E3731">
        <w:rPr>
          <w:rFonts w:cs="Arial"/>
          <w:b/>
          <w:sz w:val="18"/>
          <w:szCs w:val="18"/>
        </w:rPr>
        <w:t xml:space="preserve">Graf č. 4.6 Struktura výdajů na </w:t>
      </w:r>
      <w:r>
        <w:rPr>
          <w:rFonts w:cs="Arial"/>
          <w:b/>
          <w:sz w:val="18"/>
          <w:szCs w:val="18"/>
        </w:rPr>
        <w:t>léky*</w:t>
      </w:r>
      <w:r w:rsidRPr="001E3731">
        <w:rPr>
          <w:rFonts w:cs="Arial"/>
          <w:b/>
          <w:sz w:val="18"/>
          <w:szCs w:val="18"/>
        </w:rPr>
        <w:t xml:space="preserve"> podle zdrojů financování v zemích </w:t>
      </w:r>
      <w:r>
        <w:rPr>
          <w:rFonts w:cs="Arial"/>
          <w:b/>
          <w:sz w:val="18"/>
          <w:szCs w:val="18"/>
        </w:rPr>
        <w:t xml:space="preserve">OECD </w:t>
      </w:r>
      <w:r w:rsidRPr="001E3731">
        <w:rPr>
          <w:rFonts w:cs="Arial"/>
          <w:b/>
          <w:sz w:val="18"/>
          <w:szCs w:val="18"/>
        </w:rPr>
        <w:t>v roce 201</w:t>
      </w:r>
      <w:r>
        <w:rPr>
          <w:rFonts w:cs="Arial"/>
          <w:b/>
          <w:sz w:val="18"/>
          <w:szCs w:val="18"/>
        </w:rPr>
        <w:t>5</w:t>
      </w:r>
      <w:r w:rsidRPr="001E3731">
        <w:rPr>
          <w:rFonts w:cs="Arial"/>
          <w:b/>
          <w:sz w:val="18"/>
          <w:szCs w:val="18"/>
        </w:rPr>
        <w:t xml:space="preserve"> (v %)</w:t>
      </w:r>
    </w:p>
    <w:p w:rsidR="008C1793" w:rsidRDefault="008C1793" w:rsidP="008C1793">
      <w:pPr>
        <w:rPr>
          <w:noProof/>
        </w:rPr>
      </w:pPr>
      <w:r>
        <w:rPr>
          <w:noProof/>
        </w:rPr>
        <w:drawing>
          <wp:inline distT="0" distB="0" distL="0" distR="0" wp14:anchorId="2B4CAD44" wp14:editId="379FE4D1">
            <wp:extent cx="6120000" cy="3600000"/>
            <wp:effectExtent l="0" t="0" r="0" b="635"/>
            <wp:docPr id="89" name="Graf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C1793" w:rsidRPr="007A14C3" w:rsidRDefault="008C1793" w:rsidP="008C1793">
      <w:pPr>
        <w:rPr>
          <w:rFonts w:cs="Arial"/>
          <w:i/>
          <w:sz w:val="16"/>
          <w:szCs w:val="16"/>
        </w:rPr>
      </w:pPr>
      <w:r>
        <w:rPr>
          <w:rFonts w:cs="Arial"/>
          <w:i/>
          <w:sz w:val="16"/>
          <w:szCs w:val="16"/>
        </w:rPr>
        <w:t xml:space="preserve">* </w:t>
      </w:r>
      <w:r w:rsidRPr="007A14C3">
        <w:rPr>
          <w:rFonts w:cs="Arial"/>
          <w:i/>
          <w:sz w:val="16"/>
          <w:szCs w:val="16"/>
        </w:rPr>
        <w:t>V mezinárodním srovnání jsou k dispozici výdaje za ambulantně poskytované léky</w:t>
      </w:r>
    </w:p>
    <w:p w:rsidR="008C1793" w:rsidRPr="00852AC8" w:rsidRDefault="008C1793" w:rsidP="008C1793">
      <w:pPr>
        <w:pStyle w:val="Textpoznpodarou"/>
        <w:spacing w:before="0" w:after="0" w:line="288" w:lineRule="auto"/>
        <w:rPr>
          <w:i/>
        </w:rPr>
      </w:pPr>
      <w:r w:rsidRPr="00852AC8">
        <w:rPr>
          <w:i/>
        </w:rPr>
        <w:t xml:space="preserve">Údaje za </w:t>
      </w:r>
      <w:r>
        <w:rPr>
          <w:i/>
        </w:rPr>
        <w:t>Českou republiku v grafu č. 4.6</w:t>
      </w:r>
      <w:r w:rsidRPr="00852AC8">
        <w:rPr>
          <w:i/>
        </w:rPr>
        <w:t xml:space="preserve"> byly aktualizovány v souladu se zpracováním zdravotnických účtů za rok 201</w:t>
      </w:r>
      <w:r>
        <w:rPr>
          <w:i/>
        </w:rPr>
        <w:t>5</w:t>
      </w:r>
    </w:p>
    <w:p w:rsidR="001319EB" w:rsidRPr="00A204CF" w:rsidRDefault="001319EB" w:rsidP="00CE6149">
      <w:pPr>
        <w:pStyle w:val="Nadpis1"/>
        <w:pageBreakBefore/>
      </w:pPr>
      <w:r>
        <w:lastRenderedPageBreak/>
        <w:t xml:space="preserve">5. </w:t>
      </w:r>
      <w:r w:rsidRPr="00A204CF">
        <w:t>Metodická příloha</w:t>
      </w:r>
      <w:bookmarkEnd w:id="42"/>
    </w:p>
    <w:p w:rsidR="001319EB" w:rsidRPr="00A204CF" w:rsidRDefault="00290F1C" w:rsidP="00290F1C">
      <w:pPr>
        <w:pStyle w:val="Nadpis2"/>
      </w:pPr>
      <w:bookmarkStart w:id="43" w:name="_Toc481748805"/>
      <w:r>
        <w:t xml:space="preserve">5.1 </w:t>
      </w:r>
      <w:r w:rsidR="001319EB" w:rsidRPr="00A204CF">
        <w:t>Základní rozdíly mezi původní metodikou SHA 1.0 a novou metodikou SHA 2011</w:t>
      </w:r>
      <w:bookmarkEnd w:id="43"/>
      <w:r w:rsidR="001319EB" w:rsidRPr="00A204CF">
        <w:t xml:space="preserve"> </w:t>
      </w:r>
    </w:p>
    <w:p w:rsidR="001319EB" w:rsidRPr="005D514D" w:rsidRDefault="001319EB" w:rsidP="001319EB">
      <w:pPr>
        <w:jc w:val="both"/>
        <w:rPr>
          <w:rFonts w:eastAsia="MS Gothic"/>
          <w:bCs/>
          <w:szCs w:val="20"/>
        </w:rPr>
      </w:pPr>
      <w:r w:rsidRPr="005D514D">
        <w:rPr>
          <w:rFonts w:eastAsia="MS Gothic"/>
          <w:bCs/>
          <w:szCs w:val="20"/>
        </w:rPr>
        <w:t>Metodický manuál  SHA 2011 zavedl v porovnání s předcházejícím SHA 1.0 některé změny a vylepšení. Spočívají zejména v rozšíření a současně i v prohloubení pohledu na systém zdravotní péče. Obojí se týká především oblasti preventivní a dlouhodobé péče.</w:t>
      </w:r>
    </w:p>
    <w:p w:rsidR="001319EB" w:rsidRPr="001E3731" w:rsidRDefault="001319EB" w:rsidP="001319EB">
      <w:pPr>
        <w:spacing w:before="120"/>
        <w:jc w:val="both"/>
        <w:rPr>
          <w:rFonts w:cs="Arial"/>
          <w:szCs w:val="20"/>
        </w:rPr>
      </w:pPr>
      <w:r w:rsidRPr="001E3731">
        <w:rPr>
          <w:rFonts w:cs="Arial"/>
          <w:szCs w:val="20"/>
        </w:rPr>
        <w:t xml:space="preserve">Nový manuál člení výdaje na </w:t>
      </w:r>
      <w:r w:rsidRPr="001E3731">
        <w:rPr>
          <w:rFonts w:cs="Arial"/>
          <w:b/>
          <w:szCs w:val="20"/>
        </w:rPr>
        <w:t>preventivní péči</w:t>
      </w:r>
      <w:r w:rsidRPr="001E3731">
        <w:rPr>
          <w:rFonts w:cs="Arial"/>
          <w:szCs w:val="20"/>
        </w:rPr>
        <w:t xml:space="preserve"> podle druhu preventivních programů, nikoli podle druhů nemocí či cílové skupiny pacientů, jak tomu bylo dříve. Tato změna umožňuje nalezení a kvantifikaci vazby mezi náklady na daný preventivní program (např. imunizační programy či včasného odhalení nemocí) a</w:t>
      </w:r>
      <w:r>
        <w:rPr>
          <w:rFonts w:cs="Arial"/>
          <w:szCs w:val="20"/>
        </w:rPr>
        <w:t> </w:t>
      </w:r>
      <w:r w:rsidRPr="001E3731">
        <w:rPr>
          <w:rFonts w:cs="Arial"/>
          <w:szCs w:val="20"/>
        </w:rPr>
        <w:t xml:space="preserve">dosaženými výsledky ve zdravotním stavu účastníků programu. </w:t>
      </w:r>
    </w:p>
    <w:p w:rsidR="001319EB" w:rsidRPr="001E3731" w:rsidRDefault="001319EB" w:rsidP="001319EB">
      <w:pPr>
        <w:spacing w:before="120"/>
        <w:jc w:val="both"/>
        <w:rPr>
          <w:szCs w:val="20"/>
        </w:rPr>
      </w:pPr>
      <w:r w:rsidRPr="001E3731">
        <w:rPr>
          <w:rFonts w:cs="Arial"/>
          <w:szCs w:val="20"/>
        </w:rPr>
        <w:t xml:space="preserve">Nemalý význam má skutečnost, že z  pohledu stupně či úrovně prevence umožňuje manuál členění preventivní péče na primární a sekundární. </w:t>
      </w:r>
      <w:r w:rsidRPr="001E3731">
        <w:rPr>
          <w:szCs w:val="20"/>
        </w:rPr>
        <w:t>Primární prevence zahrnuje služby, které se snaží zabránit kontaktu s určitými rizikovými faktory, ovlivňujícími vznik chorob. Jejím cílem je předcházet vzniku nových případů onemocnění, předvídat jejich vznik a snížit jejich závažnost např. očkování proti klíšťové encefalitidě, invazivním pneumokokovým infekcím, chřipce apod. Sekundární prevence zahrnuje opatření zaměřená na včasné odhalení (již probíhající) nemoci. Efektivní sekundární intervence zvyšuje možnost méně nákladných a pacienta zatěžujících léčebných zásahů a předchází progresi onemocnění. Mezi</w:t>
      </w:r>
      <w:r>
        <w:rPr>
          <w:szCs w:val="20"/>
        </w:rPr>
        <w:t> </w:t>
      </w:r>
      <w:r w:rsidRPr="001E3731">
        <w:rPr>
          <w:szCs w:val="20"/>
        </w:rPr>
        <w:t>příklady sekundární prevence patří screeningy zhoubných nádorů, screeningy sluchu u novorozenců a</w:t>
      </w:r>
      <w:r>
        <w:rPr>
          <w:szCs w:val="20"/>
        </w:rPr>
        <w:t> </w:t>
      </w:r>
      <w:r w:rsidRPr="001E3731">
        <w:rPr>
          <w:szCs w:val="20"/>
        </w:rPr>
        <w:t>částečně i pravidelné preventivní prohlídky. Souhrnně lze preventivní péči (podobně jako činnosti řízení a</w:t>
      </w:r>
      <w:r>
        <w:rPr>
          <w:szCs w:val="20"/>
        </w:rPr>
        <w:t> </w:t>
      </w:r>
      <w:r w:rsidRPr="001E3731">
        <w:rPr>
          <w:szCs w:val="20"/>
        </w:rPr>
        <w:t xml:space="preserve">správy zdravotní péče) označit za kolektivní služby zdravotní péče, které jsou zaměřena na celou populaci či skupiny osob. Na druhé straně manuál rozeznává individuální spotřebu zdravotní péče, ta se vztahuje k pacientům – jednotlivcům.   </w:t>
      </w:r>
    </w:p>
    <w:p w:rsidR="001319EB" w:rsidRPr="001E3731" w:rsidRDefault="001319EB" w:rsidP="001319EB">
      <w:pPr>
        <w:spacing w:before="120"/>
        <w:jc w:val="both"/>
        <w:rPr>
          <w:rFonts w:eastAsia="MS Gothic"/>
          <w:bCs/>
          <w:szCs w:val="20"/>
        </w:rPr>
      </w:pPr>
      <w:r>
        <w:rPr>
          <w:rFonts w:eastAsia="MS Gothic"/>
          <w:bCs/>
          <w:szCs w:val="20"/>
        </w:rPr>
        <w:t>V</w:t>
      </w:r>
      <w:r w:rsidRPr="001E3731">
        <w:rPr>
          <w:rFonts w:eastAsia="MS Gothic"/>
          <w:bCs/>
          <w:szCs w:val="20"/>
        </w:rPr>
        <w:t> souvislosti s fenoménem stárnutí obyvatelstva vyspělých zemí se v rámci</w:t>
      </w:r>
      <w:r>
        <w:rPr>
          <w:rFonts w:eastAsia="MS Gothic"/>
          <w:bCs/>
          <w:szCs w:val="20"/>
        </w:rPr>
        <w:t xml:space="preserve"> zdravotní péče zvyšuje význam</w:t>
      </w:r>
      <w:r w:rsidRPr="001E3731">
        <w:rPr>
          <w:rFonts w:eastAsia="MS Gothic"/>
          <w:bCs/>
          <w:szCs w:val="20"/>
        </w:rPr>
        <w:t xml:space="preserve"> </w:t>
      </w:r>
      <w:r w:rsidRPr="001E3731">
        <w:rPr>
          <w:rFonts w:eastAsia="MS Gothic"/>
          <w:b/>
          <w:bCs/>
          <w:szCs w:val="20"/>
        </w:rPr>
        <w:t>dlouhodobé péče</w:t>
      </w:r>
      <w:r w:rsidRPr="001E3731">
        <w:rPr>
          <w:rFonts w:eastAsia="MS Gothic"/>
          <w:bCs/>
          <w:szCs w:val="20"/>
        </w:rPr>
        <w:t>, které se budeme podrobněji věnovat v další části metodické přílohy.</w:t>
      </w:r>
    </w:p>
    <w:p w:rsidR="001319EB" w:rsidRPr="001E3731" w:rsidRDefault="00290F1C" w:rsidP="00290F1C">
      <w:pPr>
        <w:pStyle w:val="Nadpis2"/>
        <w:spacing w:before="360"/>
      </w:pPr>
      <w:bookmarkStart w:id="44" w:name="_Toc481748806"/>
      <w:r>
        <w:t xml:space="preserve">5.2 </w:t>
      </w:r>
      <w:r w:rsidR="001319EB" w:rsidRPr="001E3731">
        <w:t>Výdaje na dlouhodobou péči</w:t>
      </w:r>
      <w:bookmarkEnd w:id="44"/>
    </w:p>
    <w:p w:rsidR="001319EB" w:rsidRPr="001E3731" w:rsidRDefault="001319EB" w:rsidP="001319EB">
      <w:pPr>
        <w:jc w:val="both"/>
        <w:rPr>
          <w:rFonts w:eastAsia="Calibri" w:cs="Arial"/>
          <w:szCs w:val="20"/>
          <w:lang w:eastAsia="en-US"/>
        </w:rPr>
      </w:pPr>
      <w:r w:rsidRPr="001E3731">
        <w:rPr>
          <w:rFonts w:cs="Arial"/>
          <w:szCs w:val="20"/>
        </w:rPr>
        <w:t xml:space="preserve">Oblast dlouhodobé péče byla v posledních letech ve spolupráci OECD, EUROSTAT a WHO metodicky vyjasněna a lze předpokládat i zlepšení mezinárodního sběru dat. Upravená metodika SHA 2011 rozlišuje dvě skupiny - </w:t>
      </w:r>
      <w:r w:rsidRPr="001E3731">
        <w:rPr>
          <w:rFonts w:cs="Arial"/>
          <w:b/>
          <w:szCs w:val="20"/>
        </w:rPr>
        <w:t>dlouhodobou péči zdravotní a sociální</w:t>
      </w:r>
      <w:r w:rsidRPr="001E3731">
        <w:rPr>
          <w:rFonts w:cs="Arial"/>
          <w:szCs w:val="20"/>
        </w:rPr>
        <w:t>.</w:t>
      </w:r>
      <w:r w:rsidRPr="001E3731">
        <w:rPr>
          <w:rFonts w:eastAsia="Calibri" w:cs="Arial"/>
          <w:szCs w:val="20"/>
          <w:lang w:eastAsia="en-US"/>
        </w:rPr>
        <w:t xml:space="preserve"> Prolínání dlouhodobé zdravotní a sociální složky péče u většiny sociálních služeb předznamenalo jejich nutné rozčlenění do položek </w:t>
      </w:r>
      <w:r w:rsidRPr="001E3731">
        <w:rPr>
          <w:rFonts w:eastAsia="Calibri" w:cs="Arial"/>
          <w:b/>
          <w:szCs w:val="20"/>
          <w:lang w:eastAsia="en-US"/>
        </w:rPr>
        <w:t>HC.3 Dlouhodobá zdravotní péče nebo HCR.1 Dlouhodobá sociální péče.</w:t>
      </w:r>
      <w:r w:rsidRPr="001E3731">
        <w:rPr>
          <w:rFonts w:eastAsia="Calibri" w:cs="Arial"/>
          <w:szCs w:val="20"/>
          <w:lang w:eastAsia="en-US"/>
        </w:rPr>
        <w:t xml:space="preserve"> </w:t>
      </w:r>
    </w:p>
    <w:p w:rsidR="001319EB" w:rsidRPr="001E3731" w:rsidRDefault="001319EB" w:rsidP="001319EB">
      <w:pPr>
        <w:spacing w:before="120" w:after="120"/>
        <w:jc w:val="both"/>
        <w:rPr>
          <w:rFonts w:eastAsia="Calibri" w:cs="Arial"/>
          <w:szCs w:val="20"/>
          <w:lang w:eastAsia="en-US"/>
        </w:rPr>
      </w:pPr>
      <w:r w:rsidRPr="001E3731">
        <w:rPr>
          <w:rFonts w:cs="Arial"/>
          <w:szCs w:val="20"/>
        </w:rPr>
        <w:t xml:space="preserve">Na základě charakteru, rozsahu základních činností a cílových skupin uživatelů, kterým jsou jednotlivé druhy sociálních služeb poskytovány, </w:t>
      </w:r>
      <w:r w:rsidRPr="001E3731">
        <w:rPr>
          <w:rFonts w:eastAsia="Calibri" w:cs="Arial"/>
          <w:szCs w:val="20"/>
          <w:lang w:eastAsia="en-US"/>
        </w:rPr>
        <w:t xml:space="preserve">byl na základě doporučení OECD použit princip dominujících činností zabezpečovaných poskytovateli sociálních služeb. Jedná-li se o sociální služby výhradně nebo převážně zaměřené na poskytování služeb osobní péče (personal care services), jako je získání dovedností a návyků, pomoc při zvládání běžných denních činností, péče o vlastní osobu, dojde k začlenění pod položku </w:t>
      </w:r>
      <w:r w:rsidRPr="001E3731">
        <w:rPr>
          <w:rFonts w:eastAsia="Calibri" w:cs="Arial"/>
          <w:b/>
          <w:szCs w:val="20"/>
          <w:lang w:eastAsia="en-US"/>
        </w:rPr>
        <w:t>Dlouhodobá zdravotní péče HC.3,</w:t>
      </w:r>
      <w:r w:rsidRPr="001E3731">
        <w:rPr>
          <w:rFonts w:eastAsia="Calibri" w:cs="Arial"/>
          <w:szCs w:val="20"/>
          <w:lang w:eastAsia="en-US"/>
        </w:rPr>
        <w:t xml:space="preserve"> která zahrnuje v ČR tři formy:</w:t>
      </w:r>
    </w:p>
    <w:p w:rsidR="001319EB" w:rsidRPr="001E3731" w:rsidRDefault="001319EB" w:rsidP="001319EB">
      <w:pPr>
        <w:jc w:val="both"/>
        <w:rPr>
          <w:rFonts w:eastAsia="Calibri" w:cs="Arial"/>
          <w:szCs w:val="20"/>
          <w:lang w:eastAsia="en-US"/>
        </w:rPr>
      </w:pPr>
      <w:r w:rsidRPr="001E3731">
        <w:rPr>
          <w:rFonts w:eastAsia="Calibri" w:cs="Arial"/>
          <w:b/>
          <w:szCs w:val="20"/>
          <w:lang w:eastAsia="en-US"/>
        </w:rPr>
        <w:t>Lůžková dlouhodobá péče</w:t>
      </w:r>
      <w:r w:rsidRPr="001E3731">
        <w:rPr>
          <w:rFonts w:eastAsia="Calibri" w:cs="Arial"/>
          <w:szCs w:val="20"/>
          <w:lang w:eastAsia="en-US"/>
        </w:rPr>
        <w:t xml:space="preserve"> (HC 3</w:t>
      </w:r>
      <w:r>
        <w:rPr>
          <w:rFonts w:eastAsia="Calibri" w:cs="Arial"/>
          <w:szCs w:val="20"/>
          <w:lang w:eastAsia="en-US"/>
        </w:rPr>
        <w:t>.1) zahrnuje</w:t>
      </w:r>
      <w:r w:rsidRPr="001E3731">
        <w:rPr>
          <w:rFonts w:eastAsia="Calibri" w:cs="Arial"/>
          <w:szCs w:val="20"/>
          <w:lang w:eastAsia="en-US"/>
        </w:rPr>
        <w:t xml:space="preserve"> služby dlouhodobého charakteru poskytované v</w:t>
      </w:r>
      <w:r>
        <w:rPr>
          <w:rFonts w:eastAsia="Calibri" w:cs="Arial"/>
          <w:szCs w:val="20"/>
          <w:lang w:eastAsia="en-US"/>
        </w:rPr>
        <w:t> </w:t>
      </w:r>
      <w:r w:rsidRPr="001E3731">
        <w:rPr>
          <w:rFonts w:eastAsia="Calibri" w:cs="Arial"/>
          <w:szCs w:val="20"/>
          <w:lang w:eastAsia="en-US"/>
        </w:rPr>
        <w:t>zařízeních</w:t>
      </w:r>
      <w:r>
        <w:rPr>
          <w:rFonts w:eastAsia="Calibri" w:cs="Arial"/>
          <w:szCs w:val="20"/>
          <w:lang w:eastAsia="en-US"/>
        </w:rPr>
        <w:t>, jako</w:t>
      </w:r>
      <w:r w:rsidRPr="001E3731">
        <w:rPr>
          <w:rFonts w:eastAsia="Calibri" w:cs="Arial"/>
          <w:szCs w:val="20"/>
          <w:lang w:eastAsia="en-US"/>
        </w:rPr>
        <w:t xml:space="preserve"> jsou nemocnice, pečovatelské ústavy, domovy pro seniory, domovy pro osoby se zdravotním postižením, týdenní stacionáře apod. s možností zajištění zdravotní péče pacientům (klientům</w:t>
      </w:r>
      <w:r>
        <w:rPr>
          <w:rFonts w:eastAsia="Calibri" w:cs="Arial"/>
          <w:szCs w:val="20"/>
          <w:lang w:eastAsia="en-US"/>
        </w:rPr>
        <w:t>), kteří jsou v daném zařízení</w:t>
      </w:r>
      <w:r w:rsidRPr="001E3731">
        <w:rPr>
          <w:rFonts w:eastAsia="Calibri" w:cs="Arial"/>
          <w:szCs w:val="20"/>
          <w:lang w:eastAsia="en-US"/>
        </w:rPr>
        <w:t xml:space="preserve"> ubytováni.   </w:t>
      </w:r>
    </w:p>
    <w:p w:rsidR="001319EB" w:rsidRPr="001E3731" w:rsidRDefault="001319EB" w:rsidP="001319EB">
      <w:pPr>
        <w:jc w:val="both"/>
        <w:rPr>
          <w:rFonts w:eastAsia="Calibri"/>
          <w:lang w:eastAsia="en-US"/>
        </w:rPr>
      </w:pPr>
      <w:r w:rsidRPr="001E3731">
        <w:rPr>
          <w:rFonts w:eastAsia="Calibri"/>
          <w:b/>
          <w:lang w:eastAsia="en-US"/>
        </w:rPr>
        <w:t>Denní dlouhodobá péče</w:t>
      </w:r>
      <w:r w:rsidRPr="001E3731">
        <w:rPr>
          <w:rFonts w:eastAsia="Calibri"/>
          <w:lang w:eastAsia="en-US"/>
        </w:rPr>
        <w:t xml:space="preserve"> (HC 3.2) je poskytována  v denních stacionářích, v centrech denních služeb a patří do ní také odlehčovací služby. </w:t>
      </w:r>
    </w:p>
    <w:p w:rsidR="001319EB" w:rsidRPr="001E3731" w:rsidRDefault="001319EB" w:rsidP="001319EB">
      <w:pPr>
        <w:jc w:val="both"/>
        <w:rPr>
          <w:rFonts w:eastAsia="Calibri"/>
          <w:lang w:eastAsia="en-US"/>
        </w:rPr>
      </w:pPr>
      <w:r w:rsidRPr="001E3731">
        <w:rPr>
          <w:rFonts w:eastAsia="Calibri"/>
          <w:b/>
          <w:lang w:eastAsia="en-US"/>
        </w:rPr>
        <w:t>Domácí dlouhodobou péči</w:t>
      </w:r>
      <w:r w:rsidRPr="001E3731">
        <w:rPr>
          <w:rFonts w:eastAsia="Calibri"/>
          <w:lang w:eastAsia="en-US"/>
        </w:rPr>
        <w:t xml:space="preserve"> (HC 3.4) představují služby poskytované klientům v přirozeném prostředí jejich domova. Mimo jiné do ní patří osobní asistence a pečovatelská služba.  </w:t>
      </w:r>
    </w:p>
    <w:p w:rsidR="001319EB" w:rsidRPr="001E3731" w:rsidRDefault="001319EB" w:rsidP="001319EB">
      <w:pPr>
        <w:spacing w:before="120"/>
        <w:jc w:val="both"/>
        <w:rPr>
          <w:rFonts w:eastAsia="Calibri" w:cs="Arial"/>
          <w:szCs w:val="20"/>
          <w:lang w:eastAsia="en-US"/>
        </w:rPr>
      </w:pPr>
      <w:r w:rsidRPr="001E3731">
        <w:rPr>
          <w:rFonts w:eastAsia="Calibri" w:cs="Arial"/>
          <w:b/>
          <w:szCs w:val="20"/>
          <w:lang w:eastAsia="en-US"/>
        </w:rPr>
        <w:lastRenderedPageBreak/>
        <w:t>Dlouhodobá sociální péče HCR 1</w:t>
      </w:r>
      <w:r w:rsidRPr="001E3731">
        <w:rPr>
          <w:rFonts w:eastAsia="Calibri" w:cs="Arial"/>
          <w:szCs w:val="20"/>
          <w:lang w:eastAsia="en-US"/>
        </w:rPr>
        <w:t xml:space="preserve"> se dělí na následující podkategorie: </w:t>
      </w:r>
    </w:p>
    <w:p w:rsidR="001319EB" w:rsidRPr="001E3731" w:rsidRDefault="001319EB" w:rsidP="001319EB">
      <w:pPr>
        <w:jc w:val="both"/>
        <w:rPr>
          <w:rFonts w:eastAsia="Calibri" w:cs="Arial"/>
          <w:szCs w:val="20"/>
          <w:lang w:eastAsia="en-US"/>
        </w:rPr>
      </w:pPr>
      <w:r w:rsidRPr="001E3731">
        <w:rPr>
          <w:rFonts w:eastAsia="Calibri" w:cs="Arial"/>
          <w:b/>
          <w:szCs w:val="20"/>
          <w:lang w:eastAsia="en-US"/>
        </w:rPr>
        <w:t>Sociální služby</w:t>
      </w:r>
      <w:r w:rsidRPr="001E3731">
        <w:rPr>
          <w:rFonts w:eastAsia="Calibri" w:cs="Arial"/>
          <w:szCs w:val="20"/>
          <w:lang w:eastAsia="en-US"/>
        </w:rPr>
        <w:t xml:space="preserve"> zahrnují služby tzv. asistenčního charakteru jako je dovážka nebo příprava oběda, pomoc při zajištění chodu domácnosti (úklid, nákupy), zprostředkování kontaktu se společenským prostředím, sociálně terapeutické, výchovné a vzdělávací činnosti nebo pomoc při uplatňování práv a oprávněných zájmů pacienta (klienta). Vymezení širokého rozsahu sociálních služeb je upraveno zákonem č. 108/ 2006 Sb., o sociálních službách ve znění pozdějších předpisů. Údaje o výdajích na sociální služby jsou k dispozici pouze ze státního rozpočtu, nikoliv z přímých výdajů domácností.</w:t>
      </w:r>
    </w:p>
    <w:p w:rsidR="001319EB" w:rsidRPr="001E3731" w:rsidRDefault="001319EB" w:rsidP="001319EB">
      <w:pPr>
        <w:spacing w:before="120" w:after="120"/>
        <w:jc w:val="both"/>
        <w:rPr>
          <w:rFonts w:eastAsia="Calibri" w:cs="Arial"/>
          <w:szCs w:val="20"/>
          <w:lang w:eastAsia="en-US"/>
        </w:rPr>
      </w:pPr>
      <w:r w:rsidRPr="001E3731">
        <w:rPr>
          <w:rFonts w:eastAsia="Calibri" w:cs="Arial"/>
          <w:b/>
          <w:szCs w:val="20"/>
          <w:lang w:eastAsia="en-US"/>
        </w:rPr>
        <w:t>Peněžité dávky dlouhodobé sociální péče</w:t>
      </w:r>
      <w:r w:rsidRPr="001E3731">
        <w:rPr>
          <w:rFonts w:eastAsia="Calibri" w:cs="Arial"/>
          <w:szCs w:val="20"/>
          <w:lang w:eastAsia="en-US"/>
        </w:rPr>
        <w:t xml:space="preserve"> představují finanční transfery ve prospěch jednotlivých osob či domácností. Pokrývají obvykle služby neformální péče zajišťované členy rodiny nebo odměnu poskytovatelům formální péče sociální podpory, kteří pomáhají pacientům (klientům) v každodenních běžných činnostech. Nenahrazují dávky na ochranu příjmu pro případ nemoci nebo invalidity. </w:t>
      </w:r>
      <w:r w:rsidRPr="001E3731">
        <w:rPr>
          <w:rFonts w:cs="Arial"/>
          <w:szCs w:val="20"/>
        </w:rPr>
        <w:t xml:space="preserve">V podmínkách ČR odpovídají nové metodice SHA 2011 </w:t>
      </w:r>
      <w:r w:rsidRPr="001E3731">
        <w:rPr>
          <w:rFonts w:eastAsia="Calibri" w:cs="Arial"/>
          <w:szCs w:val="20"/>
          <w:lang w:eastAsia="en-US"/>
        </w:rPr>
        <w:t>dávky pro osoby se zdravotním postižením, tj.</w:t>
      </w:r>
      <w:r>
        <w:rPr>
          <w:rFonts w:eastAsia="Calibri" w:cs="Arial"/>
          <w:szCs w:val="20"/>
          <w:lang w:eastAsia="en-US"/>
        </w:rPr>
        <w:t> </w:t>
      </w:r>
      <w:r w:rsidRPr="001E3731">
        <w:rPr>
          <w:rFonts w:eastAsia="Calibri" w:cs="Arial"/>
          <w:szCs w:val="20"/>
          <w:lang w:eastAsia="en-US"/>
        </w:rPr>
        <w:t>příspěvek na mobilitu a příspěvek na zvláštní pomůcku a část výdajů příspěvku na péči.</w:t>
      </w:r>
    </w:p>
    <w:p w:rsidR="001319EB" w:rsidRPr="001E3731" w:rsidRDefault="001319EB" w:rsidP="001319EB">
      <w:pPr>
        <w:spacing w:before="120" w:after="200"/>
        <w:contextualSpacing/>
        <w:rPr>
          <w:rFonts w:eastAsia="Calibri" w:cs="Arial"/>
          <w:szCs w:val="20"/>
          <w:lang w:eastAsia="en-US"/>
        </w:rPr>
      </w:pPr>
      <w:r w:rsidRPr="001E3731">
        <w:rPr>
          <w:rFonts w:eastAsia="Calibri" w:cs="Arial"/>
          <w:b/>
          <w:szCs w:val="20"/>
          <w:lang w:eastAsia="en-US"/>
        </w:rPr>
        <w:t>Dávky pro osoby se zdravotním postižením</w:t>
      </w:r>
      <w:r w:rsidRPr="001E3731">
        <w:rPr>
          <w:rFonts w:eastAsia="Calibri" w:cs="Arial"/>
          <w:szCs w:val="20"/>
          <w:lang w:eastAsia="en-US"/>
        </w:rPr>
        <w:t>:</w:t>
      </w:r>
    </w:p>
    <w:p w:rsidR="001319EB" w:rsidRPr="001E3731" w:rsidRDefault="001319EB" w:rsidP="001319EB">
      <w:pPr>
        <w:keepNext/>
        <w:numPr>
          <w:ilvl w:val="0"/>
          <w:numId w:val="21"/>
        </w:numPr>
        <w:spacing w:before="120" w:after="200"/>
        <w:ind w:left="714" w:hanging="357"/>
        <w:contextualSpacing/>
        <w:jc w:val="both"/>
        <w:rPr>
          <w:rFonts w:eastAsia="Calibri" w:cs="Arial"/>
          <w:szCs w:val="20"/>
          <w:lang w:eastAsia="en-US"/>
        </w:rPr>
      </w:pPr>
      <w:r w:rsidRPr="001E3731">
        <w:rPr>
          <w:rFonts w:eastAsia="Calibri" w:cs="Arial"/>
          <w:b/>
          <w:szCs w:val="20"/>
          <w:lang w:eastAsia="en-US"/>
        </w:rPr>
        <w:t>příspěvek na mobilitu</w:t>
      </w:r>
      <w:r w:rsidRPr="001E3731">
        <w:rPr>
          <w:rFonts w:eastAsia="Calibri" w:cs="Arial"/>
          <w:szCs w:val="20"/>
          <w:lang w:eastAsia="en-US"/>
        </w:rPr>
        <w:t xml:space="preserve"> - opakující se nároková dávka, která je určena osobě se zdravotním postižením starší 1 roku, která se opakovaně za úhradu v kalendářním měsíci dopravuje nebo je dopravována. </w:t>
      </w:r>
      <w:r>
        <w:rPr>
          <w:rFonts w:eastAsia="Calibri" w:cs="Arial"/>
          <w:szCs w:val="20"/>
          <w:lang w:eastAsia="en-US"/>
        </w:rPr>
        <w:t>V roce 2016 činila v</w:t>
      </w:r>
      <w:r w:rsidRPr="001E3731">
        <w:rPr>
          <w:rFonts w:eastAsia="Calibri" w:cs="Arial"/>
          <w:szCs w:val="20"/>
          <w:lang w:eastAsia="en-US"/>
        </w:rPr>
        <w:t>ýše dávky 400 Kč měsíčně. Účel dopravy, na který je příspěvek využíván, současná legislativa nestanovuje. Dojížďka do a ze zdravotnického nebo sociálního zařízení tak může být jedním z účelů dopravy.</w:t>
      </w:r>
    </w:p>
    <w:p w:rsidR="001319EB" w:rsidRPr="001E3731" w:rsidRDefault="001319EB" w:rsidP="001319EB">
      <w:pPr>
        <w:keepNext/>
        <w:numPr>
          <w:ilvl w:val="0"/>
          <w:numId w:val="21"/>
        </w:numPr>
        <w:spacing w:after="200"/>
        <w:contextualSpacing/>
        <w:jc w:val="both"/>
        <w:rPr>
          <w:rFonts w:eastAsia="Calibri" w:cs="Arial"/>
          <w:szCs w:val="20"/>
          <w:lang w:eastAsia="en-US"/>
        </w:rPr>
      </w:pPr>
      <w:r w:rsidRPr="001E3731">
        <w:rPr>
          <w:rFonts w:eastAsia="Calibri" w:cs="Arial"/>
          <w:b/>
          <w:szCs w:val="20"/>
          <w:lang w:eastAsia="en-US"/>
        </w:rPr>
        <w:t>příspěvek na zvláštní pomůcku</w:t>
      </w:r>
      <w:r w:rsidRPr="001E3731">
        <w:rPr>
          <w:rFonts w:eastAsia="Calibri" w:cs="Arial"/>
          <w:szCs w:val="20"/>
          <w:lang w:eastAsia="en-US"/>
        </w:rPr>
        <w:t xml:space="preserve"> – nárok na příspěvek na zvláštní pomůcku (jednorázová dávka) má osoba, která má těžkou vadu nosného nebo pohybového ústrojí nebo těžké sluchové postižení anebo těžké zrakové postižení charakteru dlouhodobě nepříznivého zdravotního stavu a její zdravotní stav nevylučuje přiznání tohoto příspěvku. Za dlouhodobě nepříznivý zdravotní stav se přitom pro účely tohoto zákona považuje nepříznivý zdravotní stav, který podle poznatků lékařské vědy trvá nebo má trvat déle než 1 rok.</w:t>
      </w:r>
    </w:p>
    <w:p w:rsidR="001319EB" w:rsidRPr="001E3731" w:rsidRDefault="001319EB" w:rsidP="001319EB">
      <w:pPr>
        <w:spacing w:after="120"/>
        <w:ind w:left="720"/>
        <w:jc w:val="both"/>
        <w:rPr>
          <w:rFonts w:eastAsia="Calibri" w:cs="Arial"/>
          <w:szCs w:val="20"/>
          <w:lang w:eastAsia="en-US"/>
        </w:rPr>
      </w:pPr>
      <w:r w:rsidRPr="001E3731">
        <w:rPr>
          <w:rFonts w:eastAsia="Calibri" w:cs="Arial"/>
          <w:szCs w:val="20"/>
          <w:lang w:eastAsia="en-US"/>
        </w:rPr>
        <w:t>Seznam druhů a typů zvláštních pomůcek, na které je dávka určena, je obsažen v příloze č. 1 vyhlášky č. 388/2011 Sb., o provedení některých ustanovení zákona o poskytování dávek osobám se zdravotním postižením. Jedná se např. o  dodatečnou úpravu motorového vozidla, stavební práce spojené s uzpůsobením domácnosti, zajištění přístupu do domu či bytu (schodišťová plošina) a</w:t>
      </w:r>
      <w:r>
        <w:rPr>
          <w:rFonts w:eastAsia="Calibri" w:cs="Arial"/>
          <w:szCs w:val="20"/>
          <w:lang w:eastAsia="en-US"/>
        </w:rPr>
        <w:t> </w:t>
      </w:r>
      <w:r w:rsidRPr="001E3731">
        <w:rPr>
          <w:rFonts w:eastAsia="Calibri" w:cs="Arial"/>
          <w:szCs w:val="20"/>
          <w:lang w:eastAsia="en-US"/>
        </w:rPr>
        <w:t xml:space="preserve">další. Výše příspěvku na zvláštní pomůcku se stanoví s přihlédnutím k četnosti a důvodu dopravy, příjmu osoby a příjmu osob s ní společně posuzovaných a celkovým sociálním a majetkovým poměrům. </w:t>
      </w:r>
    </w:p>
    <w:p w:rsidR="001319EB" w:rsidRPr="001E3731" w:rsidRDefault="001319EB" w:rsidP="001319EB">
      <w:pPr>
        <w:spacing w:before="120"/>
        <w:jc w:val="both"/>
        <w:rPr>
          <w:rFonts w:eastAsia="Calibri" w:cs="Arial"/>
          <w:szCs w:val="20"/>
          <w:lang w:eastAsia="en-US"/>
        </w:rPr>
      </w:pPr>
      <w:r w:rsidRPr="001E3731">
        <w:rPr>
          <w:rFonts w:eastAsia="Calibri" w:cs="Arial"/>
          <w:b/>
          <w:szCs w:val="20"/>
          <w:lang w:eastAsia="en-US"/>
        </w:rPr>
        <w:t>Příspěvek na péči</w:t>
      </w:r>
      <w:r w:rsidRPr="001E3731">
        <w:rPr>
          <w:rFonts w:eastAsia="Calibri" w:cs="Arial"/>
          <w:szCs w:val="20"/>
          <w:lang w:eastAsia="en-US"/>
        </w:rPr>
        <w:t xml:space="preserve"> – jedná se o peněžitou periodickou sociální dávku, která je určena na zajištění služeb kompenzujících nesoběstačnost osob. Tyto služby mohou být zajištěny jak nákupem služeb od poskytovatelů sociálních služeb, tak prostřednictvím blízkých osob, které o nesoběstačné pečují v rámci rodiny nebo společné domácnosti. Nárok na příspěvek má osoba starší 1 roku, která z důvodu dlouhodobě nepříznivého zdravotního stavu potřebuje pomoc jiné fyzické osoby při zvládání základních životních potřeb v rozsahu stanoveném stupněm závislosti podle zákona o sociálních službách. Stupeň závislosti se hodnotí podle počtu základních životních potřeb, které osoba není schopna z důvodu dlouhodobě nepříznivého zdravotního stavu zvládat, a potřeby každodenní mimořádné péče jiné fyzické osoby u osob do 18 let věku a</w:t>
      </w:r>
      <w:r>
        <w:rPr>
          <w:rFonts w:eastAsia="Calibri" w:cs="Arial"/>
          <w:szCs w:val="20"/>
          <w:lang w:eastAsia="en-US"/>
        </w:rPr>
        <w:t> </w:t>
      </w:r>
      <w:r w:rsidRPr="001E3731">
        <w:rPr>
          <w:rFonts w:eastAsia="Calibri" w:cs="Arial"/>
          <w:szCs w:val="20"/>
          <w:lang w:eastAsia="en-US"/>
        </w:rPr>
        <w:t>potřeby každodenní pomoci, dohledu nebo péče jiné fyzické osoby u osob starších 18 let věku.</w:t>
      </w:r>
    </w:p>
    <w:p w:rsidR="001319EB" w:rsidRPr="001E3731" w:rsidRDefault="001319EB" w:rsidP="001319EB">
      <w:pPr>
        <w:spacing w:after="200"/>
        <w:ind w:left="720"/>
        <w:contextualSpacing/>
        <w:jc w:val="both"/>
        <w:rPr>
          <w:rFonts w:eastAsia="Calibri" w:cs="Arial"/>
          <w:sz w:val="16"/>
          <w:szCs w:val="16"/>
          <w:lang w:eastAsia="en-US"/>
        </w:rPr>
      </w:pPr>
    </w:p>
    <w:p w:rsidR="001319EB" w:rsidRPr="001E3731" w:rsidRDefault="001319EB" w:rsidP="001319EB">
      <w:pPr>
        <w:spacing w:after="200" w:line="276" w:lineRule="auto"/>
        <w:ind w:left="709"/>
        <w:contextualSpacing/>
        <w:jc w:val="center"/>
        <w:rPr>
          <w:rFonts w:eastAsia="Calibri" w:cs="Arial"/>
          <w:szCs w:val="20"/>
          <w:lang w:eastAsia="en-US"/>
        </w:rPr>
      </w:pPr>
      <w:r w:rsidRPr="001E3731">
        <w:rPr>
          <w:rFonts w:eastAsia="Calibri" w:cs="Arial"/>
          <w:noProof/>
          <w:szCs w:val="20"/>
        </w:rPr>
        <w:lastRenderedPageBreak/>
        <w:drawing>
          <wp:inline distT="0" distB="0" distL="0" distR="0">
            <wp:extent cx="5153025" cy="2914650"/>
            <wp:effectExtent l="19050" t="19050" r="28575" b="190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2800" cy="2920179"/>
                    </a:xfrm>
                    <a:prstGeom prst="rect">
                      <a:avLst/>
                    </a:prstGeom>
                    <a:noFill/>
                    <a:ln>
                      <a:solidFill>
                        <a:sysClr val="windowText" lastClr="000000"/>
                      </a:solidFill>
                    </a:ln>
                  </pic:spPr>
                </pic:pic>
              </a:graphicData>
            </a:graphic>
          </wp:inline>
        </w:drawing>
      </w:r>
    </w:p>
    <w:p w:rsidR="001319EB" w:rsidRPr="001E3731" w:rsidRDefault="001319EB" w:rsidP="001319EB">
      <w:pPr>
        <w:spacing w:after="200" w:line="276" w:lineRule="auto"/>
        <w:ind w:left="720"/>
        <w:contextualSpacing/>
        <w:jc w:val="both"/>
        <w:rPr>
          <w:rFonts w:eastAsia="Calibri" w:cs="Arial"/>
          <w:szCs w:val="20"/>
          <w:lang w:eastAsia="en-US"/>
        </w:rPr>
      </w:pPr>
    </w:p>
    <w:p w:rsidR="001319EB" w:rsidRPr="001E3731" w:rsidRDefault="001319EB" w:rsidP="001319EB">
      <w:pPr>
        <w:spacing w:after="120"/>
        <w:jc w:val="both"/>
        <w:rPr>
          <w:rFonts w:eastAsia="Calibri" w:cs="Arial"/>
          <w:szCs w:val="20"/>
          <w:lang w:eastAsia="en-US"/>
        </w:rPr>
      </w:pPr>
      <w:r w:rsidRPr="001E3731">
        <w:rPr>
          <w:rFonts w:eastAsia="Calibri" w:cs="Arial"/>
          <w:szCs w:val="20"/>
          <w:lang w:eastAsia="en-US"/>
        </w:rPr>
        <w:t>Pro správné vykazování výdajů na příspěvek na péči v manuálu SHA 2011 představují jednotlivé množiny a</w:t>
      </w:r>
      <w:r>
        <w:rPr>
          <w:rFonts w:eastAsia="Calibri" w:cs="Arial"/>
          <w:szCs w:val="20"/>
          <w:lang w:eastAsia="en-US"/>
        </w:rPr>
        <w:t> </w:t>
      </w:r>
      <w:r w:rsidRPr="001E3731">
        <w:rPr>
          <w:rFonts w:eastAsia="Calibri" w:cs="Arial"/>
          <w:szCs w:val="20"/>
          <w:lang w:eastAsia="en-US"/>
        </w:rPr>
        <w:t>jejich průnik:</w:t>
      </w:r>
    </w:p>
    <w:p w:rsidR="001319EB" w:rsidRPr="001E3731" w:rsidRDefault="001319EB" w:rsidP="001319EB">
      <w:pPr>
        <w:keepNext/>
        <w:numPr>
          <w:ilvl w:val="0"/>
          <w:numId w:val="22"/>
        </w:numPr>
        <w:spacing w:after="200" w:line="240" w:lineRule="auto"/>
        <w:contextualSpacing/>
        <w:jc w:val="both"/>
        <w:rPr>
          <w:rFonts w:eastAsia="Calibri" w:cs="Arial"/>
          <w:i/>
          <w:szCs w:val="20"/>
          <w:lang w:eastAsia="en-US"/>
        </w:rPr>
      </w:pPr>
      <w:r w:rsidRPr="001E3731">
        <w:rPr>
          <w:rFonts w:eastAsia="Calibri" w:cs="Arial"/>
          <w:i/>
          <w:szCs w:val="20"/>
          <w:lang w:eastAsia="en-US"/>
        </w:rPr>
        <w:t>Množina „A“ – průnik „B“ = péče je zajišťována výhradně osobou blízkou (v domácnosti příjemce příspěvku),</w:t>
      </w:r>
    </w:p>
    <w:p w:rsidR="001319EB" w:rsidRPr="001E3731" w:rsidRDefault="001319EB" w:rsidP="001319EB">
      <w:pPr>
        <w:keepNext/>
        <w:numPr>
          <w:ilvl w:val="0"/>
          <w:numId w:val="22"/>
        </w:numPr>
        <w:spacing w:after="200" w:line="240" w:lineRule="auto"/>
        <w:contextualSpacing/>
        <w:jc w:val="both"/>
        <w:rPr>
          <w:rFonts w:eastAsia="Calibri" w:cs="Arial"/>
          <w:i/>
          <w:szCs w:val="20"/>
          <w:lang w:eastAsia="en-US"/>
        </w:rPr>
      </w:pPr>
      <w:r w:rsidRPr="001E3731">
        <w:rPr>
          <w:rFonts w:eastAsia="Calibri" w:cs="Arial"/>
          <w:i/>
          <w:szCs w:val="20"/>
          <w:lang w:eastAsia="en-US"/>
        </w:rPr>
        <w:t>Množina „C“ – průnik „A“ = péče je zajišťována výhradně registrovaným poskytovatelem sociální služby (zpravidla v zařízení sociálních služeb),</w:t>
      </w:r>
    </w:p>
    <w:p w:rsidR="001319EB" w:rsidRPr="001E3731" w:rsidRDefault="001319EB" w:rsidP="001319EB">
      <w:pPr>
        <w:keepNext/>
        <w:numPr>
          <w:ilvl w:val="0"/>
          <w:numId w:val="22"/>
        </w:numPr>
        <w:spacing w:after="120" w:line="240" w:lineRule="auto"/>
        <w:ind w:left="1434" w:hanging="357"/>
        <w:jc w:val="both"/>
        <w:rPr>
          <w:rFonts w:eastAsia="Calibri" w:cs="Arial"/>
          <w:i/>
          <w:szCs w:val="20"/>
          <w:lang w:eastAsia="en-US"/>
        </w:rPr>
      </w:pPr>
      <w:r w:rsidRPr="001E3731">
        <w:rPr>
          <w:rFonts w:eastAsia="Calibri" w:cs="Arial"/>
          <w:i/>
          <w:szCs w:val="20"/>
          <w:lang w:eastAsia="en-US"/>
        </w:rPr>
        <w:t>Průnik „B“ – současné poskytování péče osobou blízkou i registrovaným poskytovatelem sociálních služeb (zpravidla v domácnosti příjemce příspěvku). U této kombinace však není sledováno (není po příjemcích vyžadováno) proporční rozdělení výše vyplaceného příspěvku (nebo rozsahu poskytované péče) mezi jednotlivé způsoby využití.</w:t>
      </w:r>
    </w:p>
    <w:p w:rsidR="001319EB" w:rsidRPr="001E3731" w:rsidRDefault="001319EB" w:rsidP="001319EB">
      <w:pPr>
        <w:spacing w:before="240"/>
        <w:jc w:val="both"/>
        <w:rPr>
          <w:rFonts w:eastAsia="Calibri" w:cs="Arial"/>
          <w:szCs w:val="20"/>
          <w:lang w:eastAsia="en-US"/>
        </w:rPr>
      </w:pPr>
      <w:r w:rsidRPr="001E3731">
        <w:rPr>
          <w:rFonts w:eastAsia="Calibri" w:cs="Arial"/>
          <w:szCs w:val="20"/>
          <w:lang w:eastAsia="en-US"/>
        </w:rPr>
        <w:t>Jelikož příspěvky na péči využívané na nákup péče poskytované v rámci registrovaných sociálních služeb představují současně příjmy těchto služeb, nejsou z tohoto důvodu do zdravotnických účtů (za účelem vyloučení duplicity vykazovaných výdajů) zahrnuty. V diagramovém vyjádření výše se jedná o péči, resp. výdaje na příspěvky na péči, reprezentovanou množinou „C“ (a zčásti i oblastí průniku „B“, viz vysvětleno níže). Dále oblast (resp. výdaje na příspěvky na péči) vyjádřená jako množina „A“ – průnik „B“ bude zahrnuta do SHA 2011 v celém rozsahu. Oblast průniku „B“, u které nejsou k dispozici informace o podílu rozdělení výše vyplaceného příspěvku (nebo rozsahu poskytované péče) mezi jednotlivé způsoby využití, bude zahrnuta v odhadované výši jedné poloviny skutečných výdajů na příspěvek na péči.</w:t>
      </w:r>
    </w:p>
    <w:p w:rsidR="001319EB" w:rsidRPr="001E3731" w:rsidRDefault="001319EB" w:rsidP="001319EB">
      <w:pPr>
        <w:jc w:val="both"/>
        <w:rPr>
          <w:rFonts w:eastAsia="Calibri" w:cs="Arial"/>
          <w:szCs w:val="20"/>
          <w:lang w:eastAsia="en-US"/>
        </w:rPr>
      </w:pPr>
      <w:r w:rsidRPr="001E3731">
        <w:rPr>
          <w:rFonts w:eastAsia="Calibri" w:cs="Arial"/>
          <w:szCs w:val="20"/>
          <w:lang w:eastAsia="en-US"/>
        </w:rPr>
        <w:t>Pro dokreslení reálného rozsahu jednotlivých výše uvedených množin lze na reálných statistických údajích uvést, že za rok 201</w:t>
      </w:r>
      <w:r>
        <w:rPr>
          <w:rFonts w:eastAsia="Calibri" w:cs="Arial"/>
          <w:szCs w:val="20"/>
          <w:lang w:eastAsia="en-US"/>
        </w:rPr>
        <w:t>6</w:t>
      </w:r>
      <w:r w:rsidRPr="001E3731">
        <w:rPr>
          <w:rFonts w:eastAsia="Calibri" w:cs="Arial"/>
          <w:szCs w:val="20"/>
          <w:lang w:eastAsia="en-US"/>
        </w:rPr>
        <w:t xml:space="preserve"> bylo vyplaceno celkem cca </w:t>
      </w:r>
      <w:r>
        <w:rPr>
          <w:rFonts w:eastAsia="Calibri" w:cs="Arial"/>
          <w:szCs w:val="20"/>
          <w:lang w:eastAsia="en-US"/>
        </w:rPr>
        <w:t xml:space="preserve">346 </w:t>
      </w:r>
      <w:r w:rsidRPr="001E3731">
        <w:rPr>
          <w:rFonts w:eastAsia="Calibri" w:cs="Arial"/>
          <w:szCs w:val="20"/>
          <w:lang w:eastAsia="en-US"/>
        </w:rPr>
        <w:t>tis. příspěvků na péči. Z tohoto počtu byla péče osobou blízkou zajištěna cca 75% příjemců (celá množina „A“), péče registrovaným poskytovatelem sociální služby cca 27% příjemců (celá množina „C“). Zhruba 2% příjemců, která tvoří průnik množin A+C, využívá kombinovaný způsob poskytnutí péče.</w:t>
      </w:r>
    </w:p>
    <w:p w:rsidR="001319EB" w:rsidRPr="001E3731" w:rsidRDefault="001319EB" w:rsidP="001319EB">
      <w:pPr>
        <w:jc w:val="both"/>
        <w:rPr>
          <w:rFonts w:eastAsia="Calibri" w:cs="Arial"/>
          <w:szCs w:val="20"/>
          <w:lang w:eastAsia="en-US"/>
        </w:rPr>
      </w:pPr>
      <w:r w:rsidRPr="001E3731">
        <w:rPr>
          <w:rFonts w:eastAsia="Calibri" w:cs="Arial"/>
          <w:szCs w:val="20"/>
          <w:lang w:eastAsia="en-US"/>
        </w:rPr>
        <w:t>Z hlediska výdajů na příspěvek na péči podle způsobu jeho využití bylo do SHA 2011 dle výše uvedeného přístupu odhadem zahrnuto cca 70 % z celkových výdajů na příspěvek na péči, které v roce 201</w:t>
      </w:r>
      <w:r>
        <w:rPr>
          <w:rFonts w:eastAsia="Calibri" w:cs="Arial"/>
          <w:szCs w:val="20"/>
          <w:lang w:eastAsia="en-US"/>
        </w:rPr>
        <w:t>6</w:t>
      </w:r>
      <w:r w:rsidRPr="001E3731">
        <w:rPr>
          <w:rFonts w:eastAsia="Calibri" w:cs="Arial"/>
          <w:szCs w:val="20"/>
          <w:lang w:eastAsia="en-US"/>
        </w:rPr>
        <w:t xml:space="preserve"> činily </w:t>
      </w:r>
      <w:r>
        <w:rPr>
          <w:rFonts w:eastAsia="Calibri" w:cs="Arial"/>
          <w:szCs w:val="20"/>
          <w:lang w:eastAsia="en-US"/>
        </w:rPr>
        <w:t>16</w:t>
      </w:r>
      <w:r w:rsidRPr="001E3731">
        <w:rPr>
          <w:rFonts w:eastAsia="Calibri" w:cs="Arial"/>
          <w:szCs w:val="20"/>
          <w:lang w:eastAsia="en-US"/>
        </w:rPr>
        <w:t> </w:t>
      </w:r>
      <w:r>
        <w:rPr>
          <w:rFonts w:eastAsia="Calibri" w:cs="Arial"/>
          <w:szCs w:val="20"/>
          <w:lang w:eastAsia="en-US"/>
        </w:rPr>
        <w:t>213</w:t>
      </w:r>
      <w:r w:rsidRPr="001E3731">
        <w:rPr>
          <w:rFonts w:eastAsia="Calibri" w:cs="Arial"/>
          <w:szCs w:val="20"/>
          <w:lang w:eastAsia="en-US"/>
        </w:rPr>
        <w:t xml:space="preserve"> mil. Kč. </w:t>
      </w:r>
    </w:p>
    <w:p w:rsidR="001319EB" w:rsidRPr="001E3731" w:rsidRDefault="00290F1C" w:rsidP="00290F1C">
      <w:pPr>
        <w:pStyle w:val="Nadpis2"/>
        <w:pageBreakBefore/>
      </w:pPr>
      <w:bookmarkStart w:id="45" w:name="_Toc481748807"/>
      <w:r>
        <w:lastRenderedPageBreak/>
        <w:t xml:space="preserve">5.3 </w:t>
      </w:r>
      <w:r w:rsidR="001319EB" w:rsidRPr="001E3731">
        <w:t>Vysvětlení některých pojmů</w:t>
      </w:r>
      <w:bookmarkEnd w:id="45"/>
      <w:r w:rsidR="001319EB" w:rsidRPr="001E3731">
        <w:t xml:space="preserve"> </w:t>
      </w:r>
    </w:p>
    <w:p w:rsidR="001319EB" w:rsidRPr="001E3731" w:rsidRDefault="001319EB" w:rsidP="001319EB">
      <w:pPr>
        <w:spacing w:before="120"/>
        <w:jc w:val="both"/>
        <w:rPr>
          <w:b/>
        </w:rPr>
      </w:pPr>
      <w:r w:rsidRPr="001E3731">
        <w:rPr>
          <w:b/>
        </w:rPr>
        <w:t xml:space="preserve">Výdaje </w:t>
      </w:r>
      <w:r w:rsidRPr="001E3731">
        <w:t>představují jakýkoli (ekonomicky zdůvodnitelný) úbytek peněžních prostředků. Vznikají v souvislosti s úhradou nákupů služeb či hmotných popř. peněžních aktiv.</w:t>
      </w:r>
      <w:r w:rsidRPr="001E3731">
        <w:rPr>
          <w:b/>
        </w:rPr>
        <w:t xml:space="preserve"> </w:t>
      </w:r>
    </w:p>
    <w:p w:rsidR="001319EB" w:rsidRPr="001E3731" w:rsidRDefault="001319EB" w:rsidP="001319EB">
      <w:pPr>
        <w:spacing w:before="120"/>
        <w:jc w:val="both"/>
      </w:pPr>
      <w:r w:rsidRPr="001E3731">
        <w:rPr>
          <w:b/>
        </w:rPr>
        <w:t xml:space="preserve">Náklady </w:t>
      </w:r>
      <w:r w:rsidRPr="001E3731">
        <w:t>představují účelnou spotřebu ekonomických zdrojů v peněžním vyjádření uskutečňovanou v</w:t>
      </w:r>
      <w:r>
        <w:t> </w:t>
      </w:r>
      <w:r w:rsidRPr="001E3731">
        <w:t xml:space="preserve">souvislosti s předmětem činnosti dané jednotky. </w:t>
      </w:r>
    </w:p>
    <w:p w:rsidR="001319EB" w:rsidRPr="001E3731" w:rsidRDefault="001319EB" w:rsidP="001319EB">
      <w:pPr>
        <w:jc w:val="both"/>
      </w:pPr>
      <w:r w:rsidRPr="001E3731">
        <w:t xml:space="preserve">Pro zjednodušení se v předcházejícím textu termíny „výdaje“ a </w:t>
      </w:r>
      <w:r>
        <w:t>„náklady“ striktně nerozlišují a používá se pro ně zejména</w:t>
      </w:r>
      <w:r w:rsidRPr="001E3731">
        <w:t xml:space="preserve"> název „ výdaje“. </w:t>
      </w:r>
    </w:p>
    <w:p w:rsidR="001319EB" w:rsidRPr="001E3731" w:rsidRDefault="001319EB" w:rsidP="001319EB">
      <w:pPr>
        <w:spacing w:before="120"/>
        <w:jc w:val="both"/>
        <w:rPr>
          <w:bCs/>
          <w:szCs w:val="17"/>
        </w:rPr>
      </w:pPr>
      <w:r w:rsidRPr="001E3731">
        <w:rPr>
          <w:b/>
          <w:bCs/>
          <w:szCs w:val="17"/>
        </w:rPr>
        <w:t>Běžné výdaje</w:t>
      </w:r>
      <w:r w:rsidRPr="001E3731">
        <w:rPr>
          <w:bCs/>
          <w:szCs w:val="17"/>
        </w:rPr>
        <w:t xml:space="preserve"> jsou výdaji provozního charakteru, které ovlivňují hospodářský výsledek dané jednotky v příslušném ročním (účetním) období. </w:t>
      </w:r>
    </w:p>
    <w:p w:rsidR="001319EB" w:rsidRPr="001E3731" w:rsidRDefault="001319EB" w:rsidP="001319EB">
      <w:pPr>
        <w:spacing w:before="120"/>
        <w:jc w:val="both"/>
        <w:rPr>
          <w:bCs/>
          <w:szCs w:val="17"/>
        </w:rPr>
      </w:pPr>
      <w:r w:rsidRPr="001E3731">
        <w:rPr>
          <w:b/>
          <w:bCs/>
          <w:szCs w:val="17"/>
        </w:rPr>
        <w:t>Investiční (kapitálové) výdaje</w:t>
      </w:r>
      <w:r w:rsidRPr="001E3731">
        <w:rPr>
          <w:bCs/>
          <w:szCs w:val="17"/>
        </w:rPr>
        <w:t xml:space="preserve"> zvyšují hodnotu aktiv investiční povahy a přinášejí prospěch zejména v budoucích obdobích. Odpovídají výdajům na nefinanční aktiva, jejichž životnost je delší než 1 rok a pořizovací cena nepřekračuje částku 40 tis. Kč - v případě aktiv hmotných nebo částku 60 tis. Kč v případě aktiv nehmotných (tyto částky se mohou v návaznosti na platné předpisy upravující zdaňování a účtování, měnit).</w:t>
      </w:r>
    </w:p>
    <w:p w:rsidR="001319EB" w:rsidRPr="001E3731" w:rsidRDefault="001319EB" w:rsidP="001319EB">
      <w:pPr>
        <w:spacing w:before="120"/>
        <w:jc w:val="both"/>
        <w:rPr>
          <w:bCs/>
          <w:szCs w:val="17"/>
        </w:rPr>
      </w:pPr>
      <w:r w:rsidRPr="001E3731">
        <w:rPr>
          <w:b/>
          <w:bCs/>
          <w:szCs w:val="17"/>
        </w:rPr>
        <w:t>Zdravotní péče</w:t>
      </w:r>
      <w:r w:rsidRPr="001E3731">
        <w:rPr>
          <w:bCs/>
          <w:szCs w:val="17"/>
        </w:rPr>
        <w:t>. V systému zdravotnických účtů se zdravotní péčí rozumí péče prováděná akreditovanými institucemi</w:t>
      </w:r>
      <w:r>
        <w:rPr>
          <w:bCs/>
          <w:szCs w:val="17"/>
        </w:rPr>
        <w:t xml:space="preserve"> nebo jednotlivci, </w:t>
      </w:r>
      <w:r w:rsidRPr="001E3731">
        <w:rPr>
          <w:bCs/>
          <w:szCs w:val="17"/>
        </w:rPr>
        <w:t>kteří využívají lékařských, zdravotnických a ošetřovatelských znalostí a</w:t>
      </w:r>
      <w:r>
        <w:rPr>
          <w:bCs/>
          <w:szCs w:val="17"/>
        </w:rPr>
        <w:t> </w:t>
      </w:r>
      <w:r w:rsidRPr="001E3731">
        <w:rPr>
          <w:bCs/>
          <w:szCs w:val="17"/>
        </w:rPr>
        <w:t>technologií s cílem:</w:t>
      </w:r>
    </w:p>
    <w:p w:rsidR="001319EB" w:rsidRPr="001E3731" w:rsidRDefault="001319EB" w:rsidP="001319EB">
      <w:pPr>
        <w:spacing w:before="120"/>
        <w:ind w:left="284"/>
        <w:jc w:val="both"/>
        <w:rPr>
          <w:bCs/>
          <w:szCs w:val="17"/>
        </w:rPr>
      </w:pPr>
      <w:r w:rsidRPr="001E3731">
        <w:rPr>
          <w:bCs/>
          <w:szCs w:val="17"/>
        </w:rPr>
        <w:t xml:space="preserve">- podpory zdraví a prevence onemocnění </w:t>
      </w:r>
    </w:p>
    <w:p w:rsidR="001319EB" w:rsidRPr="001E3731" w:rsidRDefault="001319EB" w:rsidP="001319EB">
      <w:pPr>
        <w:spacing w:before="120"/>
        <w:ind w:left="284"/>
        <w:jc w:val="both"/>
        <w:rPr>
          <w:bCs/>
          <w:szCs w:val="17"/>
        </w:rPr>
      </w:pPr>
      <w:r w:rsidRPr="001E3731">
        <w:rPr>
          <w:bCs/>
          <w:szCs w:val="17"/>
        </w:rPr>
        <w:t>- léčení nemocí a snižování předčasné úmrtnosti</w:t>
      </w:r>
    </w:p>
    <w:p w:rsidR="001319EB" w:rsidRPr="001E3731" w:rsidRDefault="001319EB" w:rsidP="001319EB">
      <w:pPr>
        <w:spacing w:before="120"/>
        <w:ind w:left="284"/>
        <w:jc w:val="both"/>
        <w:rPr>
          <w:bCs/>
          <w:szCs w:val="17"/>
        </w:rPr>
      </w:pPr>
      <w:r w:rsidRPr="001E3731">
        <w:rPr>
          <w:bCs/>
          <w:szCs w:val="17"/>
        </w:rPr>
        <w:t xml:space="preserve">- péče o osoby s chronickými nemocemi, které potřebují ošetřovatelskou péči </w:t>
      </w:r>
    </w:p>
    <w:p w:rsidR="001319EB" w:rsidRPr="001E3731" w:rsidRDefault="001319EB" w:rsidP="001319EB">
      <w:pPr>
        <w:spacing w:before="120"/>
        <w:ind w:left="284"/>
        <w:jc w:val="both"/>
        <w:rPr>
          <w:bCs/>
          <w:szCs w:val="17"/>
        </w:rPr>
      </w:pPr>
      <w:r w:rsidRPr="001E3731">
        <w:rPr>
          <w:bCs/>
          <w:szCs w:val="17"/>
        </w:rPr>
        <w:t xml:space="preserve">- péče o osoby se zdravotním postižením, invalidy a handicapované, kteří potřebují ošetřovatelskou péči </w:t>
      </w:r>
    </w:p>
    <w:p w:rsidR="001319EB" w:rsidRPr="001E3731" w:rsidRDefault="001319EB" w:rsidP="001319EB">
      <w:pPr>
        <w:spacing w:before="120"/>
        <w:ind w:left="284"/>
        <w:jc w:val="both"/>
        <w:rPr>
          <w:bCs/>
          <w:szCs w:val="17"/>
        </w:rPr>
      </w:pPr>
      <w:r w:rsidRPr="001E3731">
        <w:rPr>
          <w:bCs/>
          <w:szCs w:val="17"/>
        </w:rPr>
        <w:t xml:space="preserve">- asistence pacientům při důstojném umírání </w:t>
      </w:r>
    </w:p>
    <w:p w:rsidR="001319EB" w:rsidRPr="001E3731" w:rsidRDefault="001319EB" w:rsidP="001319EB">
      <w:pPr>
        <w:spacing w:before="120"/>
        <w:ind w:left="284"/>
        <w:jc w:val="both"/>
        <w:rPr>
          <w:bCs/>
          <w:szCs w:val="17"/>
        </w:rPr>
      </w:pPr>
      <w:r w:rsidRPr="001E3731">
        <w:rPr>
          <w:bCs/>
          <w:szCs w:val="17"/>
        </w:rPr>
        <w:t xml:space="preserve">- zabezpečování a řízení veřejného zdravotnictví </w:t>
      </w:r>
    </w:p>
    <w:p w:rsidR="001319EB" w:rsidRPr="001E3731" w:rsidRDefault="001319EB" w:rsidP="001319EB">
      <w:pPr>
        <w:spacing w:before="120"/>
        <w:ind w:left="284"/>
        <w:jc w:val="both"/>
        <w:rPr>
          <w:bCs/>
          <w:szCs w:val="17"/>
        </w:rPr>
      </w:pPr>
      <w:r w:rsidRPr="001E3731">
        <w:rPr>
          <w:bCs/>
          <w:szCs w:val="17"/>
        </w:rPr>
        <w:t xml:space="preserve">- </w:t>
      </w:r>
      <w:r w:rsidRPr="00B448FC">
        <w:rPr>
          <w:bCs/>
          <w:spacing w:val="-2"/>
          <w:szCs w:val="17"/>
        </w:rPr>
        <w:t>zabezpečování a řízení zdravotnických programů, zdravotního pojištění a jiných opatření finanční povahy</w:t>
      </w:r>
      <w:r w:rsidRPr="001E3731">
        <w:rPr>
          <w:bCs/>
          <w:szCs w:val="17"/>
        </w:rPr>
        <w:t xml:space="preserve"> </w:t>
      </w:r>
    </w:p>
    <w:p w:rsidR="001319EB" w:rsidRPr="001E3731" w:rsidRDefault="001319EB" w:rsidP="001319EB">
      <w:pPr>
        <w:spacing w:before="120"/>
        <w:jc w:val="both"/>
        <w:rPr>
          <w:bCs/>
          <w:szCs w:val="17"/>
        </w:rPr>
      </w:pPr>
      <w:r w:rsidRPr="001E3731">
        <w:rPr>
          <w:bCs/>
          <w:szCs w:val="17"/>
        </w:rPr>
        <w:t>Z uvedené charakteristiky zdravotní péče vyplývá, že např. plastická operace provedená za účelem zkrášlení není zdravotní péčí. Stejně tak do zdravotní péče nepatří služby léčitelů, kteří nejsou akreditovanými osobami se zdravotnickým vzděláním.</w:t>
      </w:r>
    </w:p>
    <w:p w:rsidR="001319EB" w:rsidRPr="001E3731" w:rsidRDefault="001319EB" w:rsidP="001319EB">
      <w:pPr>
        <w:spacing w:before="120"/>
        <w:jc w:val="both"/>
        <w:rPr>
          <w:bCs/>
          <w:szCs w:val="17"/>
        </w:rPr>
      </w:pPr>
      <w:r w:rsidRPr="001E3731">
        <w:rPr>
          <w:b/>
          <w:bCs/>
          <w:szCs w:val="17"/>
        </w:rPr>
        <w:t>Léčebná péče</w:t>
      </w:r>
      <w:r w:rsidRPr="001E3731">
        <w:rPr>
          <w:bCs/>
          <w:szCs w:val="17"/>
        </w:rPr>
        <w:t xml:space="preserve"> je souhrnem zdravotnických služeb pacientům zahrnujícím zejména stanovení diagnózy, provedení odpovídajících vyšetření, stanovení postupu léčby nemoci (odstranění </w:t>
      </w:r>
      <w:r>
        <w:rPr>
          <w:bCs/>
          <w:szCs w:val="17"/>
        </w:rPr>
        <w:t>b</w:t>
      </w:r>
      <w:r w:rsidRPr="001E3731">
        <w:rPr>
          <w:bCs/>
          <w:szCs w:val="17"/>
        </w:rPr>
        <w:t xml:space="preserve">olesti a potíží), provádění </w:t>
      </w:r>
      <w:r>
        <w:rPr>
          <w:bCs/>
          <w:szCs w:val="17"/>
        </w:rPr>
        <w:t>l</w:t>
      </w:r>
      <w:r w:rsidRPr="001E3731">
        <w:rPr>
          <w:bCs/>
          <w:szCs w:val="17"/>
        </w:rPr>
        <w:t>éčby potřebnými postupy včetně využití léků a odpovídajících zd</w:t>
      </w:r>
      <w:r>
        <w:rPr>
          <w:bCs/>
          <w:szCs w:val="17"/>
        </w:rPr>
        <w:t xml:space="preserve">ravotnických výrobků a </w:t>
      </w:r>
      <w:r w:rsidRPr="001E3731">
        <w:rPr>
          <w:bCs/>
          <w:szCs w:val="17"/>
        </w:rPr>
        <w:t xml:space="preserve">následné sledování zdravotního stavu. </w:t>
      </w:r>
    </w:p>
    <w:p w:rsidR="001319EB" w:rsidRPr="001E3731" w:rsidRDefault="001319EB" w:rsidP="001319EB">
      <w:pPr>
        <w:spacing w:before="120"/>
        <w:jc w:val="both"/>
        <w:rPr>
          <w:bCs/>
          <w:szCs w:val="17"/>
        </w:rPr>
      </w:pPr>
      <w:r w:rsidRPr="001E3731">
        <w:rPr>
          <w:b/>
          <w:bCs/>
          <w:szCs w:val="17"/>
        </w:rPr>
        <w:t>Rehabilitační péče</w:t>
      </w:r>
      <w:r w:rsidRPr="001E3731">
        <w:rPr>
          <w:bCs/>
          <w:szCs w:val="17"/>
        </w:rPr>
        <w:t xml:space="preserve"> je souhrnem zdravotnických služeb prováděných v zařízeních rehabilitační péče (včetně</w:t>
      </w:r>
      <w:r>
        <w:rPr>
          <w:bCs/>
          <w:szCs w:val="17"/>
        </w:rPr>
        <w:t> </w:t>
      </w:r>
      <w:r w:rsidRPr="001E3731">
        <w:rPr>
          <w:bCs/>
          <w:szCs w:val="17"/>
        </w:rPr>
        <w:t>lázeňských) zaměřených na odstranění zdravotních omezení a potíží pociťovaných pacientem a</w:t>
      </w:r>
      <w:r>
        <w:rPr>
          <w:bCs/>
          <w:szCs w:val="17"/>
        </w:rPr>
        <w:t> </w:t>
      </w:r>
      <w:r w:rsidRPr="001E3731">
        <w:rPr>
          <w:bCs/>
          <w:szCs w:val="17"/>
        </w:rPr>
        <w:t xml:space="preserve">opětovné docílení odpovídajícího zdravotního stavu (obvykle po provedené léčebné péči).   </w:t>
      </w:r>
    </w:p>
    <w:p w:rsidR="001319EB" w:rsidRPr="001E3731" w:rsidRDefault="001319EB" w:rsidP="001319EB">
      <w:pPr>
        <w:spacing w:before="120"/>
        <w:jc w:val="both"/>
        <w:rPr>
          <w:bCs/>
          <w:szCs w:val="17"/>
        </w:rPr>
      </w:pPr>
      <w:r w:rsidRPr="001E3731">
        <w:rPr>
          <w:b/>
          <w:bCs/>
          <w:szCs w:val="17"/>
        </w:rPr>
        <w:t>Formální péčí</w:t>
      </w:r>
      <w:r w:rsidRPr="001E3731">
        <w:rPr>
          <w:bCs/>
          <w:szCs w:val="17"/>
        </w:rPr>
        <w:t xml:space="preserve"> je myšlena dlouhodobá odborná ošetřovatelská péče poskytovaná ve specializovaných ústavech či přímo domácnostech uživatelů. Formální péče je založena na nakupování služeb.</w:t>
      </w:r>
    </w:p>
    <w:p w:rsidR="001319EB" w:rsidRPr="001E3731" w:rsidRDefault="001319EB" w:rsidP="001319EB">
      <w:pPr>
        <w:spacing w:before="120"/>
        <w:jc w:val="both"/>
        <w:rPr>
          <w:rFonts w:eastAsiaTheme="minorHAnsi" w:cs="Arial"/>
          <w:szCs w:val="20"/>
          <w:lang w:eastAsia="en-US"/>
        </w:rPr>
      </w:pPr>
      <w:r w:rsidRPr="001E3731">
        <w:rPr>
          <w:b/>
          <w:bCs/>
          <w:szCs w:val="17"/>
        </w:rPr>
        <w:t>Neformální péče</w:t>
      </w:r>
      <w:r w:rsidRPr="001E3731">
        <w:rPr>
          <w:bCs/>
          <w:szCs w:val="17"/>
        </w:rPr>
        <w:t xml:space="preserve"> není zajišťována žádným zvláštním zařízením, ale je poskytována především příbuznými či osobami blízkými. Tato kategorie je neplacená, avšak osoba, která neformální péči poskytuje, může dostávat peníze formou státních příspěvků pro poskytovatele neformální péče nebo přímo od osoby, které je péče poskytnuta</w:t>
      </w:r>
      <w:r w:rsidRPr="001E3731">
        <w:rPr>
          <w:rFonts w:eastAsiaTheme="minorHAnsi" w:cs="Arial"/>
          <w:szCs w:val="20"/>
          <w:lang w:eastAsia="en-US"/>
        </w:rPr>
        <w:t>.</w:t>
      </w:r>
    </w:p>
    <w:p w:rsidR="001319EB" w:rsidRPr="001E3731" w:rsidRDefault="001319EB" w:rsidP="001319EB">
      <w:pPr>
        <w:spacing w:before="120"/>
        <w:jc w:val="both"/>
      </w:pPr>
      <w:r w:rsidRPr="001E3731">
        <w:rPr>
          <w:b/>
        </w:rPr>
        <w:t>Domácnosti celkem</w:t>
      </w:r>
      <w:r w:rsidRPr="001E3731">
        <w:t xml:space="preserve"> – od roku 2006 jsou ve zpravodajském souboru již zahrnuty všechny typy domácností zastoupené v populaci. Váha jednotlivých skupin domácností odpovídá jejich podílu zjištěnému v šetření </w:t>
      </w:r>
      <w:r w:rsidRPr="001E3731">
        <w:lastRenderedPageBreak/>
        <w:t>Životní podmínky. Počet domácností důchodců bez ekonomicky aktivních členů byl pro zjišťování zredukován, při zpracování se tato disproporce eliminuje převážením.</w:t>
      </w:r>
      <w:r w:rsidRPr="001E3731">
        <w:rPr>
          <w:szCs w:val="22"/>
        </w:rPr>
        <w:t xml:space="preserve"> Průměrná zpravodajská domácnost bývá cca o</w:t>
      </w:r>
      <w:r w:rsidRPr="001E3731">
        <w:t> </w:t>
      </w:r>
      <w:r w:rsidRPr="001E3731">
        <w:rPr>
          <w:szCs w:val="22"/>
        </w:rPr>
        <w:t>10</w:t>
      </w:r>
      <w:r w:rsidRPr="001E3731">
        <w:t> </w:t>
      </w:r>
      <w:r w:rsidRPr="001E3731">
        <w:rPr>
          <w:szCs w:val="22"/>
        </w:rPr>
        <w:t>% menší než průměrná hospodařící domácnost v ČR podle šetření Životní podmínky, protože z důvodů náročnosti vedení zápisů jsou ve zpravodajském souboru SRÚ méně zastoupeny vícečlenné resp. vícegenerační domácnosti.</w:t>
      </w:r>
    </w:p>
    <w:p w:rsidR="001319EB" w:rsidRPr="001E3731" w:rsidRDefault="001319EB" w:rsidP="001319EB">
      <w:pPr>
        <w:spacing w:before="120"/>
        <w:jc w:val="both"/>
      </w:pPr>
      <w:r w:rsidRPr="001E3731">
        <w:rPr>
          <w:b/>
        </w:rPr>
        <w:t>Domácnosti zaměstnanců</w:t>
      </w:r>
      <w:r w:rsidRPr="001E3731">
        <w:t xml:space="preserve"> jsou domácnosti s osobou v čele v pracovním nebo služebním poměru, která pracuje na základě pracovní smlouvy nebo na základě dohody (o pracovní činnosti, o provedení práce). Zaměstnanci jsou i pracující členové produkčních družstev (včetně zemědělských), společníci s.r.o. a</w:t>
      </w:r>
      <w:r>
        <w:t> </w:t>
      </w:r>
      <w:r w:rsidRPr="001E3731">
        <w:t>komanditisté komanditních společností, kteří pro společnost vykonávají práci na základě pracovní smlouvy a pobírají za ni odměnu, která je příjmem ze závislé činnosti.</w:t>
      </w:r>
    </w:p>
    <w:p w:rsidR="001319EB" w:rsidRPr="001E3731" w:rsidRDefault="001319EB" w:rsidP="001319EB">
      <w:pPr>
        <w:spacing w:before="120"/>
        <w:jc w:val="both"/>
      </w:pPr>
      <w:r w:rsidRPr="001E3731">
        <w:rPr>
          <w:b/>
        </w:rPr>
        <w:t xml:space="preserve">Domácnosti nezaměstnaných </w:t>
      </w:r>
      <w:r w:rsidRPr="001E3731">
        <w:t>jsou domácnosti v čele s osobou, která nemá žádnou placenou práci, ale</w:t>
      </w:r>
      <w:r>
        <w:t> </w:t>
      </w:r>
      <w:r w:rsidRPr="001E3731">
        <w:t>pracovat by chtěla, tzn. že si buď aktivně hledá zaměstnání  nebo má v plánu podnikat, případně hodlá zaměstnání hledat; není rozhodující, zda pobírá hmotné zabezpečení uchazečů o zaměstnání či nikoliv.</w:t>
      </w:r>
    </w:p>
    <w:p w:rsidR="001319EB" w:rsidRPr="001E3731" w:rsidRDefault="001319EB" w:rsidP="001319EB">
      <w:pPr>
        <w:spacing w:before="120"/>
        <w:jc w:val="both"/>
      </w:pPr>
      <w:r w:rsidRPr="001E3731">
        <w:rPr>
          <w:b/>
        </w:rPr>
        <w:t xml:space="preserve">Domácnosti důchodců bez ekonomicky aktivních členů </w:t>
      </w:r>
      <w:r w:rsidRPr="001E3731">
        <w:rPr>
          <w:bCs/>
        </w:rPr>
        <w:t>jsou domácnosti s osobou v čele, která pobírá</w:t>
      </w:r>
      <w:r w:rsidRPr="001E3731">
        <w:rPr>
          <w:b/>
        </w:rPr>
        <w:t xml:space="preserve"> </w:t>
      </w:r>
      <w:r w:rsidRPr="001E3731">
        <w:t>jakýkoliv druh důchodu kromě sirotčího, a nepracuje buď vůbec, nebo má její pracovní či</w:t>
      </w:r>
      <w:r>
        <w:t>nnost pouze omezený rozsah (tzn.</w:t>
      </w:r>
      <w:r w:rsidRPr="001E3731">
        <w:t xml:space="preserve"> příjmy z pracovní činnosti nepřesáhnou za rok 55 200 Kč); podmínka omezené ekonomické aktivity platí i pro ostatní členy domácnosti.</w:t>
      </w:r>
    </w:p>
    <w:p w:rsidR="001319EB" w:rsidRDefault="001319EB" w:rsidP="001319EB">
      <w:pPr>
        <w:spacing w:before="120"/>
        <w:jc w:val="both"/>
        <w:rPr>
          <w:sz w:val="16"/>
          <w:szCs w:val="16"/>
        </w:rPr>
      </w:pPr>
      <w:r w:rsidRPr="001E3731">
        <w:rPr>
          <w:b/>
          <w:szCs w:val="20"/>
        </w:rPr>
        <w:t xml:space="preserve">Doplatky na léky - </w:t>
      </w:r>
      <w:r w:rsidRPr="001E3731">
        <w:rPr>
          <w:szCs w:val="20"/>
        </w:rPr>
        <w:t>pacient doplácí rozdíl mezi cenou přípravku v lékárně a stanovenou úhradou z veřejného zdravotního pojištění. Doplatek pacienta (rozdíl mezi cenou léčivého přípravku a úhradou pojišťovny) nemůže pojišťovna jakkoli ovlivnit. Jeho výše se může v jednotlivých lékárnách lišit, protože se zde promítá cenová politika všech účastníků distribučního řetězce – jak výrobce, tak distributora a konkrétní lékárny</w:t>
      </w:r>
      <w:r w:rsidRPr="001E3731">
        <w:rPr>
          <w:sz w:val="16"/>
          <w:szCs w:val="16"/>
        </w:rPr>
        <w:t>.</w:t>
      </w:r>
    </w:p>
    <w:p w:rsidR="001319EB" w:rsidRDefault="001319EB" w:rsidP="001319EB">
      <w:pPr>
        <w:spacing w:before="120"/>
        <w:jc w:val="both"/>
        <w:rPr>
          <w:rStyle w:val="Siln"/>
          <w:b w:val="0"/>
          <w:iCs/>
        </w:rPr>
      </w:pPr>
      <w:r w:rsidRPr="00C1326B">
        <w:rPr>
          <w:rStyle w:val="Siln"/>
          <w:iCs/>
        </w:rPr>
        <w:t>Centra denních služeb</w:t>
      </w:r>
      <w:r w:rsidRPr="00C1326B">
        <w:rPr>
          <w:rStyle w:val="Siln"/>
          <w:b w:val="0"/>
          <w:iCs/>
        </w:rPr>
        <w:t xml:space="preserve"> poskytují ambulantní služby osobám se sníženou soběstačností z důvodu věku, chronického onemocnění nebo zdravotního postižení, jejichž situace vyžaduje pomoc jiné fyzické osoby. Cílem služby je posílit samostatnost a soběstačnost osob v nepříznivé sociální situaci, která může vést k sociálnímu vyloučení. Služba obsahuje pomoc při osobní hygieně nebo poskytnutí podmínek pro osobní hygienu, poskytnutí stravy nebo pomoc při zajištění stravy, výchovné, vzdělávací a aktivizační činnosti, prostředkování kontaktu se společenským prostředím, terapeutické činnosti a pomoc při uplatňování práv a oprávněných zájmů. </w:t>
      </w:r>
    </w:p>
    <w:p w:rsidR="001319EB" w:rsidRPr="00C1326B" w:rsidRDefault="001319EB" w:rsidP="001319EB">
      <w:pPr>
        <w:spacing w:before="120"/>
        <w:jc w:val="both"/>
        <w:rPr>
          <w:rStyle w:val="Siln"/>
          <w:b w:val="0"/>
          <w:iCs/>
        </w:rPr>
      </w:pPr>
      <w:r w:rsidRPr="00C1326B">
        <w:rPr>
          <w:rStyle w:val="Siln"/>
          <w:iCs/>
        </w:rPr>
        <w:t>Denní stacionáře</w:t>
      </w:r>
      <w:r w:rsidRPr="00C1326B">
        <w:rPr>
          <w:rStyle w:val="Siln"/>
          <w:b w:val="0"/>
          <w:iCs/>
        </w:rPr>
        <w:t xml:space="preserve"> poskytují ambulantní služby osobám, které mají sníženou soběstačnost z důvodu věku, chronického onemocnění nebo zdravotního postižení, jejichž situace vyžaduje pravidelnou pomoc jiné fyzické osoby. Služba obsahuje pomoc při zvládání běžných úkonů péče o vlastní osobu, pomoc při osobní hygieně nebo poskytnutí podmínek pro osobní hygienu, poskytnutí stravy, výchovné, vzdělávací a aktivizační činnosti, zprostředkování kontaktu se společenským prostředím, sociálně terapeutické činnosti, pomoc při uplatňování práv a oprávněných zájmů. </w:t>
      </w:r>
    </w:p>
    <w:p w:rsidR="001319EB" w:rsidRPr="00C1326B" w:rsidRDefault="001319EB" w:rsidP="001319EB">
      <w:pPr>
        <w:spacing w:before="120"/>
        <w:jc w:val="both"/>
        <w:rPr>
          <w:rStyle w:val="Siln"/>
          <w:b w:val="0"/>
          <w:iCs/>
        </w:rPr>
      </w:pPr>
      <w:r w:rsidRPr="00C1326B">
        <w:rPr>
          <w:rStyle w:val="Siln"/>
          <w:iCs/>
        </w:rPr>
        <w:t>Týdenní stacionáře</w:t>
      </w:r>
      <w:r w:rsidRPr="00C1326B">
        <w:rPr>
          <w:rStyle w:val="Siln"/>
          <w:b w:val="0"/>
          <w:iCs/>
        </w:rPr>
        <w:t xml:space="preserve"> poskytují pobytové služby osobám, které mají sníženou soběstačnost z důvodu věku, chronického onemocnění nebo zdravotního postižení, jejichž situace vyžaduje pravidelnou pomoc jiné fyzické osoby. Služba obsahuje poskytnutí ubytování a stravy, pomoc při zvládání běžných úkonů péče o vlastní osobu, pomoc při osobní hygieně nebo poskytnutí podmínek pro osobní hygienu, poskytnutí stravy nebo pomoc při zajištění stravy, poskytnutí ubytování nebo pomoc při zajištění bydlení a výchovné, vzdělávací a aktivizační činnosti, zprostředkování kontaktu se společenským prostředím, sociálně terapeutické činnosti, pomoc při uplatňování práv a oprávněných zájmů.</w:t>
      </w:r>
    </w:p>
    <w:p w:rsidR="001319EB" w:rsidRDefault="001319EB" w:rsidP="001319EB">
      <w:pPr>
        <w:spacing w:before="120"/>
        <w:jc w:val="both"/>
        <w:rPr>
          <w:rStyle w:val="Siln"/>
          <w:b w:val="0"/>
          <w:iCs/>
        </w:rPr>
      </w:pPr>
      <w:r w:rsidRPr="00C1326B">
        <w:rPr>
          <w:rStyle w:val="Siln"/>
          <w:iCs/>
        </w:rPr>
        <w:t>Domovy pro osoby se zdravotním postižením</w:t>
      </w:r>
      <w:r w:rsidRPr="00C1326B">
        <w:rPr>
          <w:rStyle w:val="Siln"/>
          <w:b w:val="0"/>
          <w:iCs/>
        </w:rPr>
        <w:t xml:space="preserve"> poskytují dlouhodobé pobytové služby osobám, které mají sníženou soběstačnost z důvodu zdravotního postižení, jejichž situace vyžaduje pravidelnou pomoc jiné osoby. Služba obsahuje poskytnutí ubytování a stravy, pomoc při zvládání běžných úkonů péče o vlastní osobu, pomoc při osobní hygieně nebo poskytnutí podmínek pro osobní hygienu, výchovné, vzdělávací a aktivizační činnosti, zprostředkování kontaktu se společenským prostředím, sociálně terapeutické činnosti, pomoc při uplatňování práv a oprávněných zájmů. </w:t>
      </w:r>
    </w:p>
    <w:p w:rsidR="001319EB" w:rsidRDefault="001319EB" w:rsidP="001319EB">
      <w:pPr>
        <w:spacing w:before="120"/>
        <w:jc w:val="both"/>
        <w:rPr>
          <w:rStyle w:val="Siln"/>
          <w:b w:val="0"/>
          <w:iCs/>
        </w:rPr>
      </w:pPr>
    </w:p>
    <w:p w:rsidR="001319EB" w:rsidRPr="00C1326B" w:rsidRDefault="001319EB" w:rsidP="001319EB">
      <w:pPr>
        <w:spacing w:before="120"/>
        <w:jc w:val="both"/>
        <w:rPr>
          <w:rStyle w:val="Siln"/>
          <w:b w:val="0"/>
          <w:iCs/>
        </w:rPr>
      </w:pPr>
      <w:r w:rsidRPr="00C1326B">
        <w:rPr>
          <w:rStyle w:val="Siln"/>
          <w:iCs/>
        </w:rPr>
        <w:lastRenderedPageBreak/>
        <w:t>Domovy pro seniory</w:t>
      </w:r>
      <w:r w:rsidRPr="00C1326B">
        <w:rPr>
          <w:rStyle w:val="Siln"/>
          <w:b w:val="0"/>
          <w:iCs/>
        </w:rPr>
        <w:t xml:space="preserve"> poskytují dlouhodobé pobytové služby osobám, které mají sníženou soběstačnost zejména z důvodu věku, jejichž situace vyžaduje pravidelnou pomoc jiné osoby.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pomoc při uplatňování práv a oprávněných zájmů. </w:t>
      </w:r>
    </w:p>
    <w:p w:rsidR="001319EB" w:rsidRPr="00C1326B" w:rsidRDefault="001319EB" w:rsidP="001319EB">
      <w:pPr>
        <w:spacing w:before="120"/>
        <w:jc w:val="both"/>
        <w:rPr>
          <w:rStyle w:val="Siln"/>
          <w:b w:val="0"/>
          <w:iCs/>
        </w:rPr>
      </w:pPr>
      <w:r w:rsidRPr="00C1326B">
        <w:rPr>
          <w:rStyle w:val="Siln"/>
          <w:iCs/>
        </w:rPr>
        <w:t>Domovy se zvláštním režimem</w:t>
      </w:r>
      <w:r w:rsidRPr="00C1326B">
        <w:rPr>
          <w:rStyle w:val="Siln"/>
          <w:b w:val="0"/>
          <w:iCs/>
        </w:rPr>
        <w:t xml:space="preserve"> se poskytují dlouhodobé pobytové služby osobám, které mají sníženou soběstačnost z důvodu chronického duševního onemocnění, závislosti na návykových látkách, osobám se stařeckou, Alzheimerovou demencí a další typy demencí, jejichž situace vyžaduje pravidelnou pomoc jiné osoby. Režim v těchto zařízeních při poskytování sociálních služeb je přizpůsoben specifickým potřebám těchto osob., Služba obsahuje poskytnutí ubytování a stravy, pomoc při zvládání běžných úkonů péče o vlastní osobu, pomoc při osobní hygieně nebo poskytnutí podmínek pro osobní hygienu, zprostředkování kontaktu se společenským prostředím, sociálně terapeutické činnosti, aktivizační činnosti a pomoc při uplatňování práv a oprávněných zájmů. </w:t>
      </w:r>
    </w:p>
    <w:p w:rsidR="001319EB" w:rsidRPr="00C1326B" w:rsidRDefault="001319EB" w:rsidP="001319EB">
      <w:pPr>
        <w:spacing w:before="120"/>
        <w:jc w:val="both"/>
        <w:rPr>
          <w:rStyle w:val="Siln"/>
          <w:b w:val="0"/>
          <w:iCs/>
        </w:rPr>
      </w:pPr>
      <w:r w:rsidRPr="00C1326B">
        <w:rPr>
          <w:rStyle w:val="Siln"/>
          <w:iCs/>
        </w:rPr>
        <w:t>Chráněné bydlení</w:t>
      </w:r>
      <w:r w:rsidRPr="00C1326B">
        <w:rPr>
          <w:rStyle w:val="Siln"/>
          <w:b w:val="0"/>
          <w:iCs/>
        </w:rPr>
        <w:t xml:space="preserve">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 Služba obsahuje poskytnutí stravy nebo pomoc při zajištění stravy, poskytnutí ubytování, pomoc při zajištění chodu domácnosti, výchovné, vzdělávací a aktivizační činnosti, zprostředkování kontaktu se společenským prostředím, sociálně terapeutické činnosti, pomoc při uplatňování práv a oprávněných zájmů. </w:t>
      </w:r>
    </w:p>
    <w:p w:rsidR="001319EB" w:rsidRDefault="001319EB" w:rsidP="001319EB">
      <w:pPr>
        <w:spacing w:before="120"/>
        <w:jc w:val="both"/>
        <w:rPr>
          <w:rStyle w:val="Siln"/>
          <w:b w:val="0"/>
          <w:iCs/>
        </w:rPr>
      </w:pPr>
      <w:r w:rsidRPr="00C1326B">
        <w:rPr>
          <w:rStyle w:val="Siln"/>
          <w:iCs/>
        </w:rPr>
        <w:t>Terapeutické komunity</w:t>
      </w:r>
      <w:r w:rsidRPr="00C1326B">
        <w:rPr>
          <w:rStyle w:val="Siln"/>
          <w:b w:val="0"/>
          <w:iCs/>
        </w:rPr>
        <w:t xml:space="preserve"> poskytují pobytové služby i na přechodnou dobu pro osoby závislé na návykových látkách nebo osoby s chronickým duševním onemocněním, které mají zájem o začlenění do běžného života. Služba obsahuje činnosti poskytnutí stravy, poskytnutí ubytování, zprostředkování kontaktu se společenským prostředím, sociálně terapeutické činnosti a pomoc při uplatňování práv a oprávněných zájmů. </w:t>
      </w:r>
    </w:p>
    <w:p w:rsidR="001319EB" w:rsidRPr="00C1326B" w:rsidRDefault="001319EB" w:rsidP="001319EB">
      <w:pPr>
        <w:spacing w:before="120"/>
        <w:jc w:val="both"/>
        <w:rPr>
          <w:rStyle w:val="Siln"/>
          <w:b w:val="0"/>
          <w:iCs/>
        </w:rPr>
      </w:pPr>
      <w:r w:rsidRPr="00C1326B">
        <w:rPr>
          <w:rStyle w:val="Siln"/>
          <w:iCs/>
        </w:rPr>
        <w:t>Sociálně terapeutické dílny</w:t>
      </w:r>
      <w:r w:rsidRPr="00C1326B">
        <w:rPr>
          <w:rStyle w:val="Siln"/>
          <w:b w:val="0"/>
          <w:iCs/>
        </w:rPr>
        <w:t xml:space="preserve">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pracovní terapie. Služba obsahuje činnosti pomoc při osobní hygieně nebo poskytnutí podmínek pro osobní hygienu, poskytnutí stravy nebo pomoc při zajištění stravy, nácvik dovedností pro zvládání péče o vlastní osobu, soběstačnosti a dalších činností vedoucích k sociálnímu začlenění a podpora vytváření a zdokonalování základních pracovních návyků a dovedností. </w:t>
      </w:r>
    </w:p>
    <w:p w:rsidR="001319EB" w:rsidRPr="00C1326B" w:rsidRDefault="001319EB" w:rsidP="001319EB">
      <w:pPr>
        <w:spacing w:before="120"/>
        <w:jc w:val="both"/>
        <w:rPr>
          <w:rStyle w:val="Siln"/>
          <w:b w:val="0"/>
          <w:iCs/>
        </w:rPr>
      </w:pPr>
      <w:r>
        <w:rPr>
          <w:rStyle w:val="Siln"/>
          <w:iCs/>
        </w:rPr>
        <w:t>Sociální rehabilitace - j</w:t>
      </w:r>
      <w:r w:rsidRPr="00C1326B">
        <w:rPr>
          <w:rStyle w:val="Siln"/>
          <w:b w:val="0"/>
          <w:iCs/>
        </w:rPr>
        <w:t xml:space="preserve">edná se o soubor specifických činností směřujících k dosažení samostatnosti, nezávislosti a soběstačnosti osob, a to rozvojem jejich specifických schopností a dovedností, posilováním návyků a nácvikem výkonu běžných činností pro samostatný život. Sociální rehabilitace se poskytuje formou terénních a ambulantních služeb, nebo formou pobytových služeb poskytovaných v centrech sociálně rehabilitačních služeb. Terénní a ambulantní služba obsahuje činnosti nácvik dovedností pro zvládání péče o vlastní osobu, soběstačnosti a dalších činností vedoucích k sociálnímu začlenění, zprostředkování kontaktu se společenským prostředím, výchovné, vzdělávací a aktivizační činnosti a pomoc při uplatňování práv a oprávněných zájmů. Forma pobytové služby v centrech sociálně rehabilitačních služeb obsahuje poskytnutí ubytování a stravy, pomoc při osobní hygieně nebo poskytnutí podmínek pro osobní hygienu, nácvik dovedností pro zvládání péče o vlastní osobu, soběstačnosti a dalších činností vedoucích k sociálnímu začlenění, zprostředkování kontaktu se společenským prostředím, výchovné, vzdělávací a aktivizační činnosti a pomoc při uplatňování práv a oprávněných zájmů. </w:t>
      </w:r>
    </w:p>
    <w:p w:rsidR="001319EB" w:rsidRPr="00C1326B" w:rsidRDefault="001319EB" w:rsidP="001319EB">
      <w:pPr>
        <w:spacing w:before="120"/>
        <w:jc w:val="both"/>
        <w:rPr>
          <w:i/>
        </w:rPr>
      </w:pPr>
      <w:r w:rsidRPr="00C1326B">
        <w:rPr>
          <w:rStyle w:val="Siln"/>
          <w:iCs/>
        </w:rPr>
        <w:t>Služby následné péče</w:t>
      </w:r>
      <w:r w:rsidRPr="00C1326B">
        <w:rPr>
          <w:rStyle w:val="Siln"/>
          <w:b w:val="0"/>
          <w:iCs/>
        </w:rPr>
        <w:t xml:space="preserve"> jsou ambulantní nebo pobytové služby poskytované osobám s chronickým duševním onemocněním a osobám závislým na návykových látkách, které absolvovaly ústavní léčbu ve zdravotnickém zařízení, absolvovaly ambulantní léčbu nebo se jí podrobují, nebo osobám, které abstinují. Služba obsahuje sociálně terapeutické činnosti, zprostředkování kontaktu se společenským prostředím pomoc při uplatňování práv a oprávněných zájmů. </w:t>
      </w:r>
    </w:p>
    <w:p w:rsidR="001319EB" w:rsidRDefault="001319EB" w:rsidP="003B34FF">
      <w:pPr>
        <w:jc w:val="both"/>
      </w:pPr>
    </w:p>
    <w:p w:rsidR="001319EB" w:rsidRPr="002237C6" w:rsidRDefault="001319EB" w:rsidP="001319EB">
      <w:pPr>
        <w:pStyle w:val="Nadpis1"/>
      </w:pPr>
      <w:bookmarkStart w:id="46" w:name="_Toc481748808"/>
      <w:r>
        <w:lastRenderedPageBreak/>
        <w:t xml:space="preserve">6. </w:t>
      </w:r>
      <w:r w:rsidRPr="002237C6">
        <w:t>Klasifikace</w:t>
      </w:r>
      <w:bookmarkEnd w:id="46"/>
    </w:p>
    <w:p w:rsidR="001319EB" w:rsidRPr="002237C6" w:rsidRDefault="001319EB" w:rsidP="001319EB">
      <w:pPr>
        <w:keepNext/>
        <w:spacing w:before="120" w:after="120" w:line="240" w:lineRule="auto"/>
        <w:jc w:val="both"/>
        <w:rPr>
          <w:b/>
          <w:bCs/>
          <w:szCs w:val="17"/>
        </w:rPr>
      </w:pPr>
      <w:r w:rsidRPr="002237C6">
        <w:rPr>
          <w:b/>
          <w:bCs/>
          <w:szCs w:val="17"/>
        </w:rPr>
        <w:t>Klasifikace č.</w:t>
      </w:r>
      <w:r>
        <w:rPr>
          <w:b/>
          <w:bCs/>
          <w:szCs w:val="17"/>
        </w:rPr>
        <w:t xml:space="preserve"> </w:t>
      </w:r>
      <w:r w:rsidRPr="002237C6">
        <w:rPr>
          <w:b/>
          <w:bCs/>
          <w:szCs w:val="17"/>
        </w:rPr>
        <w:t>1 Mezinárodní klasifikace financování zdravotní péče podle SHA 2011</w:t>
      </w:r>
    </w:p>
    <w:tbl>
      <w:tblPr>
        <w:tblW w:w="87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00"/>
        <w:gridCol w:w="6804"/>
      </w:tblGrid>
      <w:tr w:rsidR="001319EB" w:rsidRPr="002237C6" w:rsidTr="00467087">
        <w:trPr>
          <w:trHeight w:val="541"/>
        </w:trPr>
        <w:tc>
          <w:tcPr>
            <w:tcW w:w="8704" w:type="dxa"/>
            <w:gridSpan w:val="2"/>
            <w:shd w:val="clear" w:color="auto" w:fill="D9D9D9"/>
            <w:noWrap/>
            <w:tcMar>
              <w:top w:w="15" w:type="dxa"/>
              <w:left w:w="57" w:type="dxa"/>
              <w:bottom w:w="0" w:type="dxa"/>
              <w:right w:w="57" w:type="dxa"/>
            </w:tcMar>
            <w:vAlign w:val="bottom"/>
          </w:tcPr>
          <w:p w:rsidR="001319EB" w:rsidRPr="002237C6" w:rsidRDefault="001319EB" w:rsidP="00467087">
            <w:pPr>
              <w:keepNext/>
              <w:jc w:val="center"/>
              <w:rPr>
                <w:rFonts w:eastAsia="Arial Unicode MS" w:cs="Arial Unicode MS"/>
                <w:b/>
                <w:bCs/>
                <w:szCs w:val="19"/>
              </w:rPr>
            </w:pPr>
            <w:r w:rsidRPr="002237C6">
              <w:rPr>
                <w:rFonts w:hint="eastAsia"/>
                <w:b/>
                <w:bCs/>
                <w:szCs w:val="19"/>
              </w:rPr>
              <w:t>Mezinárodní klasifikace zdravotnických účtů (zdroj financování)</w:t>
            </w:r>
          </w:p>
        </w:tc>
      </w:tr>
      <w:tr w:rsidR="001319EB" w:rsidRPr="002237C6" w:rsidTr="00467087">
        <w:trPr>
          <w:trHeight w:val="263"/>
        </w:trPr>
        <w:tc>
          <w:tcPr>
            <w:tcW w:w="1900" w:type="dxa"/>
            <w:shd w:val="clear" w:color="auto" w:fill="D9D9D9"/>
            <w:noWrap/>
            <w:tcMar>
              <w:top w:w="15" w:type="dxa"/>
              <w:left w:w="57" w:type="dxa"/>
              <w:bottom w:w="0" w:type="dxa"/>
              <w:right w:w="57" w:type="dxa"/>
            </w:tcMar>
            <w:vAlign w:val="bottom"/>
          </w:tcPr>
          <w:p w:rsidR="001319EB" w:rsidRPr="002237C6" w:rsidRDefault="001319EB" w:rsidP="00467087">
            <w:pPr>
              <w:keepNext/>
              <w:jc w:val="center"/>
              <w:rPr>
                <w:rFonts w:eastAsia="Arial Unicode MS" w:cs="Arial"/>
                <w:b/>
                <w:bCs/>
                <w:color w:val="000000"/>
                <w:sz w:val="16"/>
                <w:szCs w:val="15"/>
              </w:rPr>
            </w:pPr>
            <w:r w:rsidRPr="002237C6">
              <w:rPr>
                <w:rFonts w:cs="Arial"/>
                <w:b/>
                <w:bCs/>
                <w:color w:val="000000"/>
                <w:sz w:val="16"/>
                <w:szCs w:val="15"/>
              </w:rPr>
              <w:t>ICHA-HF</w:t>
            </w:r>
          </w:p>
        </w:tc>
        <w:tc>
          <w:tcPr>
            <w:tcW w:w="6804" w:type="dxa"/>
            <w:shd w:val="clear" w:color="auto" w:fill="D9D9D9"/>
            <w:noWrap/>
            <w:tcMar>
              <w:top w:w="15" w:type="dxa"/>
              <w:left w:w="57" w:type="dxa"/>
              <w:bottom w:w="0" w:type="dxa"/>
              <w:right w:w="57" w:type="dxa"/>
            </w:tcMar>
            <w:vAlign w:val="bottom"/>
          </w:tcPr>
          <w:p w:rsidR="001319EB" w:rsidRPr="002237C6" w:rsidRDefault="001319EB" w:rsidP="00467087">
            <w:pPr>
              <w:keepNext/>
              <w:jc w:val="center"/>
              <w:rPr>
                <w:rFonts w:eastAsia="Arial Unicode MS" w:cs="Arial"/>
                <w:b/>
                <w:bCs/>
                <w:color w:val="000000"/>
                <w:sz w:val="16"/>
                <w:szCs w:val="15"/>
              </w:rPr>
            </w:pPr>
            <w:r w:rsidRPr="002237C6">
              <w:rPr>
                <w:rFonts w:cs="Arial"/>
                <w:b/>
                <w:bCs/>
                <w:color w:val="000000"/>
                <w:sz w:val="16"/>
                <w:szCs w:val="15"/>
              </w:rPr>
              <w:t>ICHA-Zdroj financování</w:t>
            </w:r>
          </w:p>
        </w:tc>
      </w:tr>
      <w:tr w:rsidR="001319EB" w:rsidRPr="002237C6" w:rsidTr="00467087">
        <w:trPr>
          <w:trHeight w:val="255"/>
        </w:trPr>
        <w:tc>
          <w:tcPr>
            <w:tcW w:w="1900" w:type="dxa"/>
            <w:shd w:val="clear" w:color="auto" w:fill="D9D9D9"/>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b/>
                <w:bCs/>
                <w:color w:val="000000"/>
                <w:sz w:val="16"/>
                <w:szCs w:val="15"/>
              </w:rPr>
            </w:pPr>
            <w:r w:rsidRPr="002237C6">
              <w:rPr>
                <w:rFonts w:cs="Arial"/>
                <w:b/>
                <w:bCs/>
                <w:color w:val="000000"/>
                <w:sz w:val="16"/>
                <w:szCs w:val="15"/>
              </w:rPr>
              <w:t>1</w:t>
            </w:r>
          </w:p>
        </w:tc>
        <w:tc>
          <w:tcPr>
            <w:tcW w:w="6804" w:type="dxa"/>
            <w:shd w:val="clear" w:color="auto" w:fill="D9D9D9"/>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b/>
                <w:bCs/>
                <w:color w:val="000000"/>
                <w:sz w:val="16"/>
                <w:szCs w:val="15"/>
              </w:rPr>
            </w:pPr>
            <w:r w:rsidRPr="002237C6">
              <w:rPr>
                <w:rFonts w:cs="Arial"/>
                <w:b/>
                <w:bCs/>
                <w:color w:val="000000"/>
                <w:sz w:val="16"/>
                <w:szCs w:val="15"/>
              </w:rPr>
              <w:t>Veřejné zdroje</w:t>
            </w:r>
          </w:p>
        </w:tc>
      </w:tr>
      <w:tr w:rsidR="001319EB" w:rsidRPr="002237C6" w:rsidTr="00467087">
        <w:trPr>
          <w:trHeight w:val="255"/>
        </w:trPr>
        <w:tc>
          <w:tcPr>
            <w:tcW w:w="1900"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1.1</w:t>
            </w:r>
          </w:p>
        </w:tc>
        <w:tc>
          <w:tcPr>
            <w:tcW w:w="6804"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Veřejné rozpočty</w:t>
            </w:r>
          </w:p>
        </w:tc>
      </w:tr>
      <w:tr w:rsidR="001319EB" w:rsidRPr="002237C6" w:rsidTr="00467087">
        <w:trPr>
          <w:trHeight w:val="255"/>
        </w:trPr>
        <w:tc>
          <w:tcPr>
            <w:tcW w:w="1900"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1.1.1</w:t>
            </w:r>
          </w:p>
        </w:tc>
        <w:tc>
          <w:tcPr>
            <w:tcW w:w="6804"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Státní rozpočet</w:t>
            </w:r>
          </w:p>
        </w:tc>
      </w:tr>
      <w:tr w:rsidR="001319EB" w:rsidRPr="002237C6" w:rsidTr="00467087">
        <w:trPr>
          <w:trHeight w:val="255"/>
        </w:trPr>
        <w:tc>
          <w:tcPr>
            <w:tcW w:w="1900"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1.1.2</w:t>
            </w:r>
          </w:p>
        </w:tc>
        <w:tc>
          <w:tcPr>
            <w:tcW w:w="6804"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Místní rozpočty</w:t>
            </w:r>
          </w:p>
        </w:tc>
      </w:tr>
      <w:tr w:rsidR="001319EB" w:rsidRPr="002237C6" w:rsidTr="00467087">
        <w:trPr>
          <w:trHeight w:val="255"/>
        </w:trPr>
        <w:tc>
          <w:tcPr>
            <w:tcW w:w="1900"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1.2</w:t>
            </w:r>
          </w:p>
        </w:tc>
        <w:tc>
          <w:tcPr>
            <w:tcW w:w="6804"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Zdravotní pojišťovny</w:t>
            </w:r>
          </w:p>
        </w:tc>
      </w:tr>
      <w:tr w:rsidR="001319EB" w:rsidRPr="002237C6" w:rsidTr="00467087">
        <w:trPr>
          <w:trHeight w:val="255"/>
        </w:trPr>
        <w:tc>
          <w:tcPr>
            <w:tcW w:w="1900" w:type="dxa"/>
            <w:shd w:val="clear" w:color="auto" w:fill="D9D9D9"/>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b/>
                <w:bCs/>
                <w:color w:val="000000"/>
                <w:sz w:val="16"/>
                <w:szCs w:val="15"/>
              </w:rPr>
            </w:pPr>
            <w:r w:rsidRPr="002237C6">
              <w:rPr>
                <w:rFonts w:cs="Arial"/>
                <w:b/>
                <w:bCs/>
                <w:color w:val="000000"/>
                <w:sz w:val="16"/>
                <w:szCs w:val="15"/>
              </w:rPr>
              <w:t>2</w:t>
            </w:r>
          </w:p>
        </w:tc>
        <w:tc>
          <w:tcPr>
            <w:tcW w:w="6804" w:type="dxa"/>
            <w:shd w:val="clear" w:color="auto" w:fill="D9D9D9"/>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b/>
                <w:bCs/>
                <w:color w:val="000000"/>
                <w:sz w:val="16"/>
                <w:szCs w:val="15"/>
              </w:rPr>
            </w:pPr>
            <w:r w:rsidRPr="002237C6">
              <w:rPr>
                <w:rFonts w:cs="Arial"/>
                <w:b/>
                <w:bCs/>
                <w:color w:val="000000"/>
                <w:sz w:val="16"/>
                <w:szCs w:val="15"/>
              </w:rPr>
              <w:t>Soukromé zdroje bez přímých plateb domácností</w:t>
            </w:r>
          </w:p>
        </w:tc>
      </w:tr>
      <w:tr w:rsidR="001319EB" w:rsidRPr="002237C6" w:rsidTr="00467087">
        <w:trPr>
          <w:trHeight w:val="255"/>
        </w:trPr>
        <w:tc>
          <w:tcPr>
            <w:tcW w:w="1900"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2.1</w:t>
            </w:r>
          </w:p>
        </w:tc>
        <w:tc>
          <w:tcPr>
            <w:tcW w:w="6804"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Soukromé pojištění</w:t>
            </w:r>
          </w:p>
        </w:tc>
      </w:tr>
      <w:tr w:rsidR="001319EB" w:rsidRPr="002237C6" w:rsidTr="00467087">
        <w:trPr>
          <w:trHeight w:val="255"/>
        </w:trPr>
        <w:tc>
          <w:tcPr>
            <w:tcW w:w="1900"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2.2</w:t>
            </w:r>
          </w:p>
        </w:tc>
        <w:tc>
          <w:tcPr>
            <w:tcW w:w="6804" w:type="dxa"/>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Neziskové organizace</w:t>
            </w:r>
          </w:p>
        </w:tc>
      </w:tr>
      <w:tr w:rsidR="001319EB" w:rsidRPr="002237C6" w:rsidTr="00467087">
        <w:trPr>
          <w:trHeight w:val="255"/>
        </w:trPr>
        <w:tc>
          <w:tcPr>
            <w:tcW w:w="1900" w:type="dxa"/>
            <w:tcBorders>
              <w:bottom w:val="single" w:sz="6" w:space="0" w:color="auto"/>
            </w:tcBorders>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2.3</w:t>
            </w:r>
          </w:p>
        </w:tc>
        <w:tc>
          <w:tcPr>
            <w:tcW w:w="6804" w:type="dxa"/>
            <w:tcBorders>
              <w:bottom w:val="single" w:sz="6" w:space="0" w:color="auto"/>
            </w:tcBorders>
            <w:tcMar>
              <w:top w:w="15" w:type="dxa"/>
              <w:left w:w="57" w:type="dxa"/>
              <w:bottom w:w="0" w:type="dxa"/>
              <w:right w:w="57" w:type="dxa"/>
            </w:tcMar>
            <w:vAlign w:val="center"/>
          </w:tcPr>
          <w:p w:rsidR="001319EB" w:rsidRPr="002237C6" w:rsidRDefault="001319EB" w:rsidP="00467087">
            <w:pPr>
              <w:keepNext/>
              <w:spacing w:line="240" w:lineRule="auto"/>
              <w:rPr>
                <w:rFonts w:eastAsia="Arial Unicode MS" w:cs="Arial"/>
                <w:color w:val="000000"/>
                <w:sz w:val="16"/>
                <w:szCs w:val="15"/>
              </w:rPr>
            </w:pPr>
            <w:r w:rsidRPr="002237C6">
              <w:rPr>
                <w:rFonts w:cs="Arial"/>
                <w:color w:val="000000"/>
                <w:sz w:val="16"/>
                <w:szCs w:val="15"/>
              </w:rPr>
              <w:t>Závodní preventivní péče</w:t>
            </w:r>
          </w:p>
        </w:tc>
      </w:tr>
      <w:tr w:rsidR="001319EB" w:rsidRPr="002237C6" w:rsidTr="00467087">
        <w:trPr>
          <w:trHeight w:val="255"/>
        </w:trPr>
        <w:tc>
          <w:tcPr>
            <w:tcW w:w="1900"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2237C6" w:rsidRDefault="001319EB" w:rsidP="00467087">
            <w:pPr>
              <w:keepNext/>
              <w:spacing w:line="240" w:lineRule="auto"/>
              <w:rPr>
                <w:rFonts w:cs="Arial"/>
                <w:b/>
                <w:color w:val="000000"/>
                <w:sz w:val="16"/>
                <w:szCs w:val="15"/>
              </w:rPr>
            </w:pPr>
            <w:r w:rsidRPr="002237C6">
              <w:rPr>
                <w:rFonts w:cs="Arial"/>
                <w:b/>
                <w:bCs/>
                <w:color w:val="000000"/>
                <w:sz w:val="16"/>
                <w:szCs w:val="15"/>
              </w:rPr>
              <w:t>3</w:t>
            </w:r>
          </w:p>
        </w:tc>
        <w:tc>
          <w:tcPr>
            <w:tcW w:w="6804"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2237C6" w:rsidRDefault="001319EB" w:rsidP="00467087">
            <w:pPr>
              <w:keepNext/>
              <w:spacing w:line="240" w:lineRule="auto"/>
              <w:rPr>
                <w:rFonts w:cs="Arial"/>
                <w:b/>
                <w:color w:val="000000"/>
                <w:sz w:val="16"/>
                <w:szCs w:val="15"/>
              </w:rPr>
            </w:pPr>
            <w:r w:rsidRPr="002237C6">
              <w:rPr>
                <w:rFonts w:cs="Arial"/>
                <w:b/>
                <w:color w:val="000000"/>
                <w:sz w:val="16"/>
                <w:szCs w:val="15"/>
              </w:rPr>
              <w:t>Přímé výdaje domácností</w:t>
            </w:r>
          </w:p>
        </w:tc>
      </w:tr>
    </w:tbl>
    <w:p w:rsidR="001319EB" w:rsidRPr="002237C6" w:rsidRDefault="001319EB" w:rsidP="001319EB">
      <w:pPr>
        <w:keepNext/>
        <w:jc w:val="both"/>
        <w:rPr>
          <w:sz w:val="16"/>
          <w:szCs w:val="16"/>
        </w:rPr>
      </w:pPr>
      <w:r w:rsidRPr="002237C6">
        <w:rPr>
          <w:rFonts w:cs="Arial"/>
          <w:sz w:val="16"/>
          <w:szCs w:val="16"/>
        </w:rPr>
        <w:t>Zdroj:  Manuál SHA 2011, OECD</w:t>
      </w:r>
    </w:p>
    <w:p w:rsidR="001319EB" w:rsidRPr="00750951" w:rsidRDefault="001319EB" w:rsidP="00F53404">
      <w:pPr>
        <w:keepNext/>
        <w:pageBreakBefore/>
        <w:spacing w:after="120" w:line="240" w:lineRule="auto"/>
        <w:jc w:val="both"/>
        <w:rPr>
          <w:b/>
          <w:bCs/>
          <w:szCs w:val="17"/>
        </w:rPr>
      </w:pPr>
      <w:r w:rsidRPr="00750951">
        <w:rPr>
          <w:b/>
          <w:bCs/>
          <w:szCs w:val="17"/>
        </w:rPr>
        <w:lastRenderedPageBreak/>
        <w:t>Klasifikace č. 2 Mezinárodní klasifikace druhů zdravotní péče podle SHA 2011</w:t>
      </w:r>
    </w:p>
    <w:tbl>
      <w:tblPr>
        <w:tblW w:w="96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99"/>
        <w:gridCol w:w="8129"/>
      </w:tblGrid>
      <w:tr w:rsidR="001319EB" w:rsidRPr="00750951" w:rsidTr="00FC12FB">
        <w:trPr>
          <w:trHeight w:val="227"/>
        </w:trPr>
        <w:tc>
          <w:tcPr>
            <w:tcW w:w="9628" w:type="dxa"/>
            <w:gridSpan w:val="2"/>
            <w:shd w:val="clear" w:color="auto" w:fill="D9D9D9"/>
            <w:noWrap/>
            <w:tcMar>
              <w:top w:w="15" w:type="dxa"/>
              <w:left w:w="57" w:type="dxa"/>
              <w:bottom w:w="0" w:type="dxa"/>
              <w:right w:w="57" w:type="dxa"/>
            </w:tcMar>
            <w:vAlign w:val="center"/>
          </w:tcPr>
          <w:p w:rsidR="001319EB" w:rsidRPr="00452EBE" w:rsidRDefault="001319EB" w:rsidP="00467087">
            <w:pPr>
              <w:keepNext/>
              <w:jc w:val="center"/>
              <w:rPr>
                <w:rFonts w:eastAsia="Arial Unicode MS" w:cs="Arial Unicode MS"/>
                <w:b/>
                <w:bCs/>
                <w:szCs w:val="19"/>
              </w:rPr>
            </w:pPr>
            <w:r w:rsidRPr="00452EBE">
              <w:rPr>
                <w:rFonts w:hint="eastAsia"/>
                <w:b/>
                <w:bCs/>
                <w:szCs w:val="19"/>
              </w:rPr>
              <w:t>Mezinárodní klasifikace zdravotnických účtů (druh péče)</w:t>
            </w:r>
          </w:p>
        </w:tc>
      </w:tr>
      <w:tr w:rsidR="001319EB" w:rsidRPr="00750951" w:rsidTr="00FC12FB">
        <w:trPr>
          <w:trHeight w:val="227"/>
        </w:trPr>
        <w:tc>
          <w:tcPr>
            <w:tcW w:w="1499" w:type="dxa"/>
            <w:shd w:val="clear" w:color="auto" w:fill="D9D9D9"/>
            <w:noWrap/>
            <w:tcMar>
              <w:top w:w="15" w:type="dxa"/>
              <w:left w:w="57" w:type="dxa"/>
              <w:bottom w:w="0" w:type="dxa"/>
              <w:right w:w="57" w:type="dxa"/>
            </w:tcMar>
            <w:vAlign w:val="center"/>
          </w:tcPr>
          <w:p w:rsidR="001319EB" w:rsidRPr="00750951" w:rsidRDefault="001319EB" w:rsidP="00467087">
            <w:pPr>
              <w:keepNext/>
              <w:jc w:val="center"/>
              <w:rPr>
                <w:rFonts w:eastAsia="Arial Unicode MS" w:cs="Arial"/>
                <w:b/>
                <w:bCs/>
                <w:color w:val="000000"/>
                <w:sz w:val="16"/>
                <w:szCs w:val="16"/>
              </w:rPr>
            </w:pPr>
            <w:r w:rsidRPr="00750951">
              <w:rPr>
                <w:rFonts w:cs="Arial"/>
                <w:b/>
                <w:bCs/>
                <w:color w:val="000000"/>
                <w:sz w:val="16"/>
                <w:szCs w:val="16"/>
              </w:rPr>
              <w:t>ICHA-HC</w:t>
            </w:r>
          </w:p>
        </w:tc>
        <w:tc>
          <w:tcPr>
            <w:tcW w:w="8129" w:type="dxa"/>
            <w:shd w:val="clear" w:color="auto" w:fill="D9D9D9"/>
            <w:noWrap/>
            <w:tcMar>
              <w:top w:w="15" w:type="dxa"/>
              <w:left w:w="57" w:type="dxa"/>
              <w:bottom w:w="0" w:type="dxa"/>
              <w:right w:w="57" w:type="dxa"/>
            </w:tcMar>
            <w:vAlign w:val="center"/>
          </w:tcPr>
          <w:p w:rsidR="001319EB" w:rsidRPr="00750951" w:rsidRDefault="001319EB" w:rsidP="00467087">
            <w:pPr>
              <w:keepNext/>
              <w:keepLines/>
              <w:jc w:val="center"/>
              <w:outlineLvl w:val="3"/>
              <w:rPr>
                <w:rFonts w:eastAsia="Arial Unicode MS" w:cs="Arial"/>
                <w:b/>
                <w:bCs/>
                <w:iCs/>
                <w:sz w:val="16"/>
                <w:szCs w:val="16"/>
              </w:rPr>
            </w:pPr>
            <w:r w:rsidRPr="00750951">
              <w:rPr>
                <w:rFonts w:eastAsia="MS Gothic" w:cs="Arial"/>
                <w:b/>
                <w:bCs/>
                <w:iCs/>
                <w:color w:val="000000"/>
                <w:sz w:val="16"/>
                <w:szCs w:val="16"/>
              </w:rPr>
              <w:t>ICHA-</w:t>
            </w:r>
            <w:r w:rsidRPr="00750951">
              <w:rPr>
                <w:rFonts w:eastAsia="MS Gothic" w:cs="Arial"/>
                <w:b/>
                <w:iCs/>
                <w:color w:val="000000"/>
                <w:sz w:val="16"/>
                <w:szCs w:val="16"/>
              </w:rPr>
              <w:t>Druh péče</w:t>
            </w:r>
          </w:p>
        </w:tc>
      </w:tr>
      <w:tr w:rsidR="001319EB" w:rsidRPr="00750951" w:rsidTr="00FC12FB">
        <w:trPr>
          <w:trHeight w:val="227"/>
        </w:trPr>
        <w:tc>
          <w:tcPr>
            <w:tcW w:w="1499" w:type="dxa"/>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b/>
                <w:bCs/>
                <w:color w:val="000000"/>
                <w:sz w:val="16"/>
                <w:szCs w:val="16"/>
              </w:rPr>
            </w:pPr>
            <w:r w:rsidRPr="00750951">
              <w:rPr>
                <w:rFonts w:cs="Arial"/>
                <w:b/>
                <w:bCs/>
                <w:color w:val="000000"/>
                <w:sz w:val="16"/>
                <w:szCs w:val="16"/>
              </w:rPr>
              <w:t>1</w:t>
            </w:r>
          </w:p>
        </w:tc>
        <w:tc>
          <w:tcPr>
            <w:tcW w:w="8129" w:type="dxa"/>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b/>
                <w:bCs/>
                <w:color w:val="000000"/>
                <w:sz w:val="16"/>
                <w:szCs w:val="16"/>
              </w:rPr>
            </w:pPr>
            <w:r w:rsidRPr="00750951">
              <w:rPr>
                <w:rFonts w:cs="Arial"/>
                <w:b/>
                <w:bCs/>
                <w:color w:val="000000"/>
                <w:sz w:val="16"/>
                <w:szCs w:val="16"/>
              </w:rPr>
              <w:t>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Lůžková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1.1.1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Všeobecná lůžková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1.1.2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Specializovaná lůžková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Denní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1.2.1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Všeobecná denní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1.2.2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Specializovaná denní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1.3</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Ambulantní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1.3.1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Všeobecná ambulantní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1.3.2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Ambulantní stomatologická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1.3.3</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Specializovaná ambulantní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1.3.9</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highlight w:val="yellow"/>
              </w:rPr>
            </w:pPr>
            <w:r w:rsidRPr="00750951">
              <w:rPr>
                <w:rFonts w:cs="Arial"/>
                <w:color w:val="000000"/>
                <w:sz w:val="16"/>
                <w:szCs w:val="16"/>
              </w:rPr>
              <w:t>Všechna ostatní ambulantní léčebná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1.4</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Domácí léčebná péče</w:t>
            </w:r>
          </w:p>
        </w:tc>
      </w:tr>
      <w:tr w:rsidR="001319EB" w:rsidRPr="00750951" w:rsidTr="00FC12FB">
        <w:trPr>
          <w:trHeight w:val="227"/>
        </w:trPr>
        <w:tc>
          <w:tcPr>
            <w:tcW w:w="1499" w:type="dxa"/>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b/>
                <w:bCs/>
                <w:color w:val="000000"/>
                <w:sz w:val="16"/>
                <w:szCs w:val="16"/>
              </w:rPr>
            </w:pPr>
            <w:r w:rsidRPr="00750951">
              <w:rPr>
                <w:rFonts w:cs="Arial"/>
                <w:b/>
                <w:bCs/>
                <w:color w:val="000000"/>
                <w:sz w:val="16"/>
                <w:szCs w:val="16"/>
              </w:rPr>
              <w:t>2</w:t>
            </w:r>
          </w:p>
        </w:tc>
        <w:tc>
          <w:tcPr>
            <w:tcW w:w="8129" w:type="dxa"/>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b/>
                <w:bCs/>
                <w:color w:val="000000"/>
                <w:sz w:val="16"/>
                <w:szCs w:val="16"/>
              </w:rPr>
            </w:pPr>
            <w:r w:rsidRPr="00750951">
              <w:rPr>
                <w:rFonts w:cs="Arial"/>
                <w:b/>
                <w:bCs/>
                <w:color w:val="000000"/>
                <w:sz w:val="16"/>
                <w:szCs w:val="16"/>
              </w:rPr>
              <w:t>Rehabilitační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2.1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Lůžková rehabilitační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2.2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Denní rehabilitační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2.3</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Ambulantní rehabilitační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2.4</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Domácí rehabilitační péče</w:t>
            </w:r>
          </w:p>
        </w:tc>
      </w:tr>
      <w:tr w:rsidR="001319EB" w:rsidRPr="00750951" w:rsidTr="00FC12FB">
        <w:trPr>
          <w:trHeight w:val="227"/>
        </w:trPr>
        <w:tc>
          <w:tcPr>
            <w:tcW w:w="1499" w:type="dxa"/>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b/>
                <w:bCs/>
                <w:color w:val="000000"/>
                <w:sz w:val="16"/>
                <w:szCs w:val="16"/>
              </w:rPr>
            </w:pPr>
            <w:r w:rsidRPr="00750951">
              <w:rPr>
                <w:rFonts w:cs="Arial"/>
                <w:b/>
                <w:bCs/>
                <w:color w:val="000000"/>
                <w:sz w:val="16"/>
                <w:szCs w:val="16"/>
              </w:rPr>
              <w:t>3</w:t>
            </w:r>
          </w:p>
        </w:tc>
        <w:tc>
          <w:tcPr>
            <w:tcW w:w="8129" w:type="dxa"/>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b/>
                <w:bCs/>
                <w:color w:val="000000"/>
                <w:sz w:val="16"/>
                <w:szCs w:val="16"/>
              </w:rPr>
            </w:pPr>
            <w:r w:rsidRPr="00750951">
              <w:rPr>
                <w:rFonts w:cs="Arial"/>
                <w:b/>
                <w:bCs/>
                <w:color w:val="000000"/>
                <w:sz w:val="16"/>
                <w:szCs w:val="16"/>
              </w:rPr>
              <w:t>Dlouhodobá zdravotní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3.1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Lůžková dlouhodobá zdravotní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3.2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Denní dlouhodobá zdravotní péče</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3.3</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Ambulantní dlouhodobá zdravotní péče</w:t>
            </w:r>
          </w:p>
        </w:tc>
      </w:tr>
      <w:tr w:rsidR="001319EB" w:rsidRPr="00750951" w:rsidTr="00FC12FB">
        <w:trPr>
          <w:trHeight w:val="227"/>
        </w:trPr>
        <w:tc>
          <w:tcPr>
            <w:tcW w:w="149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3.4</w:t>
            </w:r>
          </w:p>
        </w:tc>
        <w:tc>
          <w:tcPr>
            <w:tcW w:w="812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eastAsia="Arial Unicode MS" w:cs="Arial"/>
                <w:color w:val="000000"/>
                <w:sz w:val="16"/>
                <w:szCs w:val="16"/>
              </w:rPr>
            </w:pPr>
            <w:r w:rsidRPr="00750951">
              <w:rPr>
                <w:rFonts w:cs="Arial"/>
                <w:color w:val="000000"/>
                <w:sz w:val="16"/>
                <w:szCs w:val="16"/>
              </w:rPr>
              <w:t>Domácí dlouhodobá zdravotní péče</w:t>
            </w:r>
          </w:p>
        </w:tc>
      </w:tr>
      <w:tr w:rsidR="001319EB" w:rsidRPr="00750951" w:rsidTr="00FC12FB">
        <w:trPr>
          <w:trHeight w:val="227"/>
        </w:trPr>
        <w:tc>
          <w:tcPr>
            <w:tcW w:w="149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4</w:t>
            </w:r>
          </w:p>
        </w:tc>
        <w:tc>
          <w:tcPr>
            <w:tcW w:w="81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Doplňkové služby</w:t>
            </w:r>
          </w:p>
        </w:tc>
      </w:tr>
      <w:tr w:rsidR="001319EB" w:rsidRPr="00750951" w:rsidTr="00FC12FB">
        <w:trPr>
          <w:trHeight w:val="227"/>
        </w:trPr>
        <w:tc>
          <w:tcPr>
            <w:tcW w:w="1499" w:type="dxa"/>
            <w:tcBorders>
              <w:top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4.1</w:t>
            </w:r>
          </w:p>
        </w:tc>
        <w:tc>
          <w:tcPr>
            <w:tcW w:w="8129" w:type="dxa"/>
            <w:tcBorders>
              <w:top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Laboratorní služby</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4.2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Zobrazovací služby</w:t>
            </w:r>
          </w:p>
        </w:tc>
      </w:tr>
      <w:tr w:rsidR="001319EB" w:rsidRPr="00750951" w:rsidTr="00FC12FB">
        <w:trPr>
          <w:trHeight w:val="227"/>
        </w:trPr>
        <w:tc>
          <w:tcPr>
            <w:tcW w:w="149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4.3</w:t>
            </w:r>
          </w:p>
        </w:tc>
        <w:tc>
          <w:tcPr>
            <w:tcW w:w="812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Doprava pacientů</w:t>
            </w:r>
          </w:p>
        </w:tc>
      </w:tr>
      <w:tr w:rsidR="001319EB" w:rsidRPr="00750951" w:rsidTr="00FC12FB">
        <w:trPr>
          <w:trHeight w:val="227"/>
        </w:trPr>
        <w:tc>
          <w:tcPr>
            <w:tcW w:w="149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5</w:t>
            </w:r>
          </w:p>
        </w:tc>
        <w:tc>
          <w:tcPr>
            <w:tcW w:w="81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Léčiva a ostatní zdravotnické výrobky</w:t>
            </w:r>
          </w:p>
        </w:tc>
      </w:tr>
      <w:tr w:rsidR="001319EB" w:rsidRPr="00750951" w:rsidTr="00FC12FB">
        <w:trPr>
          <w:trHeight w:val="227"/>
        </w:trPr>
        <w:tc>
          <w:tcPr>
            <w:tcW w:w="1499" w:type="dxa"/>
            <w:tcBorders>
              <w:top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5.1</w:t>
            </w:r>
          </w:p>
        </w:tc>
        <w:tc>
          <w:tcPr>
            <w:tcW w:w="8129" w:type="dxa"/>
            <w:tcBorders>
              <w:top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Léčiva a zdravotnický materiál</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5.1.1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Léky na předpis</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5.1.2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Volně prodejné léky a léčiva</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5.1.3</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Ostatní zdravotnický materiál a výrobky</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 xml:space="preserve">Terapeutické pomůcky </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5.2.1</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Brýle a další produkty oční optiky</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5.2.2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Pomůcky pro sluchově postižené</w:t>
            </w:r>
          </w:p>
        </w:tc>
      </w:tr>
      <w:tr w:rsidR="001319EB" w:rsidRPr="00750951" w:rsidTr="00FC12FB">
        <w:trPr>
          <w:trHeight w:val="227"/>
        </w:trPr>
        <w:tc>
          <w:tcPr>
            <w:tcW w:w="149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5.2.3</w:t>
            </w:r>
          </w:p>
        </w:tc>
        <w:tc>
          <w:tcPr>
            <w:tcW w:w="812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Ortopedické a protetické pomůcky</w:t>
            </w:r>
          </w:p>
        </w:tc>
      </w:tr>
      <w:tr w:rsidR="001319EB" w:rsidRPr="00750951" w:rsidTr="00FC12FB">
        <w:trPr>
          <w:trHeight w:val="227"/>
        </w:trPr>
        <w:tc>
          <w:tcPr>
            <w:tcW w:w="149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6</w:t>
            </w:r>
          </w:p>
        </w:tc>
        <w:tc>
          <w:tcPr>
            <w:tcW w:w="81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Preventivní péče</w:t>
            </w:r>
          </w:p>
        </w:tc>
      </w:tr>
      <w:tr w:rsidR="001319EB" w:rsidRPr="00750951" w:rsidTr="00FC12FB">
        <w:trPr>
          <w:trHeight w:val="227"/>
        </w:trPr>
        <w:tc>
          <w:tcPr>
            <w:tcW w:w="1499" w:type="dxa"/>
            <w:tcBorders>
              <w:top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6.1</w:t>
            </w:r>
          </w:p>
        </w:tc>
        <w:tc>
          <w:tcPr>
            <w:tcW w:w="8129" w:type="dxa"/>
            <w:tcBorders>
              <w:top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Informační a poradenské programy</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6.2</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Imunizační programy</w:t>
            </w:r>
          </w:p>
        </w:tc>
      </w:tr>
      <w:tr w:rsidR="001319EB" w:rsidRPr="00750951" w:rsidTr="00FC12FB">
        <w:trPr>
          <w:trHeight w:val="227"/>
        </w:trPr>
        <w:tc>
          <w:tcPr>
            <w:tcW w:w="149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6.3</w:t>
            </w:r>
          </w:p>
        </w:tc>
        <w:tc>
          <w:tcPr>
            <w:tcW w:w="8129" w:type="dxa"/>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Programy pro včasné odhalení nemoci</w:t>
            </w:r>
          </w:p>
        </w:tc>
      </w:tr>
      <w:tr w:rsidR="001319EB" w:rsidRPr="00750951" w:rsidTr="00FC12FB">
        <w:trPr>
          <w:trHeight w:val="227"/>
        </w:trPr>
        <w:tc>
          <w:tcPr>
            <w:tcW w:w="149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6.4</w:t>
            </w:r>
          </w:p>
        </w:tc>
        <w:tc>
          <w:tcPr>
            <w:tcW w:w="8129" w:type="dxa"/>
            <w:tcBorders>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Programy pro sledování zdravotního stavu</w:t>
            </w:r>
          </w:p>
        </w:tc>
      </w:tr>
      <w:tr w:rsidR="001319EB" w:rsidRPr="00750951" w:rsidTr="00FC12FB">
        <w:trPr>
          <w:trHeight w:val="227"/>
        </w:trPr>
        <w:tc>
          <w:tcPr>
            <w:tcW w:w="149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HCR.1</w:t>
            </w:r>
          </w:p>
        </w:tc>
        <w:tc>
          <w:tcPr>
            <w:tcW w:w="81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Dlouhodobá sociální péče</w:t>
            </w:r>
          </w:p>
        </w:tc>
      </w:tr>
      <w:tr w:rsidR="001319EB" w:rsidRPr="00750951" w:rsidTr="00FC12FB">
        <w:trPr>
          <w:trHeight w:val="227"/>
        </w:trPr>
        <w:tc>
          <w:tcPr>
            <w:tcW w:w="1499" w:type="dxa"/>
            <w:tcBorders>
              <w:top w:val="single" w:sz="6" w:space="0" w:color="auto"/>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HCR.1.1</w:t>
            </w:r>
          </w:p>
        </w:tc>
        <w:tc>
          <w:tcPr>
            <w:tcW w:w="8129" w:type="dxa"/>
            <w:tcBorders>
              <w:top w:val="single" w:sz="6" w:space="0" w:color="auto"/>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Sociální služby</w:t>
            </w:r>
          </w:p>
        </w:tc>
      </w:tr>
      <w:tr w:rsidR="001319EB" w:rsidRPr="00750951" w:rsidTr="00FC12FB">
        <w:trPr>
          <w:trHeight w:val="227"/>
        </w:trPr>
        <w:tc>
          <w:tcPr>
            <w:tcW w:w="1499" w:type="dxa"/>
            <w:tcBorders>
              <w:top w:val="single" w:sz="6" w:space="0" w:color="auto"/>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HCR.1.2</w:t>
            </w:r>
          </w:p>
        </w:tc>
        <w:tc>
          <w:tcPr>
            <w:tcW w:w="8129" w:type="dxa"/>
            <w:tcBorders>
              <w:top w:val="single" w:sz="6" w:space="0" w:color="auto"/>
              <w:bottom w:val="single" w:sz="6" w:space="0" w:color="auto"/>
            </w:tcBorders>
            <w:tcMar>
              <w:top w:w="15" w:type="dxa"/>
              <w:left w:w="57" w:type="dxa"/>
              <w:bottom w:w="0" w:type="dxa"/>
              <w:right w:w="57" w:type="dxa"/>
            </w:tcMar>
            <w:vAlign w:val="center"/>
          </w:tcPr>
          <w:p w:rsidR="001319EB" w:rsidRPr="00750951" w:rsidRDefault="001319EB" w:rsidP="00467087">
            <w:pPr>
              <w:keepNext/>
              <w:spacing w:line="240" w:lineRule="auto"/>
              <w:rPr>
                <w:rFonts w:cs="Arial"/>
                <w:color w:val="000000"/>
                <w:sz w:val="16"/>
                <w:szCs w:val="16"/>
              </w:rPr>
            </w:pPr>
            <w:r w:rsidRPr="00750951">
              <w:rPr>
                <w:rFonts w:cs="Arial"/>
                <w:color w:val="000000"/>
                <w:sz w:val="16"/>
                <w:szCs w:val="16"/>
              </w:rPr>
              <w:t>Peněžité dávky</w:t>
            </w:r>
          </w:p>
        </w:tc>
      </w:tr>
      <w:tr w:rsidR="001319EB" w:rsidRPr="00750951" w:rsidTr="00FC12FB">
        <w:trPr>
          <w:trHeight w:val="227"/>
        </w:trPr>
        <w:tc>
          <w:tcPr>
            <w:tcW w:w="149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HCR.2</w:t>
            </w:r>
          </w:p>
        </w:tc>
        <w:tc>
          <w:tcPr>
            <w:tcW w:w="8129" w:type="dxa"/>
            <w:tcBorders>
              <w:top w:val="single" w:sz="6" w:space="0" w:color="auto"/>
              <w:bottom w:val="single" w:sz="6"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Podpora zdraví v širším pohledu</w:t>
            </w:r>
          </w:p>
        </w:tc>
      </w:tr>
      <w:tr w:rsidR="001319EB" w:rsidRPr="00750951" w:rsidTr="00FC12FB">
        <w:trPr>
          <w:trHeight w:val="227"/>
        </w:trPr>
        <w:tc>
          <w:tcPr>
            <w:tcW w:w="1499" w:type="dxa"/>
            <w:tcBorders>
              <w:top w:val="single" w:sz="6" w:space="0" w:color="auto"/>
              <w:bottom w:val="single" w:sz="4"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9</w:t>
            </w:r>
          </w:p>
        </w:tc>
        <w:tc>
          <w:tcPr>
            <w:tcW w:w="8129" w:type="dxa"/>
            <w:tcBorders>
              <w:top w:val="single" w:sz="6" w:space="0" w:color="auto"/>
              <w:bottom w:val="single" w:sz="4" w:space="0" w:color="auto"/>
            </w:tcBorders>
            <w:shd w:val="clear" w:color="auto" w:fill="D9D9D9"/>
            <w:tcMar>
              <w:top w:w="15" w:type="dxa"/>
              <w:left w:w="57" w:type="dxa"/>
              <w:bottom w:w="0" w:type="dxa"/>
              <w:right w:w="57" w:type="dxa"/>
            </w:tcMar>
            <w:vAlign w:val="center"/>
          </w:tcPr>
          <w:p w:rsidR="001319EB" w:rsidRPr="00750951" w:rsidRDefault="001319EB" w:rsidP="00467087">
            <w:pPr>
              <w:keepNext/>
              <w:spacing w:line="240" w:lineRule="auto"/>
              <w:rPr>
                <w:rFonts w:cs="Arial"/>
                <w:b/>
                <w:color w:val="000000"/>
                <w:sz w:val="16"/>
                <w:szCs w:val="16"/>
              </w:rPr>
            </w:pPr>
            <w:r w:rsidRPr="00750951">
              <w:rPr>
                <w:rFonts w:cs="Arial"/>
                <w:b/>
                <w:color w:val="000000"/>
                <w:sz w:val="16"/>
                <w:szCs w:val="16"/>
              </w:rPr>
              <w:t xml:space="preserve">Ostatní zdravotní péče neuvedená jinde </w:t>
            </w:r>
          </w:p>
        </w:tc>
      </w:tr>
    </w:tbl>
    <w:p w:rsidR="001319EB" w:rsidRPr="00750951" w:rsidRDefault="001319EB" w:rsidP="001319EB">
      <w:pPr>
        <w:keepNext/>
        <w:jc w:val="both"/>
        <w:rPr>
          <w:sz w:val="16"/>
          <w:szCs w:val="16"/>
        </w:rPr>
      </w:pPr>
      <w:r w:rsidRPr="00750951">
        <w:rPr>
          <w:rFonts w:cs="Arial"/>
          <w:sz w:val="16"/>
          <w:szCs w:val="16"/>
        </w:rPr>
        <w:t>Zdroj:  Manuál SHA 2011, OECD</w:t>
      </w:r>
    </w:p>
    <w:p w:rsidR="001319EB" w:rsidRPr="00750951" w:rsidRDefault="001319EB" w:rsidP="00F53404">
      <w:pPr>
        <w:keepNext/>
        <w:pageBreakBefore/>
        <w:spacing w:after="120" w:line="240" w:lineRule="auto"/>
        <w:jc w:val="both"/>
        <w:rPr>
          <w:b/>
          <w:bCs/>
          <w:szCs w:val="17"/>
        </w:rPr>
      </w:pPr>
      <w:r w:rsidRPr="00750951">
        <w:rPr>
          <w:b/>
          <w:bCs/>
          <w:szCs w:val="17"/>
        </w:rPr>
        <w:lastRenderedPageBreak/>
        <w:t>Klasifikace č. 3 Mezinárodní klasifikace podle typu poskytovatele zdravotní péče podle SHA 2011</w:t>
      </w:r>
    </w:p>
    <w:tbl>
      <w:tblPr>
        <w:tblW w:w="9262" w:type="dxa"/>
        <w:tblCellMar>
          <w:left w:w="0" w:type="dxa"/>
          <w:right w:w="0" w:type="dxa"/>
        </w:tblCellMar>
        <w:tblLook w:val="0000" w:firstRow="0" w:lastRow="0" w:firstColumn="0" w:lastColumn="0" w:noHBand="0" w:noVBand="0"/>
      </w:tblPr>
      <w:tblGrid>
        <w:gridCol w:w="1333"/>
        <w:gridCol w:w="7929"/>
      </w:tblGrid>
      <w:tr w:rsidR="001319EB" w:rsidRPr="00750951" w:rsidTr="00FC12FB">
        <w:trPr>
          <w:trHeight w:val="682"/>
        </w:trPr>
        <w:tc>
          <w:tcPr>
            <w:tcW w:w="9262" w:type="dxa"/>
            <w:gridSpan w:val="2"/>
            <w:tcBorders>
              <w:top w:val="single" w:sz="8" w:space="0" w:color="auto"/>
              <w:left w:val="single" w:sz="8" w:space="0" w:color="auto"/>
              <w:bottom w:val="single" w:sz="8" w:space="0" w:color="auto"/>
              <w:right w:val="single" w:sz="8" w:space="0" w:color="000000"/>
            </w:tcBorders>
            <w:shd w:val="clear" w:color="auto" w:fill="D9D9D9"/>
            <w:noWrap/>
            <w:tcMar>
              <w:top w:w="15" w:type="dxa"/>
              <w:left w:w="57" w:type="dxa"/>
              <w:bottom w:w="0" w:type="dxa"/>
              <w:right w:w="57" w:type="dxa"/>
            </w:tcMar>
            <w:vAlign w:val="center"/>
          </w:tcPr>
          <w:p w:rsidR="001319EB" w:rsidRPr="00750951" w:rsidRDefault="001319EB" w:rsidP="00467087">
            <w:pPr>
              <w:keepNext/>
              <w:jc w:val="center"/>
              <w:rPr>
                <w:rFonts w:eastAsia="Arial Unicode MS" w:cs="Arial"/>
                <w:b/>
                <w:bCs/>
                <w:szCs w:val="20"/>
              </w:rPr>
            </w:pPr>
            <w:r w:rsidRPr="00750951">
              <w:rPr>
                <w:rFonts w:cs="Arial"/>
                <w:b/>
                <w:bCs/>
                <w:szCs w:val="20"/>
              </w:rPr>
              <w:t>Mezinárodní klasifikace zdravotnických účtů (poskytovatel)</w:t>
            </w:r>
          </w:p>
        </w:tc>
      </w:tr>
      <w:tr w:rsidR="001319EB" w:rsidRPr="00750951" w:rsidTr="00FC12FB">
        <w:trPr>
          <w:trHeight w:val="287"/>
        </w:trPr>
        <w:tc>
          <w:tcPr>
            <w:tcW w:w="1333" w:type="dxa"/>
            <w:tcBorders>
              <w:top w:val="nil"/>
              <w:left w:val="single" w:sz="8" w:space="0" w:color="auto"/>
              <w:bottom w:val="single" w:sz="8" w:space="0" w:color="auto"/>
              <w:right w:val="single" w:sz="4" w:space="0" w:color="auto"/>
            </w:tcBorders>
            <w:shd w:val="clear" w:color="auto" w:fill="D9D9D9"/>
            <w:noWrap/>
            <w:tcMar>
              <w:top w:w="15" w:type="dxa"/>
              <w:left w:w="57" w:type="dxa"/>
              <w:bottom w:w="0" w:type="dxa"/>
              <w:right w:w="57" w:type="dxa"/>
            </w:tcMar>
            <w:vAlign w:val="center"/>
          </w:tcPr>
          <w:p w:rsidR="001319EB" w:rsidRPr="00750951" w:rsidRDefault="001319EB" w:rsidP="00467087">
            <w:pPr>
              <w:keepNext/>
              <w:jc w:val="center"/>
              <w:rPr>
                <w:rFonts w:eastAsia="Arial Unicode MS" w:cs="Arial"/>
                <w:b/>
                <w:bCs/>
                <w:color w:val="000000"/>
                <w:sz w:val="16"/>
                <w:szCs w:val="16"/>
              </w:rPr>
            </w:pPr>
            <w:r w:rsidRPr="00750951">
              <w:rPr>
                <w:rFonts w:cs="Arial"/>
                <w:b/>
                <w:bCs/>
                <w:color w:val="000000"/>
                <w:sz w:val="16"/>
                <w:szCs w:val="16"/>
              </w:rPr>
              <w:t>ICHA-HP</w:t>
            </w:r>
          </w:p>
        </w:tc>
        <w:tc>
          <w:tcPr>
            <w:tcW w:w="7929" w:type="dxa"/>
            <w:tcBorders>
              <w:top w:val="nil"/>
              <w:left w:val="nil"/>
              <w:bottom w:val="single" w:sz="8" w:space="0" w:color="auto"/>
              <w:right w:val="single" w:sz="4" w:space="0" w:color="auto"/>
            </w:tcBorders>
            <w:shd w:val="clear" w:color="auto" w:fill="D9D9D9"/>
            <w:noWrap/>
            <w:tcMar>
              <w:top w:w="15" w:type="dxa"/>
              <w:left w:w="57" w:type="dxa"/>
              <w:bottom w:w="0" w:type="dxa"/>
              <w:right w:w="57" w:type="dxa"/>
            </w:tcMar>
            <w:vAlign w:val="center"/>
          </w:tcPr>
          <w:p w:rsidR="001319EB" w:rsidRPr="00750951" w:rsidRDefault="001319EB" w:rsidP="00467087">
            <w:pPr>
              <w:keepNext/>
              <w:jc w:val="center"/>
              <w:rPr>
                <w:rFonts w:eastAsia="Arial Unicode MS" w:cs="Arial"/>
                <w:b/>
                <w:bCs/>
                <w:color w:val="000000"/>
                <w:sz w:val="16"/>
                <w:szCs w:val="16"/>
              </w:rPr>
            </w:pPr>
            <w:r w:rsidRPr="00750951">
              <w:rPr>
                <w:rFonts w:cs="Arial"/>
                <w:b/>
                <w:bCs/>
                <w:color w:val="000000"/>
                <w:sz w:val="16"/>
                <w:szCs w:val="16"/>
              </w:rPr>
              <w:t>ICHA-Poskytovatel</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1</w:t>
            </w:r>
          </w:p>
        </w:tc>
        <w:tc>
          <w:tcPr>
            <w:tcW w:w="7929" w:type="dxa"/>
            <w:tcBorders>
              <w:top w:val="nil"/>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Nemocnice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1.1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Všeobecné nemocnice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1.2</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Psychiatrické nemocnice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1.3</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 xml:space="preserve">Specializované nemocnice </w:t>
            </w:r>
          </w:p>
        </w:tc>
      </w:tr>
      <w:tr w:rsidR="001319EB" w:rsidRPr="00750951" w:rsidTr="00FC12FB">
        <w:trPr>
          <w:trHeight w:val="287"/>
        </w:trPr>
        <w:tc>
          <w:tcPr>
            <w:tcW w:w="1333"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2</w:t>
            </w:r>
          </w:p>
        </w:tc>
        <w:tc>
          <w:tcPr>
            <w:tcW w:w="7929"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Lůžková zařízení dlouhodobé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2.1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Zařízení ošetřovatelské dlouhodobé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2.2</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Léčebny pro mentálně postižené, psychiatrické a závislé pacienty</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2.9</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Ostatní lůžková zařízení</w:t>
            </w:r>
          </w:p>
        </w:tc>
      </w:tr>
      <w:tr w:rsidR="001319EB" w:rsidRPr="00750951" w:rsidTr="00FC12FB">
        <w:trPr>
          <w:trHeight w:val="287"/>
        </w:trPr>
        <w:tc>
          <w:tcPr>
            <w:tcW w:w="1333"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3</w:t>
            </w:r>
          </w:p>
        </w:tc>
        <w:tc>
          <w:tcPr>
            <w:tcW w:w="7929"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Poskytovatelé ambulantní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3.1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Samostatné ordinace lékařů</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3.2</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Samostatné ordinace zubních lékařů</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3.3</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Ostatní poskytovatelé zdravotní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3.4</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Ambulantní centra</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3.5</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Poskytovatelé služeb domácí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3.9</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Ostatní poskytovatelé ambulantní péče</w:t>
            </w:r>
          </w:p>
        </w:tc>
      </w:tr>
      <w:tr w:rsidR="001319EB" w:rsidRPr="00750951" w:rsidTr="00FC12FB">
        <w:trPr>
          <w:trHeight w:val="287"/>
        </w:trPr>
        <w:tc>
          <w:tcPr>
            <w:tcW w:w="1333"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4</w:t>
            </w:r>
          </w:p>
        </w:tc>
        <w:tc>
          <w:tcPr>
            <w:tcW w:w="7929"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Poskytovatelé doplňkových služeb</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eastAsia="Arial Unicode MS" w:cs="Arial"/>
                <w:color w:val="000000"/>
                <w:sz w:val="16"/>
                <w:szCs w:val="16"/>
              </w:rPr>
              <w:t>4.1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Doprava pacientů a záchranná služba</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cs="Arial"/>
                <w:color w:val="000000"/>
                <w:sz w:val="16"/>
                <w:szCs w:val="16"/>
              </w:rPr>
            </w:pPr>
            <w:r w:rsidRPr="00750951">
              <w:rPr>
                <w:rFonts w:cs="Arial"/>
                <w:color w:val="000000"/>
                <w:sz w:val="16"/>
                <w:szCs w:val="16"/>
              </w:rPr>
              <w:t xml:space="preserve">4.2 </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cs="Arial"/>
                <w:color w:val="000000"/>
                <w:sz w:val="16"/>
                <w:szCs w:val="16"/>
              </w:rPr>
            </w:pPr>
            <w:r w:rsidRPr="00750951">
              <w:rPr>
                <w:rFonts w:cs="Arial"/>
                <w:color w:val="000000"/>
                <w:sz w:val="16"/>
                <w:szCs w:val="16"/>
              </w:rPr>
              <w:t>Laboratoře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eastAsia="Arial Unicode MS" w:cs="Arial"/>
                <w:color w:val="000000"/>
                <w:sz w:val="16"/>
                <w:szCs w:val="16"/>
              </w:rPr>
              <w:t>4.3</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eastAsia="Arial Unicode MS" w:cs="Arial"/>
                <w:color w:val="000000"/>
                <w:sz w:val="16"/>
                <w:szCs w:val="16"/>
              </w:rPr>
              <w:t>Ostatní poskytovatelé doplňkových služeb</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cs="Arial"/>
                <w:b/>
                <w:color w:val="000000"/>
                <w:sz w:val="16"/>
                <w:szCs w:val="16"/>
              </w:rPr>
            </w:pPr>
            <w:r w:rsidRPr="00750951">
              <w:rPr>
                <w:rFonts w:cs="Arial"/>
                <w:b/>
                <w:color w:val="000000"/>
                <w:sz w:val="16"/>
                <w:szCs w:val="16"/>
              </w:rPr>
              <w:t>5</w:t>
            </w:r>
          </w:p>
        </w:tc>
        <w:tc>
          <w:tcPr>
            <w:tcW w:w="7929" w:type="dxa"/>
            <w:tcBorders>
              <w:top w:val="nil"/>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cs="Arial"/>
                <w:b/>
                <w:color w:val="000000"/>
                <w:sz w:val="16"/>
                <w:szCs w:val="16"/>
              </w:rPr>
            </w:pPr>
            <w:r w:rsidRPr="00750951">
              <w:rPr>
                <w:rFonts w:cs="Arial"/>
                <w:b/>
                <w:color w:val="000000"/>
                <w:sz w:val="16"/>
                <w:szCs w:val="16"/>
              </w:rPr>
              <w:t>Lékárny a výdejny prostředků zdravotnické techniky</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5.1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eastAsia="Arial Unicode MS" w:cs="Arial"/>
                <w:color w:val="000000"/>
                <w:sz w:val="16"/>
                <w:szCs w:val="16"/>
              </w:rPr>
              <w:t>Lékárny</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5.2</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Prodejci a dodavatelé zdravotnického zboží a přístrojů</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5.9</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eastAsia="Arial Unicode MS" w:cs="Arial"/>
                <w:color w:val="000000"/>
                <w:sz w:val="16"/>
                <w:szCs w:val="16"/>
              </w:rPr>
              <w:t>Ostatní prodejci</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cs="Arial"/>
                <w:b/>
                <w:color w:val="000000"/>
                <w:sz w:val="16"/>
                <w:szCs w:val="16"/>
              </w:rPr>
            </w:pPr>
            <w:r w:rsidRPr="00750951">
              <w:rPr>
                <w:rFonts w:cs="Arial"/>
                <w:b/>
                <w:color w:val="000000"/>
                <w:sz w:val="16"/>
                <w:szCs w:val="16"/>
              </w:rPr>
              <w:t>6</w:t>
            </w:r>
          </w:p>
        </w:tc>
        <w:tc>
          <w:tcPr>
            <w:tcW w:w="7929" w:type="dxa"/>
            <w:tcBorders>
              <w:top w:val="nil"/>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cs="Arial"/>
                <w:b/>
                <w:color w:val="000000"/>
                <w:sz w:val="16"/>
                <w:szCs w:val="16"/>
              </w:rPr>
            </w:pPr>
            <w:r w:rsidRPr="00750951">
              <w:rPr>
                <w:rFonts w:cs="Arial"/>
                <w:b/>
                <w:color w:val="000000"/>
                <w:sz w:val="16"/>
                <w:szCs w:val="16"/>
              </w:rPr>
              <w:t>Poskytovatelé preventivní péče</w:t>
            </w:r>
          </w:p>
        </w:tc>
      </w:tr>
      <w:tr w:rsidR="001319EB" w:rsidRPr="00750951" w:rsidTr="00FC12FB">
        <w:trPr>
          <w:trHeight w:val="287"/>
        </w:trPr>
        <w:tc>
          <w:tcPr>
            <w:tcW w:w="1333"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7</w:t>
            </w:r>
          </w:p>
        </w:tc>
        <w:tc>
          <w:tcPr>
            <w:tcW w:w="7929"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Správa systému zdravotního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7.1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Státní správa</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7.2</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Správa zdravotních pojišťoven</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7.3</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Agentury správy soukromého pojištění</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7.9</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Ostatní zdravotní správa</w:t>
            </w:r>
          </w:p>
        </w:tc>
      </w:tr>
      <w:tr w:rsidR="001319EB" w:rsidRPr="00750951" w:rsidTr="00FC12FB">
        <w:trPr>
          <w:trHeight w:val="287"/>
        </w:trPr>
        <w:tc>
          <w:tcPr>
            <w:tcW w:w="1333" w:type="dxa"/>
            <w:tcBorders>
              <w:top w:val="single" w:sz="4" w:space="0" w:color="auto"/>
              <w:left w:val="single" w:sz="8" w:space="0" w:color="auto"/>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8</w:t>
            </w:r>
          </w:p>
        </w:tc>
        <w:tc>
          <w:tcPr>
            <w:tcW w:w="7929" w:type="dxa"/>
            <w:tcBorders>
              <w:top w:val="single" w:sz="4" w:space="0" w:color="auto"/>
              <w:left w:val="nil"/>
              <w:bottom w:val="single" w:sz="4"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Ostatní odvětví ekonomiky</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8.1</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Domácnosti jako poskytovatelé zdravotní péče</w:t>
            </w:r>
          </w:p>
        </w:tc>
      </w:tr>
      <w:tr w:rsidR="001319EB" w:rsidRPr="00750951" w:rsidTr="00FC12FB">
        <w:trPr>
          <w:trHeight w:val="287"/>
        </w:trPr>
        <w:tc>
          <w:tcPr>
            <w:tcW w:w="1333" w:type="dxa"/>
            <w:tcBorders>
              <w:top w:val="nil"/>
              <w:left w:val="single" w:sz="8" w:space="0" w:color="auto"/>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 xml:space="preserve">8.2 </w:t>
            </w:r>
          </w:p>
        </w:tc>
        <w:tc>
          <w:tcPr>
            <w:tcW w:w="7929" w:type="dxa"/>
            <w:tcBorders>
              <w:top w:val="nil"/>
              <w:left w:val="nil"/>
              <w:bottom w:val="single" w:sz="4" w:space="0" w:color="auto"/>
              <w:right w:val="single" w:sz="4" w:space="0" w:color="auto"/>
            </w:tcBorders>
            <w:tcMar>
              <w:top w:w="15" w:type="dxa"/>
              <w:left w:w="57" w:type="dxa"/>
              <w:bottom w:w="0" w:type="dxa"/>
              <w:right w:w="57" w:type="dxa"/>
            </w:tcMar>
            <w:vAlign w:val="bottom"/>
          </w:tcPr>
          <w:p w:rsidR="001319EB" w:rsidRPr="00750951" w:rsidRDefault="001319EB" w:rsidP="00467087">
            <w:pPr>
              <w:keepNext/>
              <w:rPr>
                <w:rFonts w:eastAsia="Arial Unicode MS" w:cs="Arial"/>
                <w:color w:val="000000"/>
                <w:sz w:val="16"/>
                <w:szCs w:val="16"/>
              </w:rPr>
            </w:pPr>
            <w:r w:rsidRPr="00750951">
              <w:rPr>
                <w:rFonts w:cs="Arial"/>
                <w:color w:val="000000"/>
                <w:sz w:val="16"/>
                <w:szCs w:val="16"/>
              </w:rPr>
              <w:t xml:space="preserve">Ostatní poskytovatelé zdravotní péče </w:t>
            </w:r>
          </w:p>
        </w:tc>
      </w:tr>
      <w:tr w:rsidR="001319EB" w:rsidRPr="00750951" w:rsidTr="00FC12FB">
        <w:trPr>
          <w:trHeight w:val="287"/>
        </w:trPr>
        <w:tc>
          <w:tcPr>
            <w:tcW w:w="1333" w:type="dxa"/>
            <w:tcBorders>
              <w:top w:val="single" w:sz="4" w:space="0" w:color="auto"/>
              <w:left w:val="single" w:sz="8" w:space="0" w:color="auto"/>
              <w:bottom w:val="single" w:sz="8"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9</w:t>
            </w:r>
          </w:p>
        </w:tc>
        <w:tc>
          <w:tcPr>
            <w:tcW w:w="7929" w:type="dxa"/>
            <w:tcBorders>
              <w:top w:val="single" w:sz="4" w:space="0" w:color="auto"/>
              <w:left w:val="nil"/>
              <w:bottom w:val="single" w:sz="8" w:space="0" w:color="auto"/>
              <w:right w:val="single" w:sz="4" w:space="0" w:color="auto"/>
            </w:tcBorders>
            <w:shd w:val="clear" w:color="auto" w:fill="D9D9D9"/>
            <w:tcMar>
              <w:top w:w="15" w:type="dxa"/>
              <w:left w:w="57" w:type="dxa"/>
              <w:bottom w:w="0" w:type="dxa"/>
              <w:right w:w="57" w:type="dxa"/>
            </w:tcMar>
            <w:vAlign w:val="bottom"/>
          </w:tcPr>
          <w:p w:rsidR="001319EB" w:rsidRPr="00750951" w:rsidRDefault="001319EB" w:rsidP="00467087">
            <w:pPr>
              <w:keepNext/>
              <w:rPr>
                <w:rFonts w:eastAsia="Arial Unicode MS" w:cs="Arial"/>
                <w:b/>
                <w:bCs/>
                <w:color w:val="000000"/>
                <w:sz w:val="16"/>
                <w:szCs w:val="16"/>
              </w:rPr>
            </w:pPr>
            <w:r w:rsidRPr="00750951">
              <w:rPr>
                <w:rFonts w:cs="Arial"/>
                <w:b/>
                <w:bCs/>
                <w:color w:val="000000"/>
                <w:sz w:val="16"/>
                <w:szCs w:val="16"/>
              </w:rPr>
              <w:t>Ostatní poskytovatelé nezařazení jinde</w:t>
            </w:r>
          </w:p>
        </w:tc>
      </w:tr>
    </w:tbl>
    <w:p w:rsidR="001319EB" w:rsidRPr="00750951" w:rsidRDefault="001319EB" w:rsidP="001319EB">
      <w:pPr>
        <w:keepNext/>
        <w:spacing w:line="240" w:lineRule="auto"/>
        <w:jc w:val="both"/>
        <w:rPr>
          <w:rFonts w:cs="Arial"/>
          <w:sz w:val="16"/>
          <w:szCs w:val="16"/>
        </w:rPr>
      </w:pPr>
      <w:r w:rsidRPr="00750951">
        <w:rPr>
          <w:rFonts w:cs="Arial"/>
          <w:sz w:val="16"/>
          <w:szCs w:val="16"/>
        </w:rPr>
        <w:t>Zdroj:  Manuál SHA 2011, OECD</w:t>
      </w:r>
      <w:r w:rsidRPr="00750951">
        <w:rPr>
          <w:sz w:val="16"/>
          <w:szCs w:val="16"/>
        </w:rPr>
        <w:tab/>
      </w:r>
    </w:p>
    <w:p w:rsidR="001319EB" w:rsidRPr="00750951" w:rsidRDefault="001319EB" w:rsidP="001319EB">
      <w:pPr>
        <w:keepNext/>
        <w:jc w:val="both"/>
      </w:pPr>
    </w:p>
    <w:p w:rsidR="001319EB" w:rsidRPr="00750951" w:rsidRDefault="001319EB" w:rsidP="00F53404">
      <w:pPr>
        <w:keepNext/>
        <w:pageBreakBefore/>
        <w:spacing w:line="240" w:lineRule="auto"/>
        <w:jc w:val="both"/>
        <w:rPr>
          <w:b/>
          <w:bCs/>
          <w:szCs w:val="17"/>
        </w:rPr>
      </w:pPr>
      <w:r w:rsidRPr="00750951">
        <w:rPr>
          <w:b/>
          <w:bCs/>
          <w:szCs w:val="17"/>
        </w:rPr>
        <w:lastRenderedPageBreak/>
        <w:t>Klasifikace č. 4 Kapitoly diagnóz podle Mezinárodní statistické klasifikace nemocí</w:t>
      </w:r>
    </w:p>
    <w:p w:rsidR="001319EB" w:rsidRPr="00750951" w:rsidRDefault="001319EB" w:rsidP="001319EB">
      <w:pPr>
        <w:keepNext/>
        <w:spacing w:line="240" w:lineRule="auto"/>
        <w:jc w:val="both"/>
        <w:rPr>
          <w:b/>
          <w:bCs/>
          <w:szCs w:val="17"/>
        </w:rPr>
      </w:pPr>
      <w:r w:rsidRPr="00750951">
        <w:rPr>
          <w:b/>
          <w:bCs/>
          <w:szCs w:val="17"/>
        </w:rPr>
        <w:t>a přidružených zdravotních problémů MKN-10</w:t>
      </w:r>
    </w:p>
    <w:tbl>
      <w:tblPr>
        <w:tblW w:w="89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935"/>
      </w:tblGrid>
      <w:tr w:rsidR="001319EB" w:rsidRPr="00750951" w:rsidTr="00FC12FB">
        <w:trPr>
          <w:trHeight w:val="452"/>
        </w:trPr>
        <w:tc>
          <w:tcPr>
            <w:tcW w:w="8935" w:type="dxa"/>
            <w:tcBorders>
              <w:top w:val="single" w:sz="4" w:space="0" w:color="auto"/>
              <w:bottom w:val="single" w:sz="6" w:space="0" w:color="auto"/>
            </w:tcBorders>
            <w:shd w:val="clear" w:color="auto" w:fill="D9D9D9" w:themeFill="background1" w:themeFillShade="D9"/>
            <w:noWrap/>
            <w:tcMar>
              <w:top w:w="15" w:type="dxa"/>
              <w:left w:w="57" w:type="dxa"/>
              <w:bottom w:w="0" w:type="dxa"/>
              <w:right w:w="57" w:type="dxa"/>
            </w:tcMar>
            <w:vAlign w:val="center"/>
          </w:tcPr>
          <w:p w:rsidR="001319EB" w:rsidRDefault="001319EB" w:rsidP="00467087">
            <w:pPr>
              <w:keepNext/>
              <w:spacing w:line="240" w:lineRule="auto"/>
              <w:jc w:val="center"/>
              <w:rPr>
                <w:rFonts w:cs="Arial"/>
                <w:b/>
                <w:bCs/>
                <w:sz w:val="18"/>
                <w:szCs w:val="18"/>
              </w:rPr>
            </w:pPr>
          </w:p>
          <w:p w:rsidR="001319EB" w:rsidRPr="00750951" w:rsidRDefault="001319EB" w:rsidP="00467087">
            <w:pPr>
              <w:keepNext/>
              <w:spacing w:line="240" w:lineRule="auto"/>
              <w:jc w:val="center"/>
              <w:rPr>
                <w:rFonts w:cs="Arial"/>
                <w:b/>
                <w:bCs/>
                <w:sz w:val="18"/>
                <w:szCs w:val="18"/>
              </w:rPr>
            </w:pPr>
            <w:r w:rsidRPr="00750951">
              <w:rPr>
                <w:rFonts w:cs="Arial"/>
                <w:b/>
                <w:bCs/>
                <w:sz w:val="18"/>
                <w:szCs w:val="18"/>
              </w:rPr>
              <w:t>MKN-10</w:t>
            </w:r>
          </w:p>
        </w:tc>
      </w:tr>
      <w:tr w:rsidR="001319EB" w:rsidRPr="00750951" w:rsidTr="00FC12FB">
        <w:trPr>
          <w:trHeight w:val="263"/>
        </w:trPr>
        <w:tc>
          <w:tcPr>
            <w:tcW w:w="8935" w:type="dxa"/>
            <w:tcBorders>
              <w:top w:val="single" w:sz="6" w:space="0" w:color="auto"/>
            </w:tcBorders>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I. Některé infekční a parazitární nemoci</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II. Novotvary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III. Nemoci krve, krvetvorných orgánů a některé poruchy týkající se mechanismu imunity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IV. Nemoci endokrinní, výživy a přeměny látek</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V. Poruchy duševní a poruchy chování</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VI. Nemoci nervové soustavy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VII. Nemoci oka a očních adnex</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VIII. Nemoci ucha a bradavkového výběžku</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IX. Nemoci oběhové soustavy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 Nemoci dýchací soustavy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XI. Nemoci trávicí soustavy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XII. Nemoci kůže a podkožního vaziva</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XIII. Nemoci svalové a kosterní soustavy a pojivové tkáně</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XIV. Nemoci močové a pohlavní soustavy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XV. Těhotenství, porod a šestinedělí</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XVI. Některé stavy vzniklé v perinatálním období</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XVII. Vrozené vady, deformace a chromozomální abnormality</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XVIII. Příznaky, znaky a abnormální klinické a laboratorní nálezy nezařazené jinde</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XIX. Poranění, otravy a některé jiné následky vnějších příčin</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XX. Vnější příčiny nemocnosti a úmrtnosti</w:t>
            </w:r>
          </w:p>
        </w:tc>
      </w:tr>
      <w:tr w:rsidR="001319EB" w:rsidRPr="00750951" w:rsidTr="00FC12FB">
        <w:trPr>
          <w:trHeight w:val="263"/>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XXI. Faktory ovlivňující zdravotní stav a kontakt se zdravotnickými službami</w:t>
            </w:r>
          </w:p>
        </w:tc>
      </w:tr>
      <w:tr w:rsidR="001319EB" w:rsidRPr="00750951" w:rsidTr="00FC12FB">
        <w:trPr>
          <w:trHeight w:val="278"/>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XXII. Kódy pro speciální účely</w:t>
            </w:r>
          </w:p>
        </w:tc>
      </w:tr>
      <w:tr w:rsidR="001319EB" w:rsidRPr="00750951" w:rsidTr="00FC12FB">
        <w:trPr>
          <w:trHeight w:val="278"/>
        </w:trPr>
        <w:tc>
          <w:tcPr>
            <w:tcW w:w="8935" w:type="dxa"/>
            <w:noWrap/>
            <w:tcMar>
              <w:top w:w="15" w:type="dxa"/>
              <w:left w:w="57" w:type="dxa"/>
              <w:bottom w:w="0" w:type="dxa"/>
              <w:right w:w="57" w:type="dxa"/>
            </w:tcMar>
            <w:vAlign w:val="center"/>
          </w:tcPr>
          <w:p w:rsidR="001319EB" w:rsidRPr="00750951" w:rsidRDefault="001319EB" w:rsidP="00467087">
            <w:pPr>
              <w:keepNext/>
              <w:spacing w:line="240" w:lineRule="auto"/>
              <w:rPr>
                <w:rFonts w:cs="Arial"/>
                <w:sz w:val="16"/>
                <w:szCs w:val="20"/>
              </w:rPr>
            </w:pPr>
            <w:r w:rsidRPr="00750951">
              <w:rPr>
                <w:rFonts w:cs="Arial"/>
                <w:sz w:val="16"/>
                <w:szCs w:val="20"/>
              </w:rPr>
              <w:t>00 Neznámá diagnóza</w:t>
            </w:r>
          </w:p>
        </w:tc>
      </w:tr>
    </w:tbl>
    <w:p w:rsidR="001319EB" w:rsidRPr="00750951" w:rsidRDefault="001319EB" w:rsidP="001319EB">
      <w:pPr>
        <w:keepNext/>
        <w:jc w:val="both"/>
        <w:rPr>
          <w:sz w:val="16"/>
          <w:szCs w:val="16"/>
        </w:rPr>
      </w:pPr>
      <w:r w:rsidRPr="00750951">
        <w:rPr>
          <w:rFonts w:cs="Arial"/>
          <w:sz w:val="16"/>
          <w:szCs w:val="16"/>
        </w:rPr>
        <w:t>Zdroj:  Manuál SHA2011, OECD</w:t>
      </w:r>
    </w:p>
    <w:p w:rsidR="00467087" w:rsidRPr="00467087" w:rsidRDefault="00467087" w:rsidP="00F53404">
      <w:pPr>
        <w:keepNext/>
        <w:keepLines/>
        <w:pageBreakBefore/>
        <w:spacing w:after="200"/>
        <w:outlineLvl w:val="0"/>
        <w:rPr>
          <w:rFonts w:eastAsia="MS Gothic"/>
          <w:b/>
          <w:bCs/>
          <w:color w:val="BC091B"/>
          <w:sz w:val="32"/>
          <w:szCs w:val="28"/>
        </w:rPr>
      </w:pPr>
      <w:bookmarkStart w:id="47" w:name="_7._Tabulková_příloha"/>
      <w:bookmarkStart w:id="48" w:name="_Toc481748809"/>
      <w:bookmarkEnd w:id="47"/>
      <w:r w:rsidRPr="00467087">
        <w:rPr>
          <w:rFonts w:eastAsia="MS Gothic"/>
          <w:b/>
          <w:bCs/>
          <w:color w:val="BC091B"/>
          <w:sz w:val="32"/>
          <w:szCs w:val="28"/>
        </w:rPr>
        <w:lastRenderedPageBreak/>
        <w:t>7. Tabulková příloha</w:t>
      </w:r>
      <w:bookmarkEnd w:id="48"/>
    </w:p>
    <w:p w:rsidR="00467087" w:rsidRPr="00467087" w:rsidRDefault="00467087" w:rsidP="00467087">
      <w:pPr>
        <w:keepNext/>
        <w:spacing w:after="120"/>
        <w:jc w:val="both"/>
        <w:rPr>
          <w:b/>
          <w:sz w:val="18"/>
          <w:szCs w:val="18"/>
        </w:rPr>
      </w:pPr>
      <w:r w:rsidRPr="00467087">
        <w:rPr>
          <w:b/>
          <w:sz w:val="18"/>
          <w:szCs w:val="18"/>
        </w:rPr>
        <w:t>Tabulka č. 1 Výdaje na zdravotní péči podle druhu péče a zdrojů financování za rok 2016 (v mil. Kč)</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709"/>
        <w:gridCol w:w="709"/>
        <w:gridCol w:w="567"/>
        <w:gridCol w:w="708"/>
        <w:gridCol w:w="709"/>
        <w:gridCol w:w="567"/>
        <w:gridCol w:w="567"/>
        <w:gridCol w:w="567"/>
        <w:gridCol w:w="709"/>
        <w:gridCol w:w="709"/>
      </w:tblGrid>
      <w:tr w:rsidR="00467087" w:rsidRPr="00467087" w:rsidTr="00467087">
        <w:trPr>
          <w:cantSplit/>
          <w:trHeight w:val="1077"/>
        </w:trPr>
        <w:tc>
          <w:tcPr>
            <w:tcW w:w="3034" w:type="dxa"/>
            <w:tcBorders>
              <w:bottom w:val="single" w:sz="4" w:space="0" w:color="auto"/>
            </w:tcBorders>
            <w:noWrap/>
            <w:tcMar>
              <w:left w:w="57" w:type="dxa"/>
              <w:right w:w="57" w:type="dxa"/>
            </w:tcMar>
            <w:vAlign w:val="center"/>
          </w:tcPr>
          <w:p w:rsidR="00467087" w:rsidRPr="00467087" w:rsidRDefault="00467087" w:rsidP="00467087">
            <w:pPr>
              <w:keepNext/>
              <w:jc w:val="center"/>
              <w:rPr>
                <w:rFonts w:eastAsia="Arial Unicode MS" w:cs="Arial"/>
                <w:sz w:val="16"/>
                <w:szCs w:val="16"/>
              </w:rPr>
            </w:pPr>
            <w:bookmarkStart w:id="49" w:name="OLE_LINK100"/>
            <w:r w:rsidRPr="00467087">
              <w:rPr>
                <w:rFonts w:cs="Arial"/>
                <w:b/>
                <w:sz w:val="16"/>
                <w:szCs w:val="16"/>
              </w:rPr>
              <w:t>HC x HF</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Veřejné zdroje</w:t>
            </w:r>
          </w:p>
        </w:tc>
        <w:tc>
          <w:tcPr>
            <w:tcW w:w="709"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 xml:space="preserve">Státní rozpočet </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Místní rozpočty</w:t>
            </w:r>
          </w:p>
        </w:tc>
        <w:tc>
          <w:tcPr>
            <w:tcW w:w="708"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Zdravotní pojišťovny</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eastAsia="Arial Unicode MS" w:cs="Arial"/>
                <w:sz w:val="16"/>
                <w:szCs w:val="16"/>
              </w:rPr>
              <w:t>Soukromé zdroje</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Soukromé pojištění</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Neziskové organizace</w:t>
            </w:r>
          </w:p>
        </w:tc>
        <w:tc>
          <w:tcPr>
            <w:tcW w:w="567"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Závodní péče</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467087" w:rsidRPr="00467087" w:rsidRDefault="00467087" w:rsidP="00467087">
            <w:pPr>
              <w:keepNext/>
              <w:ind w:left="113" w:right="113"/>
              <w:jc w:val="center"/>
              <w:rPr>
                <w:rFonts w:cs="Arial"/>
                <w:sz w:val="16"/>
                <w:szCs w:val="16"/>
              </w:rPr>
            </w:pPr>
            <w:r w:rsidRPr="00467087">
              <w:rPr>
                <w:rFonts w:cs="Arial"/>
                <w:sz w:val="16"/>
                <w:szCs w:val="16"/>
              </w:rPr>
              <w:t>Domácnosti</w:t>
            </w:r>
          </w:p>
        </w:tc>
        <w:tc>
          <w:tcPr>
            <w:tcW w:w="709" w:type="dxa"/>
            <w:tcBorders>
              <w:bottom w:val="single" w:sz="4" w:space="0" w:color="auto"/>
            </w:tcBorders>
            <w:shd w:val="clear" w:color="auto" w:fill="FFFFFF" w:themeFill="background1"/>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Celkový součet</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1 Léčebná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125 102</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1 324</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2 578</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121 200</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470</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470</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16 865</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142 437</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1.1 Lůžková léčebná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49 755</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1 011</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2 209</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46 535</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365</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365</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818</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50 938</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1.2 Denní léčebná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5 720</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5 720</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5 720</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1.3 Ambulantní léčebná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69 440</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313</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369</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68 757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105</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105</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16 047</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85 592</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1.4 Domácí léčebná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187</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187</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2 Rehabilitační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11 331</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11 331</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3 687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15 018</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2.1 Lůžková rehabilitační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4 802</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4 802</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2 681</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7 483</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sz w:val="16"/>
                <w:szCs w:val="16"/>
              </w:rPr>
            </w:pPr>
            <w:r w:rsidRPr="00467087">
              <w:rPr>
                <w:rFonts w:cs="Arial"/>
                <w:sz w:val="16"/>
                <w:szCs w:val="16"/>
              </w:rPr>
              <w:t xml:space="preserve"> 2.3 Ambulantní rehabilitační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6 529</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6 529</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1 006</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7 535</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3 Dlouhodobá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45 027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29 886</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15 097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89</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45 116</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3.1 Lůžková dlouhodobá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37 043</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23 655</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13 344</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89</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37 132</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eastAsia="Arial Unicode MS" w:cs="Arial"/>
                <w:sz w:val="16"/>
                <w:szCs w:val="16"/>
              </w:rPr>
              <w:t xml:space="preserve"> 3.2 Denní dlouhodobá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1 765</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1 737</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28</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1 765</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3.4 Domácí dlouhodobá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6 219</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4 494</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1 725</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6 219</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4 Doplňkové služby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41 081</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540</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3 365</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37 176</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bCs/>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41 081</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4.1 Laboratorní služby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22 527</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22 527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22 527</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4.2 Zobrazovací metody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10 698</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10 698</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10 698</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4.3 Doprava pacientů</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7 856</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540</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3 365</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3 951</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7 856</w:t>
            </w:r>
          </w:p>
        </w:tc>
      </w:tr>
      <w:tr w:rsidR="00467087" w:rsidRPr="00467087" w:rsidTr="00467087">
        <w:trPr>
          <w:trHeight w:val="255"/>
        </w:trPr>
        <w:tc>
          <w:tcPr>
            <w:tcW w:w="3034" w:type="dxa"/>
            <w:shd w:val="clear" w:color="auto" w:fill="D9D9D9" w:themeFill="background1" w:themeFillShade="D9"/>
            <w:tcMar>
              <w:left w:w="57" w:type="dxa"/>
              <w:right w:w="57" w:type="dxa"/>
            </w:tcMar>
            <w:vAlign w:val="bottom"/>
          </w:tcPr>
          <w:p w:rsidR="00467087" w:rsidRPr="00467087" w:rsidRDefault="00467087" w:rsidP="00467087">
            <w:pPr>
              <w:keepNext/>
              <w:jc w:val="both"/>
              <w:rPr>
                <w:rFonts w:cs="Arial"/>
                <w:color w:val="000000"/>
                <w:sz w:val="16"/>
                <w:szCs w:val="16"/>
              </w:rPr>
            </w:pPr>
            <w:r w:rsidRPr="00467087">
              <w:rPr>
                <w:rFonts w:cs="Arial"/>
                <w:color w:val="000000"/>
                <w:sz w:val="16"/>
                <w:szCs w:val="16"/>
              </w:rPr>
              <w:t>5 Léčiva a ostatní zdravotnický materiál</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38 711</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38 710</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30 574</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69 285</w:t>
            </w:r>
          </w:p>
        </w:tc>
      </w:tr>
      <w:tr w:rsidR="00467087" w:rsidRPr="00467087" w:rsidTr="00467087">
        <w:trPr>
          <w:trHeight w:val="255"/>
        </w:trPr>
        <w:tc>
          <w:tcPr>
            <w:tcW w:w="3034" w:type="dxa"/>
            <w:shd w:val="clear" w:color="auto" w:fill="FFFFFF" w:themeFill="background1"/>
            <w:tcMar>
              <w:left w:w="57" w:type="dxa"/>
              <w:right w:w="57" w:type="dxa"/>
            </w:tcMar>
            <w:vAlign w:val="bottom"/>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5.1 Léčiva a zdravotnický materiál</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34 937</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34 937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24 428</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59 365</w:t>
            </w:r>
          </w:p>
        </w:tc>
      </w:tr>
      <w:tr w:rsidR="00467087" w:rsidRPr="00467087" w:rsidTr="00467087">
        <w:trPr>
          <w:trHeight w:val="255"/>
        </w:trPr>
        <w:tc>
          <w:tcPr>
            <w:tcW w:w="3034" w:type="dxa"/>
            <w:shd w:val="clear" w:color="auto" w:fill="FFFFFF" w:themeFill="background1"/>
            <w:tcMar>
              <w:left w:w="57" w:type="dxa"/>
              <w:right w:w="57" w:type="dxa"/>
            </w:tcMar>
            <w:vAlign w:val="bottom"/>
          </w:tcPr>
          <w:p w:rsidR="00467087" w:rsidRPr="00467087" w:rsidRDefault="00467087" w:rsidP="00467087">
            <w:pPr>
              <w:keepNext/>
              <w:rPr>
                <w:rFonts w:cs="Arial"/>
                <w:color w:val="000000"/>
                <w:sz w:val="16"/>
                <w:szCs w:val="16"/>
              </w:rPr>
            </w:pPr>
            <w:r w:rsidRPr="00467087">
              <w:rPr>
                <w:rFonts w:cs="Arial"/>
                <w:color w:val="000000"/>
                <w:sz w:val="16"/>
                <w:szCs w:val="16"/>
              </w:rPr>
              <w:t xml:space="preserve"> 5.2 Terapeutické pomůcky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3 775</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3 774</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6 146</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9 921</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6 Preventivní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8 480</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1 294</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147</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7 039</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9 739</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6.1 Informační a poradenské programy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700</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15</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673</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700</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6.2 Imunizační programy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1 172</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1 120</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1 172</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6.3 Programy pro včasné odhalení nemocí</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1 746</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161</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108</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1 477</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1 746</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 xml:space="preserve"> 6.4 Programy pro sledování zdravotního stavu</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4 862</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4 862</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6 121</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7 Správa systému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8 569</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2 079</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6 486</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8 583</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rPr>
                <w:rFonts w:eastAsia="Arial Unicode MS" w:cs="Arial"/>
                <w:sz w:val="16"/>
                <w:szCs w:val="16"/>
              </w:rPr>
            </w:pPr>
            <w:r w:rsidRPr="00467087">
              <w:rPr>
                <w:rFonts w:cs="Arial"/>
                <w:sz w:val="16"/>
                <w:szCs w:val="16"/>
              </w:rPr>
              <w:t xml:space="preserve"> 7.1 Státní správa a samospráva a zdrav. pojištění</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8 569</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2 079</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6 486</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8 569</w:t>
            </w:r>
          </w:p>
        </w:tc>
      </w:tr>
      <w:tr w:rsidR="00467087" w:rsidRPr="00467087" w:rsidTr="00467087">
        <w:trPr>
          <w:trHeight w:val="255"/>
        </w:trPr>
        <w:tc>
          <w:tcPr>
            <w:tcW w:w="3034" w:type="dxa"/>
            <w:shd w:val="clear" w:color="auto" w:fill="FFFFFF" w:themeFill="background1"/>
            <w:tcMar>
              <w:left w:w="57" w:type="dxa"/>
              <w:right w:w="57" w:type="dxa"/>
            </w:tcMar>
            <w:vAlign w:val="bottom"/>
          </w:tcPr>
          <w:p w:rsidR="00467087" w:rsidRPr="00467087" w:rsidRDefault="00467087" w:rsidP="00467087">
            <w:pPr>
              <w:keepNext/>
              <w:rPr>
                <w:rFonts w:cs="Arial"/>
                <w:sz w:val="16"/>
                <w:szCs w:val="16"/>
              </w:rPr>
            </w:pPr>
            <w:r w:rsidRPr="00467087">
              <w:rPr>
                <w:rFonts w:cs="Arial"/>
                <w:sz w:val="16"/>
                <w:szCs w:val="16"/>
              </w:rPr>
              <w:t xml:space="preserve"> 7.2 Správa soukromého ZP</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HCR.1 Dlouhodobá sociální péče </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20 148</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20 124</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20 148</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HCR.1.1 Sociální služby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1 941</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1 917</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w:t>
            </w: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1 941</w:t>
            </w:r>
          </w:p>
        </w:tc>
      </w:tr>
      <w:tr w:rsidR="00467087" w:rsidRPr="00467087" w:rsidTr="00467087">
        <w:trPr>
          <w:trHeight w:val="255"/>
        </w:trPr>
        <w:tc>
          <w:tcPr>
            <w:tcW w:w="3034" w:type="dxa"/>
            <w:shd w:val="clear" w:color="auto" w:fill="FFFFFF" w:themeFill="background1"/>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HCR.1.2 Peněžité dávky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18 207</w:t>
            </w: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18 207</w:t>
            </w: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8"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FFFFFF" w:themeFill="background1"/>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18 207</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HCR.2 Podpora zdraví</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353</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353</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353</w:t>
            </w:r>
          </w:p>
        </w:tc>
      </w:tr>
      <w:tr w:rsidR="00467087" w:rsidRPr="00467087" w:rsidTr="00467087">
        <w:trPr>
          <w:trHeight w:val="255"/>
        </w:trPr>
        <w:tc>
          <w:tcPr>
            <w:tcW w:w="3034" w:type="dxa"/>
            <w:shd w:val="clear" w:color="auto" w:fill="D9D9D9" w:themeFill="background1" w:themeFillShade="D9"/>
            <w:tcMar>
              <w:left w:w="57" w:type="dxa"/>
              <w:right w:w="57" w:type="dxa"/>
            </w:tcMar>
            <w:vAlign w:val="bottom"/>
          </w:tcPr>
          <w:p w:rsidR="00467087" w:rsidRPr="00467087" w:rsidRDefault="00467087" w:rsidP="00467087">
            <w:pPr>
              <w:keepNext/>
              <w:rPr>
                <w:rFonts w:cs="Arial"/>
                <w:color w:val="000000"/>
                <w:sz w:val="16"/>
                <w:szCs w:val="16"/>
              </w:rPr>
            </w:pPr>
            <w:r w:rsidRPr="00467087">
              <w:rPr>
                <w:rFonts w:cs="Arial"/>
                <w:color w:val="000000"/>
                <w:sz w:val="16"/>
                <w:szCs w:val="16"/>
              </w:rPr>
              <w:t>9 Ostatní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1 408</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296</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451</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662</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8 479</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8 479</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Cs/>
                <w:color w:val="000000"/>
                <w:sz w:val="16"/>
                <w:szCs w:val="16"/>
              </w:rPr>
            </w:pPr>
            <w:r w:rsidRPr="00467087">
              <w:rPr>
                <w:rFonts w:cs="Arial"/>
                <w:bCs/>
                <w:color w:val="000000"/>
                <w:sz w:val="16"/>
                <w:szCs w:val="16"/>
              </w:rPr>
              <w:t>9 887</w:t>
            </w:r>
          </w:p>
        </w:tc>
      </w:tr>
      <w:tr w:rsidR="00467087" w:rsidRPr="00467087" w:rsidTr="00467087">
        <w:trPr>
          <w:trHeight w:val="255"/>
        </w:trPr>
        <w:tc>
          <w:tcPr>
            <w:tcW w:w="3034" w:type="dxa"/>
            <w:shd w:val="clear" w:color="auto" w:fill="D9D9D9" w:themeFill="background1" w:themeFillShade="D9"/>
            <w:tcMar>
              <w:left w:w="57" w:type="dxa"/>
              <w:right w:w="57" w:type="dxa"/>
            </w:tcMar>
            <w:vAlign w:val="center"/>
          </w:tcPr>
          <w:p w:rsidR="00467087" w:rsidRPr="00467087" w:rsidRDefault="00467087" w:rsidP="00467087">
            <w:pPr>
              <w:keepNext/>
              <w:jc w:val="both"/>
              <w:rPr>
                <w:rFonts w:cs="Arial"/>
                <w:b/>
                <w:sz w:val="16"/>
                <w:szCs w:val="16"/>
              </w:rPr>
            </w:pPr>
            <w:r w:rsidRPr="00467087">
              <w:rPr>
                <w:rFonts w:cs="Arial"/>
                <w:b/>
                <w:sz w:val="16"/>
                <w:szCs w:val="16"/>
              </w:rPr>
              <w:t>Celkový součet</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300 210</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55 895</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6 614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237 700</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10 222</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484</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8 479</w:t>
            </w:r>
          </w:p>
        </w:tc>
        <w:tc>
          <w:tcPr>
            <w:tcW w:w="567"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1 259</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51 215</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361 647</w:t>
            </w:r>
          </w:p>
        </w:tc>
      </w:tr>
    </w:tbl>
    <w:bookmarkEnd w:id="49"/>
    <w:p w:rsidR="00467087" w:rsidRPr="00467087" w:rsidRDefault="00467087" w:rsidP="00467087">
      <w:pPr>
        <w:keepNext/>
        <w:jc w:val="both"/>
        <w:rPr>
          <w:sz w:val="16"/>
          <w:szCs w:val="16"/>
        </w:rPr>
      </w:pPr>
      <w:r w:rsidRPr="00467087">
        <w:rPr>
          <w:rFonts w:cs="Arial"/>
          <w:sz w:val="16"/>
          <w:szCs w:val="16"/>
        </w:rPr>
        <w:t>Zdroj:  Zdravotnické účty 2010-2016</w:t>
      </w:r>
    </w:p>
    <w:p w:rsidR="00467087" w:rsidRPr="00467087" w:rsidRDefault="00467087" w:rsidP="00467087">
      <w:pPr>
        <w:spacing w:line="240" w:lineRule="auto"/>
        <w:rPr>
          <w:b/>
          <w:bCs/>
          <w:sz w:val="18"/>
          <w:szCs w:val="18"/>
        </w:rPr>
      </w:pPr>
      <w:r w:rsidRPr="00467087">
        <w:rPr>
          <w:b/>
          <w:bCs/>
          <w:sz w:val="18"/>
          <w:szCs w:val="18"/>
        </w:rPr>
        <w:br w:type="page"/>
      </w:r>
    </w:p>
    <w:p w:rsidR="00467087" w:rsidRPr="00467087" w:rsidRDefault="00467087" w:rsidP="00467087">
      <w:pPr>
        <w:keepNext/>
        <w:spacing w:after="120" w:line="240" w:lineRule="auto"/>
        <w:jc w:val="both"/>
        <w:rPr>
          <w:b/>
          <w:bCs/>
          <w:sz w:val="18"/>
          <w:szCs w:val="18"/>
        </w:rPr>
      </w:pPr>
      <w:r w:rsidRPr="00467087">
        <w:rPr>
          <w:b/>
          <w:bCs/>
          <w:sz w:val="18"/>
          <w:szCs w:val="18"/>
        </w:rPr>
        <w:lastRenderedPageBreak/>
        <w:t>Tabulka č. 2 Výdaje na zdravotní péči podle druhu péče a typu poskytovatele v roce 2016 (v mil. Kč)</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9"/>
        <w:gridCol w:w="719"/>
        <w:gridCol w:w="720"/>
        <w:gridCol w:w="721"/>
        <w:gridCol w:w="721"/>
        <w:gridCol w:w="721"/>
        <w:gridCol w:w="721"/>
        <w:gridCol w:w="721"/>
        <w:gridCol w:w="721"/>
        <w:gridCol w:w="728"/>
        <w:gridCol w:w="708"/>
      </w:tblGrid>
      <w:tr w:rsidR="00467087" w:rsidRPr="00467087" w:rsidTr="00467087">
        <w:trPr>
          <w:cantSplit/>
          <w:trHeight w:val="1191"/>
        </w:trPr>
        <w:tc>
          <w:tcPr>
            <w:tcW w:w="206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rsidR="00467087" w:rsidRPr="00467087" w:rsidRDefault="00467087" w:rsidP="00467087">
            <w:pPr>
              <w:keepNext/>
              <w:spacing w:line="240" w:lineRule="auto"/>
              <w:jc w:val="center"/>
              <w:rPr>
                <w:rFonts w:eastAsia="Arial Unicode MS" w:cs="Arial"/>
                <w:b/>
                <w:sz w:val="16"/>
                <w:szCs w:val="16"/>
              </w:rPr>
            </w:pPr>
            <w:r w:rsidRPr="00467087">
              <w:rPr>
                <w:rFonts w:cs="Arial"/>
                <w:b/>
                <w:sz w:val="16"/>
                <w:szCs w:val="16"/>
              </w:rPr>
              <w:t>HC x HP</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ind w:left="113" w:right="113"/>
              <w:jc w:val="both"/>
              <w:rPr>
                <w:rFonts w:eastAsia="Arial Unicode MS" w:cs="Arial"/>
                <w:sz w:val="16"/>
                <w:szCs w:val="16"/>
              </w:rPr>
            </w:pPr>
            <w:r w:rsidRPr="00467087">
              <w:rPr>
                <w:rFonts w:eastAsia="Arial Unicode MS" w:cs="Arial"/>
                <w:sz w:val="16"/>
                <w:szCs w:val="16"/>
              </w:rPr>
              <w:t>Nemocnice</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jc w:val="both"/>
              <w:rPr>
                <w:rFonts w:eastAsia="Arial Unicode MS" w:cs="Arial"/>
                <w:sz w:val="16"/>
                <w:szCs w:val="16"/>
              </w:rPr>
            </w:pPr>
            <w:r w:rsidRPr="00467087">
              <w:rPr>
                <w:rFonts w:eastAsia="Arial Unicode MS" w:cs="Arial"/>
                <w:sz w:val="16"/>
                <w:szCs w:val="16"/>
              </w:rPr>
              <w:t>Lůžkové zařízení LTC*)</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jc w:val="both"/>
              <w:rPr>
                <w:rFonts w:eastAsia="Arial Unicode MS" w:cs="Arial"/>
                <w:sz w:val="16"/>
                <w:szCs w:val="16"/>
              </w:rPr>
            </w:pPr>
            <w:r w:rsidRPr="00467087">
              <w:rPr>
                <w:rFonts w:eastAsia="Arial Unicode MS" w:cs="Arial"/>
                <w:sz w:val="16"/>
                <w:szCs w:val="16"/>
              </w:rPr>
              <w:t>Zařízení ambulantní péče</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rPr>
                <w:rFonts w:eastAsia="Arial Unicode MS" w:cs="Arial"/>
                <w:sz w:val="16"/>
                <w:szCs w:val="16"/>
              </w:rPr>
            </w:pPr>
            <w:r w:rsidRPr="00467087">
              <w:rPr>
                <w:rFonts w:eastAsia="Arial Unicode MS" w:cs="Arial"/>
                <w:spacing w:val="-4"/>
                <w:sz w:val="16"/>
                <w:szCs w:val="16"/>
              </w:rPr>
              <w:t xml:space="preserve">Poskytovatelé </w:t>
            </w:r>
            <w:r w:rsidRPr="00467087">
              <w:rPr>
                <w:rFonts w:eastAsia="Arial Unicode MS" w:cs="Arial"/>
                <w:sz w:val="16"/>
                <w:szCs w:val="16"/>
              </w:rPr>
              <w:t>doplňkových služeb</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rPr>
                <w:rFonts w:eastAsia="Arial Unicode MS" w:cs="Arial"/>
                <w:sz w:val="16"/>
                <w:szCs w:val="16"/>
              </w:rPr>
            </w:pPr>
            <w:r w:rsidRPr="00467087">
              <w:rPr>
                <w:rFonts w:eastAsia="Arial Unicode MS" w:cs="Arial"/>
                <w:sz w:val="16"/>
                <w:szCs w:val="16"/>
              </w:rPr>
              <w:t>Lékárny</w:t>
            </w:r>
          </w:p>
          <w:p w:rsidR="00467087" w:rsidRPr="00467087" w:rsidRDefault="00467087" w:rsidP="00467087">
            <w:pPr>
              <w:keepNext/>
              <w:spacing w:line="240" w:lineRule="auto"/>
              <w:ind w:left="113" w:right="113"/>
              <w:rPr>
                <w:rFonts w:eastAsia="Arial Unicode MS" w:cs="Arial"/>
                <w:sz w:val="16"/>
                <w:szCs w:val="16"/>
              </w:rPr>
            </w:pPr>
            <w:r w:rsidRPr="00467087">
              <w:rPr>
                <w:rFonts w:eastAsia="Arial Unicode MS" w:cs="Arial"/>
                <w:sz w:val="16"/>
                <w:szCs w:val="16"/>
              </w:rPr>
              <w:t xml:space="preserve"> a výdejny PZT</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jc w:val="both"/>
              <w:rPr>
                <w:rFonts w:eastAsia="Arial Unicode MS" w:cs="Arial"/>
                <w:sz w:val="16"/>
                <w:szCs w:val="16"/>
              </w:rPr>
            </w:pPr>
            <w:r w:rsidRPr="00467087">
              <w:rPr>
                <w:rFonts w:eastAsia="Arial Unicode MS" w:cs="Arial"/>
                <w:spacing w:val="-4"/>
                <w:sz w:val="16"/>
                <w:szCs w:val="16"/>
              </w:rPr>
              <w:t xml:space="preserve">Poskytovatelé </w:t>
            </w:r>
            <w:r w:rsidRPr="00467087">
              <w:rPr>
                <w:rFonts w:eastAsia="Arial Unicode MS" w:cs="Arial"/>
                <w:sz w:val="16"/>
                <w:szCs w:val="16"/>
              </w:rPr>
              <w:t>preventivních programů</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rPr>
                <w:rFonts w:eastAsia="Arial Unicode MS" w:cs="Arial"/>
                <w:sz w:val="16"/>
                <w:szCs w:val="16"/>
              </w:rPr>
            </w:pPr>
            <w:r w:rsidRPr="00467087">
              <w:rPr>
                <w:rFonts w:eastAsia="Arial Unicode MS" w:cs="Arial"/>
                <w:sz w:val="16"/>
                <w:szCs w:val="16"/>
              </w:rPr>
              <w:t>Správa systému zdravotní péče</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jc w:val="both"/>
              <w:rPr>
                <w:rFonts w:eastAsia="Arial Unicode MS" w:cs="Arial"/>
                <w:sz w:val="16"/>
                <w:szCs w:val="16"/>
              </w:rPr>
            </w:pPr>
            <w:r w:rsidRPr="00467087">
              <w:rPr>
                <w:rFonts w:eastAsia="Arial Unicode MS" w:cs="Arial"/>
                <w:sz w:val="16"/>
                <w:szCs w:val="16"/>
              </w:rPr>
              <w:t>Ostatní odvětví</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tcPr>
          <w:p w:rsidR="00467087" w:rsidRPr="00467087" w:rsidRDefault="00467087" w:rsidP="00467087">
            <w:pPr>
              <w:keepNext/>
              <w:spacing w:line="240" w:lineRule="auto"/>
              <w:ind w:left="113" w:right="113"/>
              <w:jc w:val="both"/>
              <w:rPr>
                <w:rFonts w:cs="Arial"/>
                <w:sz w:val="16"/>
                <w:szCs w:val="16"/>
              </w:rPr>
            </w:pPr>
            <w:r w:rsidRPr="00467087">
              <w:rPr>
                <w:rFonts w:cs="Arial"/>
                <w:sz w:val="16"/>
                <w:szCs w:val="16"/>
              </w:rPr>
              <w:t>Nerozlišeno</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extDirection w:val="btLr"/>
            <w:vAlign w:val="center"/>
            <w:hideMark/>
          </w:tcPr>
          <w:p w:rsidR="00467087" w:rsidRPr="00467087" w:rsidRDefault="00467087" w:rsidP="00467087">
            <w:pPr>
              <w:keepNext/>
              <w:spacing w:line="240" w:lineRule="auto"/>
              <w:ind w:left="113" w:right="113"/>
              <w:jc w:val="both"/>
              <w:rPr>
                <w:rFonts w:eastAsia="Arial Unicode MS" w:cs="Arial"/>
                <w:sz w:val="16"/>
                <w:szCs w:val="16"/>
              </w:rPr>
            </w:pPr>
            <w:r w:rsidRPr="00467087">
              <w:rPr>
                <w:rFonts w:cs="Arial"/>
                <w:sz w:val="16"/>
                <w:szCs w:val="16"/>
              </w:rPr>
              <w:t>Celkový součet</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1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83 723</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57 311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473</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847</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142 437</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1.1 Lůžková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50 525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381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50 938</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1.2 Denní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3 160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2 520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5 720</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1.3 Ambulantní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30 029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54 610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462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85 592</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1.4 Domácí léčebná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187</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2 Rehabilitační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9 859</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695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3 925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481</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15 018</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2.1 Lůžková rehabilitační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7 403</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63</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7 483</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rPr>
                <w:rFonts w:cs="Arial"/>
                <w:sz w:val="16"/>
                <w:szCs w:val="16"/>
              </w:rPr>
            </w:pPr>
            <w:r w:rsidRPr="00467087">
              <w:rPr>
                <w:rFonts w:cs="Arial"/>
                <w:sz w:val="16"/>
                <w:szCs w:val="16"/>
              </w:rPr>
              <w:t xml:space="preserve"> 2.3 Ambulantní rehabilitační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2 456</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632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3 925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467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7 535</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3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11 930</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25 284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1 626</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15</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6 231</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45 116</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3.1 Lůžková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11 836</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25 249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37 132</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467087" w:rsidRPr="00467087" w:rsidRDefault="00467087" w:rsidP="00467087">
            <w:pPr>
              <w:keepNext/>
              <w:jc w:val="both"/>
              <w:rPr>
                <w:rFonts w:eastAsia="Arial Unicode MS" w:cs="Arial"/>
                <w:sz w:val="16"/>
                <w:szCs w:val="16"/>
              </w:rPr>
            </w:pPr>
            <w:r w:rsidRPr="00467087">
              <w:rPr>
                <w:rFonts w:eastAsia="Arial Unicode MS" w:cs="Arial"/>
                <w:sz w:val="16"/>
                <w:szCs w:val="16"/>
              </w:rPr>
              <w:t xml:space="preserve"> 3.2 Denní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1 737</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1 765</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467087" w:rsidRPr="00467087" w:rsidRDefault="00467087" w:rsidP="00467087">
            <w:pPr>
              <w:keepNext/>
              <w:jc w:val="both"/>
              <w:rPr>
                <w:rFonts w:eastAsia="Arial Unicode MS" w:cs="Arial"/>
                <w:sz w:val="16"/>
                <w:szCs w:val="16"/>
              </w:rPr>
            </w:pPr>
            <w:r w:rsidRPr="00467087">
              <w:rPr>
                <w:rFonts w:cs="Arial"/>
                <w:sz w:val="16"/>
                <w:szCs w:val="16"/>
              </w:rPr>
              <w:t xml:space="preserve"> 3.4 Domácí dlouhodobá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76</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1 597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4 494</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6 219</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eastAsia="Arial Unicode MS" w:cs="Arial"/>
                <w:sz w:val="16"/>
                <w:szCs w:val="16"/>
              </w:rPr>
            </w:pPr>
            <w:r w:rsidRPr="00467087">
              <w:rPr>
                <w:rFonts w:cs="Arial"/>
                <w:sz w:val="16"/>
                <w:szCs w:val="16"/>
              </w:rPr>
              <w:t>4 Doplňkové služby</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23 982</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4 434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12 060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182</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41 081</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4.1 Laboratorní služby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14 402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2 732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4 891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22 527</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4.2 Zobrazovací metody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9 021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1 608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10 698</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4.3 Doprava pacientů</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559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7 124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7 856</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bottom"/>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5 Léčiva a ostatní zdravotnický materiál</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8 553</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1 837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58 044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851</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69 285</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bottom"/>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5.1 Léčiva a zdravotnický materiál</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7 625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1 435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50 017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287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59 365</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bottom"/>
            <w:hideMark/>
          </w:tcPr>
          <w:p w:rsidR="00467087" w:rsidRPr="00467087" w:rsidRDefault="00467087" w:rsidP="00467087">
            <w:pPr>
              <w:keepNext/>
              <w:rPr>
                <w:rFonts w:cs="Arial"/>
                <w:color w:val="000000"/>
                <w:sz w:val="16"/>
                <w:szCs w:val="16"/>
              </w:rPr>
            </w:pPr>
            <w:r w:rsidRPr="00467087">
              <w:rPr>
                <w:rFonts w:cs="Arial"/>
                <w:color w:val="000000"/>
                <w:sz w:val="16"/>
                <w:szCs w:val="16"/>
              </w:rPr>
              <w:t xml:space="preserve"> 5.2 Terapeutické pomůcky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928</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402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8 027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564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9 921</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6 Preventivní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716</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5 203</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374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2 173</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9 739</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6.1 Informační a poradenské programy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428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700</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6.2 Imunizační programy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1 172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1 172</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6.3 Programy pro včasné odhalení nemocí</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402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487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369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478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1 746</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rPr>
                <w:rFonts w:cs="Arial"/>
                <w:color w:val="000000"/>
                <w:sz w:val="16"/>
                <w:szCs w:val="16"/>
              </w:rPr>
            </w:pPr>
            <w:r w:rsidRPr="00467087">
              <w:rPr>
                <w:rFonts w:cs="Arial"/>
                <w:color w:val="000000"/>
                <w:sz w:val="16"/>
                <w:szCs w:val="16"/>
              </w:rPr>
              <w:t xml:space="preserve"> 6.4 Programy pro sledování zdravotního stavu</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172</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4 588</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6 121</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7 Správa systému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8 583</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8 583</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467087" w:rsidRPr="00467087" w:rsidRDefault="00467087" w:rsidP="00467087">
            <w:pPr>
              <w:keepNext/>
              <w:rPr>
                <w:rFonts w:cs="Arial"/>
                <w:sz w:val="16"/>
                <w:szCs w:val="16"/>
              </w:rPr>
            </w:pPr>
            <w:r w:rsidRPr="00467087">
              <w:rPr>
                <w:rFonts w:cs="Arial"/>
                <w:sz w:val="16"/>
                <w:szCs w:val="16"/>
              </w:rPr>
              <w:t xml:space="preserve"> 7.1 Státní správa a samospráva a zdrav. pojiš.</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8 569</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8 569</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467087" w:rsidRPr="00467087" w:rsidRDefault="00467087" w:rsidP="00467087">
            <w:pPr>
              <w:keepNext/>
              <w:rPr>
                <w:rFonts w:cs="Arial"/>
                <w:sz w:val="16"/>
                <w:szCs w:val="16"/>
              </w:rPr>
            </w:pPr>
            <w:r w:rsidRPr="00467087">
              <w:rPr>
                <w:rFonts w:cs="Arial"/>
                <w:sz w:val="16"/>
                <w:szCs w:val="16"/>
              </w:rPr>
              <w:t xml:space="preserve"> 7.2 Správa soukrom. ZP</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HCR.1 Dlouhodobá sociální péče </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57</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1 994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18 097</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20 148</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HCR.1.1 Sociální služby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57</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1 884</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1 941</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HCR.1.2 Peněžité dávky</w:t>
            </w:r>
          </w:p>
        </w:tc>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1 994</w:t>
            </w:r>
          </w:p>
        </w:tc>
        <w:tc>
          <w:tcPr>
            <w:tcW w:w="7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16 213</w:t>
            </w:r>
          </w:p>
        </w:tc>
        <w:tc>
          <w:tcPr>
            <w:tcW w:w="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18 207</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HCR.2 Podpora zdraví</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353</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353</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cs="Arial"/>
                <w:color w:val="000000"/>
                <w:sz w:val="16"/>
                <w:szCs w:val="16"/>
              </w:rPr>
            </w:pPr>
            <w:r w:rsidRPr="00467087">
              <w:rPr>
                <w:rFonts w:cs="Arial"/>
                <w:color w:val="000000"/>
                <w:sz w:val="16"/>
                <w:szCs w:val="16"/>
              </w:rPr>
              <w:t>9 Ostatní zdravotní péče</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171</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73</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504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9 130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9 887</w:t>
            </w:r>
          </w:p>
        </w:tc>
      </w:tr>
      <w:tr w:rsidR="00467087" w:rsidRPr="00467087" w:rsidTr="00467087">
        <w:trPr>
          <w:trHeight w:val="255"/>
        </w:trPr>
        <w:tc>
          <w:tcPr>
            <w:tcW w:w="20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467087" w:rsidRPr="00467087" w:rsidRDefault="00467087" w:rsidP="00467087">
            <w:pPr>
              <w:keepNext/>
              <w:jc w:val="both"/>
              <w:rPr>
                <w:rFonts w:cs="Arial"/>
                <w:b/>
                <w:sz w:val="16"/>
                <w:szCs w:val="16"/>
              </w:rPr>
            </w:pPr>
            <w:r w:rsidRPr="00467087">
              <w:rPr>
                <w:rFonts w:cs="Arial"/>
                <w:b/>
                <w:sz w:val="16"/>
                <w:szCs w:val="16"/>
              </w:rPr>
              <w:t>Celkový součet</w:t>
            </w:r>
          </w:p>
        </w:tc>
        <w:tc>
          <w:tcPr>
            <w:tcW w:w="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color w:val="000000"/>
                <w:sz w:val="16"/>
                <w:szCs w:val="16"/>
              </w:rPr>
            </w:pPr>
            <w:r w:rsidRPr="00467087">
              <w:rPr>
                <w:rFonts w:cs="Arial"/>
                <w:b/>
                <w:color w:val="000000"/>
                <w:sz w:val="16"/>
                <w:szCs w:val="16"/>
              </w:rPr>
              <w:t>138 935</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26 014</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74 342</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12 989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58 179</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831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11 081</w:t>
            </w:r>
          </w:p>
        </w:tc>
        <w:tc>
          <w:tcPr>
            <w:tcW w:w="7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25 587</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13 689</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7" w:type="dxa"/>
              <w:bottom w:w="0" w:type="dxa"/>
              <w:right w:w="57" w:type="dxa"/>
            </w:tcMar>
            <w:vAlign w:val="center"/>
          </w:tcPr>
          <w:p w:rsidR="00467087" w:rsidRPr="00467087" w:rsidRDefault="00467087" w:rsidP="00467087">
            <w:pPr>
              <w:jc w:val="right"/>
              <w:rPr>
                <w:rFonts w:cs="Arial"/>
                <w:b/>
                <w:color w:val="000000"/>
                <w:sz w:val="16"/>
                <w:szCs w:val="16"/>
              </w:rPr>
            </w:pPr>
            <w:r w:rsidRPr="00467087">
              <w:rPr>
                <w:rFonts w:cs="Arial"/>
                <w:b/>
                <w:color w:val="000000"/>
                <w:sz w:val="16"/>
                <w:szCs w:val="16"/>
              </w:rPr>
              <w:t>361 647</w:t>
            </w:r>
          </w:p>
        </w:tc>
      </w:tr>
    </w:tbl>
    <w:p w:rsidR="00467087" w:rsidRPr="00467087" w:rsidRDefault="00467087" w:rsidP="00467087">
      <w:pPr>
        <w:keepNext/>
        <w:jc w:val="both"/>
        <w:rPr>
          <w:sz w:val="16"/>
          <w:szCs w:val="16"/>
        </w:rPr>
      </w:pPr>
      <w:r w:rsidRPr="00467087">
        <w:rPr>
          <w:rFonts w:cs="Arial"/>
          <w:sz w:val="16"/>
          <w:szCs w:val="16"/>
        </w:rPr>
        <w:t>Zdroj:  Zdravotnické účty 2010-2016, *) Dlouhodobá péče = LTC – Long - term care</w:t>
      </w:r>
    </w:p>
    <w:p w:rsidR="00467087" w:rsidRPr="00467087" w:rsidRDefault="00467087" w:rsidP="00467087">
      <w:pPr>
        <w:keepNext/>
        <w:spacing w:after="120" w:line="240" w:lineRule="auto"/>
        <w:jc w:val="both"/>
        <w:rPr>
          <w:b/>
          <w:bCs/>
          <w:sz w:val="18"/>
          <w:szCs w:val="18"/>
        </w:rPr>
      </w:pPr>
    </w:p>
    <w:p w:rsidR="00467087" w:rsidRPr="00467087" w:rsidRDefault="00467087" w:rsidP="00467087">
      <w:pPr>
        <w:keepNext/>
        <w:spacing w:after="120" w:line="240" w:lineRule="auto"/>
        <w:jc w:val="both"/>
        <w:rPr>
          <w:b/>
          <w:bCs/>
          <w:sz w:val="18"/>
          <w:szCs w:val="18"/>
        </w:rPr>
      </w:pPr>
    </w:p>
    <w:p w:rsidR="00467087" w:rsidRPr="00467087" w:rsidRDefault="00467087" w:rsidP="00467087">
      <w:pPr>
        <w:keepNext/>
        <w:spacing w:after="120" w:line="240" w:lineRule="auto"/>
        <w:jc w:val="both"/>
        <w:rPr>
          <w:b/>
          <w:bCs/>
          <w:sz w:val="18"/>
          <w:szCs w:val="18"/>
        </w:rPr>
      </w:pPr>
      <w:r w:rsidRPr="00467087">
        <w:rPr>
          <w:b/>
          <w:bCs/>
          <w:sz w:val="18"/>
          <w:szCs w:val="18"/>
        </w:rPr>
        <w:lastRenderedPageBreak/>
        <w:t>Tabulka č. 3 Výdaje na zdravotní péči podle typu poskytovatele a zdroje financování v roce 2016 (v mil. Kč)</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2"/>
        <w:gridCol w:w="709"/>
        <w:gridCol w:w="709"/>
        <w:gridCol w:w="567"/>
        <w:gridCol w:w="709"/>
        <w:gridCol w:w="708"/>
        <w:gridCol w:w="567"/>
        <w:gridCol w:w="567"/>
        <w:gridCol w:w="567"/>
        <w:gridCol w:w="709"/>
        <w:gridCol w:w="709"/>
      </w:tblGrid>
      <w:tr w:rsidR="00467087" w:rsidRPr="00467087" w:rsidTr="00467087">
        <w:trPr>
          <w:cantSplit/>
          <w:trHeight w:val="1134"/>
        </w:trPr>
        <w:tc>
          <w:tcPr>
            <w:tcW w:w="2892" w:type="dxa"/>
            <w:tcBorders>
              <w:bottom w:val="single" w:sz="4" w:space="0" w:color="auto"/>
            </w:tcBorders>
            <w:noWrap/>
            <w:tcMar>
              <w:left w:w="57" w:type="dxa"/>
              <w:right w:w="57" w:type="dxa"/>
            </w:tcMar>
            <w:vAlign w:val="center"/>
          </w:tcPr>
          <w:p w:rsidR="00467087" w:rsidRPr="00467087" w:rsidRDefault="00467087" w:rsidP="00467087">
            <w:pPr>
              <w:keepNext/>
              <w:jc w:val="center"/>
              <w:rPr>
                <w:rFonts w:eastAsia="Arial Unicode MS" w:cs="Arial"/>
                <w:sz w:val="16"/>
                <w:szCs w:val="16"/>
              </w:rPr>
            </w:pPr>
            <w:r w:rsidRPr="00467087">
              <w:rPr>
                <w:rFonts w:cs="Arial"/>
                <w:b/>
                <w:sz w:val="16"/>
                <w:szCs w:val="16"/>
              </w:rPr>
              <w:t>HP x HF</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Veřejné zdroje</w:t>
            </w:r>
          </w:p>
        </w:tc>
        <w:tc>
          <w:tcPr>
            <w:tcW w:w="709"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 xml:space="preserve">Státní rozpočet </w:t>
            </w:r>
          </w:p>
        </w:tc>
        <w:tc>
          <w:tcPr>
            <w:tcW w:w="567"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Místní rozpočty</w:t>
            </w:r>
          </w:p>
        </w:tc>
        <w:tc>
          <w:tcPr>
            <w:tcW w:w="709"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Zdravotní pojišťovny</w:t>
            </w:r>
          </w:p>
        </w:tc>
        <w:tc>
          <w:tcPr>
            <w:tcW w:w="708" w:type="dxa"/>
            <w:tcBorders>
              <w:bottom w:val="single" w:sz="4" w:space="0" w:color="auto"/>
            </w:tcBorders>
            <w:shd w:val="clear" w:color="auto" w:fill="D9D9D9" w:themeFill="background1" w:themeFillShade="D9"/>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eastAsia="Arial Unicode MS" w:cs="Arial"/>
                <w:sz w:val="16"/>
                <w:szCs w:val="16"/>
              </w:rPr>
              <w:t>Soukromé zdroje</w:t>
            </w:r>
          </w:p>
        </w:tc>
        <w:tc>
          <w:tcPr>
            <w:tcW w:w="567"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Soukromé pojištění</w:t>
            </w:r>
          </w:p>
        </w:tc>
        <w:tc>
          <w:tcPr>
            <w:tcW w:w="567"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Neziskové organizace</w:t>
            </w:r>
          </w:p>
        </w:tc>
        <w:tc>
          <w:tcPr>
            <w:tcW w:w="567"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Závodní péče</w:t>
            </w:r>
          </w:p>
        </w:tc>
        <w:tc>
          <w:tcPr>
            <w:tcW w:w="709" w:type="dxa"/>
            <w:tcBorders>
              <w:bottom w:val="single" w:sz="4" w:space="0" w:color="auto"/>
            </w:tcBorders>
            <w:shd w:val="clear" w:color="auto" w:fill="D9D9D9" w:themeFill="background1" w:themeFillShade="D9"/>
            <w:tcMar>
              <w:left w:w="57" w:type="dxa"/>
              <w:right w:w="57" w:type="dxa"/>
            </w:tcMar>
            <w:textDirection w:val="btLr"/>
            <w:vAlign w:val="center"/>
          </w:tcPr>
          <w:p w:rsidR="00467087" w:rsidRPr="00467087" w:rsidRDefault="00467087" w:rsidP="00467087">
            <w:pPr>
              <w:keepNext/>
              <w:ind w:left="113" w:right="113"/>
              <w:jc w:val="center"/>
              <w:rPr>
                <w:rFonts w:cs="Arial"/>
                <w:sz w:val="16"/>
                <w:szCs w:val="16"/>
              </w:rPr>
            </w:pPr>
            <w:r w:rsidRPr="00467087">
              <w:rPr>
                <w:rFonts w:cs="Arial"/>
                <w:sz w:val="16"/>
                <w:szCs w:val="16"/>
              </w:rPr>
              <w:t>Domácnosti</w:t>
            </w:r>
          </w:p>
        </w:tc>
        <w:tc>
          <w:tcPr>
            <w:tcW w:w="709" w:type="dxa"/>
            <w:tcBorders>
              <w:bottom w:val="single" w:sz="4" w:space="0" w:color="auto"/>
            </w:tcBorders>
            <w:shd w:val="clear" w:color="auto" w:fill="FFFFFF"/>
            <w:tcMar>
              <w:left w:w="57" w:type="dxa"/>
              <w:right w:w="57" w:type="dxa"/>
            </w:tcMar>
            <w:textDirection w:val="btLr"/>
            <w:vAlign w:val="center"/>
          </w:tcPr>
          <w:p w:rsidR="00467087" w:rsidRPr="00467087" w:rsidRDefault="00467087" w:rsidP="00467087">
            <w:pPr>
              <w:keepNext/>
              <w:ind w:left="113" w:right="113"/>
              <w:jc w:val="center"/>
              <w:rPr>
                <w:rFonts w:eastAsia="Arial Unicode MS" w:cs="Arial"/>
                <w:sz w:val="16"/>
                <w:szCs w:val="16"/>
              </w:rPr>
            </w:pPr>
            <w:r w:rsidRPr="00467087">
              <w:rPr>
                <w:rFonts w:cs="Arial"/>
                <w:sz w:val="16"/>
                <w:szCs w:val="16"/>
              </w:rPr>
              <w:t>Celkový součet</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jc w:val="both"/>
              <w:rPr>
                <w:rFonts w:eastAsia="Arial Unicode MS" w:cs="Arial"/>
                <w:sz w:val="16"/>
                <w:szCs w:val="16"/>
              </w:rPr>
            </w:pPr>
            <w:r w:rsidRPr="00467087">
              <w:rPr>
                <w:rFonts w:eastAsia="Arial Unicode MS" w:cs="Arial"/>
                <w:sz w:val="16"/>
                <w:szCs w:val="16"/>
              </w:rPr>
              <w:t>1 Nemocnice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135 436</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1 011</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2 209</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132 216</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3 499</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138 935</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1.1 Všeobecné nemocnice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121 784</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683</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1 437</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119 664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818</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122 602</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1.2 Psychiatrické nemocnice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5 550</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5 550</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5 550</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 xml:space="preserve"> 1.3 Specializované nemocnice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8 102</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328</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772</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7 002</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2 681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10 783</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rPr>
                <w:rFonts w:eastAsia="Arial Unicode MS" w:cs="Arial"/>
                <w:sz w:val="16"/>
                <w:szCs w:val="16"/>
              </w:rPr>
            </w:pPr>
            <w:r w:rsidRPr="00467087">
              <w:rPr>
                <w:rFonts w:eastAsia="Arial Unicode MS" w:cs="Arial"/>
                <w:sz w:val="16"/>
                <w:szCs w:val="16"/>
              </w:rPr>
              <w:t>2 Lůžková zařízení dlouhodobé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25 925</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23 655</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2 226</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89</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26 014</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2.1 Zařízení ošetřovatelské</w:t>
            </w:r>
          </w:p>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dlouhodobé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13 684</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12 007</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45</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1 633</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89</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13 773</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2.2 Léčebny pro mentálně postižené, psychiatrické a závislé pacienty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11 648</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11 648</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11 648</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2.9 Ostatní lůžková zařízení</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593</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593</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593</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jc w:val="both"/>
              <w:rPr>
                <w:rFonts w:cs="Arial"/>
                <w:color w:val="000000"/>
                <w:sz w:val="16"/>
                <w:szCs w:val="16"/>
                <w:highlight w:val="yellow"/>
              </w:rPr>
            </w:pPr>
            <w:r w:rsidRPr="00467087">
              <w:rPr>
                <w:rFonts w:cs="Arial"/>
                <w:color w:val="000000"/>
                <w:sz w:val="16"/>
                <w:szCs w:val="16"/>
              </w:rPr>
              <w:t>3 Poskytovatelé ambulantní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57 289</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304</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91</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56 894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17 053</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74 342</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3.1 Ordinace lékařů</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35 881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276</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35 514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5 272</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41 153</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3.2 Ordinace zubních lékařů</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8 393</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8 393</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9 637</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18 030</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3.3 Ostatní poskytovatelé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1 447</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1 447</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2 144</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3 591</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3.4 Ambulantní centra</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9 784</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29</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0</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9 755</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9 784</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3.5 Poskytovatelé služeb domácí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1 784</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1 784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1 784</w:t>
            </w:r>
          </w:p>
        </w:tc>
      </w:tr>
      <w:tr w:rsidR="00467087" w:rsidRPr="00467087" w:rsidTr="00467087">
        <w:trPr>
          <w:trHeight w:val="255"/>
        </w:trPr>
        <w:tc>
          <w:tcPr>
            <w:tcW w:w="2892" w:type="dxa"/>
            <w:shd w:val="clear" w:color="auto" w:fill="D9D9D9"/>
            <w:tcMar>
              <w:left w:w="57" w:type="dxa"/>
              <w:right w:w="57" w:type="dxa"/>
            </w:tcMar>
            <w:vAlign w:val="bottom"/>
          </w:tcPr>
          <w:p w:rsidR="00467087" w:rsidRPr="00467087" w:rsidRDefault="00467087" w:rsidP="00467087">
            <w:pPr>
              <w:keepNext/>
              <w:jc w:val="both"/>
              <w:rPr>
                <w:rFonts w:cs="Arial"/>
                <w:color w:val="000000"/>
                <w:sz w:val="16"/>
                <w:szCs w:val="16"/>
              </w:rPr>
            </w:pPr>
            <w:r w:rsidRPr="00467087">
              <w:rPr>
                <w:rFonts w:cs="Arial"/>
                <w:color w:val="000000"/>
                <w:sz w:val="16"/>
                <w:szCs w:val="16"/>
              </w:rPr>
              <w:t>4 Poskytovatelé doplňkových služeb</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12 989</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549</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3 643</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8 797</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12 989</w:t>
            </w:r>
          </w:p>
        </w:tc>
      </w:tr>
      <w:tr w:rsidR="00467087" w:rsidRPr="00467087" w:rsidTr="00467087">
        <w:trPr>
          <w:trHeight w:val="255"/>
        </w:trPr>
        <w:tc>
          <w:tcPr>
            <w:tcW w:w="2892" w:type="dxa"/>
            <w:shd w:val="clear" w:color="auto" w:fill="FFFFFF"/>
            <w:tcMar>
              <w:left w:w="57" w:type="dxa"/>
              <w:right w:w="57" w:type="dxa"/>
            </w:tcMar>
            <w:vAlign w:val="bottom"/>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4.1 Doprava pacientů a záchranná služba</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7 660</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549</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3 643</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3 468</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7 660</w:t>
            </w:r>
          </w:p>
        </w:tc>
      </w:tr>
      <w:tr w:rsidR="00467087" w:rsidRPr="00467087" w:rsidTr="00467087">
        <w:trPr>
          <w:trHeight w:val="255"/>
        </w:trPr>
        <w:tc>
          <w:tcPr>
            <w:tcW w:w="2892" w:type="dxa"/>
            <w:shd w:val="clear" w:color="auto" w:fill="FFFFFF"/>
            <w:tcMar>
              <w:left w:w="57" w:type="dxa"/>
              <w:right w:w="57" w:type="dxa"/>
            </w:tcMar>
            <w:vAlign w:val="bottom"/>
          </w:tcPr>
          <w:p w:rsidR="00467087" w:rsidRPr="00467087" w:rsidRDefault="00467087" w:rsidP="00467087">
            <w:pPr>
              <w:keepNext/>
              <w:rPr>
                <w:rFonts w:cs="Arial"/>
                <w:color w:val="000000"/>
                <w:sz w:val="16"/>
                <w:szCs w:val="16"/>
              </w:rPr>
            </w:pPr>
            <w:r w:rsidRPr="00467087">
              <w:rPr>
                <w:rFonts w:cs="Arial"/>
                <w:color w:val="000000"/>
                <w:sz w:val="16"/>
                <w:szCs w:val="16"/>
              </w:rPr>
              <w:t xml:space="preserve"> 4.2 Laboratoře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5 329</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5 329</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5 329</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5 Lékárny a výdejny prostředků</w:t>
            </w:r>
          </w:p>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zdravotnické techniky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27 605</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27 604</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30 574</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58 179</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5.1 Lékárny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25 297</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25 297</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24 428</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49 725</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 xml:space="preserve"> 5.2 Prodejci a dodavatelé zdravotnického zboží a přístrojů</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2 307</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2 307</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4 325</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6 632</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 xml:space="preserve"> 5.9 Ostatní prodejci</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1 821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1 822</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6 Poskytovatelé preventivní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831</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386</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422</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831</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7 Správa systému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11 067</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4 369</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212</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6 486</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11 067</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7.1 Státní správa</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4 581</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4 369</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212</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4 581</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7.2 Správa zdravotních pojišťoven</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6 486</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6 486</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6 486</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7.3 Agentury správy soukromého pojištění</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14</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8 Ostatní odvětví ekonomiky</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24 328</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24 328</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24 328</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rPr>
                <w:rFonts w:cs="Arial"/>
                <w:color w:val="000000"/>
                <w:sz w:val="16"/>
                <w:szCs w:val="16"/>
              </w:rPr>
            </w:pPr>
            <w:r w:rsidRPr="00467087">
              <w:rPr>
                <w:rFonts w:cs="Arial"/>
                <w:color w:val="000000"/>
                <w:sz w:val="16"/>
                <w:szCs w:val="16"/>
              </w:rPr>
              <w:t xml:space="preserve"> 8.1 Domácnosti jako poskytovatelé 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17 393</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17 393</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17 393</w:t>
            </w:r>
          </w:p>
        </w:tc>
      </w:tr>
      <w:tr w:rsidR="00467087" w:rsidRPr="00467087" w:rsidTr="00467087">
        <w:trPr>
          <w:trHeight w:val="255"/>
        </w:trPr>
        <w:tc>
          <w:tcPr>
            <w:tcW w:w="2892" w:type="dxa"/>
            <w:shd w:val="clear" w:color="auto" w:fill="FFFFFF"/>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 xml:space="preserve"> 8.2 Ostatní poskytovatelé</w:t>
            </w:r>
          </w:p>
          <w:p w:rsidR="00467087" w:rsidRPr="00467087" w:rsidRDefault="00467087" w:rsidP="00467087">
            <w:pPr>
              <w:keepNext/>
              <w:jc w:val="both"/>
              <w:rPr>
                <w:rFonts w:cs="Arial"/>
                <w:color w:val="000000"/>
                <w:sz w:val="16"/>
                <w:szCs w:val="16"/>
              </w:rPr>
            </w:pPr>
            <w:r w:rsidRPr="00467087">
              <w:rPr>
                <w:rFonts w:cs="Arial"/>
                <w:color w:val="000000"/>
                <w:sz w:val="16"/>
                <w:szCs w:val="16"/>
              </w:rPr>
              <w:t>zdravotní péče</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6 935</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6 935</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567"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1 259</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FFFFFF"/>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8 194</w:t>
            </w:r>
          </w:p>
        </w:tc>
      </w:tr>
      <w:tr w:rsidR="00467087" w:rsidRPr="00467087" w:rsidTr="00467087">
        <w:trPr>
          <w:trHeight w:val="255"/>
        </w:trPr>
        <w:tc>
          <w:tcPr>
            <w:tcW w:w="2892" w:type="dxa"/>
            <w:shd w:val="clear" w:color="auto" w:fill="D9D9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9 Nerozlišeno</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4 741</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1 294</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390</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3 057</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8 949</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470</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8 479</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 </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color w:val="000000"/>
                <w:sz w:val="16"/>
                <w:szCs w:val="16"/>
              </w:rPr>
            </w:pPr>
            <w:r w:rsidRPr="00467087">
              <w:rPr>
                <w:rFonts w:cs="Arial"/>
                <w:color w:val="000000"/>
                <w:sz w:val="16"/>
                <w:szCs w:val="16"/>
              </w:rPr>
              <w:t>13 689</w:t>
            </w:r>
          </w:p>
        </w:tc>
      </w:tr>
      <w:tr w:rsidR="00467087" w:rsidRPr="00467087" w:rsidTr="00467087">
        <w:trPr>
          <w:trHeight w:val="337"/>
        </w:trPr>
        <w:tc>
          <w:tcPr>
            <w:tcW w:w="2892" w:type="dxa"/>
            <w:shd w:val="clear" w:color="auto" w:fill="D9D9D9"/>
            <w:tcMar>
              <w:left w:w="57" w:type="dxa"/>
              <w:right w:w="57" w:type="dxa"/>
            </w:tcMar>
            <w:vAlign w:val="center"/>
          </w:tcPr>
          <w:p w:rsidR="00467087" w:rsidRPr="00467087" w:rsidRDefault="00467087" w:rsidP="00467087">
            <w:pPr>
              <w:keepNext/>
              <w:jc w:val="both"/>
              <w:rPr>
                <w:rFonts w:cs="Arial"/>
                <w:color w:val="000000"/>
                <w:sz w:val="16"/>
                <w:szCs w:val="16"/>
              </w:rPr>
            </w:pPr>
            <w:r w:rsidRPr="00467087">
              <w:rPr>
                <w:rFonts w:cs="Arial"/>
                <w:color w:val="000000"/>
                <w:sz w:val="16"/>
                <w:szCs w:val="16"/>
              </w:rPr>
              <w:t>Celkový součet</w:t>
            </w:r>
          </w:p>
        </w:tc>
        <w:tc>
          <w:tcPr>
            <w:tcW w:w="709"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300 210</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55 895</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6 614</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237 700</w:t>
            </w:r>
          </w:p>
        </w:tc>
        <w:tc>
          <w:tcPr>
            <w:tcW w:w="708" w:type="dxa"/>
            <w:shd w:val="clear" w:color="auto" w:fill="D9D9D9" w:themeFill="background1" w:themeFillShade="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10 222</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484</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8 479</w:t>
            </w:r>
          </w:p>
        </w:tc>
        <w:tc>
          <w:tcPr>
            <w:tcW w:w="567" w:type="dxa"/>
            <w:shd w:val="clear" w:color="auto" w:fill="D9D9D9"/>
            <w:noWrap/>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1 259</w:t>
            </w:r>
          </w:p>
        </w:tc>
        <w:tc>
          <w:tcPr>
            <w:tcW w:w="709" w:type="dxa"/>
            <w:shd w:val="clear" w:color="auto" w:fill="D9D9D9" w:themeFill="background1" w:themeFillShade="D9"/>
            <w:tcMar>
              <w:left w:w="57" w:type="dxa"/>
              <w:right w:w="57" w:type="dxa"/>
            </w:tcMar>
            <w:vAlign w:val="center"/>
          </w:tcPr>
          <w:p w:rsidR="00467087" w:rsidRPr="00467087" w:rsidRDefault="00467087" w:rsidP="00467087">
            <w:pPr>
              <w:jc w:val="right"/>
              <w:rPr>
                <w:rFonts w:cs="Arial"/>
                <w:b/>
                <w:bCs/>
                <w:color w:val="000000"/>
                <w:sz w:val="16"/>
                <w:szCs w:val="16"/>
              </w:rPr>
            </w:pPr>
            <w:r w:rsidRPr="00467087">
              <w:rPr>
                <w:rFonts w:cs="Arial"/>
                <w:b/>
                <w:bCs/>
                <w:color w:val="000000"/>
                <w:sz w:val="16"/>
                <w:szCs w:val="16"/>
              </w:rPr>
              <w:t>51 215</w:t>
            </w:r>
          </w:p>
        </w:tc>
        <w:tc>
          <w:tcPr>
            <w:tcW w:w="709" w:type="dxa"/>
            <w:shd w:val="clear" w:color="auto" w:fill="D9D9D9"/>
            <w:noWrap/>
            <w:tcMar>
              <w:left w:w="57" w:type="dxa"/>
              <w:right w:w="57" w:type="dxa"/>
            </w:tcMar>
            <w:vAlign w:val="center"/>
          </w:tcPr>
          <w:p w:rsidR="00467087" w:rsidRPr="00467087" w:rsidRDefault="00467087" w:rsidP="00467087">
            <w:pPr>
              <w:jc w:val="right"/>
              <w:rPr>
                <w:rFonts w:cs="Arial"/>
                <w:b/>
                <w:color w:val="000000"/>
                <w:sz w:val="16"/>
                <w:szCs w:val="16"/>
              </w:rPr>
            </w:pPr>
            <w:r w:rsidRPr="00467087">
              <w:rPr>
                <w:rFonts w:cs="Arial"/>
                <w:b/>
                <w:color w:val="000000"/>
                <w:sz w:val="16"/>
                <w:szCs w:val="16"/>
              </w:rPr>
              <w:t>361 647</w:t>
            </w:r>
          </w:p>
        </w:tc>
      </w:tr>
    </w:tbl>
    <w:p w:rsidR="00467087" w:rsidRPr="00467087" w:rsidRDefault="00467087" w:rsidP="00467087">
      <w:pPr>
        <w:keepNext/>
        <w:jc w:val="both"/>
        <w:rPr>
          <w:sz w:val="16"/>
          <w:szCs w:val="16"/>
        </w:rPr>
      </w:pPr>
      <w:r w:rsidRPr="00467087">
        <w:rPr>
          <w:rFonts w:cs="Arial"/>
          <w:sz w:val="16"/>
          <w:szCs w:val="16"/>
        </w:rPr>
        <w:t>Zdroj:  Zdravotnické účty 2010-2016</w:t>
      </w:r>
      <w:r w:rsidRPr="00467087">
        <w:rPr>
          <w:sz w:val="16"/>
          <w:szCs w:val="16"/>
        </w:rPr>
        <w:t xml:space="preserve">   </w:t>
      </w:r>
    </w:p>
    <w:p w:rsidR="00467087" w:rsidRPr="00467087" w:rsidRDefault="00467087" w:rsidP="00467087">
      <w:pPr>
        <w:keepNext/>
        <w:spacing w:line="240" w:lineRule="auto"/>
        <w:jc w:val="both"/>
        <w:rPr>
          <w:b/>
          <w:bCs/>
          <w:szCs w:val="17"/>
        </w:rPr>
      </w:pPr>
    </w:p>
    <w:p w:rsidR="00467087" w:rsidRPr="00467087" w:rsidRDefault="00467087" w:rsidP="00467087">
      <w:pPr>
        <w:spacing w:line="240" w:lineRule="auto"/>
        <w:rPr>
          <w:b/>
          <w:sz w:val="18"/>
          <w:szCs w:val="18"/>
        </w:rPr>
      </w:pPr>
      <w:r w:rsidRPr="00467087">
        <w:rPr>
          <w:b/>
          <w:sz w:val="18"/>
          <w:szCs w:val="18"/>
        </w:rPr>
        <w:br w:type="page"/>
      </w:r>
    </w:p>
    <w:p w:rsidR="00467087" w:rsidRPr="00467087" w:rsidRDefault="00467087" w:rsidP="00467087">
      <w:pPr>
        <w:spacing w:after="120"/>
        <w:rPr>
          <w:b/>
          <w:sz w:val="18"/>
          <w:szCs w:val="18"/>
        </w:rPr>
      </w:pPr>
      <w:r w:rsidRPr="00467087">
        <w:rPr>
          <w:b/>
          <w:sz w:val="18"/>
          <w:szCs w:val="18"/>
        </w:rPr>
        <w:lastRenderedPageBreak/>
        <w:t xml:space="preserve">Tabulka č. 4 Výdaje na </w:t>
      </w:r>
      <w:r w:rsidRPr="00467087">
        <w:rPr>
          <w:rFonts w:cs="Arial"/>
          <w:b/>
          <w:sz w:val="18"/>
          <w:szCs w:val="18"/>
        </w:rPr>
        <w:t xml:space="preserve">zdravotnictví </w:t>
      </w:r>
      <w:r w:rsidRPr="00467087">
        <w:rPr>
          <w:b/>
          <w:sz w:val="18"/>
          <w:szCs w:val="18"/>
        </w:rPr>
        <w:t>z veřejných rozpočtů podle druhu zdravotní péče, 2010-2016 (mil. Kč)</w:t>
      </w:r>
    </w:p>
    <w:tbl>
      <w:tblPr>
        <w:tblW w:w="9639" w:type="dxa"/>
        <w:tblInd w:w="55" w:type="dxa"/>
        <w:tblLayout w:type="fixed"/>
        <w:tblCellMar>
          <w:left w:w="70" w:type="dxa"/>
          <w:right w:w="70" w:type="dxa"/>
        </w:tblCellMar>
        <w:tblLook w:val="04A0" w:firstRow="1" w:lastRow="0" w:firstColumn="1" w:lastColumn="0" w:noHBand="0" w:noVBand="1"/>
      </w:tblPr>
      <w:tblGrid>
        <w:gridCol w:w="3842"/>
        <w:gridCol w:w="829"/>
        <w:gridCol w:w="828"/>
        <w:gridCol w:w="828"/>
        <w:gridCol w:w="828"/>
        <w:gridCol w:w="828"/>
        <w:gridCol w:w="828"/>
        <w:gridCol w:w="828"/>
      </w:tblGrid>
      <w:tr w:rsidR="00467087" w:rsidRPr="00467087" w:rsidTr="00467087">
        <w:trPr>
          <w:trHeight w:val="465"/>
        </w:trPr>
        <w:tc>
          <w:tcPr>
            <w:tcW w:w="3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Druh péče (ICHA-HC)</w:t>
            </w:r>
          </w:p>
        </w:tc>
        <w:tc>
          <w:tcPr>
            <w:tcW w:w="829" w:type="dxa"/>
            <w:tcBorders>
              <w:top w:val="single" w:sz="8" w:space="0" w:color="auto"/>
              <w:left w:val="nil"/>
              <w:bottom w:val="single" w:sz="8" w:space="0" w:color="auto"/>
              <w:right w:val="single" w:sz="8" w:space="0" w:color="auto"/>
            </w:tcBorders>
            <w:shd w:val="clear" w:color="auto" w:fill="auto"/>
            <w:vAlign w:val="center"/>
            <w:hideMark/>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2010</w:t>
            </w:r>
          </w:p>
        </w:tc>
        <w:tc>
          <w:tcPr>
            <w:tcW w:w="828" w:type="dxa"/>
            <w:tcBorders>
              <w:top w:val="single" w:sz="8" w:space="0" w:color="auto"/>
              <w:left w:val="nil"/>
              <w:bottom w:val="single" w:sz="8" w:space="0" w:color="auto"/>
              <w:right w:val="single" w:sz="8" w:space="0" w:color="auto"/>
            </w:tcBorders>
            <w:shd w:val="clear" w:color="auto" w:fill="auto"/>
            <w:vAlign w:val="center"/>
            <w:hideMark/>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2011</w:t>
            </w:r>
          </w:p>
        </w:tc>
        <w:tc>
          <w:tcPr>
            <w:tcW w:w="828" w:type="dxa"/>
            <w:tcBorders>
              <w:top w:val="single" w:sz="8" w:space="0" w:color="auto"/>
              <w:left w:val="nil"/>
              <w:bottom w:val="single" w:sz="8" w:space="0" w:color="auto"/>
              <w:right w:val="single" w:sz="8" w:space="0" w:color="auto"/>
            </w:tcBorders>
            <w:shd w:val="clear" w:color="auto" w:fill="auto"/>
            <w:vAlign w:val="center"/>
            <w:hideMark/>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2012</w:t>
            </w:r>
          </w:p>
        </w:tc>
        <w:tc>
          <w:tcPr>
            <w:tcW w:w="828" w:type="dxa"/>
            <w:tcBorders>
              <w:top w:val="single" w:sz="8" w:space="0" w:color="auto"/>
              <w:left w:val="nil"/>
              <w:bottom w:val="single" w:sz="8" w:space="0" w:color="auto"/>
              <w:right w:val="single" w:sz="8" w:space="0" w:color="auto"/>
            </w:tcBorders>
            <w:shd w:val="clear" w:color="auto" w:fill="auto"/>
            <w:vAlign w:val="center"/>
            <w:hideMark/>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2013</w:t>
            </w:r>
          </w:p>
        </w:tc>
        <w:tc>
          <w:tcPr>
            <w:tcW w:w="828" w:type="dxa"/>
            <w:tcBorders>
              <w:top w:val="single" w:sz="8" w:space="0" w:color="auto"/>
              <w:left w:val="nil"/>
              <w:bottom w:val="single" w:sz="8" w:space="0" w:color="auto"/>
              <w:right w:val="single" w:sz="8" w:space="0" w:color="auto"/>
            </w:tcBorders>
            <w:shd w:val="clear" w:color="auto" w:fill="auto"/>
            <w:vAlign w:val="center"/>
            <w:hideMark/>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2014</w:t>
            </w:r>
          </w:p>
        </w:tc>
        <w:tc>
          <w:tcPr>
            <w:tcW w:w="828" w:type="dxa"/>
            <w:tcBorders>
              <w:top w:val="single" w:sz="8" w:space="0" w:color="auto"/>
              <w:left w:val="nil"/>
              <w:bottom w:val="single" w:sz="8" w:space="0" w:color="auto"/>
              <w:right w:val="single" w:sz="8" w:space="0" w:color="auto"/>
            </w:tcBorders>
            <w:shd w:val="clear" w:color="auto" w:fill="auto"/>
            <w:vAlign w:val="center"/>
            <w:hideMark/>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2015</w:t>
            </w:r>
          </w:p>
        </w:tc>
        <w:tc>
          <w:tcPr>
            <w:tcW w:w="828" w:type="dxa"/>
            <w:tcBorders>
              <w:top w:val="single" w:sz="8" w:space="0" w:color="auto"/>
              <w:left w:val="nil"/>
              <w:bottom w:val="single" w:sz="8" w:space="0" w:color="auto"/>
              <w:right w:val="single" w:sz="8" w:space="0" w:color="auto"/>
            </w:tcBorders>
            <w:vAlign w:val="center"/>
          </w:tcPr>
          <w:p w:rsidR="00467087" w:rsidRPr="00467087" w:rsidRDefault="00467087" w:rsidP="00467087">
            <w:pPr>
              <w:spacing w:line="240" w:lineRule="auto"/>
              <w:jc w:val="center"/>
              <w:rPr>
                <w:rFonts w:cs="Arial"/>
                <w:b/>
                <w:bCs/>
                <w:color w:val="000000"/>
                <w:sz w:val="16"/>
                <w:szCs w:val="16"/>
              </w:rPr>
            </w:pPr>
            <w:r w:rsidRPr="00467087">
              <w:rPr>
                <w:rFonts w:cs="Arial"/>
                <w:b/>
                <w:bCs/>
                <w:color w:val="000000"/>
                <w:sz w:val="16"/>
                <w:szCs w:val="16"/>
              </w:rPr>
              <w:t>2016</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 Léčebná péče</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3 369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3 331</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3 417</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3 786</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4 446</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3 856</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3 902</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1.1 Lůžková léčebná péče </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2 788</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2 754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2 858</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3 234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3 879</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3 179</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3 220</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1.3 Ambulantní léčebná péče</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581</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577</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559</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552</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567</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676</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682</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3 Dlouhodobá zdravotní péče</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22 643</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23 785</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23 780</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25 110</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26 459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28 290</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29 931</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bookmarkStart w:id="50" w:name="RANGE!A7"/>
            <w:r w:rsidRPr="00467087">
              <w:rPr>
                <w:rFonts w:cs="Arial"/>
                <w:color w:val="000000"/>
                <w:sz w:val="16"/>
                <w:szCs w:val="16"/>
              </w:rPr>
              <w:t xml:space="preserve">   3.1 Lůžková dlouhodobá zdravotní péče</w:t>
            </w:r>
            <w:bookmarkEnd w:id="50"/>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18 510</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18 893</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18 946</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19 913</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20 971</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22 304</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23 700</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3.2 Denní dlouhodobá zdravotní péče</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1 480</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1 486</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1 444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1 496</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1 640</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1 680</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1 737</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3.4 Domácí dlouhodobá zdravotní péče</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2 653</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3 406</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3 390</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3 702</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3 848</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4 306</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4 494</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4 Doprava pacientů</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3 425</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3 575</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3 642</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3 694</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3 636</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3 714</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3 905</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6 Preventivní péče</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1 132</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1 154</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1 195</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1 138</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1 534</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1 500</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1 441</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6.2 Imunizační programy</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908</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931</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963</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908</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1 300</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1 240</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1 145</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6.3 Programy pro včasné odhalení nemocí</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223</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232</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230</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260</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296</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DDDDD"/>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7 Státní správa a samospráva a ZP</w:t>
            </w:r>
          </w:p>
        </w:tc>
        <w:tc>
          <w:tcPr>
            <w:tcW w:w="829"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1 888</w:t>
            </w:r>
          </w:p>
        </w:tc>
        <w:tc>
          <w:tcPr>
            <w:tcW w:w="828"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1 801</w:t>
            </w:r>
          </w:p>
        </w:tc>
        <w:tc>
          <w:tcPr>
            <w:tcW w:w="828"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1 843</w:t>
            </w:r>
          </w:p>
        </w:tc>
        <w:tc>
          <w:tcPr>
            <w:tcW w:w="828"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1 893</w:t>
            </w:r>
          </w:p>
        </w:tc>
        <w:tc>
          <w:tcPr>
            <w:tcW w:w="828"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1 977</w:t>
            </w:r>
          </w:p>
        </w:tc>
        <w:tc>
          <w:tcPr>
            <w:tcW w:w="828"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2 033</w:t>
            </w:r>
          </w:p>
        </w:tc>
        <w:tc>
          <w:tcPr>
            <w:tcW w:w="828" w:type="dxa"/>
            <w:tcBorders>
              <w:top w:val="nil"/>
              <w:left w:val="nil"/>
              <w:bottom w:val="single" w:sz="8" w:space="0" w:color="auto"/>
              <w:right w:val="single" w:sz="8" w:space="0" w:color="auto"/>
            </w:tcBorders>
            <w:shd w:val="clear" w:color="000000" w:fill="DDDDDD"/>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2 083</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HCR.1 Dlouhodobá sociální péče</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16 999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16 050</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15 926</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17 241</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18 078</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18 611</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20 148</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HCR.1.1 Sociální služby</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1 404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1 433</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1 435</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1 587</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1 809</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1 791</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1 941</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auto" w:fill="auto"/>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HCR.1.2 Peněžité dávky</w:t>
            </w:r>
          </w:p>
        </w:tc>
        <w:tc>
          <w:tcPr>
            <w:tcW w:w="829"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15 595</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14 617</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14 491</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15 654</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16 269</w:t>
            </w:r>
          </w:p>
        </w:tc>
        <w:tc>
          <w:tcPr>
            <w:tcW w:w="828"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16 820</w:t>
            </w:r>
          </w:p>
        </w:tc>
        <w:tc>
          <w:tcPr>
            <w:tcW w:w="828"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18 207</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HCR.2 Podpora zdraví v širším pohledu</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254</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263</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252</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258</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294</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353</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9 Ostatní zdravotní péče neuvedená jinde</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563</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559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570</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585</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584</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601</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747</w:t>
            </w:r>
          </w:p>
        </w:tc>
      </w:tr>
      <w:tr w:rsidR="00467087" w:rsidRPr="00467087" w:rsidTr="00467087">
        <w:trPr>
          <w:trHeight w:val="255"/>
        </w:trPr>
        <w:tc>
          <w:tcPr>
            <w:tcW w:w="3842" w:type="dxa"/>
            <w:tcBorders>
              <w:top w:val="nil"/>
              <w:left w:val="single" w:sz="8" w:space="0" w:color="auto"/>
              <w:bottom w:val="single" w:sz="8" w:space="0" w:color="auto"/>
              <w:right w:val="single" w:sz="8" w:space="0" w:color="auto"/>
            </w:tcBorders>
            <w:shd w:val="clear" w:color="000000" w:fill="D9D9D9"/>
            <w:noWrap/>
            <w:vAlign w:val="center"/>
          </w:tcPr>
          <w:p w:rsidR="00467087" w:rsidRPr="00467087" w:rsidRDefault="00467087" w:rsidP="00467087">
            <w:pPr>
              <w:spacing w:line="240" w:lineRule="auto"/>
              <w:rPr>
                <w:rFonts w:cs="Arial"/>
                <w:b/>
                <w:color w:val="000000"/>
                <w:sz w:val="16"/>
                <w:szCs w:val="16"/>
              </w:rPr>
            </w:pPr>
            <w:r w:rsidRPr="00467087">
              <w:rPr>
                <w:rFonts w:cs="Arial"/>
                <w:b/>
                <w:color w:val="000000"/>
                <w:sz w:val="16"/>
                <w:szCs w:val="16"/>
              </w:rPr>
              <w:t>Celkový součet</w:t>
            </w:r>
          </w:p>
        </w:tc>
        <w:tc>
          <w:tcPr>
            <w:tcW w:w="829"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50 277</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50 509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50 636</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53 699</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56 971</w:t>
            </w:r>
          </w:p>
        </w:tc>
        <w:tc>
          <w:tcPr>
            <w:tcW w:w="828"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58 899</w:t>
            </w:r>
          </w:p>
        </w:tc>
        <w:tc>
          <w:tcPr>
            <w:tcW w:w="828"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62 509</w:t>
            </w:r>
          </w:p>
        </w:tc>
      </w:tr>
    </w:tbl>
    <w:p w:rsidR="00467087" w:rsidRPr="00467087" w:rsidRDefault="00467087" w:rsidP="00467087">
      <w:pPr>
        <w:keepNext/>
        <w:jc w:val="both"/>
        <w:rPr>
          <w:sz w:val="16"/>
          <w:szCs w:val="16"/>
        </w:rPr>
      </w:pPr>
      <w:r w:rsidRPr="00467087">
        <w:rPr>
          <w:rFonts w:cs="Arial"/>
          <w:sz w:val="16"/>
          <w:szCs w:val="16"/>
        </w:rPr>
        <w:t>Zdr</w:t>
      </w:r>
      <w:r w:rsidR="009D699F">
        <w:rPr>
          <w:rFonts w:cs="Arial"/>
          <w:sz w:val="16"/>
          <w:szCs w:val="16"/>
        </w:rPr>
        <w:t>oj:  Zdravotnické účty 2010-2016</w:t>
      </w:r>
      <w:bookmarkStart w:id="51" w:name="_GoBack"/>
      <w:bookmarkEnd w:id="51"/>
      <w:r w:rsidRPr="00467087">
        <w:rPr>
          <w:sz w:val="16"/>
          <w:szCs w:val="16"/>
        </w:rPr>
        <w:t xml:space="preserve">   </w:t>
      </w:r>
    </w:p>
    <w:p w:rsidR="00467087" w:rsidRPr="00467087" w:rsidRDefault="00467087" w:rsidP="00467087">
      <w:pPr>
        <w:spacing w:before="240" w:after="120"/>
        <w:rPr>
          <w:b/>
          <w:sz w:val="18"/>
          <w:szCs w:val="18"/>
        </w:rPr>
      </w:pPr>
    </w:p>
    <w:p w:rsidR="00467087" w:rsidRPr="00467087" w:rsidRDefault="00467087" w:rsidP="00467087">
      <w:pPr>
        <w:spacing w:before="240" w:after="120"/>
        <w:rPr>
          <w:b/>
          <w:sz w:val="18"/>
          <w:szCs w:val="18"/>
        </w:rPr>
      </w:pPr>
      <w:r w:rsidRPr="00467087">
        <w:rPr>
          <w:b/>
          <w:sz w:val="18"/>
          <w:szCs w:val="18"/>
        </w:rPr>
        <w:t>Tabulka č. 5 Výdaje z veřejných rozpočtů podle poskytovatelů zdravotní péče, 2010-2016 (mil. Kč)</w:t>
      </w:r>
    </w:p>
    <w:tbl>
      <w:tblPr>
        <w:tblW w:w="9654" w:type="dxa"/>
        <w:tblInd w:w="55" w:type="dxa"/>
        <w:tblLayout w:type="fixed"/>
        <w:tblCellMar>
          <w:left w:w="70" w:type="dxa"/>
          <w:right w:w="70" w:type="dxa"/>
        </w:tblCellMar>
        <w:tblLook w:val="04A0" w:firstRow="1" w:lastRow="0" w:firstColumn="1" w:lastColumn="0" w:noHBand="0" w:noVBand="1"/>
      </w:tblPr>
      <w:tblGrid>
        <w:gridCol w:w="4163"/>
        <w:gridCol w:w="770"/>
        <w:gridCol w:w="770"/>
        <w:gridCol w:w="770"/>
        <w:gridCol w:w="871"/>
        <w:gridCol w:w="770"/>
        <w:gridCol w:w="770"/>
        <w:gridCol w:w="770"/>
      </w:tblGrid>
      <w:tr w:rsidR="00467087" w:rsidRPr="00467087" w:rsidTr="00467087">
        <w:trPr>
          <w:trHeight w:val="255"/>
        </w:trPr>
        <w:tc>
          <w:tcPr>
            <w:tcW w:w="4163" w:type="dxa"/>
            <w:tcBorders>
              <w:top w:val="single" w:sz="8" w:space="0" w:color="auto"/>
              <w:left w:val="single" w:sz="8" w:space="0" w:color="auto"/>
              <w:bottom w:val="single" w:sz="8" w:space="0" w:color="auto"/>
              <w:right w:val="single" w:sz="8" w:space="0" w:color="auto"/>
            </w:tcBorders>
            <w:vAlign w:val="bottom"/>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Typ poskytovatele (ICHA-HP)</w:t>
            </w:r>
          </w:p>
        </w:tc>
        <w:tc>
          <w:tcPr>
            <w:tcW w:w="77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2010</w:t>
            </w:r>
          </w:p>
        </w:tc>
        <w:tc>
          <w:tcPr>
            <w:tcW w:w="77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2011</w:t>
            </w:r>
          </w:p>
        </w:tc>
        <w:tc>
          <w:tcPr>
            <w:tcW w:w="77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2012</w:t>
            </w:r>
          </w:p>
        </w:tc>
        <w:tc>
          <w:tcPr>
            <w:tcW w:w="871"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2013</w:t>
            </w:r>
          </w:p>
        </w:tc>
        <w:tc>
          <w:tcPr>
            <w:tcW w:w="77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2014</w:t>
            </w:r>
          </w:p>
        </w:tc>
        <w:tc>
          <w:tcPr>
            <w:tcW w:w="77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2015</w:t>
            </w:r>
          </w:p>
        </w:tc>
        <w:tc>
          <w:tcPr>
            <w:tcW w:w="770" w:type="dxa"/>
            <w:tcBorders>
              <w:top w:val="single" w:sz="8" w:space="0" w:color="auto"/>
              <w:left w:val="nil"/>
              <w:bottom w:val="single" w:sz="8" w:space="0" w:color="auto"/>
              <w:right w:val="single" w:sz="8" w:space="0" w:color="auto"/>
            </w:tcBorders>
            <w:vAlign w:val="bottom"/>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2016</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 Nemocnice</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3 249</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3 275</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3 402</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3 794</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4 340</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3 646</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3 220</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1.1 Všeobecné nemocnice</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1 889</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2 115</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2 336</w:t>
            </w:r>
          </w:p>
        </w:tc>
        <w:tc>
          <w:tcPr>
            <w:tcW w:w="87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2 719</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3 104</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2 583</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2 119</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1.3 Specializované nemocnice</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1 360</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1 160</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1 066</w:t>
            </w:r>
          </w:p>
        </w:tc>
        <w:tc>
          <w:tcPr>
            <w:tcW w:w="87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1 075</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1 236</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1 063</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1 100</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2 Lůžková zařízení dlouhodobé péče</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18 049</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18 372</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18 402</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19 353</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20 510</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21 837</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23 700</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2.1 Zařízení ošetřovatelské dlouhodobé péče</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10 044</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10 189</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10 108</w:t>
            </w:r>
          </w:p>
        </w:tc>
        <w:tc>
          <w:tcPr>
            <w:tcW w:w="87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10 470</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10 815</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11 231</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12 052</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2.9 Ostatní lůžková zařízení</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8 005</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8 183</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8 294</w:t>
            </w:r>
          </w:p>
        </w:tc>
        <w:tc>
          <w:tcPr>
            <w:tcW w:w="87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8 883</w:t>
            </w:r>
          </w:p>
        </w:tc>
        <w:tc>
          <w:tcPr>
            <w:tcW w:w="77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9 695</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10 606</w:t>
            </w:r>
          </w:p>
        </w:tc>
        <w:tc>
          <w:tcPr>
            <w:tcW w:w="770"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11 648</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3 Poskytovatelé ambulantní péče</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354</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313</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303</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319</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327</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398</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395</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4 Doprava pacientů a záchranná služba</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3 425</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3 575</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3 642</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3 694</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3 636</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3 714</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4 192</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6 Poskytovatelé preventivní péče</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318</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296</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302</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302</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312</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352</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410</w:t>
            </w:r>
          </w:p>
        </w:tc>
      </w:tr>
      <w:tr w:rsidR="00467087" w:rsidRPr="00467087" w:rsidTr="00467087">
        <w:trPr>
          <w:trHeight w:val="255"/>
        </w:trPr>
        <w:tc>
          <w:tcPr>
            <w:tcW w:w="416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7 Správa systému zdravotní péče</w:t>
            </w:r>
          </w:p>
        </w:tc>
        <w:tc>
          <w:tcPr>
            <w:tcW w:w="77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4 045</w:t>
            </w:r>
          </w:p>
        </w:tc>
        <w:tc>
          <w:tcPr>
            <w:tcW w:w="77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4 075</w:t>
            </w:r>
          </w:p>
        </w:tc>
        <w:tc>
          <w:tcPr>
            <w:tcW w:w="77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3 767</w:t>
            </w:r>
          </w:p>
        </w:tc>
        <w:tc>
          <w:tcPr>
            <w:tcW w:w="871"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4 192</w:t>
            </w:r>
          </w:p>
        </w:tc>
        <w:tc>
          <w:tcPr>
            <w:tcW w:w="77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4 263</w:t>
            </w:r>
          </w:p>
        </w:tc>
        <w:tc>
          <w:tcPr>
            <w:tcW w:w="7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4 355</w:t>
            </w:r>
          </w:p>
        </w:tc>
        <w:tc>
          <w:tcPr>
            <w:tcW w:w="7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4 581</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8 Ostatní odvětví ekonomiky</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19 266</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19 005</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19 168</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20 485</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21 596</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22 610</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24 328</w:t>
            </w:r>
          </w:p>
        </w:tc>
      </w:tr>
      <w:tr w:rsidR="00467087" w:rsidRPr="00467087" w:rsidTr="00467087">
        <w:trPr>
          <w:trHeight w:val="255"/>
        </w:trPr>
        <w:tc>
          <w:tcPr>
            <w:tcW w:w="4163"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8.1 Domácnosti jako poskytovatelé zdravotní péče</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13 788</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13 362</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13 620</w:t>
            </w:r>
          </w:p>
        </w:tc>
        <w:tc>
          <w:tcPr>
            <w:tcW w:w="87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14 593</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15 207</w:t>
            </w:r>
          </w:p>
        </w:tc>
        <w:tc>
          <w:tcPr>
            <w:tcW w:w="770"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15 991</w:t>
            </w:r>
          </w:p>
        </w:tc>
        <w:tc>
          <w:tcPr>
            <w:tcW w:w="770"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17 393</w:t>
            </w:r>
          </w:p>
        </w:tc>
      </w:tr>
      <w:tr w:rsidR="00467087" w:rsidRPr="00467087" w:rsidTr="00467087">
        <w:trPr>
          <w:trHeight w:val="255"/>
        </w:trPr>
        <w:tc>
          <w:tcPr>
            <w:tcW w:w="4163"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8.2 Ostatní poskytovatelé zdravotní péče</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5 478</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5 643</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5 548</w:t>
            </w:r>
          </w:p>
        </w:tc>
        <w:tc>
          <w:tcPr>
            <w:tcW w:w="87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5 892</w:t>
            </w:r>
          </w:p>
        </w:tc>
        <w:tc>
          <w:tcPr>
            <w:tcW w:w="770"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6 389</w:t>
            </w:r>
          </w:p>
        </w:tc>
        <w:tc>
          <w:tcPr>
            <w:tcW w:w="770"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6 619</w:t>
            </w:r>
          </w:p>
        </w:tc>
        <w:tc>
          <w:tcPr>
            <w:tcW w:w="770"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6 935</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9 Ostatní poskytovatelé nezařazení jinde</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1 571</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1 599</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1 651</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1 561</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1 987</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1 986</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1 685</w:t>
            </w:r>
          </w:p>
        </w:tc>
      </w:tr>
      <w:tr w:rsidR="00467087" w:rsidRPr="00467087" w:rsidTr="00467087">
        <w:trPr>
          <w:trHeight w:val="255"/>
        </w:trPr>
        <w:tc>
          <w:tcPr>
            <w:tcW w:w="4163" w:type="dxa"/>
            <w:tcBorders>
              <w:top w:val="nil"/>
              <w:left w:val="single" w:sz="8" w:space="0" w:color="auto"/>
              <w:bottom w:val="single" w:sz="8" w:space="0" w:color="auto"/>
              <w:right w:val="single" w:sz="8" w:space="0" w:color="auto"/>
            </w:tcBorders>
            <w:shd w:val="clear" w:color="auto" w:fill="D9D9D9"/>
            <w:noWrap/>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 Celkem</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50 277</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50 509</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50 636</w:t>
            </w:r>
          </w:p>
        </w:tc>
        <w:tc>
          <w:tcPr>
            <w:tcW w:w="87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53 699</w:t>
            </w:r>
          </w:p>
        </w:tc>
        <w:tc>
          <w:tcPr>
            <w:tcW w:w="77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56 971</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58 899</w:t>
            </w:r>
          </w:p>
        </w:tc>
        <w:tc>
          <w:tcPr>
            <w:tcW w:w="770"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62 509</w:t>
            </w:r>
          </w:p>
        </w:tc>
      </w:tr>
    </w:tbl>
    <w:p w:rsidR="00467087" w:rsidRPr="00467087" w:rsidRDefault="00467087" w:rsidP="00467087">
      <w:pPr>
        <w:keepNext/>
        <w:spacing w:line="240" w:lineRule="auto"/>
        <w:jc w:val="both"/>
        <w:rPr>
          <w:bCs/>
          <w:sz w:val="16"/>
          <w:szCs w:val="16"/>
        </w:rPr>
      </w:pPr>
      <w:r w:rsidRPr="00467087">
        <w:rPr>
          <w:bCs/>
          <w:sz w:val="16"/>
          <w:szCs w:val="16"/>
        </w:rPr>
        <w:t>Zdroj: Zdravotnické účty 2010 - 2016</w:t>
      </w:r>
    </w:p>
    <w:p w:rsidR="00467087" w:rsidRPr="00467087" w:rsidRDefault="00467087" w:rsidP="00467087">
      <w:pPr>
        <w:spacing w:before="240" w:after="120"/>
        <w:rPr>
          <w:b/>
          <w:sz w:val="18"/>
          <w:szCs w:val="18"/>
        </w:rPr>
      </w:pPr>
    </w:p>
    <w:p w:rsidR="00467087" w:rsidRPr="00467087" w:rsidRDefault="00467087" w:rsidP="00467087">
      <w:pPr>
        <w:keepNext/>
        <w:spacing w:line="240" w:lineRule="auto"/>
        <w:jc w:val="both"/>
        <w:rPr>
          <w:bCs/>
          <w:sz w:val="16"/>
          <w:szCs w:val="16"/>
        </w:rPr>
      </w:pPr>
    </w:p>
    <w:p w:rsidR="00467087" w:rsidRPr="00467087" w:rsidRDefault="00467087" w:rsidP="00467087">
      <w:pPr>
        <w:keepNext/>
        <w:spacing w:line="240" w:lineRule="auto"/>
        <w:jc w:val="both"/>
        <w:rPr>
          <w:bCs/>
          <w:sz w:val="16"/>
          <w:szCs w:val="16"/>
        </w:rPr>
      </w:pPr>
    </w:p>
    <w:p w:rsidR="00467087" w:rsidRPr="00467087" w:rsidRDefault="00467087" w:rsidP="00467087">
      <w:pPr>
        <w:spacing w:line="240" w:lineRule="auto"/>
        <w:rPr>
          <w:b/>
          <w:sz w:val="18"/>
          <w:szCs w:val="18"/>
        </w:rPr>
      </w:pPr>
      <w:r w:rsidRPr="00467087">
        <w:rPr>
          <w:b/>
          <w:sz w:val="18"/>
          <w:szCs w:val="18"/>
        </w:rPr>
        <w:br w:type="page"/>
      </w:r>
    </w:p>
    <w:p w:rsidR="00467087" w:rsidRPr="00467087" w:rsidRDefault="00467087" w:rsidP="00467087">
      <w:pPr>
        <w:spacing w:before="240" w:after="120"/>
        <w:rPr>
          <w:b/>
          <w:sz w:val="18"/>
          <w:szCs w:val="18"/>
        </w:rPr>
      </w:pPr>
      <w:r w:rsidRPr="00467087">
        <w:rPr>
          <w:b/>
          <w:sz w:val="18"/>
          <w:szCs w:val="18"/>
        </w:rPr>
        <w:lastRenderedPageBreak/>
        <w:t>Tabulka č. 6 Výdaje zdravotních pojišťoven podle druhu zdravotní péče, 2010-2016 (mil. Kč)</w:t>
      </w:r>
    </w:p>
    <w:tbl>
      <w:tblPr>
        <w:tblW w:w="9796" w:type="dxa"/>
        <w:tblInd w:w="55" w:type="dxa"/>
        <w:tblLayout w:type="fixed"/>
        <w:tblCellMar>
          <w:left w:w="70" w:type="dxa"/>
          <w:right w:w="70" w:type="dxa"/>
        </w:tblCellMar>
        <w:tblLook w:val="04A0" w:firstRow="1" w:lastRow="0" w:firstColumn="1" w:lastColumn="0" w:noHBand="0" w:noVBand="1"/>
      </w:tblPr>
      <w:tblGrid>
        <w:gridCol w:w="4091"/>
        <w:gridCol w:w="815"/>
        <w:gridCol w:w="815"/>
        <w:gridCol w:w="815"/>
        <w:gridCol w:w="815"/>
        <w:gridCol w:w="815"/>
        <w:gridCol w:w="815"/>
        <w:gridCol w:w="815"/>
      </w:tblGrid>
      <w:tr w:rsidR="00467087" w:rsidRPr="00467087" w:rsidTr="00467087">
        <w:trPr>
          <w:trHeight w:val="255"/>
        </w:trPr>
        <w:tc>
          <w:tcPr>
            <w:tcW w:w="409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Druh péče (ICHA-HC)</w:t>
            </w:r>
          </w:p>
        </w:tc>
        <w:tc>
          <w:tcPr>
            <w:tcW w:w="815"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2010</w:t>
            </w:r>
          </w:p>
        </w:tc>
        <w:tc>
          <w:tcPr>
            <w:tcW w:w="815"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2011</w:t>
            </w:r>
          </w:p>
        </w:tc>
        <w:tc>
          <w:tcPr>
            <w:tcW w:w="815"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2012</w:t>
            </w:r>
          </w:p>
        </w:tc>
        <w:tc>
          <w:tcPr>
            <w:tcW w:w="815"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2013</w:t>
            </w:r>
          </w:p>
        </w:tc>
        <w:tc>
          <w:tcPr>
            <w:tcW w:w="815"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2014</w:t>
            </w:r>
          </w:p>
        </w:tc>
        <w:tc>
          <w:tcPr>
            <w:tcW w:w="815" w:type="dxa"/>
            <w:tcBorders>
              <w:top w:val="single" w:sz="8" w:space="0" w:color="auto"/>
              <w:left w:val="nil"/>
              <w:bottom w:val="single" w:sz="8" w:space="0" w:color="auto"/>
              <w:right w:val="single" w:sz="8" w:space="0" w:color="auto"/>
            </w:tcBorders>
            <w:vAlign w:val="bottom"/>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2015</w:t>
            </w:r>
          </w:p>
        </w:tc>
        <w:tc>
          <w:tcPr>
            <w:tcW w:w="815" w:type="dxa"/>
            <w:tcBorders>
              <w:top w:val="single" w:sz="8" w:space="0" w:color="auto"/>
              <w:left w:val="nil"/>
              <w:bottom w:val="single" w:sz="8" w:space="0" w:color="auto"/>
              <w:right w:val="single" w:sz="8" w:space="0" w:color="auto"/>
            </w:tcBorders>
            <w:vAlign w:val="bottom"/>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2016</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 Léčebná péče</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120 204</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120 694</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121 031</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122 942</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117 042</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121 000</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121 200</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1.1 Lůžková léčebná péče </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52 268</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51 960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50 241</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49 109</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47 331</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47 053</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46 535</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1.2  Denní léčebná péče </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5 238</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5 137</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5 185</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5 333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5 561</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5 735</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5 720</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1.3 Ambulantní léčebná péče</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62 512</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63 413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65 428</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68 314</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63 972</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68 020</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68 757</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1.4 Domácí léčebná péče</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186</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177</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186</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179</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192</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187</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2 Rehabilitační péče</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10 586</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11 157</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10 264</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10 770</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10 498</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11 201</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11 331</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2.1 Lůžková rehabilitační péče </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4 290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4 597</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3 534</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3 966</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3 934</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4 244</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4 802</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2.3 Ambulantní rehabilitační péče</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6 296</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6 560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6 730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6 804</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6 564</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6 958</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6 529</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3 Dlouhodobá zdravotní péče</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13 066</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13 157</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13 210</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13 410</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17 494</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14 028</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15 097</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3.1 Lůžková dlouhodobá zdravotní péče</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11 253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11 804</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11 830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11 931</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16 009</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12 475</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13 371</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3.4 Domácí dlouhodobá zdravotní péče</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1 813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1 352</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1 380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1 478</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1 485</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1 553</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1 725</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4  Doplňkové služby</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33 614</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33 949</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34 570</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34 775</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35 247</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36 306</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37 176</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FFFFFF"/>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4.1 Laboratorní služby</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19 917</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20 149</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21 001</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21 215</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21 454</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22 037</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22 527</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4.2 Zobrazovací metody</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9 729</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9 855</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9 861</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10 044</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10 490</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10 484</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10 698</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FFFFFF"/>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4.3 Doprava pacientů</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3 968</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3 945</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3 708</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3 516</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3 303</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3 785</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3 951</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5 Léčiva a ostatní zdravotnické výrobky</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39 115</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39 535</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42 952</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40 135</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39 153</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38 401</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38 710</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5.1 Léčiva a zdravotnický materiál</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35 711</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35 951</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39 227</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35 119</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34 693</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34 526</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34 937</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5.2 Terapeutické pomůcky</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3 404</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3 584</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3 725</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5 016</w:t>
            </w:r>
          </w:p>
        </w:tc>
        <w:tc>
          <w:tcPr>
            <w:tcW w:w="815" w:type="dxa"/>
            <w:tcBorders>
              <w:top w:val="nil"/>
              <w:left w:val="nil"/>
              <w:bottom w:val="single" w:sz="8" w:space="0" w:color="auto"/>
              <w:right w:val="single" w:sz="8" w:space="0" w:color="auto"/>
            </w:tcBorders>
            <w:shd w:val="clear" w:color="000000"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4 460</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3 876</w:t>
            </w:r>
          </w:p>
        </w:tc>
        <w:tc>
          <w:tcPr>
            <w:tcW w:w="815" w:type="dxa"/>
            <w:tcBorders>
              <w:top w:val="nil"/>
              <w:left w:val="nil"/>
              <w:bottom w:val="single" w:sz="8" w:space="0" w:color="auto"/>
              <w:right w:val="single" w:sz="8" w:space="0" w:color="auto"/>
            </w:tcBorders>
            <w:shd w:val="clear" w:color="000000"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3 774</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6 Preventivní péče</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7 957</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8 302</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8 529</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8 626</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7 525</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6 612</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7 039</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6.1 Informační a poradenské programy</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483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492</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620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624</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629</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644</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673</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6.2 Imunizační programy</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481</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501</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521</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551</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276</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276</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268</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6.3 Programy pro včasné odhalení nemocí</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1 354</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1 336</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1 359</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1 418</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1 433</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1 401</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1 477</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6.4 Programy pro sledování zdravotního stavu</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5 640</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5 973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6 029</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6 033</w:t>
            </w:r>
          </w:p>
        </w:tc>
        <w:tc>
          <w:tcPr>
            <w:tcW w:w="815" w:type="dxa"/>
            <w:tcBorders>
              <w:top w:val="nil"/>
              <w:left w:val="nil"/>
              <w:bottom w:val="single" w:sz="8" w:space="0" w:color="auto"/>
              <w:right w:val="single" w:sz="8" w:space="0" w:color="auto"/>
            </w:tcBorders>
            <w:shd w:val="clear" w:color="auto" w:fill="auto"/>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5 187</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4 292</w:t>
            </w:r>
          </w:p>
        </w:tc>
        <w:tc>
          <w:tcPr>
            <w:tcW w:w="815"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4 621</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DDDDD"/>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7 Státní správa a samospráva a ZP</w:t>
            </w:r>
          </w:p>
        </w:tc>
        <w:tc>
          <w:tcPr>
            <w:tcW w:w="815"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6 748</w:t>
            </w:r>
          </w:p>
        </w:tc>
        <w:tc>
          <w:tcPr>
            <w:tcW w:w="815"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6 943</w:t>
            </w:r>
          </w:p>
        </w:tc>
        <w:tc>
          <w:tcPr>
            <w:tcW w:w="815"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6 772</w:t>
            </w:r>
          </w:p>
        </w:tc>
        <w:tc>
          <w:tcPr>
            <w:tcW w:w="815"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7 100</w:t>
            </w:r>
          </w:p>
        </w:tc>
        <w:tc>
          <w:tcPr>
            <w:tcW w:w="815" w:type="dxa"/>
            <w:tcBorders>
              <w:top w:val="nil"/>
              <w:left w:val="nil"/>
              <w:bottom w:val="single" w:sz="8" w:space="0" w:color="auto"/>
              <w:right w:val="single" w:sz="8" w:space="0" w:color="auto"/>
            </w:tcBorders>
            <w:shd w:val="clear" w:color="000000" w:fill="DDDDDD"/>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7 048</w:t>
            </w:r>
          </w:p>
        </w:tc>
        <w:tc>
          <w:tcPr>
            <w:tcW w:w="815" w:type="dxa"/>
            <w:tcBorders>
              <w:top w:val="nil"/>
              <w:left w:val="nil"/>
              <w:bottom w:val="single" w:sz="8" w:space="0" w:color="auto"/>
              <w:right w:val="single" w:sz="8" w:space="0" w:color="auto"/>
            </w:tcBorders>
            <w:shd w:val="clear" w:color="000000" w:fill="DDDDDD"/>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6 490</w:t>
            </w:r>
          </w:p>
        </w:tc>
        <w:tc>
          <w:tcPr>
            <w:tcW w:w="815" w:type="dxa"/>
            <w:tcBorders>
              <w:top w:val="nil"/>
              <w:left w:val="nil"/>
              <w:bottom w:val="single" w:sz="8" w:space="0" w:color="auto"/>
              <w:right w:val="single" w:sz="8" w:space="0" w:color="auto"/>
            </w:tcBorders>
            <w:shd w:val="clear" w:color="000000" w:fill="DDDDDD"/>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6 486</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9 Ostatní zdravotní péče neuvedená jinde</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599</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600</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599</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596</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595</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422</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662</w:t>
            </w:r>
          </w:p>
        </w:tc>
      </w:tr>
      <w:tr w:rsidR="00467087" w:rsidRPr="00467087" w:rsidTr="00467087">
        <w:trPr>
          <w:trHeight w:val="255"/>
        </w:trPr>
        <w:tc>
          <w:tcPr>
            <w:tcW w:w="4091" w:type="dxa"/>
            <w:tcBorders>
              <w:top w:val="nil"/>
              <w:left w:val="single" w:sz="8" w:space="0" w:color="auto"/>
              <w:bottom w:val="single" w:sz="8" w:space="0" w:color="auto"/>
              <w:right w:val="single" w:sz="8" w:space="0" w:color="auto"/>
            </w:tcBorders>
            <w:shd w:val="clear" w:color="000000" w:fill="D9D9D9"/>
            <w:noWrap/>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 Celkem</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231 889</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234 337</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237 927</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238 354</w:t>
            </w:r>
          </w:p>
        </w:tc>
        <w:tc>
          <w:tcPr>
            <w:tcW w:w="815" w:type="dxa"/>
            <w:tcBorders>
              <w:top w:val="nil"/>
              <w:left w:val="nil"/>
              <w:bottom w:val="single" w:sz="8" w:space="0" w:color="auto"/>
              <w:right w:val="single" w:sz="8" w:space="0" w:color="auto"/>
            </w:tcBorders>
            <w:shd w:val="clear" w:color="000000"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234 602</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234 460</w:t>
            </w:r>
          </w:p>
        </w:tc>
        <w:tc>
          <w:tcPr>
            <w:tcW w:w="815" w:type="dxa"/>
            <w:tcBorders>
              <w:top w:val="nil"/>
              <w:left w:val="nil"/>
              <w:bottom w:val="single" w:sz="8" w:space="0" w:color="auto"/>
              <w:right w:val="single" w:sz="8" w:space="0" w:color="auto"/>
            </w:tcBorders>
            <w:shd w:val="clear" w:color="000000"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237 700</w:t>
            </w:r>
          </w:p>
        </w:tc>
      </w:tr>
    </w:tbl>
    <w:p w:rsidR="00467087" w:rsidRPr="00467087" w:rsidRDefault="00467087" w:rsidP="00467087">
      <w:pPr>
        <w:keepNext/>
        <w:jc w:val="both"/>
        <w:rPr>
          <w:sz w:val="16"/>
          <w:szCs w:val="16"/>
        </w:rPr>
      </w:pPr>
      <w:r w:rsidRPr="00467087">
        <w:rPr>
          <w:rFonts w:cs="Arial"/>
          <w:sz w:val="16"/>
          <w:szCs w:val="16"/>
        </w:rPr>
        <w:t>Zdroj:  Zdravotnické účty 2010-2016</w:t>
      </w:r>
      <w:r w:rsidRPr="00467087">
        <w:rPr>
          <w:sz w:val="16"/>
          <w:szCs w:val="16"/>
        </w:rPr>
        <w:t xml:space="preserve">   </w:t>
      </w:r>
    </w:p>
    <w:p w:rsidR="00467087" w:rsidRPr="00467087" w:rsidRDefault="00467087" w:rsidP="00467087">
      <w:pPr>
        <w:spacing w:line="240" w:lineRule="auto"/>
        <w:rPr>
          <w:b/>
          <w:sz w:val="18"/>
          <w:szCs w:val="18"/>
        </w:rPr>
      </w:pPr>
      <w:r w:rsidRPr="00467087">
        <w:rPr>
          <w:b/>
          <w:sz w:val="18"/>
          <w:szCs w:val="18"/>
        </w:rPr>
        <w:br w:type="page"/>
      </w:r>
    </w:p>
    <w:p w:rsidR="00467087" w:rsidRPr="00467087" w:rsidRDefault="00467087" w:rsidP="00467087">
      <w:pPr>
        <w:spacing w:before="240" w:after="120"/>
        <w:rPr>
          <w:b/>
          <w:sz w:val="18"/>
          <w:szCs w:val="18"/>
        </w:rPr>
      </w:pPr>
      <w:r w:rsidRPr="00467087">
        <w:rPr>
          <w:b/>
          <w:sz w:val="18"/>
          <w:szCs w:val="18"/>
        </w:rPr>
        <w:lastRenderedPageBreak/>
        <w:t>Tabulka č. 7 Výdaje zdravotních pojišťoven podle poskytovatelů zdravotní péče, 2010-2016 (mil. Kč)</w:t>
      </w:r>
    </w:p>
    <w:tbl>
      <w:tblPr>
        <w:tblW w:w="9797" w:type="dxa"/>
        <w:tblInd w:w="55" w:type="dxa"/>
        <w:tblLayout w:type="fixed"/>
        <w:tblCellMar>
          <w:left w:w="70" w:type="dxa"/>
          <w:right w:w="70" w:type="dxa"/>
        </w:tblCellMar>
        <w:tblLook w:val="04A0" w:firstRow="1" w:lastRow="0" w:firstColumn="1" w:lastColumn="0" w:noHBand="0" w:noVBand="1"/>
      </w:tblPr>
      <w:tblGrid>
        <w:gridCol w:w="3701"/>
        <w:gridCol w:w="850"/>
        <w:gridCol w:w="851"/>
        <w:gridCol w:w="850"/>
        <w:gridCol w:w="993"/>
        <w:gridCol w:w="850"/>
        <w:gridCol w:w="851"/>
        <w:gridCol w:w="851"/>
      </w:tblGrid>
      <w:tr w:rsidR="00467087" w:rsidRPr="00467087" w:rsidTr="00467087">
        <w:trPr>
          <w:trHeight w:val="255"/>
        </w:trPr>
        <w:tc>
          <w:tcPr>
            <w:tcW w:w="3701" w:type="dxa"/>
            <w:tcBorders>
              <w:top w:val="single" w:sz="8" w:space="0" w:color="auto"/>
              <w:left w:val="single" w:sz="8" w:space="0" w:color="auto"/>
              <w:bottom w:val="single" w:sz="8" w:space="0" w:color="auto"/>
              <w:right w:val="single" w:sz="8" w:space="0" w:color="auto"/>
            </w:tcBorders>
            <w:vAlign w:val="bottom"/>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Typ poskytovatele (ICHA-HP)</w:t>
            </w:r>
          </w:p>
        </w:tc>
        <w:tc>
          <w:tcPr>
            <w:tcW w:w="85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2010</w:t>
            </w:r>
          </w:p>
        </w:tc>
        <w:tc>
          <w:tcPr>
            <w:tcW w:w="851"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2011</w:t>
            </w:r>
          </w:p>
        </w:tc>
        <w:tc>
          <w:tcPr>
            <w:tcW w:w="85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2012</w:t>
            </w:r>
          </w:p>
        </w:tc>
        <w:tc>
          <w:tcPr>
            <w:tcW w:w="993"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2013</w:t>
            </w:r>
          </w:p>
        </w:tc>
        <w:tc>
          <w:tcPr>
            <w:tcW w:w="850"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2014</w:t>
            </w:r>
          </w:p>
        </w:tc>
        <w:tc>
          <w:tcPr>
            <w:tcW w:w="851" w:type="dxa"/>
            <w:tcBorders>
              <w:top w:val="single" w:sz="8" w:space="0" w:color="auto"/>
              <w:left w:val="nil"/>
              <w:bottom w:val="single" w:sz="8" w:space="0" w:color="auto"/>
              <w:right w:val="single" w:sz="8" w:space="0" w:color="auto"/>
            </w:tcBorders>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2015</w:t>
            </w:r>
          </w:p>
        </w:tc>
        <w:tc>
          <w:tcPr>
            <w:tcW w:w="851" w:type="dxa"/>
            <w:tcBorders>
              <w:top w:val="single" w:sz="8" w:space="0" w:color="auto"/>
              <w:left w:val="nil"/>
              <w:bottom w:val="single" w:sz="8" w:space="0" w:color="auto"/>
              <w:right w:val="single" w:sz="8" w:space="0" w:color="auto"/>
            </w:tcBorders>
            <w:vAlign w:val="bottom"/>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2016</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 Nemocnice</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123 200</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123 492</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123 682</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126 869</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129 304</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130 068</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132 216</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1.1 Všeobecné nemocnice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108 414</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110 479</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110 144</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112 842</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114 864</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119 123</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119 664</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1.2 Psychiatrické nemocnice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8 757</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6 812</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8 615</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8 518</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8 770</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4 825</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5 550</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1.3 Specializované nemocnice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6 029</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6 201</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4 923</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5 509</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5 669</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6 120</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7 002</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2 Lůžková zařízení dlouhodobé péče</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2 654</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2 509</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2 544</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2 466</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1 982</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2 500</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2 226</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2.1 Zařízení ošetřovatelské dlouhodobé péče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1 424</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1 410</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1 370</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1 382</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993</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1 577</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1 633</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2.9 Ostatní lůžková zařízení</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1 230</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1 100</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1 174</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1 084</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989</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924</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593</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3 Poskytovatelé ambulantní péče</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53 070</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56 017</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55 493</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57 602</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56 348</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56 097</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56 894</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3.1 Samostatné ordinace lékaře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32 327</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33 263</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32 662</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34 016</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32 919</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34 551</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35 514</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3.2 Samostatné ordinace zubních lékařů</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9 552</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9 428</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9 337</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9 338</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9 008</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8 255</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8 393</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3.3 Ostatní poskytovatelé zdravotní péče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2 157</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2 501</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2 446</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2 548</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2 527</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1 951</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1 447</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3.4 Ambulantní centra</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7 578</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9 437</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9 651</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10 273</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10 403</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9 810</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9 755</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3.5 Poskytovatelé služeb domácí péče</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1 456</w:t>
            </w:r>
          </w:p>
        </w:tc>
        <w:tc>
          <w:tcPr>
            <w:tcW w:w="851"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1 388</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1 397</w:t>
            </w:r>
          </w:p>
        </w:tc>
        <w:tc>
          <w:tcPr>
            <w:tcW w:w="993"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1 427</w:t>
            </w:r>
          </w:p>
        </w:tc>
        <w:tc>
          <w:tcPr>
            <w:tcW w:w="850" w:type="dxa"/>
            <w:tcBorders>
              <w:top w:val="nil"/>
              <w:left w:val="nil"/>
              <w:bottom w:val="single" w:sz="8" w:space="0" w:color="auto"/>
              <w:right w:val="single" w:sz="8" w:space="0" w:color="auto"/>
            </w:tcBorders>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1 492</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1 530</w:t>
            </w:r>
          </w:p>
        </w:tc>
        <w:tc>
          <w:tcPr>
            <w:tcW w:w="851" w:type="dxa"/>
            <w:tcBorders>
              <w:top w:val="nil"/>
              <w:left w:val="nil"/>
              <w:bottom w:val="single" w:sz="8" w:space="0" w:color="auto"/>
              <w:right w:val="single" w:sz="8"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1 784</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4 Poskytovatelé doplňkových služeb</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7 691</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7 443</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7 739</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7 357</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7 604</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8 246</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8 797</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FFFFFF"/>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4.1 Doprava pacientů a záchranná služba</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3 245</w:t>
            </w:r>
          </w:p>
        </w:tc>
        <w:tc>
          <w:tcPr>
            <w:tcW w:w="851"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3 214</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3 096</w:t>
            </w:r>
          </w:p>
        </w:tc>
        <w:tc>
          <w:tcPr>
            <w:tcW w:w="993"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2 744</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2 922</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3 379</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3 468</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4.2 Laboratoře</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4 446</w:t>
            </w:r>
          </w:p>
        </w:tc>
        <w:tc>
          <w:tcPr>
            <w:tcW w:w="851"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4 229</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4 642</w:t>
            </w:r>
          </w:p>
        </w:tc>
        <w:tc>
          <w:tcPr>
            <w:tcW w:w="993"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4 613</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4 682</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4 867</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5 329</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5 Lékárny a výdejny PZT*</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33 394</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34 299</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35 704</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32 771</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27 433</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26 886</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27 604</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5.1 Lékárny</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30 089</w:t>
            </w:r>
          </w:p>
        </w:tc>
        <w:tc>
          <w:tcPr>
            <w:tcW w:w="851"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31 846</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33 305</w:t>
            </w:r>
          </w:p>
        </w:tc>
        <w:tc>
          <w:tcPr>
            <w:tcW w:w="993"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29 156</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24 895</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25 149</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25 297</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5.2 Prodejci a dodavatelé zdravotnického zboží </w:t>
            </w:r>
          </w:p>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a přístrojů</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3 305</w:t>
            </w:r>
          </w:p>
        </w:tc>
        <w:tc>
          <w:tcPr>
            <w:tcW w:w="851"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2 453</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2 399</w:t>
            </w:r>
          </w:p>
        </w:tc>
        <w:tc>
          <w:tcPr>
            <w:tcW w:w="993"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3 615</w:t>
            </w:r>
          </w:p>
        </w:tc>
        <w:tc>
          <w:tcPr>
            <w:tcW w:w="850" w:type="dxa"/>
            <w:tcBorders>
              <w:top w:val="nil"/>
              <w:left w:val="nil"/>
              <w:bottom w:val="single" w:sz="8" w:space="0" w:color="auto"/>
              <w:right w:val="single" w:sz="8" w:space="0" w:color="auto"/>
            </w:tcBorders>
            <w:shd w:val="clear" w:color="auto" w:fill="FFFFFF"/>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2 538</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1 736</w:t>
            </w:r>
          </w:p>
        </w:tc>
        <w:tc>
          <w:tcPr>
            <w:tcW w:w="851" w:type="dxa"/>
            <w:tcBorders>
              <w:top w:val="nil"/>
              <w:left w:val="nil"/>
              <w:bottom w:val="single" w:sz="8" w:space="0" w:color="auto"/>
              <w:right w:val="single" w:sz="8" w:space="0" w:color="auto"/>
            </w:tcBorders>
            <w:shd w:val="clear" w:color="auto" w:fill="FFFFFF"/>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2 307</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6 Poskytovatelé preventivní péče</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572</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492</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435</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476</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447</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422</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422</w:t>
            </w:r>
          </w:p>
        </w:tc>
      </w:tr>
      <w:tr w:rsidR="00467087" w:rsidRPr="00467087" w:rsidTr="00467087">
        <w:trPr>
          <w:trHeight w:val="255"/>
        </w:trPr>
        <w:tc>
          <w:tcPr>
            <w:tcW w:w="3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7 Správa zdravotních pojišťoven</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6 749</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6 944</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6 773</w:t>
            </w:r>
          </w:p>
        </w:tc>
        <w:tc>
          <w:tcPr>
            <w:tcW w:w="993"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7 100</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7 048</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6 490</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6 486</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9 Ostatní poskytovatelé nezařazení jinde</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4 559</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3 140</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5 558</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3 712</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4 436</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3 751</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3 057</w:t>
            </w:r>
          </w:p>
        </w:tc>
      </w:tr>
      <w:tr w:rsidR="00467087" w:rsidRPr="00467087" w:rsidTr="00467087">
        <w:trPr>
          <w:trHeight w:val="255"/>
        </w:trPr>
        <w:tc>
          <w:tcPr>
            <w:tcW w:w="3701" w:type="dxa"/>
            <w:tcBorders>
              <w:top w:val="nil"/>
              <w:left w:val="single" w:sz="8" w:space="0" w:color="auto"/>
              <w:bottom w:val="single" w:sz="8" w:space="0" w:color="auto"/>
              <w:right w:val="single" w:sz="8" w:space="0" w:color="auto"/>
            </w:tcBorders>
            <w:shd w:val="clear" w:color="auto" w:fill="D9D9D9"/>
            <w:noWrap/>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 Celkem</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231 889</w:t>
            </w:r>
          </w:p>
        </w:tc>
        <w:tc>
          <w:tcPr>
            <w:tcW w:w="851"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234 337</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237 927</w:t>
            </w:r>
          </w:p>
        </w:tc>
        <w:tc>
          <w:tcPr>
            <w:tcW w:w="993"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238 354</w:t>
            </w:r>
          </w:p>
        </w:tc>
        <w:tc>
          <w:tcPr>
            <w:tcW w:w="850" w:type="dxa"/>
            <w:tcBorders>
              <w:top w:val="nil"/>
              <w:left w:val="nil"/>
              <w:bottom w:val="single" w:sz="8" w:space="0" w:color="auto"/>
              <w:right w:val="single" w:sz="8" w:space="0" w:color="auto"/>
            </w:tcBorders>
            <w:shd w:val="clear" w:color="auto" w:fill="D9D9D9"/>
            <w:noWrap/>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234 602</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234 460</w:t>
            </w:r>
          </w:p>
        </w:tc>
        <w:tc>
          <w:tcPr>
            <w:tcW w:w="851" w:type="dxa"/>
            <w:tcBorders>
              <w:top w:val="nil"/>
              <w:left w:val="nil"/>
              <w:bottom w:val="single" w:sz="8" w:space="0" w:color="auto"/>
              <w:right w:val="single" w:sz="8" w:space="0" w:color="auto"/>
            </w:tcBorders>
            <w:shd w:val="clear" w:color="auto"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237 700</w:t>
            </w:r>
          </w:p>
        </w:tc>
      </w:tr>
    </w:tbl>
    <w:p w:rsidR="00467087" w:rsidRPr="00467087" w:rsidRDefault="00467087" w:rsidP="00467087">
      <w:pPr>
        <w:keepNext/>
        <w:spacing w:line="240" w:lineRule="auto"/>
        <w:jc w:val="both"/>
        <w:rPr>
          <w:bCs/>
          <w:sz w:val="16"/>
          <w:szCs w:val="16"/>
        </w:rPr>
      </w:pPr>
      <w:r w:rsidRPr="00467087">
        <w:rPr>
          <w:bCs/>
          <w:sz w:val="16"/>
          <w:szCs w:val="16"/>
        </w:rPr>
        <w:t>Zdroj: Zdravotnické účty 2010 - 2016</w:t>
      </w:r>
    </w:p>
    <w:p w:rsidR="00467087" w:rsidRPr="00467087" w:rsidRDefault="00467087" w:rsidP="00467087">
      <w:pPr>
        <w:spacing w:line="240" w:lineRule="auto"/>
        <w:rPr>
          <w:b/>
          <w:sz w:val="18"/>
          <w:szCs w:val="18"/>
        </w:rPr>
      </w:pPr>
      <w:r w:rsidRPr="00467087">
        <w:rPr>
          <w:b/>
          <w:sz w:val="18"/>
          <w:szCs w:val="18"/>
        </w:rPr>
        <w:br w:type="page"/>
      </w:r>
    </w:p>
    <w:p w:rsidR="00467087" w:rsidRPr="00467087" w:rsidRDefault="00467087" w:rsidP="00467087">
      <w:pPr>
        <w:spacing w:after="120"/>
        <w:rPr>
          <w:b/>
          <w:sz w:val="18"/>
          <w:szCs w:val="18"/>
        </w:rPr>
      </w:pPr>
      <w:r w:rsidRPr="00467087">
        <w:rPr>
          <w:b/>
          <w:sz w:val="18"/>
          <w:szCs w:val="18"/>
        </w:rPr>
        <w:lastRenderedPageBreak/>
        <w:t>Tabulka č. 8 Výdaje zdravotních pojišťoven podle klasifikace diagnóz MKN-10, 2010-2016 (mil. Kč)</w:t>
      </w:r>
    </w:p>
    <w:tbl>
      <w:tblPr>
        <w:tblW w:w="9513" w:type="dxa"/>
        <w:tblInd w:w="55" w:type="dxa"/>
        <w:tblLayout w:type="fixed"/>
        <w:tblCellMar>
          <w:left w:w="70" w:type="dxa"/>
          <w:right w:w="70" w:type="dxa"/>
        </w:tblCellMar>
        <w:tblLook w:val="04A0" w:firstRow="1" w:lastRow="0" w:firstColumn="1" w:lastColumn="0" w:noHBand="0" w:noVBand="1"/>
      </w:tblPr>
      <w:tblGrid>
        <w:gridCol w:w="3975"/>
        <w:gridCol w:w="792"/>
        <w:gridCol w:w="791"/>
        <w:gridCol w:w="791"/>
        <w:gridCol w:w="791"/>
        <w:gridCol w:w="791"/>
        <w:gridCol w:w="791"/>
        <w:gridCol w:w="791"/>
      </w:tblGrid>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MKN - 10</w:t>
            </w:r>
          </w:p>
        </w:tc>
        <w:tc>
          <w:tcPr>
            <w:tcW w:w="792"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2010</w:t>
            </w:r>
          </w:p>
        </w:tc>
        <w:tc>
          <w:tcPr>
            <w:tcW w:w="791"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2011</w:t>
            </w:r>
          </w:p>
        </w:tc>
        <w:tc>
          <w:tcPr>
            <w:tcW w:w="791"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2012</w:t>
            </w:r>
          </w:p>
        </w:tc>
        <w:tc>
          <w:tcPr>
            <w:tcW w:w="791"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2013</w:t>
            </w:r>
          </w:p>
        </w:tc>
        <w:tc>
          <w:tcPr>
            <w:tcW w:w="791" w:type="dxa"/>
            <w:tcBorders>
              <w:top w:val="single" w:sz="8" w:space="0" w:color="auto"/>
              <w:left w:val="nil"/>
              <w:bottom w:val="single" w:sz="8" w:space="0" w:color="auto"/>
              <w:right w:val="single" w:sz="8" w:space="0" w:color="auto"/>
            </w:tcBorders>
            <w:shd w:val="clear" w:color="auto" w:fill="auto"/>
            <w:vAlign w:val="bottom"/>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2014</w:t>
            </w:r>
          </w:p>
        </w:tc>
        <w:tc>
          <w:tcPr>
            <w:tcW w:w="791" w:type="dxa"/>
            <w:tcBorders>
              <w:top w:val="single" w:sz="8" w:space="0" w:color="auto"/>
              <w:left w:val="nil"/>
              <w:bottom w:val="single" w:sz="8" w:space="0" w:color="auto"/>
              <w:right w:val="single" w:sz="8" w:space="0" w:color="auto"/>
            </w:tcBorders>
            <w:vAlign w:val="bottom"/>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2015</w:t>
            </w:r>
          </w:p>
        </w:tc>
        <w:tc>
          <w:tcPr>
            <w:tcW w:w="791" w:type="dxa"/>
            <w:tcBorders>
              <w:top w:val="single" w:sz="8" w:space="0" w:color="auto"/>
              <w:left w:val="nil"/>
              <w:bottom w:val="single" w:sz="8" w:space="0" w:color="auto"/>
              <w:right w:val="single" w:sz="8" w:space="0" w:color="auto"/>
            </w:tcBorders>
            <w:vAlign w:val="bottom"/>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2016</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01 Infekční a parazitární nemoci</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2 384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3 223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2804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2 891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3 239</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3 376</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3 528</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02 Novotvary</w:t>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19 217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19 666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16 080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19 092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22437</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23 682</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23 618</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color w:val="000000"/>
                <w:sz w:val="16"/>
                <w:szCs w:val="16"/>
              </w:rPr>
            </w:pPr>
            <w:r w:rsidRPr="00467087">
              <w:rPr>
                <w:rFonts w:cs="Arial"/>
                <w:color w:val="000000"/>
                <w:sz w:val="16"/>
                <w:szCs w:val="16"/>
              </w:rPr>
              <w:t>03 Nemoci krve a krvetvorných orgánů</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2 359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2 469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1 987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2 502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2 993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3 198</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2 998</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04 Nemoci endokrinní a metabolické</w:t>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5 690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5 719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5 889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6 271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6 965</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7 469</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7 686</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05 Poruchy duševní a poruchy chování</w:t>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7 783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7 888</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7 661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7 737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8 744</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9 268</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9 567</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06 Nemoci nervové soustavy</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5 832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6 303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5 876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7 010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7 975</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8 463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8 190</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color w:val="000000"/>
                <w:sz w:val="16"/>
                <w:szCs w:val="16"/>
              </w:rPr>
            </w:pPr>
            <w:r w:rsidRPr="00467087">
              <w:rPr>
                <w:rFonts w:cs="Arial"/>
                <w:color w:val="000000"/>
                <w:sz w:val="16"/>
                <w:szCs w:val="16"/>
              </w:rPr>
              <w:t>07 Nemoci oka</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2 816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3 187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3 155</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3 374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3 863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4 159</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4 282</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08 Nemoci ucha</w:t>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940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1 021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1 101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1 157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1 284</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1 418</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1 417</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color w:val="000000"/>
                <w:sz w:val="16"/>
                <w:szCs w:val="16"/>
              </w:rPr>
            </w:pPr>
            <w:r w:rsidRPr="00467087">
              <w:rPr>
                <w:rFonts w:cs="Arial"/>
                <w:color w:val="000000"/>
                <w:sz w:val="16"/>
                <w:szCs w:val="16"/>
              </w:rPr>
              <w:t>09 Nemoci oběhové soustavy</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26 758</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26 932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21 769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21 595</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26 985</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27 132</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25 396</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10 Nemoci dýchací soustavy</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8 551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8 520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7 976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8 377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8 933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9 948</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9 873</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11 Nemoci trávicí soustavy</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13 213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14 034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13 012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13 189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14 223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14 943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14 385</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12 Nemoci kůže</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2 096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2 232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2 086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2 313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2 591</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2 798</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2 752</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13 Nemoci svalové, kosterní a pojivové tkáně</w:t>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10 659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9 725</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12 112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12 511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15 686</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16 440</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16 276</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14 Nemoci močové a pohlavní soustavy</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11 355</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11 970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12 176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12 584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13 430</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14 317</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14 392</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color w:val="000000"/>
                <w:sz w:val="16"/>
                <w:szCs w:val="16"/>
              </w:rPr>
            </w:pPr>
            <w:r w:rsidRPr="00467087">
              <w:rPr>
                <w:rFonts w:cs="Arial"/>
                <w:color w:val="000000"/>
                <w:sz w:val="16"/>
                <w:szCs w:val="16"/>
              </w:rPr>
              <w:t>15 Těhotenství, porod a šestinedělí</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2 884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2 606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2 443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2 423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2 591</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2 749</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2 709</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16 Stavy vzniklé v perinatálním období</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2 091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1 933</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1 676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1 655</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1 594</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1 771</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1 517</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color w:val="000000"/>
                <w:sz w:val="16"/>
                <w:szCs w:val="16"/>
              </w:rPr>
            </w:pPr>
            <w:r w:rsidRPr="00467087">
              <w:rPr>
                <w:rFonts w:cs="Arial"/>
                <w:color w:val="000000"/>
                <w:sz w:val="16"/>
                <w:szCs w:val="16"/>
              </w:rPr>
              <w:t>17 Vrozené vady a deformace</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932</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1 019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 xml:space="preserve"> 991</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 xml:space="preserve"> 990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1 103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1 201</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1 139</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sz w:val="16"/>
                <w:szCs w:val="16"/>
              </w:rPr>
            </w:pPr>
            <w:r w:rsidRPr="00467087">
              <w:rPr>
                <w:rFonts w:cs="Arial"/>
                <w:color w:val="000000"/>
                <w:sz w:val="16"/>
                <w:szCs w:val="16"/>
              </w:rPr>
              <w:t>18 Příznaky, znaky</w:t>
            </w:r>
            <w:r w:rsidRPr="00467087">
              <w:rPr>
                <w:rFonts w:cs="Arial"/>
                <w:sz w:val="16"/>
                <w:szCs w:val="16"/>
              </w:rPr>
              <w:t xml:space="preserve"> a abnormální klinické </w:t>
            </w:r>
          </w:p>
          <w:p w:rsidR="00467087" w:rsidRPr="00467087" w:rsidRDefault="00467087" w:rsidP="00467087">
            <w:pPr>
              <w:keepNext/>
              <w:rPr>
                <w:rFonts w:cs="Arial"/>
                <w:color w:val="000000"/>
                <w:sz w:val="16"/>
                <w:szCs w:val="16"/>
              </w:rPr>
            </w:pPr>
            <w:r w:rsidRPr="00467087">
              <w:rPr>
                <w:rFonts w:cs="Arial"/>
                <w:sz w:val="16"/>
                <w:szCs w:val="16"/>
              </w:rPr>
              <w:t>a laboratorní nálezy nezařazené jinde</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5 400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5 714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6 010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6 254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6 947</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7 536</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7 720</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19 Poranění, otravy aj.</w:t>
            </w:r>
            <w:r w:rsidRPr="00467087">
              <w:rPr>
                <w:rFonts w:cs="Arial"/>
                <w:color w:val="000000"/>
                <w:sz w:val="16"/>
                <w:szCs w:val="16"/>
              </w:rPr>
              <w:tab/>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6 530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5 889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8 839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8 937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10 399</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11 037</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10 744</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20 Vnější příčiny nemocnosti a úmrtnosti</w:t>
            </w:r>
            <w:r w:rsidRPr="00467087">
              <w:rPr>
                <w:rFonts w:cs="Arial"/>
                <w:color w:val="000000"/>
                <w:sz w:val="16"/>
                <w:szCs w:val="16"/>
              </w:rPr>
              <w:tab/>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69</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 xml:space="preserve"> 84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90</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103</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95</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102</w:t>
            </w:r>
          </w:p>
        </w:tc>
      </w:tr>
      <w:tr w:rsidR="00467087" w:rsidRPr="00467087" w:rsidTr="00467087">
        <w:trPr>
          <w:trHeight w:val="255"/>
        </w:trPr>
        <w:tc>
          <w:tcPr>
            <w:tcW w:w="397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467087" w:rsidRPr="00467087" w:rsidRDefault="00467087" w:rsidP="00467087">
            <w:pPr>
              <w:keepNext/>
              <w:rPr>
                <w:rFonts w:cs="Arial"/>
                <w:color w:val="000000"/>
                <w:sz w:val="16"/>
                <w:szCs w:val="16"/>
              </w:rPr>
            </w:pPr>
            <w:r w:rsidRPr="00467087">
              <w:rPr>
                <w:rFonts w:cs="Arial"/>
                <w:color w:val="000000"/>
                <w:sz w:val="16"/>
                <w:szCs w:val="16"/>
              </w:rPr>
              <w:t>21 Faktory ovlivňující zdravotní stav</w:t>
            </w:r>
          </w:p>
        </w:tc>
        <w:tc>
          <w:tcPr>
            <w:tcW w:w="792"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12 614</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14 928</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15 756</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17 167</w:t>
            </w:r>
          </w:p>
        </w:tc>
        <w:tc>
          <w:tcPr>
            <w:tcW w:w="791" w:type="dxa"/>
            <w:tcBorders>
              <w:top w:val="single" w:sz="8" w:space="0" w:color="auto"/>
              <w:left w:val="nil"/>
              <w:bottom w:val="single" w:sz="8" w:space="0" w:color="auto"/>
              <w:right w:val="single" w:sz="8" w:space="0" w:color="auto"/>
            </w:tcBorders>
            <w:shd w:val="clear" w:color="auto" w:fill="FFFFFF" w:themeFill="background1"/>
            <w:noWrap/>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16 462</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17 817</w:t>
            </w:r>
          </w:p>
        </w:tc>
        <w:tc>
          <w:tcPr>
            <w:tcW w:w="791" w:type="dxa"/>
            <w:tcBorders>
              <w:top w:val="single" w:sz="8" w:space="0" w:color="auto"/>
              <w:left w:val="nil"/>
              <w:bottom w:val="single" w:sz="8" w:space="0" w:color="auto"/>
              <w:right w:val="single" w:sz="8" w:space="0" w:color="auto"/>
            </w:tcBorders>
            <w:shd w:val="clear" w:color="auto" w:fill="FFFFFF" w:themeFill="background1"/>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17 983</w:t>
            </w:r>
          </w:p>
        </w:tc>
      </w:tr>
    </w:tbl>
    <w:p w:rsidR="00467087" w:rsidRPr="00467087" w:rsidRDefault="00467087" w:rsidP="00467087">
      <w:pPr>
        <w:keepNext/>
        <w:jc w:val="both"/>
        <w:rPr>
          <w:rFonts w:cs="Arial"/>
          <w:sz w:val="16"/>
          <w:szCs w:val="16"/>
        </w:rPr>
      </w:pPr>
      <w:r w:rsidRPr="00467087">
        <w:rPr>
          <w:rFonts w:cs="Arial"/>
          <w:sz w:val="16"/>
          <w:szCs w:val="16"/>
        </w:rPr>
        <w:t>*Pozn.: Celkové výdaje na zdravotní péči financované ze všeobecného zdravotního pojištění uvedené v tabulce neobsahují údaje za ostatní výdaje zdravotních pojišťoven, které nebylo možno v jednotlivých letech přiřadit ke konkrétní diagnóze.</w:t>
      </w:r>
    </w:p>
    <w:p w:rsidR="00467087" w:rsidRPr="00467087" w:rsidRDefault="00467087" w:rsidP="00467087">
      <w:pPr>
        <w:keepNext/>
        <w:jc w:val="both"/>
        <w:rPr>
          <w:sz w:val="16"/>
          <w:szCs w:val="16"/>
        </w:rPr>
      </w:pPr>
      <w:r w:rsidRPr="00467087">
        <w:rPr>
          <w:rFonts w:cs="Arial"/>
          <w:sz w:val="16"/>
          <w:szCs w:val="16"/>
        </w:rPr>
        <w:t>Zdroj:  Zdravotnické účty 2010-2016</w:t>
      </w:r>
      <w:r w:rsidRPr="00467087">
        <w:rPr>
          <w:sz w:val="16"/>
          <w:szCs w:val="16"/>
        </w:rPr>
        <w:t xml:space="preserve">   </w:t>
      </w:r>
    </w:p>
    <w:p w:rsidR="00467087" w:rsidRPr="00467087" w:rsidRDefault="00467087" w:rsidP="00467087">
      <w:pPr>
        <w:spacing w:line="240" w:lineRule="auto"/>
        <w:rPr>
          <w:b/>
          <w:sz w:val="18"/>
          <w:szCs w:val="18"/>
        </w:rPr>
      </w:pPr>
      <w:r w:rsidRPr="00467087">
        <w:rPr>
          <w:b/>
          <w:sz w:val="18"/>
          <w:szCs w:val="18"/>
        </w:rPr>
        <w:br w:type="page"/>
      </w:r>
    </w:p>
    <w:p w:rsidR="00467087" w:rsidRPr="00467087" w:rsidRDefault="00467087" w:rsidP="00467087">
      <w:pPr>
        <w:spacing w:after="120"/>
        <w:rPr>
          <w:b/>
          <w:sz w:val="18"/>
          <w:szCs w:val="18"/>
        </w:rPr>
      </w:pPr>
      <w:r w:rsidRPr="00467087">
        <w:rPr>
          <w:b/>
          <w:sz w:val="18"/>
          <w:szCs w:val="18"/>
        </w:rPr>
        <w:lastRenderedPageBreak/>
        <w:t>Tabulka č. 9 Souhrnný přehled výdajů na dlouhodobou péči, 2010-2016 (mil. Kč)</w:t>
      </w:r>
    </w:p>
    <w:tbl>
      <w:tblPr>
        <w:tblW w:w="9778" w:type="dxa"/>
        <w:jc w:val="center"/>
        <w:tblCellMar>
          <w:left w:w="70" w:type="dxa"/>
          <w:right w:w="70" w:type="dxa"/>
        </w:tblCellMar>
        <w:tblLook w:val="04A0" w:firstRow="1" w:lastRow="0" w:firstColumn="1" w:lastColumn="0" w:noHBand="0" w:noVBand="1"/>
      </w:tblPr>
      <w:tblGrid>
        <w:gridCol w:w="1336"/>
        <w:gridCol w:w="3039"/>
        <w:gridCol w:w="771"/>
        <w:gridCol w:w="772"/>
        <w:gridCol w:w="772"/>
        <w:gridCol w:w="772"/>
        <w:gridCol w:w="772"/>
        <w:gridCol w:w="772"/>
        <w:gridCol w:w="772"/>
      </w:tblGrid>
      <w:tr w:rsidR="00467087" w:rsidRPr="00467087" w:rsidTr="00467087">
        <w:trPr>
          <w:trHeight w:val="255"/>
          <w:jc w:val="center"/>
        </w:trPr>
        <w:tc>
          <w:tcPr>
            <w:tcW w:w="43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7087" w:rsidRPr="00467087" w:rsidRDefault="00467087" w:rsidP="00467087">
            <w:pPr>
              <w:spacing w:line="240" w:lineRule="auto"/>
              <w:rPr>
                <w:rFonts w:cs="Arial"/>
                <w:b/>
                <w:color w:val="000000"/>
                <w:sz w:val="16"/>
                <w:szCs w:val="16"/>
              </w:rPr>
            </w:pPr>
            <w:r w:rsidRPr="00467087">
              <w:rPr>
                <w:rFonts w:cs="Arial"/>
                <w:b/>
                <w:color w:val="000000"/>
                <w:sz w:val="16"/>
                <w:szCs w:val="16"/>
              </w:rPr>
              <w:t>Dlouhodobá péče</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2010</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2011</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2012</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2013</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2014</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2015</w:t>
            </w:r>
          </w:p>
        </w:tc>
        <w:tc>
          <w:tcPr>
            <w:tcW w:w="772" w:type="dxa"/>
            <w:tcBorders>
              <w:top w:val="single" w:sz="4" w:space="0" w:color="auto"/>
              <w:left w:val="nil"/>
              <w:bottom w:val="single" w:sz="4" w:space="0" w:color="auto"/>
              <w:right w:val="single" w:sz="4" w:space="0" w:color="auto"/>
            </w:tcBorders>
            <w:vAlign w:val="bottom"/>
          </w:tcPr>
          <w:p w:rsidR="00467087" w:rsidRPr="00467087" w:rsidRDefault="00467087" w:rsidP="00467087">
            <w:pPr>
              <w:spacing w:line="240" w:lineRule="auto"/>
              <w:jc w:val="right"/>
              <w:rPr>
                <w:rFonts w:cs="Arial"/>
                <w:b/>
                <w:color w:val="000000"/>
                <w:sz w:val="16"/>
                <w:szCs w:val="16"/>
              </w:rPr>
            </w:pPr>
            <w:r w:rsidRPr="00467087">
              <w:rPr>
                <w:rFonts w:cs="Arial"/>
                <w:b/>
                <w:color w:val="000000"/>
                <w:sz w:val="16"/>
                <w:szCs w:val="16"/>
              </w:rPr>
              <w:t>2016</w:t>
            </w:r>
          </w:p>
        </w:tc>
      </w:tr>
      <w:tr w:rsidR="00467087" w:rsidRPr="00467087" w:rsidTr="00467087">
        <w:trPr>
          <w:trHeight w:val="255"/>
          <w:jc w:val="center"/>
        </w:trPr>
        <w:tc>
          <w:tcPr>
            <w:tcW w:w="437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Dlouhodobá péče celkem</w:t>
            </w:r>
          </w:p>
        </w:tc>
        <w:tc>
          <w:tcPr>
            <w:tcW w:w="771"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52 786</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53 056</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53 004</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55 831</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62 107</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61 017</w:t>
            </w:r>
          </w:p>
        </w:tc>
        <w:tc>
          <w:tcPr>
            <w:tcW w:w="772" w:type="dxa"/>
            <w:tcBorders>
              <w:top w:val="nil"/>
              <w:left w:val="nil"/>
              <w:bottom w:val="single" w:sz="4" w:space="0" w:color="auto"/>
              <w:right w:val="single" w:sz="4" w:space="0" w:color="auto"/>
            </w:tcBorders>
            <w:shd w:val="clear" w:color="000000" w:fill="D9D9D9"/>
            <w:vAlign w:val="center"/>
          </w:tcPr>
          <w:p w:rsidR="00467087" w:rsidRPr="00467087" w:rsidRDefault="00467087" w:rsidP="00467087">
            <w:pPr>
              <w:keepNext/>
              <w:jc w:val="right"/>
              <w:rPr>
                <w:rFonts w:cs="Arial"/>
                <w:b/>
                <w:bCs/>
                <w:color w:val="000000"/>
                <w:sz w:val="16"/>
                <w:szCs w:val="16"/>
              </w:rPr>
            </w:pPr>
            <w:r w:rsidRPr="00467087">
              <w:rPr>
                <w:rFonts w:cs="Arial"/>
                <w:b/>
                <w:bCs/>
                <w:color w:val="000000"/>
                <w:sz w:val="16"/>
                <w:szCs w:val="16"/>
              </w:rPr>
              <w:t>65 264</w:t>
            </w:r>
          </w:p>
        </w:tc>
      </w:tr>
      <w:tr w:rsidR="00467087" w:rsidRPr="00467087" w:rsidTr="00467087">
        <w:trPr>
          <w:trHeight w:val="255"/>
          <w:jc w:val="center"/>
        </w:trPr>
        <w:tc>
          <w:tcPr>
            <w:tcW w:w="1336" w:type="dxa"/>
            <w:tcBorders>
              <w:top w:val="nil"/>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 z toho: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dlouhodobá péče zdravotní</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35 787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37 006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37 078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38 590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44 029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42 407</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45 116</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dlouhodobá péče sociální</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16 999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16 050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15 926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17 241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18 078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18 611</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20 148</w:t>
            </w:r>
          </w:p>
        </w:tc>
      </w:tr>
      <w:tr w:rsidR="00467087" w:rsidRPr="00467087" w:rsidTr="00467087">
        <w:trPr>
          <w:trHeight w:val="255"/>
          <w:jc w:val="center"/>
        </w:trPr>
        <w:tc>
          <w:tcPr>
            <w:tcW w:w="437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Dlouhodobá péče zdravotní</w:t>
            </w:r>
          </w:p>
        </w:tc>
        <w:tc>
          <w:tcPr>
            <w:tcW w:w="771"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35 787</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37 006</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37 078</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38 590</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44 029</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42 407</w:t>
            </w:r>
          </w:p>
        </w:tc>
        <w:tc>
          <w:tcPr>
            <w:tcW w:w="772" w:type="dxa"/>
            <w:tcBorders>
              <w:top w:val="nil"/>
              <w:left w:val="nil"/>
              <w:bottom w:val="single" w:sz="4" w:space="0" w:color="auto"/>
              <w:right w:val="single" w:sz="4" w:space="0" w:color="auto"/>
            </w:tcBorders>
            <w:shd w:val="clear" w:color="000000" w:fill="D9D9D9"/>
            <w:vAlign w:val="center"/>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45 116</w:t>
            </w:r>
          </w:p>
        </w:tc>
      </w:tr>
      <w:tr w:rsidR="00467087" w:rsidRPr="00467087" w:rsidTr="00467087">
        <w:trPr>
          <w:trHeight w:val="255"/>
          <w:jc w:val="center"/>
        </w:trPr>
        <w:tc>
          <w:tcPr>
            <w:tcW w:w="1336" w:type="dxa"/>
            <w:tcBorders>
              <w:top w:val="nil"/>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z toho: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lůžková dlouhodobá péče</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29 841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30 761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30 864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31 914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37 056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34 842</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37 132</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domácí dlouhodobá péče</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4 466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4 759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4 770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5 180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5 333</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5 859</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6 219</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denní dlouhodobá péče</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1 480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1 486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1 444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1 496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1 640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1 706</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1 765</w:t>
            </w:r>
          </w:p>
        </w:tc>
      </w:tr>
      <w:tr w:rsidR="00467087" w:rsidRPr="00467087" w:rsidTr="00467087">
        <w:trPr>
          <w:trHeight w:val="255"/>
          <w:jc w:val="center"/>
        </w:trPr>
        <w:tc>
          <w:tcPr>
            <w:tcW w:w="437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67087" w:rsidRPr="00467087" w:rsidRDefault="00467087" w:rsidP="00467087">
            <w:pPr>
              <w:spacing w:line="240" w:lineRule="auto"/>
              <w:rPr>
                <w:rFonts w:cs="Arial"/>
                <w:b/>
                <w:bCs/>
                <w:color w:val="000000"/>
                <w:sz w:val="16"/>
                <w:szCs w:val="16"/>
              </w:rPr>
            </w:pPr>
            <w:r w:rsidRPr="00467087">
              <w:rPr>
                <w:rFonts w:cs="Arial"/>
                <w:b/>
                <w:bCs/>
                <w:color w:val="000000"/>
                <w:sz w:val="16"/>
                <w:szCs w:val="16"/>
              </w:rPr>
              <w:t xml:space="preserve">Dlouhodobá péče sociální </w:t>
            </w:r>
          </w:p>
        </w:tc>
        <w:tc>
          <w:tcPr>
            <w:tcW w:w="771"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16 999</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16 050</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15 926</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17 241</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18 078</w:t>
            </w:r>
          </w:p>
        </w:tc>
        <w:tc>
          <w:tcPr>
            <w:tcW w:w="772" w:type="dxa"/>
            <w:tcBorders>
              <w:top w:val="nil"/>
              <w:left w:val="nil"/>
              <w:bottom w:val="single" w:sz="4" w:space="0" w:color="auto"/>
              <w:right w:val="single" w:sz="4" w:space="0" w:color="auto"/>
            </w:tcBorders>
            <w:shd w:val="clear" w:color="000000" w:fill="D9D9D9"/>
            <w:noWrap/>
            <w:vAlign w:val="center"/>
            <w:hideMark/>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18 611</w:t>
            </w:r>
          </w:p>
        </w:tc>
        <w:tc>
          <w:tcPr>
            <w:tcW w:w="772" w:type="dxa"/>
            <w:tcBorders>
              <w:top w:val="nil"/>
              <w:left w:val="nil"/>
              <w:bottom w:val="single" w:sz="4" w:space="0" w:color="auto"/>
              <w:right w:val="single" w:sz="4" w:space="0" w:color="auto"/>
            </w:tcBorders>
            <w:shd w:val="clear" w:color="000000" w:fill="D9D9D9"/>
            <w:vAlign w:val="center"/>
          </w:tcPr>
          <w:p w:rsidR="00467087" w:rsidRPr="00467087" w:rsidRDefault="00467087" w:rsidP="00467087">
            <w:pPr>
              <w:spacing w:line="240" w:lineRule="auto"/>
              <w:jc w:val="right"/>
              <w:rPr>
                <w:rFonts w:cs="Arial"/>
                <w:b/>
                <w:bCs/>
                <w:color w:val="000000"/>
                <w:sz w:val="16"/>
                <w:szCs w:val="16"/>
              </w:rPr>
            </w:pPr>
            <w:r w:rsidRPr="00467087">
              <w:rPr>
                <w:rFonts w:cs="Arial"/>
                <w:b/>
                <w:bCs/>
                <w:color w:val="000000"/>
                <w:sz w:val="16"/>
                <w:szCs w:val="16"/>
              </w:rPr>
              <w:t>20 148</w:t>
            </w:r>
          </w:p>
        </w:tc>
      </w:tr>
      <w:tr w:rsidR="00467087" w:rsidRPr="00467087" w:rsidTr="00467087">
        <w:trPr>
          <w:trHeight w:val="255"/>
          <w:jc w:val="center"/>
        </w:trPr>
        <w:tc>
          <w:tcPr>
            <w:tcW w:w="1336" w:type="dxa"/>
            <w:tcBorders>
              <w:top w:val="nil"/>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z toho:</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peněžité dávky</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15 595</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14 617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14 491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15 654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16 269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16 820</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18 207</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sociální služby</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1 404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1 433</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1 435</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1 587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1 809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1 791</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1 941</w:t>
            </w:r>
          </w:p>
        </w:tc>
      </w:tr>
      <w:tr w:rsidR="00467087" w:rsidRPr="00467087" w:rsidTr="00467087">
        <w:trPr>
          <w:trHeight w:val="255"/>
          <w:jc w:val="center"/>
        </w:trPr>
        <w:tc>
          <w:tcPr>
            <w:tcW w:w="437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Peněžité dávky </w:t>
            </w:r>
          </w:p>
        </w:tc>
        <w:tc>
          <w:tcPr>
            <w:tcW w:w="771"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15 595</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14 617</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14 491</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15 654</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16 269</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16 820</w:t>
            </w:r>
          </w:p>
        </w:tc>
        <w:tc>
          <w:tcPr>
            <w:tcW w:w="772" w:type="dxa"/>
            <w:tcBorders>
              <w:top w:val="nil"/>
              <w:left w:val="nil"/>
              <w:bottom w:val="single" w:sz="4" w:space="0" w:color="auto"/>
              <w:right w:val="single" w:sz="4" w:space="0" w:color="auto"/>
            </w:tcBorders>
            <w:shd w:val="clear" w:color="auto" w:fill="F2F2F2" w:themeFill="background1" w:themeFillShade="F2"/>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18 207</w:t>
            </w:r>
          </w:p>
        </w:tc>
      </w:tr>
      <w:tr w:rsidR="00467087" w:rsidRPr="00467087" w:rsidTr="00467087">
        <w:trPr>
          <w:trHeight w:val="255"/>
          <w:jc w:val="center"/>
        </w:trPr>
        <w:tc>
          <w:tcPr>
            <w:tcW w:w="1336" w:type="dxa"/>
            <w:tcBorders>
              <w:top w:val="nil"/>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b/>
                <w:color w:val="000000"/>
                <w:sz w:val="16"/>
                <w:szCs w:val="16"/>
              </w:rPr>
            </w:pPr>
            <w:r w:rsidRPr="00467087">
              <w:rPr>
                <w:rFonts w:cs="Arial"/>
                <w:b/>
                <w:color w:val="000000"/>
                <w:sz w:val="16"/>
                <w:szCs w:val="16"/>
              </w:rPr>
              <w:t xml:space="preserve">z toho: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příspěvek na péči</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13 788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12 722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12 938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13 750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14 353</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14 891</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16 213</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b/>
                <w:color w:val="000000"/>
                <w:sz w:val="16"/>
                <w:szCs w:val="16"/>
              </w:rPr>
            </w:pPr>
            <w:r w:rsidRPr="00467087">
              <w:rPr>
                <w:rFonts w:cs="Arial"/>
                <w:b/>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příspěvek na mobilitu</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964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916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1 008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1 116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1 111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1 146</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1 167</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příspěvek na zvláštní pomůcky</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843</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979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545</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788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805</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783</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827</w:t>
            </w:r>
          </w:p>
        </w:tc>
      </w:tr>
      <w:tr w:rsidR="00467087" w:rsidRPr="00467087" w:rsidTr="00467087">
        <w:trPr>
          <w:trHeight w:val="255"/>
          <w:jc w:val="center"/>
        </w:trPr>
        <w:tc>
          <w:tcPr>
            <w:tcW w:w="4375"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Sociální služby</w:t>
            </w:r>
          </w:p>
        </w:tc>
        <w:tc>
          <w:tcPr>
            <w:tcW w:w="771"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1 404</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1 433</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1 435</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1 587</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1 809</w:t>
            </w:r>
          </w:p>
        </w:tc>
        <w:tc>
          <w:tcPr>
            <w:tcW w:w="772" w:type="dxa"/>
            <w:tcBorders>
              <w:top w:val="nil"/>
              <w:left w:val="nil"/>
              <w:bottom w:val="single" w:sz="4" w:space="0" w:color="auto"/>
              <w:right w:val="single" w:sz="4" w:space="0" w:color="auto"/>
            </w:tcBorders>
            <w:shd w:val="clear" w:color="auto" w:fill="F2F2F2" w:themeFill="background1" w:themeFillShade="F2"/>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1 791</w:t>
            </w:r>
          </w:p>
        </w:tc>
        <w:tc>
          <w:tcPr>
            <w:tcW w:w="772" w:type="dxa"/>
            <w:tcBorders>
              <w:top w:val="nil"/>
              <w:left w:val="nil"/>
              <w:bottom w:val="single" w:sz="4" w:space="0" w:color="auto"/>
              <w:right w:val="single" w:sz="4" w:space="0" w:color="auto"/>
            </w:tcBorders>
            <w:shd w:val="clear" w:color="auto" w:fill="F2F2F2" w:themeFill="background1" w:themeFillShade="F2"/>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1 941</w:t>
            </w:r>
          </w:p>
        </w:tc>
      </w:tr>
      <w:tr w:rsidR="00467087" w:rsidRPr="00467087" w:rsidTr="00467087">
        <w:trPr>
          <w:trHeight w:val="255"/>
          <w:jc w:val="center"/>
        </w:trPr>
        <w:tc>
          <w:tcPr>
            <w:tcW w:w="1336" w:type="dxa"/>
            <w:tcBorders>
              <w:top w:val="nil"/>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z toho: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chráněné bydlení</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471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488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466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572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708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836</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909</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sociální rehabilitace</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502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542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567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592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650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485</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541</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xml:space="preserve">sociálně aktivizační služby </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159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142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125</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125</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131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127</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131</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terapeutické komunity</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83</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83</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služby následné péče</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48</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64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66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64</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71</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podpora samostatného bydlení</w:t>
            </w:r>
          </w:p>
        </w:tc>
        <w:tc>
          <w:tcPr>
            <w:tcW w:w="771"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30</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34</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41</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44</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52</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62</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67</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tcPr>
          <w:p w:rsidR="00467087" w:rsidRPr="00467087" w:rsidRDefault="00467087" w:rsidP="00467087">
            <w:pPr>
              <w:spacing w:line="240" w:lineRule="auto"/>
              <w:rPr>
                <w:rFonts w:cs="Arial"/>
                <w:color w:val="000000"/>
                <w:sz w:val="16"/>
                <w:szCs w:val="16"/>
              </w:rPr>
            </w:pPr>
          </w:p>
        </w:tc>
        <w:tc>
          <w:tcPr>
            <w:tcW w:w="3039" w:type="dxa"/>
            <w:tcBorders>
              <w:top w:val="nil"/>
              <w:left w:val="nil"/>
              <w:bottom w:val="single" w:sz="4" w:space="0" w:color="auto"/>
              <w:right w:val="single" w:sz="4" w:space="0" w:color="auto"/>
            </w:tcBorders>
            <w:shd w:val="clear" w:color="auto" w:fill="auto"/>
            <w:noWrap/>
            <w:vAlign w:val="bottom"/>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preventivní programy</w:t>
            </w:r>
          </w:p>
        </w:tc>
        <w:tc>
          <w:tcPr>
            <w:tcW w:w="771"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59</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42</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39</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50</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54</w:t>
            </w:r>
          </w:p>
        </w:tc>
        <w:tc>
          <w:tcPr>
            <w:tcW w:w="772" w:type="dxa"/>
            <w:tcBorders>
              <w:top w:val="nil"/>
              <w:left w:val="nil"/>
              <w:bottom w:val="single" w:sz="4" w:space="0" w:color="auto"/>
              <w:right w:val="single" w:sz="4" w:space="0" w:color="auto"/>
            </w:tcBorders>
            <w:shd w:val="clear" w:color="auto" w:fill="auto"/>
            <w:noWrap/>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58</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57</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tísňová péče</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32</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35</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36</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tlumočnické služby</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17</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16</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20</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21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24</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28</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33</w:t>
            </w:r>
          </w:p>
        </w:tc>
      </w:tr>
      <w:tr w:rsidR="00467087" w:rsidRPr="00467087" w:rsidTr="00467087">
        <w:trPr>
          <w:trHeight w:val="255"/>
          <w:jc w:val="center"/>
        </w:trPr>
        <w:tc>
          <w:tcPr>
            <w:tcW w:w="1336" w:type="dxa"/>
            <w:tcBorders>
              <w:top w:val="single" w:sz="4" w:space="0" w:color="auto"/>
              <w:left w:val="single" w:sz="4" w:space="0" w:color="auto"/>
              <w:bottom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 </w:t>
            </w:r>
          </w:p>
        </w:tc>
        <w:tc>
          <w:tcPr>
            <w:tcW w:w="3039" w:type="dxa"/>
            <w:tcBorders>
              <w:top w:val="nil"/>
              <w:left w:val="nil"/>
              <w:bottom w:val="single" w:sz="4" w:space="0" w:color="auto"/>
              <w:right w:val="single" w:sz="4" w:space="0" w:color="auto"/>
            </w:tcBorders>
            <w:shd w:val="clear" w:color="auto" w:fill="auto"/>
            <w:noWrap/>
            <w:vAlign w:val="bottom"/>
            <w:hideMark/>
          </w:tcPr>
          <w:p w:rsidR="00467087" w:rsidRPr="00467087" w:rsidRDefault="00467087" w:rsidP="00467087">
            <w:pPr>
              <w:spacing w:line="240" w:lineRule="auto"/>
              <w:rPr>
                <w:rFonts w:cs="Arial"/>
                <w:color w:val="000000"/>
                <w:sz w:val="16"/>
                <w:szCs w:val="16"/>
              </w:rPr>
            </w:pPr>
            <w:r w:rsidRPr="00467087">
              <w:rPr>
                <w:rFonts w:cs="Arial"/>
                <w:color w:val="000000"/>
                <w:sz w:val="16"/>
                <w:szCs w:val="16"/>
              </w:rPr>
              <w:t>průvodcovské a předčitatelské služby</w:t>
            </w:r>
          </w:p>
        </w:tc>
        <w:tc>
          <w:tcPr>
            <w:tcW w:w="771"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9</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11</w:t>
            </w:r>
          </w:p>
        </w:tc>
        <w:tc>
          <w:tcPr>
            <w:tcW w:w="772" w:type="dxa"/>
            <w:tcBorders>
              <w:top w:val="nil"/>
              <w:left w:val="nil"/>
              <w:bottom w:val="single" w:sz="4" w:space="0" w:color="auto"/>
              <w:right w:val="single" w:sz="4" w:space="0" w:color="auto"/>
            </w:tcBorders>
            <w:shd w:val="clear" w:color="auto" w:fill="auto"/>
            <w:noWrap/>
            <w:vAlign w:val="center"/>
            <w:hideMark/>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13</w:t>
            </w:r>
          </w:p>
        </w:tc>
        <w:tc>
          <w:tcPr>
            <w:tcW w:w="772" w:type="dxa"/>
            <w:tcBorders>
              <w:top w:val="nil"/>
              <w:left w:val="nil"/>
              <w:bottom w:val="single" w:sz="4" w:space="0" w:color="auto"/>
              <w:right w:val="single" w:sz="4" w:space="0" w:color="auto"/>
            </w:tcBorders>
            <w:vAlign w:val="center"/>
          </w:tcPr>
          <w:p w:rsidR="00467087" w:rsidRPr="00467087" w:rsidRDefault="00467087" w:rsidP="00467087">
            <w:pPr>
              <w:spacing w:line="240" w:lineRule="auto"/>
              <w:jc w:val="right"/>
              <w:rPr>
                <w:rFonts w:cs="Arial"/>
                <w:color w:val="000000"/>
                <w:sz w:val="16"/>
                <w:szCs w:val="16"/>
              </w:rPr>
            </w:pPr>
            <w:r w:rsidRPr="00467087">
              <w:rPr>
                <w:rFonts w:cs="Arial"/>
                <w:color w:val="000000"/>
                <w:sz w:val="16"/>
                <w:szCs w:val="16"/>
              </w:rPr>
              <w:t>13</w:t>
            </w:r>
          </w:p>
        </w:tc>
      </w:tr>
    </w:tbl>
    <w:p w:rsidR="00467087" w:rsidRPr="00467087" w:rsidRDefault="00467087" w:rsidP="00467087">
      <w:pPr>
        <w:rPr>
          <w:sz w:val="16"/>
          <w:szCs w:val="16"/>
        </w:rPr>
      </w:pPr>
      <w:r w:rsidRPr="00467087">
        <w:rPr>
          <w:sz w:val="16"/>
          <w:szCs w:val="16"/>
        </w:rPr>
        <w:t>Zdroje financování dlouhodobé péče: veřejné rozpočty, zdravotní pojišťovny a domácnosti</w:t>
      </w:r>
    </w:p>
    <w:p w:rsidR="00467087" w:rsidRPr="00467087" w:rsidRDefault="00467087" w:rsidP="00467087">
      <w:pPr>
        <w:rPr>
          <w:sz w:val="16"/>
          <w:szCs w:val="16"/>
        </w:rPr>
      </w:pPr>
      <w:r w:rsidRPr="00467087">
        <w:rPr>
          <w:sz w:val="16"/>
          <w:szCs w:val="16"/>
        </w:rPr>
        <w:t>Zdroj: Zdravotnické účty 2010 – 2016</w:t>
      </w:r>
    </w:p>
    <w:p w:rsidR="00467087" w:rsidRPr="00467087" w:rsidRDefault="00467087" w:rsidP="00467087">
      <w:pPr>
        <w:rPr>
          <w:sz w:val="16"/>
          <w:szCs w:val="16"/>
        </w:rPr>
      </w:pPr>
    </w:p>
    <w:p w:rsidR="00467087" w:rsidRPr="00467087" w:rsidRDefault="00467087" w:rsidP="00467087">
      <w:pPr>
        <w:spacing w:after="120"/>
        <w:rPr>
          <w:b/>
          <w:bCs/>
          <w:szCs w:val="17"/>
        </w:rPr>
      </w:pPr>
    </w:p>
    <w:p w:rsidR="00467087" w:rsidRPr="00467087" w:rsidRDefault="00467087" w:rsidP="00467087">
      <w:pPr>
        <w:spacing w:after="120"/>
        <w:rPr>
          <w:b/>
          <w:bCs/>
          <w:szCs w:val="17"/>
        </w:rPr>
      </w:pPr>
      <w:r w:rsidRPr="00467087">
        <w:rPr>
          <w:b/>
          <w:bCs/>
          <w:szCs w:val="17"/>
        </w:rPr>
        <w:t xml:space="preserve">Tabulka č.10 Výdaje domácností na léky v České republice, 2010 - 2016 </w:t>
      </w:r>
    </w:p>
    <w:tbl>
      <w:tblPr>
        <w:tblStyle w:val="Mkatabulky3"/>
        <w:tblW w:w="0" w:type="auto"/>
        <w:tblLook w:val="04A0" w:firstRow="1" w:lastRow="0" w:firstColumn="1" w:lastColumn="0" w:noHBand="0" w:noVBand="1"/>
      </w:tblPr>
      <w:tblGrid>
        <w:gridCol w:w="3794"/>
        <w:gridCol w:w="851"/>
        <w:gridCol w:w="851"/>
        <w:gridCol w:w="851"/>
        <w:gridCol w:w="851"/>
        <w:gridCol w:w="851"/>
        <w:gridCol w:w="851"/>
        <w:gridCol w:w="851"/>
      </w:tblGrid>
      <w:tr w:rsidR="00467087" w:rsidRPr="00467087" w:rsidTr="00467087">
        <w:trPr>
          <w:trHeight w:val="255"/>
        </w:trPr>
        <w:tc>
          <w:tcPr>
            <w:tcW w:w="3794"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Rok</w:t>
            </w:r>
          </w:p>
        </w:tc>
        <w:tc>
          <w:tcPr>
            <w:tcW w:w="851"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2010</w:t>
            </w:r>
          </w:p>
        </w:tc>
        <w:tc>
          <w:tcPr>
            <w:tcW w:w="851"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2011</w:t>
            </w:r>
          </w:p>
        </w:tc>
        <w:tc>
          <w:tcPr>
            <w:tcW w:w="851"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2012</w:t>
            </w:r>
          </w:p>
        </w:tc>
        <w:tc>
          <w:tcPr>
            <w:tcW w:w="851"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2013</w:t>
            </w:r>
          </w:p>
        </w:tc>
        <w:tc>
          <w:tcPr>
            <w:tcW w:w="851" w:type="dxa"/>
            <w:tcBorders>
              <w:bottom w:val="single" w:sz="4" w:space="0" w:color="auto"/>
            </w:tcBorders>
            <w:vAlign w:val="bottom"/>
          </w:tcPr>
          <w:p w:rsidR="00467087" w:rsidRPr="00467087" w:rsidRDefault="00467087" w:rsidP="00467087">
            <w:pPr>
              <w:keepNext/>
              <w:jc w:val="center"/>
              <w:rPr>
                <w:rFonts w:cs="Arial"/>
                <w:b/>
                <w:bCs/>
                <w:sz w:val="16"/>
                <w:szCs w:val="16"/>
              </w:rPr>
            </w:pPr>
            <w:r w:rsidRPr="00467087">
              <w:rPr>
                <w:rFonts w:cs="Arial"/>
                <w:b/>
                <w:bCs/>
                <w:sz w:val="16"/>
                <w:szCs w:val="16"/>
              </w:rPr>
              <w:t>2014</w:t>
            </w:r>
          </w:p>
        </w:tc>
        <w:tc>
          <w:tcPr>
            <w:tcW w:w="851"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2015</w:t>
            </w:r>
          </w:p>
        </w:tc>
        <w:tc>
          <w:tcPr>
            <w:tcW w:w="851" w:type="dxa"/>
            <w:tcBorders>
              <w:bottom w:val="single" w:sz="4" w:space="0" w:color="auto"/>
            </w:tcBorders>
            <w:vAlign w:val="bottom"/>
          </w:tcPr>
          <w:p w:rsidR="00467087" w:rsidRPr="00467087" w:rsidRDefault="00467087" w:rsidP="00467087">
            <w:pPr>
              <w:keepNext/>
              <w:jc w:val="right"/>
              <w:rPr>
                <w:rFonts w:cs="Arial"/>
                <w:b/>
                <w:bCs/>
                <w:sz w:val="16"/>
                <w:szCs w:val="16"/>
              </w:rPr>
            </w:pPr>
            <w:r w:rsidRPr="00467087">
              <w:rPr>
                <w:rFonts w:cs="Arial"/>
                <w:b/>
                <w:bCs/>
                <w:sz w:val="16"/>
                <w:szCs w:val="16"/>
              </w:rPr>
              <w:t>2016</w:t>
            </w:r>
          </w:p>
        </w:tc>
      </w:tr>
      <w:tr w:rsidR="00467087" w:rsidRPr="00467087" w:rsidTr="00467087">
        <w:trPr>
          <w:trHeight w:val="255"/>
        </w:trPr>
        <w:tc>
          <w:tcPr>
            <w:tcW w:w="8900" w:type="dxa"/>
            <w:gridSpan w:val="7"/>
            <w:shd w:val="clear" w:color="auto" w:fill="FFFFFF" w:themeFill="background1"/>
            <w:noWrap/>
            <w:vAlign w:val="bottom"/>
          </w:tcPr>
          <w:p w:rsidR="00467087" w:rsidRPr="00467087" w:rsidRDefault="00467087" w:rsidP="00467087">
            <w:pPr>
              <w:keepNext/>
              <w:jc w:val="center"/>
              <w:rPr>
                <w:rFonts w:cs="Arial"/>
                <w:b/>
                <w:sz w:val="16"/>
                <w:szCs w:val="16"/>
              </w:rPr>
            </w:pPr>
            <w:r w:rsidRPr="00467087">
              <w:rPr>
                <w:rFonts w:cs="Arial"/>
                <w:b/>
                <w:sz w:val="16"/>
                <w:szCs w:val="16"/>
              </w:rPr>
              <w:t>Výdaje domácností na léky (v mil. Kč)</w:t>
            </w:r>
          </w:p>
        </w:tc>
        <w:tc>
          <w:tcPr>
            <w:tcW w:w="851" w:type="dxa"/>
            <w:shd w:val="clear" w:color="auto" w:fill="FFFFFF" w:themeFill="background1"/>
            <w:vAlign w:val="bottom"/>
          </w:tcPr>
          <w:p w:rsidR="00467087" w:rsidRPr="00467087" w:rsidRDefault="00467087" w:rsidP="00467087">
            <w:pPr>
              <w:keepNext/>
              <w:jc w:val="right"/>
              <w:rPr>
                <w:rFonts w:cs="Arial"/>
                <w:b/>
                <w:sz w:val="16"/>
                <w:szCs w:val="16"/>
              </w:rPr>
            </w:pPr>
          </w:p>
        </w:tc>
      </w:tr>
      <w:tr w:rsidR="00467087" w:rsidRPr="00467087" w:rsidTr="00467087">
        <w:trPr>
          <w:trHeight w:val="255"/>
        </w:trPr>
        <w:tc>
          <w:tcPr>
            <w:tcW w:w="3794" w:type="dxa"/>
            <w:shd w:val="clear" w:color="auto" w:fill="D9D9D9" w:themeFill="background1" w:themeFillShade="D9"/>
            <w:noWrap/>
            <w:vAlign w:val="bottom"/>
            <w:hideMark/>
          </w:tcPr>
          <w:p w:rsidR="00467087" w:rsidRPr="00467087" w:rsidRDefault="00467087" w:rsidP="00467087">
            <w:pPr>
              <w:keepNext/>
              <w:rPr>
                <w:rFonts w:cs="Arial"/>
                <w:b/>
                <w:bCs/>
                <w:sz w:val="16"/>
                <w:szCs w:val="16"/>
              </w:rPr>
            </w:pPr>
            <w:r w:rsidRPr="00467087">
              <w:rPr>
                <w:rFonts w:cs="Arial"/>
                <w:b/>
                <w:bCs/>
                <w:sz w:val="16"/>
                <w:szCs w:val="16"/>
              </w:rPr>
              <w:t>Domácnosti celkem</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19 682</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20 872</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21 466</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20 946</w:t>
            </w:r>
          </w:p>
        </w:tc>
        <w:tc>
          <w:tcPr>
            <w:tcW w:w="851"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20 465</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22 865</w:t>
            </w:r>
          </w:p>
        </w:tc>
        <w:tc>
          <w:tcPr>
            <w:tcW w:w="851"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23 742</w:t>
            </w:r>
          </w:p>
        </w:tc>
      </w:tr>
      <w:tr w:rsidR="00467087" w:rsidRPr="00467087" w:rsidTr="00467087">
        <w:trPr>
          <w:trHeight w:val="255"/>
        </w:trPr>
        <w:tc>
          <w:tcPr>
            <w:tcW w:w="3794" w:type="dxa"/>
            <w:noWrap/>
            <w:vAlign w:val="bottom"/>
            <w:hideMark/>
          </w:tcPr>
          <w:p w:rsidR="00467087" w:rsidRPr="00467087" w:rsidRDefault="00467087" w:rsidP="00467087">
            <w:pPr>
              <w:keepNext/>
              <w:rPr>
                <w:rFonts w:cs="Arial"/>
                <w:bCs/>
                <w:sz w:val="16"/>
                <w:szCs w:val="16"/>
              </w:rPr>
            </w:pPr>
            <w:r w:rsidRPr="00467087">
              <w:rPr>
                <w:rFonts w:cs="Arial"/>
                <w:bCs/>
                <w:sz w:val="16"/>
                <w:szCs w:val="16"/>
              </w:rPr>
              <w:t>Doplatky za léky na předpis</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8 605</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9 115</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9 402</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9 258</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9 061</w:t>
            </w:r>
          </w:p>
        </w:tc>
        <w:tc>
          <w:tcPr>
            <w:tcW w:w="851" w:type="dxa"/>
            <w:noWrap/>
            <w:vAlign w:val="center"/>
          </w:tcPr>
          <w:p w:rsidR="00467087" w:rsidRPr="00467087" w:rsidRDefault="00467087" w:rsidP="00467087">
            <w:pPr>
              <w:keepNext/>
              <w:jc w:val="right"/>
              <w:rPr>
                <w:rFonts w:cs="Arial"/>
                <w:sz w:val="16"/>
                <w:szCs w:val="16"/>
              </w:rPr>
            </w:pPr>
            <w:r w:rsidRPr="00467087">
              <w:rPr>
                <w:rFonts w:cs="Arial"/>
                <w:sz w:val="16"/>
                <w:szCs w:val="16"/>
              </w:rPr>
              <w:t>10 121</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10 295</w:t>
            </w:r>
          </w:p>
        </w:tc>
      </w:tr>
      <w:tr w:rsidR="00467087" w:rsidRPr="00467087" w:rsidTr="00467087">
        <w:trPr>
          <w:trHeight w:val="255"/>
        </w:trPr>
        <w:tc>
          <w:tcPr>
            <w:tcW w:w="3794" w:type="dxa"/>
            <w:tcBorders>
              <w:bottom w:val="single" w:sz="4" w:space="0" w:color="auto"/>
            </w:tcBorders>
            <w:noWrap/>
            <w:vAlign w:val="bottom"/>
            <w:hideMark/>
          </w:tcPr>
          <w:p w:rsidR="00467087" w:rsidRPr="00467087" w:rsidRDefault="00467087" w:rsidP="00467087">
            <w:pPr>
              <w:keepNext/>
              <w:rPr>
                <w:rFonts w:cs="Arial"/>
                <w:bCs/>
                <w:sz w:val="16"/>
                <w:szCs w:val="16"/>
              </w:rPr>
            </w:pPr>
            <w:r w:rsidRPr="00467087">
              <w:rPr>
                <w:rFonts w:cs="Arial"/>
                <w:bCs/>
                <w:sz w:val="16"/>
                <w:szCs w:val="16"/>
              </w:rPr>
              <w:t>Volně prodejné léky</w:t>
            </w:r>
          </w:p>
        </w:tc>
        <w:tc>
          <w:tcPr>
            <w:tcW w:w="851" w:type="dxa"/>
            <w:tcBorders>
              <w:bottom w:val="single" w:sz="4" w:space="0" w:color="auto"/>
            </w:tcBorders>
            <w:noWrap/>
            <w:vAlign w:val="center"/>
            <w:hideMark/>
          </w:tcPr>
          <w:p w:rsidR="00467087" w:rsidRPr="00467087" w:rsidRDefault="00467087" w:rsidP="00467087">
            <w:pPr>
              <w:keepNext/>
              <w:jc w:val="right"/>
              <w:rPr>
                <w:rFonts w:cs="Arial"/>
                <w:sz w:val="16"/>
                <w:szCs w:val="16"/>
              </w:rPr>
            </w:pPr>
            <w:r w:rsidRPr="00467087">
              <w:rPr>
                <w:rFonts w:cs="Arial"/>
                <w:sz w:val="16"/>
                <w:szCs w:val="16"/>
              </w:rPr>
              <w:t>11 077</w:t>
            </w:r>
          </w:p>
        </w:tc>
        <w:tc>
          <w:tcPr>
            <w:tcW w:w="851" w:type="dxa"/>
            <w:tcBorders>
              <w:bottom w:val="single" w:sz="4" w:space="0" w:color="auto"/>
            </w:tcBorders>
            <w:noWrap/>
            <w:vAlign w:val="center"/>
            <w:hideMark/>
          </w:tcPr>
          <w:p w:rsidR="00467087" w:rsidRPr="00467087" w:rsidRDefault="00467087" w:rsidP="00467087">
            <w:pPr>
              <w:keepNext/>
              <w:jc w:val="right"/>
              <w:rPr>
                <w:rFonts w:cs="Arial"/>
                <w:sz w:val="16"/>
                <w:szCs w:val="16"/>
              </w:rPr>
            </w:pPr>
            <w:r w:rsidRPr="00467087">
              <w:rPr>
                <w:rFonts w:cs="Arial"/>
                <w:sz w:val="16"/>
                <w:szCs w:val="16"/>
              </w:rPr>
              <w:t>11 757</w:t>
            </w:r>
          </w:p>
        </w:tc>
        <w:tc>
          <w:tcPr>
            <w:tcW w:w="851" w:type="dxa"/>
            <w:tcBorders>
              <w:bottom w:val="single" w:sz="4" w:space="0" w:color="auto"/>
            </w:tcBorders>
            <w:noWrap/>
            <w:vAlign w:val="center"/>
            <w:hideMark/>
          </w:tcPr>
          <w:p w:rsidR="00467087" w:rsidRPr="00467087" w:rsidRDefault="00467087" w:rsidP="00467087">
            <w:pPr>
              <w:keepNext/>
              <w:jc w:val="right"/>
              <w:rPr>
                <w:rFonts w:cs="Arial"/>
                <w:sz w:val="16"/>
                <w:szCs w:val="16"/>
              </w:rPr>
            </w:pPr>
            <w:r w:rsidRPr="00467087">
              <w:rPr>
                <w:rFonts w:cs="Arial"/>
                <w:sz w:val="16"/>
                <w:szCs w:val="16"/>
              </w:rPr>
              <w:t>12 064</w:t>
            </w:r>
          </w:p>
        </w:tc>
        <w:tc>
          <w:tcPr>
            <w:tcW w:w="851" w:type="dxa"/>
            <w:tcBorders>
              <w:bottom w:val="single" w:sz="4" w:space="0" w:color="auto"/>
            </w:tcBorders>
            <w:noWrap/>
            <w:vAlign w:val="center"/>
            <w:hideMark/>
          </w:tcPr>
          <w:p w:rsidR="00467087" w:rsidRPr="00467087" w:rsidRDefault="00467087" w:rsidP="00467087">
            <w:pPr>
              <w:keepNext/>
              <w:jc w:val="right"/>
              <w:rPr>
                <w:rFonts w:cs="Arial"/>
                <w:sz w:val="16"/>
                <w:szCs w:val="16"/>
              </w:rPr>
            </w:pPr>
            <w:r w:rsidRPr="00467087">
              <w:rPr>
                <w:rFonts w:cs="Arial"/>
                <w:sz w:val="16"/>
                <w:szCs w:val="16"/>
              </w:rPr>
              <w:t>11 688</w:t>
            </w:r>
          </w:p>
        </w:tc>
        <w:tc>
          <w:tcPr>
            <w:tcW w:w="851" w:type="dxa"/>
            <w:tcBorders>
              <w:bottom w:val="single" w:sz="4" w:space="0" w:color="auto"/>
            </w:tcBorders>
            <w:vAlign w:val="center"/>
          </w:tcPr>
          <w:p w:rsidR="00467087" w:rsidRPr="00467087" w:rsidRDefault="00467087" w:rsidP="00467087">
            <w:pPr>
              <w:keepNext/>
              <w:jc w:val="right"/>
              <w:rPr>
                <w:rFonts w:cs="Arial"/>
                <w:sz w:val="16"/>
                <w:szCs w:val="16"/>
              </w:rPr>
            </w:pPr>
            <w:r w:rsidRPr="00467087">
              <w:rPr>
                <w:rFonts w:cs="Arial"/>
                <w:sz w:val="16"/>
                <w:szCs w:val="16"/>
              </w:rPr>
              <w:t>11 404</w:t>
            </w:r>
          </w:p>
        </w:tc>
        <w:tc>
          <w:tcPr>
            <w:tcW w:w="851" w:type="dxa"/>
            <w:tcBorders>
              <w:bottom w:val="single" w:sz="4" w:space="0" w:color="auto"/>
            </w:tcBorders>
            <w:noWrap/>
            <w:vAlign w:val="center"/>
          </w:tcPr>
          <w:p w:rsidR="00467087" w:rsidRPr="00467087" w:rsidRDefault="00467087" w:rsidP="00467087">
            <w:pPr>
              <w:keepNext/>
              <w:jc w:val="right"/>
              <w:rPr>
                <w:rFonts w:cs="Arial"/>
                <w:sz w:val="16"/>
                <w:szCs w:val="16"/>
              </w:rPr>
            </w:pPr>
            <w:r w:rsidRPr="00467087">
              <w:rPr>
                <w:rFonts w:cs="Arial"/>
                <w:sz w:val="16"/>
                <w:szCs w:val="16"/>
              </w:rPr>
              <w:t>12 744</w:t>
            </w:r>
          </w:p>
        </w:tc>
        <w:tc>
          <w:tcPr>
            <w:tcW w:w="851" w:type="dxa"/>
            <w:tcBorders>
              <w:bottom w:val="single" w:sz="4" w:space="0" w:color="auto"/>
            </w:tcBorders>
            <w:vAlign w:val="center"/>
          </w:tcPr>
          <w:p w:rsidR="00467087" w:rsidRPr="00467087" w:rsidRDefault="00467087" w:rsidP="00467087">
            <w:pPr>
              <w:keepNext/>
              <w:jc w:val="right"/>
              <w:rPr>
                <w:rFonts w:cs="Arial"/>
                <w:sz w:val="16"/>
                <w:szCs w:val="16"/>
              </w:rPr>
            </w:pPr>
            <w:r w:rsidRPr="00467087">
              <w:rPr>
                <w:rFonts w:cs="Arial"/>
                <w:sz w:val="16"/>
                <w:szCs w:val="16"/>
              </w:rPr>
              <w:t>13 447</w:t>
            </w:r>
          </w:p>
        </w:tc>
      </w:tr>
      <w:tr w:rsidR="00467087" w:rsidRPr="00467087" w:rsidTr="00467087">
        <w:trPr>
          <w:trHeight w:val="255"/>
        </w:trPr>
        <w:tc>
          <w:tcPr>
            <w:tcW w:w="8900" w:type="dxa"/>
            <w:gridSpan w:val="7"/>
            <w:shd w:val="clear" w:color="auto" w:fill="FFFFFF" w:themeFill="background1"/>
            <w:noWrap/>
            <w:vAlign w:val="bottom"/>
          </w:tcPr>
          <w:p w:rsidR="00467087" w:rsidRPr="00467087" w:rsidRDefault="00467087" w:rsidP="00467087">
            <w:pPr>
              <w:keepNext/>
              <w:jc w:val="center"/>
              <w:rPr>
                <w:rFonts w:cs="Arial"/>
                <w:sz w:val="16"/>
                <w:szCs w:val="16"/>
              </w:rPr>
            </w:pPr>
            <w:r w:rsidRPr="00467087">
              <w:rPr>
                <w:rFonts w:cs="Arial"/>
                <w:b/>
                <w:sz w:val="16"/>
                <w:szCs w:val="16"/>
              </w:rPr>
              <w:t>Výdaje domácností na léky na 1 obyvatele ČR (v Kč)</w:t>
            </w:r>
          </w:p>
        </w:tc>
        <w:tc>
          <w:tcPr>
            <w:tcW w:w="851" w:type="dxa"/>
            <w:shd w:val="clear" w:color="auto" w:fill="FFFFFF" w:themeFill="background1"/>
          </w:tcPr>
          <w:p w:rsidR="00467087" w:rsidRPr="00467087" w:rsidRDefault="00467087" w:rsidP="00467087">
            <w:pPr>
              <w:keepNext/>
              <w:jc w:val="center"/>
              <w:rPr>
                <w:rFonts w:cs="Arial"/>
                <w:b/>
                <w:sz w:val="16"/>
                <w:szCs w:val="16"/>
              </w:rPr>
            </w:pPr>
          </w:p>
        </w:tc>
      </w:tr>
      <w:tr w:rsidR="00467087" w:rsidRPr="00467087" w:rsidTr="00467087">
        <w:trPr>
          <w:trHeight w:val="255"/>
        </w:trPr>
        <w:tc>
          <w:tcPr>
            <w:tcW w:w="3794" w:type="dxa"/>
            <w:shd w:val="clear" w:color="auto" w:fill="D9D9D9" w:themeFill="background1" w:themeFillShade="D9"/>
            <w:noWrap/>
            <w:vAlign w:val="bottom"/>
            <w:hideMark/>
          </w:tcPr>
          <w:p w:rsidR="00467087" w:rsidRPr="00467087" w:rsidRDefault="00467087" w:rsidP="00467087">
            <w:pPr>
              <w:keepNext/>
              <w:rPr>
                <w:rFonts w:cs="Arial"/>
                <w:b/>
                <w:bCs/>
                <w:sz w:val="16"/>
                <w:szCs w:val="16"/>
              </w:rPr>
            </w:pPr>
            <w:r w:rsidRPr="00467087">
              <w:rPr>
                <w:rFonts w:cs="Arial"/>
                <w:b/>
                <w:bCs/>
                <w:sz w:val="16"/>
                <w:szCs w:val="16"/>
              </w:rPr>
              <w:t>Domácnosti celkem</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1 968</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2 067</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2 046</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1 950</w:t>
            </w:r>
          </w:p>
        </w:tc>
        <w:tc>
          <w:tcPr>
            <w:tcW w:w="851"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2 052</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2163</w:t>
            </w:r>
          </w:p>
        </w:tc>
        <w:tc>
          <w:tcPr>
            <w:tcW w:w="851"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2 243</w:t>
            </w:r>
          </w:p>
        </w:tc>
      </w:tr>
      <w:tr w:rsidR="00467087" w:rsidRPr="00467087" w:rsidTr="00467087">
        <w:trPr>
          <w:trHeight w:val="255"/>
        </w:trPr>
        <w:tc>
          <w:tcPr>
            <w:tcW w:w="3794" w:type="dxa"/>
            <w:shd w:val="clear" w:color="auto" w:fill="FFFFFF" w:themeFill="background1"/>
            <w:noWrap/>
            <w:vAlign w:val="bottom"/>
            <w:hideMark/>
          </w:tcPr>
          <w:p w:rsidR="00467087" w:rsidRPr="00467087" w:rsidRDefault="00467087" w:rsidP="00467087">
            <w:pPr>
              <w:keepNext/>
              <w:rPr>
                <w:rFonts w:cs="Arial"/>
                <w:bCs/>
                <w:sz w:val="16"/>
                <w:szCs w:val="16"/>
              </w:rPr>
            </w:pPr>
            <w:r w:rsidRPr="00467087">
              <w:rPr>
                <w:rFonts w:cs="Arial"/>
                <w:bCs/>
                <w:sz w:val="16"/>
                <w:szCs w:val="16"/>
              </w:rPr>
              <w:t>Doplatky za léky na předpis</w:t>
            </w:r>
          </w:p>
        </w:tc>
        <w:tc>
          <w:tcPr>
            <w:tcW w:w="851" w:type="dxa"/>
            <w:shd w:val="clear" w:color="auto" w:fill="FFFFFF" w:themeFill="background1"/>
            <w:noWrap/>
            <w:vAlign w:val="center"/>
          </w:tcPr>
          <w:p w:rsidR="00467087" w:rsidRPr="00467087" w:rsidRDefault="00467087" w:rsidP="00467087">
            <w:pPr>
              <w:keepNext/>
              <w:jc w:val="right"/>
              <w:rPr>
                <w:rFonts w:cs="Arial"/>
                <w:sz w:val="16"/>
                <w:szCs w:val="16"/>
              </w:rPr>
            </w:pPr>
            <w:r w:rsidRPr="00467087">
              <w:rPr>
                <w:rFonts w:cs="Arial"/>
                <w:sz w:val="16"/>
                <w:szCs w:val="16"/>
              </w:rPr>
              <w:t>846</w:t>
            </w:r>
          </w:p>
        </w:tc>
        <w:tc>
          <w:tcPr>
            <w:tcW w:w="851" w:type="dxa"/>
            <w:shd w:val="clear" w:color="auto" w:fill="FFFFFF" w:themeFill="background1"/>
            <w:noWrap/>
            <w:vAlign w:val="center"/>
          </w:tcPr>
          <w:p w:rsidR="00467087" w:rsidRPr="00467087" w:rsidRDefault="00467087" w:rsidP="00467087">
            <w:pPr>
              <w:keepNext/>
              <w:jc w:val="right"/>
              <w:rPr>
                <w:rFonts w:cs="Arial"/>
                <w:sz w:val="16"/>
                <w:szCs w:val="16"/>
              </w:rPr>
            </w:pPr>
            <w:r w:rsidRPr="00467087">
              <w:rPr>
                <w:rFonts w:cs="Arial"/>
                <w:sz w:val="16"/>
                <w:szCs w:val="16"/>
              </w:rPr>
              <w:t>895</w:t>
            </w:r>
          </w:p>
        </w:tc>
        <w:tc>
          <w:tcPr>
            <w:tcW w:w="851" w:type="dxa"/>
            <w:shd w:val="clear" w:color="auto" w:fill="FFFFFF" w:themeFill="background1"/>
            <w:noWrap/>
            <w:vAlign w:val="center"/>
          </w:tcPr>
          <w:p w:rsidR="00467087" w:rsidRPr="00467087" w:rsidRDefault="00467087" w:rsidP="00467087">
            <w:pPr>
              <w:keepNext/>
              <w:jc w:val="right"/>
              <w:rPr>
                <w:rFonts w:cs="Arial"/>
                <w:sz w:val="16"/>
                <w:szCs w:val="16"/>
              </w:rPr>
            </w:pPr>
            <w:r w:rsidRPr="00467087">
              <w:rPr>
                <w:rFonts w:cs="Arial"/>
                <w:sz w:val="16"/>
                <w:szCs w:val="16"/>
              </w:rPr>
              <w:t>894</w:t>
            </w:r>
          </w:p>
        </w:tc>
        <w:tc>
          <w:tcPr>
            <w:tcW w:w="851" w:type="dxa"/>
            <w:shd w:val="clear" w:color="auto" w:fill="FFFFFF" w:themeFill="background1"/>
            <w:noWrap/>
            <w:vAlign w:val="center"/>
          </w:tcPr>
          <w:p w:rsidR="00467087" w:rsidRPr="00467087" w:rsidRDefault="00467087" w:rsidP="00467087">
            <w:pPr>
              <w:keepNext/>
              <w:jc w:val="right"/>
              <w:rPr>
                <w:rFonts w:cs="Arial"/>
                <w:sz w:val="16"/>
                <w:szCs w:val="16"/>
              </w:rPr>
            </w:pPr>
            <w:r w:rsidRPr="00467087">
              <w:rPr>
                <w:rFonts w:cs="Arial"/>
                <w:sz w:val="16"/>
                <w:szCs w:val="16"/>
              </w:rPr>
              <w:t>885</w:t>
            </w:r>
          </w:p>
        </w:tc>
        <w:tc>
          <w:tcPr>
            <w:tcW w:w="851" w:type="dxa"/>
            <w:shd w:val="clear" w:color="auto" w:fill="FFFFFF" w:themeFill="background1"/>
            <w:vAlign w:val="center"/>
          </w:tcPr>
          <w:p w:rsidR="00467087" w:rsidRPr="00467087" w:rsidRDefault="00467087" w:rsidP="00467087">
            <w:pPr>
              <w:keepNext/>
              <w:jc w:val="right"/>
              <w:rPr>
                <w:rFonts w:cs="Arial"/>
                <w:sz w:val="16"/>
                <w:szCs w:val="16"/>
              </w:rPr>
            </w:pPr>
            <w:r w:rsidRPr="00467087">
              <w:rPr>
                <w:rFonts w:cs="Arial"/>
                <w:sz w:val="16"/>
                <w:szCs w:val="16"/>
              </w:rPr>
              <w:t>903</w:t>
            </w:r>
          </w:p>
        </w:tc>
        <w:tc>
          <w:tcPr>
            <w:tcW w:w="851" w:type="dxa"/>
            <w:noWrap/>
            <w:vAlign w:val="center"/>
          </w:tcPr>
          <w:p w:rsidR="00467087" w:rsidRPr="00467087" w:rsidRDefault="00467087" w:rsidP="00467087">
            <w:pPr>
              <w:keepNext/>
              <w:jc w:val="right"/>
              <w:rPr>
                <w:rFonts w:cs="Arial"/>
                <w:sz w:val="16"/>
                <w:szCs w:val="16"/>
              </w:rPr>
            </w:pPr>
            <w:r w:rsidRPr="00467087">
              <w:rPr>
                <w:rFonts w:cs="Arial"/>
                <w:sz w:val="16"/>
                <w:szCs w:val="16"/>
              </w:rPr>
              <w:t>958</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975</w:t>
            </w:r>
          </w:p>
        </w:tc>
      </w:tr>
      <w:tr w:rsidR="00467087" w:rsidRPr="00467087" w:rsidTr="00467087">
        <w:trPr>
          <w:trHeight w:val="255"/>
        </w:trPr>
        <w:tc>
          <w:tcPr>
            <w:tcW w:w="3794" w:type="dxa"/>
            <w:tcBorders>
              <w:bottom w:val="single" w:sz="4" w:space="0" w:color="auto"/>
            </w:tcBorders>
            <w:noWrap/>
            <w:vAlign w:val="bottom"/>
            <w:hideMark/>
          </w:tcPr>
          <w:p w:rsidR="00467087" w:rsidRPr="00467087" w:rsidRDefault="00467087" w:rsidP="00467087">
            <w:pPr>
              <w:keepNext/>
              <w:rPr>
                <w:rFonts w:cs="Arial"/>
                <w:bCs/>
                <w:sz w:val="16"/>
                <w:szCs w:val="16"/>
              </w:rPr>
            </w:pPr>
            <w:r w:rsidRPr="00467087">
              <w:rPr>
                <w:rFonts w:cs="Arial"/>
                <w:bCs/>
                <w:sz w:val="16"/>
                <w:szCs w:val="16"/>
              </w:rPr>
              <w:t>Volně prodejné léky</w:t>
            </w:r>
          </w:p>
        </w:tc>
        <w:tc>
          <w:tcPr>
            <w:tcW w:w="851" w:type="dxa"/>
            <w:tcBorders>
              <w:bottom w:val="single" w:sz="4" w:space="0" w:color="auto"/>
            </w:tcBorders>
            <w:noWrap/>
            <w:vAlign w:val="center"/>
          </w:tcPr>
          <w:p w:rsidR="00467087" w:rsidRPr="00467087" w:rsidRDefault="00467087" w:rsidP="00467087">
            <w:pPr>
              <w:keepNext/>
              <w:jc w:val="right"/>
              <w:rPr>
                <w:rFonts w:cs="Arial"/>
                <w:sz w:val="16"/>
                <w:szCs w:val="16"/>
              </w:rPr>
            </w:pPr>
            <w:r w:rsidRPr="00467087">
              <w:rPr>
                <w:rFonts w:cs="Arial"/>
                <w:sz w:val="16"/>
                <w:szCs w:val="16"/>
              </w:rPr>
              <w:t>1 122</w:t>
            </w:r>
          </w:p>
        </w:tc>
        <w:tc>
          <w:tcPr>
            <w:tcW w:w="851" w:type="dxa"/>
            <w:tcBorders>
              <w:bottom w:val="single" w:sz="4" w:space="0" w:color="auto"/>
            </w:tcBorders>
            <w:noWrap/>
            <w:vAlign w:val="center"/>
          </w:tcPr>
          <w:p w:rsidR="00467087" w:rsidRPr="00467087" w:rsidRDefault="00467087" w:rsidP="00467087">
            <w:pPr>
              <w:keepNext/>
              <w:jc w:val="right"/>
              <w:rPr>
                <w:rFonts w:cs="Arial"/>
                <w:sz w:val="16"/>
                <w:szCs w:val="16"/>
              </w:rPr>
            </w:pPr>
            <w:r w:rsidRPr="00467087">
              <w:rPr>
                <w:rFonts w:cs="Arial"/>
                <w:sz w:val="16"/>
                <w:szCs w:val="16"/>
              </w:rPr>
              <w:t>1 172</w:t>
            </w:r>
          </w:p>
        </w:tc>
        <w:tc>
          <w:tcPr>
            <w:tcW w:w="851" w:type="dxa"/>
            <w:tcBorders>
              <w:bottom w:val="single" w:sz="4" w:space="0" w:color="auto"/>
            </w:tcBorders>
            <w:noWrap/>
            <w:vAlign w:val="center"/>
          </w:tcPr>
          <w:p w:rsidR="00467087" w:rsidRPr="00467087" w:rsidRDefault="00467087" w:rsidP="00467087">
            <w:pPr>
              <w:keepNext/>
              <w:jc w:val="right"/>
              <w:rPr>
                <w:rFonts w:cs="Arial"/>
                <w:sz w:val="16"/>
                <w:szCs w:val="16"/>
              </w:rPr>
            </w:pPr>
            <w:r w:rsidRPr="00467087">
              <w:rPr>
                <w:rFonts w:cs="Arial"/>
                <w:sz w:val="16"/>
                <w:szCs w:val="16"/>
              </w:rPr>
              <w:t>1 151</w:t>
            </w:r>
          </w:p>
        </w:tc>
        <w:tc>
          <w:tcPr>
            <w:tcW w:w="851" w:type="dxa"/>
            <w:tcBorders>
              <w:bottom w:val="single" w:sz="4" w:space="0" w:color="auto"/>
            </w:tcBorders>
            <w:noWrap/>
            <w:vAlign w:val="center"/>
          </w:tcPr>
          <w:p w:rsidR="00467087" w:rsidRPr="00467087" w:rsidRDefault="00467087" w:rsidP="00467087">
            <w:pPr>
              <w:keepNext/>
              <w:jc w:val="right"/>
              <w:rPr>
                <w:rFonts w:cs="Arial"/>
                <w:sz w:val="16"/>
                <w:szCs w:val="16"/>
              </w:rPr>
            </w:pPr>
            <w:r w:rsidRPr="00467087">
              <w:rPr>
                <w:rFonts w:cs="Arial"/>
                <w:sz w:val="16"/>
                <w:szCs w:val="16"/>
              </w:rPr>
              <w:t>1 066</w:t>
            </w:r>
          </w:p>
        </w:tc>
        <w:tc>
          <w:tcPr>
            <w:tcW w:w="851" w:type="dxa"/>
            <w:tcBorders>
              <w:bottom w:val="single" w:sz="4" w:space="0" w:color="auto"/>
            </w:tcBorders>
            <w:vAlign w:val="center"/>
          </w:tcPr>
          <w:p w:rsidR="00467087" w:rsidRPr="00467087" w:rsidRDefault="00467087" w:rsidP="00467087">
            <w:pPr>
              <w:keepNext/>
              <w:jc w:val="right"/>
              <w:rPr>
                <w:rFonts w:cs="Arial"/>
                <w:sz w:val="16"/>
                <w:szCs w:val="16"/>
              </w:rPr>
            </w:pPr>
            <w:r w:rsidRPr="00467087">
              <w:rPr>
                <w:rFonts w:cs="Arial"/>
                <w:sz w:val="16"/>
                <w:szCs w:val="16"/>
              </w:rPr>
              <w:t>1 150</w:t>
            </w:r>
          </w:p>
        </w:tc>
        <w:tc>
          <w:tcPr>
            <w:tcW w:w="851" w:type="dxa"/>
            <w:tcBorders>
              <w:bottom w:val="single" w:sz="4" w:space="0" w:color="auto"/>
            </w:tcBorders>
            <w:noWrap/>
            <w:vAlign w:val="center"/>
          </w:tcPr>
          <w:p w:rsidR="00467087" w:rsidRPr="00467087" w:rsidRDefault="00467087" w:rsidP="00467087">
            <w:pPr>
              <w:keepNext/>
              <w:jc w:val="right"/>
              <w:rPr>
                <w:rFonts w:cs="Arial"/>
                <w:sz w:val="16"/>
                <w:szCs w:val="16"/>
              </w:rPr>
            </w:pPr>
            <w:r w:rsidRPr="00467087">
              <w:rPr>
                <w:rFonts w:cs="Arial"/>
                <w:sz w:val="16"/>
                <w:szCs w:val="16"/>
              </w:rPr>
              <w:t>1205</w:t>
            </w:r>
          </w:p>
        </w:tc>
        <w:tc>
          <w:tcPr>
            <w:tcW w:w="851" w:type="dxa"/>
            <w:tcBorders>
              <w:bottom w:val="single" w:sz="4" w:space="0" w:color="auto"/>
            </w:tcBorders>
            <w:vAlign w:val="center"/>
          </w:tcPr>
          <w:p w:rsidR="00467087" w:rsidRPr="00467087" w:rsidRDefault="00467087" w:rsidP="00467087">
            <w:pPr>
              <w:keepNext/>
              <w:jc w:val="right"/>
              <w:rPr>
                <w:rFonts w:cs="Arial"/>
                <w:sz w:val="16"/>
                <w:szCs w:val="16"/>
              </w:rPr>
            </w:pPr>
            <w:r w:rsidRPr="00467087">
              <w:rPr>
                <w:rFonts w:cs="Arial"/>
                <w:sz w:val="16"/>
                <w:szCs w:val="16"/>
              </w:rPr>
              <w:t>1 268</w:t>
            </w:r>
          </w:p>
        </w:tc>
      </w:tr>
      <w:tr w:rsidR="00467087" w:rsidRPr="00467087" w:rsidTr="00467087">
        <w:trPr>
          <w:trHeight w:val="255"/>
        </w:trPr>
        <w:tc>
          <w:tcPr>
            <w:tcW w:w="8900" w:type="dxa"/>
            <w:gridSpan w:val="7"/>
            <w:shd w:val="clear" w:color="auto" w:fill="FFFFFF" w:themeFill="background1"/>
            <w:noWrap/>
            <w:vAlign w:val="bottom"/>
          </w:tcPr>
          <w:p w:rsidR="00467087" w:rsidRPr="00467087" w:rsidRDefault="00467087" w:rsidP="00467087">
            <w:pPr>
              <w:keepNext/>
              <w:jc w:val="center"/>
              <w:rPr>
                <w:rFonts w:cs="Arial"/>
                <w:b/>
                <w:sz w:val="16"/>
                <w:szCs w:val="16"/>
              </w:rPr>
            </w:pPr>
            <w:r w:rsidRPr="00467087">
              <w:rPr>
                <w:rFonts w:cs="Arial"/>
                <w:b/>
                <w:sz w:val="16"/>
                <w:szCs w:val="16"/>
              </w:rPr>
              <w:t>Podíl výdajů domácností na léky na celkových výdajích domácností na zdravotní péči (v %)</w:t>
            </w:r>
          </w:p>
        </w:tc>
        <w:tc>
          <w:tcPr>
            <w:tcW w:w="851" w:type="dxa"/>
            <w:shd w:val="clear" w:color="auto" w:fill="FFFFFF" w:themeFill="background1"/>
          </w:tcPr>
          <w:p w:rsidR="00467087" w:rsidRPr="00467087" w:rsidRDefault="00467087" w:rsidP="00467087">
            <w:pPr>
              <w:keepNext/>
              <w:jc w:val="center"/>
              <w:rPr>
                <w:rFonts w:cs="Arial"/>
                <w:b/>
                <w:sz w:val="16"/>
                <w:szCs w:val="16"/>
              </w:rPr>
            </w:pPr>
          </w:p>
        </w:tc>
      </w:tr>
      <w:tr w:rsidR="00467087" w:rsidRPr="00467087" w:rsidTr="00467087">
        <w:trPr>
          <w:trHeight w:val="255"/>
        </w:trPr>
        <w:tc>
          <w:tcPr>
            <w:tcW w:w="3794" w:type="dxa"/>
            <w:shd w:val="clear" w:color="auto" w:fill="D9D9D9" w:themeFill="background1" w:themeFillShade="D9"/>
            <w:noWrap/>
            <w:vAlign w:val="bottom"/>
            <w:hideMark/>
          </w:tcPr>
          <w:p w:rsidR="00467087" w:rsidRPr="00467087" w:rsidRDefault="00467087" w:rsidP="00467087">
            <w:pPr>
              <w:keepNext/>
              <w:rPr>
                <w:rFonts w:cs="Arial"/>
                <w:b/>
                <w:bCs/>
                <w:sz w:val="16"/>
                <w:szCs w:val="16"/>
              </w:rPr>
            </w:pPr>
            <w:r w:rsidRPr="00467087">
              <w:rPr>
                <w:rFonts w:cs="Arial"/>
                <w:b/>
                <w:bCs/>
                <w:sz w:val="16"/>
                <w:szCs w:val="16"/>
              </w:rPr>
              <w:t>Domácnosti celkem</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48,5</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49,3</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48,6</w:t>
            </w:r>
          </w:p>
        </w:tc>
        <w:tc>
          <w:tcPr>
            <w:tcW w:w="851" w:type="dxa"/>
            <w:shd w:val="clear" w:color="auto" w:fill="D9D9D9" w:themeFill="background1" w:themeFillShade="D9"/>
            <w:noWrap/>
            <w:vAlign w:val="center"/>
            <w:hideMark/>
          </w:tcPr>
          <w:p w:rsidR="00467087" w:rsidRPr="00467087" w:rsidRDefault="00467087" w:rsidP="00467087">
            <w:pPr>
              <w:keepNext/>
              <w:jc w:val="right"/>
              <w:rPr>
                <w:rFonts w:cs="Arial"/>
                <w:sz w:val="16"/>
                <w:szCs w:val="16"/>
              </w:rPr>
            </w:pPr>
            <w:r w:rsidRPr="00467087">
              <w:rPr>
                <w:rFonts w:cs="Arial"/>
                <w:sz w:val="16"/>
                <w:szCs w:val="16"/>
              </w:rPr>
              <w:t>47,1</w:t>
            </w:r>
          </w:p>
        </w:tc>
        <w:tc>
          <w:tcPr>
            <w:tcW w:w="851"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46,5</w:t>
            </w:r>
          </w:p>
        </w:tc>
        <w:tc>
          <w:tcPr>
            <w:tcW w:w="851" w:type="dxa"/>
            <w:shd w:val="clear" w:color="auto" w:fill="D9D9D9" w:themeFill="background1" w:themeFillShade="D9"/>
            <w:noWrap/>
            <w:vAlign w:val="center"/>
          </w:tcPr>
          <w:p w:rsidR="00467087" w:rsidRPr="00467087" w:rsidRDefault="00467087" w:rsidP="00467087">
            <w:pPr>
              <w:keepNext/>
              <w:jc w:val="right"/>
              <w:rPr>
                <w:rFonts w:cs="Arial"/>
                <w:sz w:val="16"/>
                <w:szCs w:val="16"/>
              </w:rPr>
            </w:pPr>
            <w:r w:rsidRPr="00467087">
              <w:rPr>
                <w:rFonts w:cs="Arial"/>
                <w:sz w:val="16"/>
                <w:szCs w:val="16"/>
              </w:rPr>
              <w:t>46,2</w:t>
            </w:r>
          </w:p>
        </w:tc>
        <w:tc>
          <w:tcPr>
            <w:tcW w:w="851"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46,3</w:t>
            </w:r>
          </w:p>
        </w:tc>
      </w:tr>
      <w:tr w:rsidR="00467087" w:rsidRPr="00467087" w:rsidTr="00467087">
        <w:trPr>
          <w:trHeight w:val="255"/>
        </w:trPr>
        <w:tc>
          <w:tcPr>
            <w:tcW w:w="3794" w:type="dxa"/>
            <w:noWrap/>
            <w:vAlign w:val="bottom"/>
            <w:hideMark/>
          </w:tcPr>
          <w:p w:rsidR="00467087" w:rsidRPr="00467087" w:rsidRDefault="00467087" w:rsidP="00467087">
            <w:pPr>
              <w:keepNext/>
              <w:rPr>
                <w:rFonts w:cs="Arial"/>
                <w:bCs/>
                <w:sz w:val="16"/>
                <w:szCs w:val="16"/>
              </w:rPr>
            </w:pPr>
            <w:r w:rsidRPr="00467087">
              <w:rPr>
                <w:rFonts w:cs="Arial"/>
                <w:bCs/>
                <w:sz w:val="16"/>
                <w:szCs w:val="16"/>
              </w:rPr>
              <w:t>Doplatky za léky na předpis</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20,8</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21,4</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21,3</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21,4</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20,4</w:t>
            </w:r>
          </w:p>
        </w:tc>
        <w:tc>
          <w:tcPr>
            <w:tcW w:w="851" w:type="dxa"/>
            <w:noWrap/>
            <w:vAlign w:val="center"/>
          </w:tcPr>
          <w:p w:rsidR="00467087" w:rsidRPr="00467087" w:rsidRDefault="00467087" w:rsidP="00467087">
            <w:pPr>
              <w:keepNext/>
              <w:jc w:val="right"/>
              <w:rPr>
                <w:rFonts w:cs="Arial"/>
                <w:sz w:val="16"/>
                <w:szCs w:val="16"/>
              </w:rPr>
            </w:pPr>
            <w:r w:rsidRPr="00467087">
              <w:rPr>
                <w:rFonts w:cs="Arial"/>
                <w:sz w:val="16"/>
                <w:szCs w:val="16"/>
              </w:rPr>
              <w:t>20,4</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20,1</w:t>
            </w:r>
          </w:p>
        </w:tc>
      </w:tr>
      <w:tr w:rsidR="00467087" w:rsidRPr="00467087" w:rsidTr="00467087">
        <w:trPr>
          <w:trHeight w:val="255"/>
        </w:trPr>
        <w:tc>
          <w:tcPr>
            <w:tcW w:w="3794" w:type="dxa"/>
            <w:noWrap/>
            <w:vAlign w:val="bottom"/>
            <w:hideMark/>
          </w:tcPr>
          <w:p w:rsidR="00467087" w:rsidRPr="00467087" w:rsidRDefault="00467087" w:rsidP="00467087">
            <w:pPr>
              <w:keepNext/>
              <w:rPr>
                <w:rFonts w:cs="Arial"/>
                <w:bCs/>
                <w:sz w:val="16"/>
                <w:szCs w:val="16"/>
              </w:rPr>
            </w:pPr>
            <w:r w:rsidRPr="00467087">
              <w:rPr>
                <w:rFonts w:cs="Arial"/>
                <w:bCs/>
                <w:sz w:val="16"/>
                <w:szCs w:val="16"/>
              </w:rPr>
              <w:t>Volně prodejné léky</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27,6</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28,0</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27,4</w:t>
            </w:r>
          </w:p>
        </w:tc>
        <w:tc>
          <w:tcPr>
            <w:tcW w:w="851" w:type="dxa"/>
            <w:noWrap/>
            <w:vAlign w:val="center"/>
            <w:hideMark/>
          </w:tcPr>
          <w:p w:rsidR="00467087" w:rsidRPr="00467087" w:rsidRDefault="00467087" w:rsidP="00467087">
            <w:pPr>
              <w:keepNext/>
              <w:jc w:val="right"/>
              <w:rPr>
                <w:rFonts w:cs="Arial"/>
                <w:sz w:val="16"/>
                <w:szCs w:val="16"/>
              </w:rPr>
            </w:pPr>
            <w:r w:rsidRPr="00467087">
              <w:rPr>
                <w:rFonts w:cs="Arial"/>
                <w:sz w:val="16"/>
                <w:szCs w:val="16"/>
              </w:rPr>
              <w:t>25,7</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26,0</w:t>
            </w:r>
          </w:p>
        </w:tc>
        <w:tc>
          <w:tcPr>
            <w:tcW w:w="851" w:type="dxa"/>
            <w:noWrap/>
            <w:vAlign w:val="center"/>
          </w:tcPr>
          <w:p w:rsidR="00467087" w:rsidRPr="00467087" w:rsidRDefault="00467087" w:rsidP="00467087">
            <w:pPr>
              <w:keepNext/>
              <w:jc w:val="right"/>
              <w:rPr>
                <w:rFonts w:cs="Arial"/>
                <w:sz w:val="16"/>
                <w:szCs w:val="16"/>
              </w:rPr>
            </w:pPr>
            <w:r w:rsidRPr="00467087">
              <w:rPr>
                <w:rFonts w:cs="Arial"/>
                <w:sz w:val="16"/>
                <w:szCs w:val="16"/>
              </w:rPr>
              <w:t>25,7</w:t>
            </w:r>
          </w:p>
        </w:tc>
        <w:tc>
          <w:tcPr>
            <w:tcW w:w="851" w:type="dxa"/>
            <w:vAlign w:val="center"/>
          </w:tcPr>
          <w:p w:rsidR="00467087" w:rsidRPr="00467087" w:rsidRDefault="00467087" w:rsidP="00467087">
            <w:pPr>
              <w:keepNext/>
              <w:jc w:val="right"/>
              <w:rPr>
                <w:rFonts w:cs="Arial"/>
                <w:sz w:val="16"/>
                <w:szCs w:val="16"/>
              </w:rPr>
            </w:pPr>
            <w:r w:rsidRPr="00467087">
              <w:rPr>
                <w:rFonts w:cs="Arial"/>
                <w:sz w:val="16"/>
                <w:szCs w:val="16"/>
              </w:rPr>
              <w:t>26,2</w:t>
            </w:r>
          </w:p>
        </w:tc>
      </w:tr>
    </w:tbl>
    <w:p w:rsidR="00467087" w:rsidRPr="00467087" w:rsidRDefault="00467087" w:rsidP="00467087">
      <w:pPr>
        <w:rPr>
          <w:sz w:val="16"/>
          <w:szCs w:val="16"/>
        </w:rPr>
      </w:pPr>
      <w:r w:rsidRPr="00467087">
        <w:rPr>
          <w:rFonts w:cs="Arial"/>
          <w:sz w:val="16"/>
          <w:szCs w:val="16"/>
        </w:rPr>
        <w:t>Zdroj:  Zdravotnické účty 2010-2016</w:t>
      </w:r>
    </w:p>
    <w:p w:rsidR="00467087" w:rsidRPr="00467087" w:rsidRDefault="00467087" w:rsidP="00467087">
      <w:pPr>
        <w:spacing w:line="240" w:lineRule="auto"/>
        <w:rPr>
          <w:b/>
          <w:bCs/>
          <w:szCs w:val="17"/>
        </w:rPr>
      </w:pPr>
      <w:r w:rsidRPr="00467087">
        <w:rPr>
          <w:b/>
          <w:bCs/>
          <w:szCs w:val="17"/>
        </w:rPr>
        <w:br w:type="page"/>
      </w:r>
    </w:p>
    <w:p w:rsidR="00467087" w:rsidRPr="00467087" w:rsidRDefault="00467087" w:rsidP="00467087">
      <w:pPr>
        <w:spacing w:after="120" w:line="240" w:lineRule="auto"/>
        <w:rPr>
          <w:b/>
          <w:bCs/>
          <w:szCs w:val="17"/>
        </w:rPr>
      </w:pPr>
      <w:r w:rsidRPr="00467087">
        <w:rPr>
          <w:b/>
          <w:bCs/>
          <w:szCs w:val="17"/>
        </w:rPr>
        <w:lastRenderedPageBreak/>
        <w:t xml:space="preserve">Tabulka č. 11 Výdaje zdravotních pojišťoven a domácností na léky </w:t>
      </w:r>
    </w:p>
    <w:tbl>
      <w:tblPr>
        <w:tblStyle w:val="Mkatabulky4"/>
        <w:tblW w:w="0" w:type="auto"/>
        <w:tblLook w:val="04A0" w:firstRow="1" w:lastRow="0" w:firstColumn="1" w:lastColumn="0" w:noHBand="0" w:noVBand="1"/>
      </w:tblPr>
      <w:tblGrid>
        <w:gridCol w:w="4219"/>
        <w:gridCol w:w="851"/>
        <w:gridCol w:w="795"/>
        <w:gridCol w:w="813"/>
        <w:gridCol w:w="813"/>
        <w:gridCol w:w="813"/>
        <w:gridCol w:w="813"/>
        <w:gridCol w:w="737"/>
      </w:tblGrid>
      <w:tr w:rsidR="00467087" w:rsidRPr="00467087" w:rsidTr="00467087">
        <w:trPr>
          <w:trHeight w:val="255"/>
        </w:trPr>
        <w:tc>
          <w:tcPr>
            <w:tcW w:w="4219"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Rok</w:t>
            </w:r>
          </w:p>
        </w:tc>
        <w:tc>
          <w:tcPr>
            <w:tcW w:w="851"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2010</w:t>
            </w:r>
          </w:p>
        </w:tc>
        <w:tc>
          <w:tcPr>
            <w:tcW w:w="795"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2011</w:t>
            </w:r>
          </w:p>
        </w:tc>
        <w:tc>
          <w:tcPr>
            <w:tcW w:w="813"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2012</w:t>
            </w:r>
          </w:p>
        </w:tc>
        <w:tc>
          <w:tcPr>
            <w:tcW w:w="813"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2013</w:t>
            </w:r>
          </w:p>
        </w:tc>
        <w:tc>
          <w:tcPr>
            <w:tcW w:w="813" w:type="dxa"/>
            <w:tcBorders>
              <w:bottom w:val="single" w:sz="4" w:space="0" w:color="auto"/>
            </w:tcBorders>
            <w:vAlign w:val="bottom"/>
          </w:tcPr>
          <w:p w:rsidR="00467087" w:rsidRPr="00467087" w:rsidRDefault="00467087" w:rsidP="00467087">
            <w:pPr>
              <w:keepNext/>
              <w:jc w:val="center"/>
              <w:rPr>
                <w:rFonts w:cs="Arial"/>
                <w:b/>
                <w:bCs/>
                <w:sz w:val="16"/>
                <w:szCs w:val="16"/>
              </w:rPr>
            </w:pPr>
            <w:r w:rsidRPr="00467087">
              <w:rPr>
                <w:rFonts w:cs="Arial"/>
                <w:b/>
                <w:bCs/>
                <w:sz w:val="16"/>
                <w:szCs w:val="16"/>
              </w:rPr>
              <w:t>2014</w:t>
            </w:r>
          </w:p>
        </w:tc>
        <w:tc>
          <w:tcPr>
            <w:tcW w:w="813" w:type="dxa"/>
            <w:tcBorders>
              <w:bottom w:val="single" w:sz="4" w:space="0" w:color="auto"/>
            </w:tcBorders>
            <w:noWrap/>
            <w:vAlign w:val="bottom"/>
            <w:hideMark/>
          </w:tcPr>
          <w:p w:rsidR="00467087" w:rsidRPr="00467087" w:rsidRDefault="00467087" w:rsidP="00467087">
            <w:pPr>
              <w:keepNext/>
              <w:jc w:val="center"/>
              <w:rPr>
                <w:rFonts w:cs="Arial"/>
                <w:b/>
                <w:bCs/>
                <w:sz w:val="16"/>
                <w:szCs w:val="16"/>
              </w:rPr>
            </w:pPr>
            <w:r w:rsidRPr="00467087">
              <w:rPr>
                <w:rFonts w:cs="Arial"/>
                <w:b/>
                <w:bCs/>
                <w:sz w:val="16"/>
                <w:szCs w:val="16"/>
              </w:rPr>
              <w:t>2015</w:t>
            </w:r>
          </w:p>
        </w:tc>
        <w:tc>
          <w:tcPr>
            <w:tcW w:w="737" w:type="dxa"/>
            <w:tcBorders>
              <w:bottom w:val="single" w:sz="4" w:space="0" w:color="auto"/>
            </w:tcBorders>
            <w:vAlign w:val="bottom"/>
          </w:tcPr>
          <w:p w:rsidR="00467087" w:rsidRPr="00467087" w:rsidRDefault="00467087" w:rsidP="00467087">
            <w:pPr>
              <w:keepNext/>
              <w:jc w:val="right"/>
              <w:rPr>
                <w:rFonts w:cs="Arial"/>
                <w:b/>
                <w:bCs/>
                <w:sz w:val="16"/>
                <w:szCs w:val="16"/>
              </w:rPr>
            </w:pPr>
            <w:r w:rsidRPr="00467087">
              <w:rPr>
                <w:rFonts w:cs="Arial"/>
                <w:b/>
                <w:bCs/>
                <w:sz w:val="16"/>
                <w:szCs w:val="16"/>
              </w:rPr>
              <w:t>2016</w:t>
            </w:r>
          </w:p>
        </w:tc>
      </w:tr>
      <w:tr w:rsidR="00467087" w:rsidRPr="00467087" w:rsidTr="00467087">
        <w:trPr>
          <w:trHeight w:val="255"/>
        </w:trPr>
        <w:tc>
          <w:tcPr>
            <w:tcW w:w="9117" w:type="dxa"/>
            <w:gridSpan w:val="7"/>
            <w:shd w:val="clear" w:color="auto" w:fill="FFFFFF" w:themeFill="background1"/>
            <w:noWrap/>
            <w:vAlign w:val="bottom"/>
          </w:tcPr>
          <w:p w:rsidR="00467087" w:rsidRPr="00467087" w:rsidRDefault="00467087" w:rsidP="00467087">
            <w:pPr>
              <w:jc w:val="center"/>
              <w:rPr>
                <w:rFonts w:cs="Arial"/>
                <w:b/>
                <w:sz w:val="16"/>
                <w:szCs w:val="16"/>
              </w:rPr>
            </w:pPr>
            <w:r w:rsidRPr="00467087">
              <w:rPr>
                <w:rFonts w:cs="Arial"/>
                <w:b/>
                <w:sz w:val="16"/>
                <w:szCs w:val="16"/>
              </w:rPr>
              <w:t>Výdaje na léky (v mil. Kč)</w:t>
            </w:r>
          </w:p>
        </w:tc>
        <w:tc>
          <w:tcPr>
            <w:tcW w:w="737" w:type="dxa"/>
            <w:shd w:val="clear" w:color="auto" w:fill="FFFFFF" w:themeFill="background1"/>
          </w:tcPr>
          <w:p w:rsidR="00467087" w:rsidRPr="00467087" w:rsidRDefault="00467087" w:rsidP="00467087">
            <w:pPr>
              <w:jc w:val="center"/>
              <w:rPr>
                <w:rFonts w:cs="Arial"/>
                <w:b/>
                <w:sz w:val="16"/>
                <w:szCs w:val="16"/>
              </w:rPr>
            </w:pPr>
          </w:p>
        </w:tc>
      </w:tr>
      <w:tr w:rsidR="00467087" w:rsidRPr="00467087" w:rsidTr="00467087">
        <w:trPr>
          <w:trHeight w:val="255"/>
        </w:trPr>
        <w:tc>
          <w:tcPr>
            <w:tcW w:w="4219" w:type="dxa"/>
            <w:shd w:val="clear" w:color="auto" w:fill="D9D9D9" w:themeFill="background1" w:themeFillShade="D9"/>
            <w:noWrap/>
            <w:vAlign w:val="bottom"/>
            <w:hideMark/>
          </w:tcPr>
          <w:p w:rsidR="00467087" w:rsidRPr="00467087" w:rsidRDefault="00467087" w:rsidP="00467087">
            <w:pPr>
              <w:keepNext/>
              <w:rPr>
                <w:rFonts w:cs="Arial"/>
                <w:bCs/>
                <w:sz w:val="16"/>
                <w:szCs w:val="16"/>
              </w:rPr>
            </w:pPr>
            <w:r w:rsidRPr="00467087">
              <w:rPr>
                <w:rFonts w:cs="Arial"/>
                <w:bCs/>
                <w:sz w:val="16"/>
                <w:szCs w:val="16"/>
              </w:rPr>
              <w:t>Léky celkem</w:t>
            </w:r>
          </w:p>
        </w:tc>
        <w:tc>
          <w:tcPr>
            <w:tcW w:w="851" w:type="dxa"/>
            <w:shd w:val="clear" w:color="auto" w:fill="D9D9D9" w:themeFill="background1" w:themeFillShade="D9"/>
            <w:noWrap/>
            <w:vAlign w:val="center"/>
          </w:tcPr>
          <w:p w:rsidR="00467087" w:rsidRPr="00467087" w:rsidRDefault="00467087" w:rsidP="00467087">
            <w:pPr>
              <w:jc w:val="right"/>
              <w:rPr>
                <w:rFonts w:cs="Arial"/>
                <w:sz w:val="16"/>
                <w:szCs w:val="16"/>
              </w:rPr>
            </w:pPr>
            <w:r w:rsidRPr="00467087">
              <w:rPr>
                <w:rFonts w:cs="Arial"/>
                <w:sz w:val="16"/>
                <w:szCs w:val="16"/>
              </w:rPr>
              <w:t>69 611</w:t>
            </w:r>
          </w:p>
        </w:tc>
        <w:tc>
          <w:tcPr>
            <w:tcW w:w="795" w:type="dxa"/>
            <w:shd w:val="clear" w:color="auto" w:fill="D9D9D9" w:themeFill="background1" w:themeFillShade="D9"/>
            <w:noWrap/>
            <w:vAlign w:val="center"/>
          </w:tcPr>
          <w:p w:rsidR="00467087" w:rsidRPr="00467087" w:rsidRDefault="00467087" w:rsidP="00467087">
            <w:pPr>
              <w:jc w:val="right"/>
              <w:rPr>
                <w:rFonts w:cs="Arial"/>
                <w:sz w:val="16"/>
                <w:szCs w:val="16"/>
              </w:rPr>
            </w:pPr>
            <w:r w:rsidRPr="00467087">
              <w:rPr>
                <w:rFonts w:cs="Arial"/>
                <w:sz w:val="16"/>
                <w:szCs w:val="16"/>
              </w:rPr>
              <w:t>71 047</w:t>
            </w:r>
          </w:p>
        </w:tc>
        <w:tc>
          <w:tcPr>
            <w:tcW w:w="813" w:type="dxa"/>
            <w:shd w:val="clear" w:color="auto" w:fill="D9D9D9" w:themeFill="background1" w:themeFillShade="D9"/>
            <w:noWrap/>
            <w:vAlign w:val="center"/>
          </w:tcPr>
          <w:p w:rsidR="00467087" w:rsidRPr="00467087" w:rsidRDefault="00467087" w:rsidP="00467087">
            <w:pPr>
              <w:jc w:val="right"/>
              <w:rPr>
                <w:rFonts w:cs="Arial"/>
                <w:sz w:val="16"/>
                <w:szCs w:val="16"/>
              </w:rPr>
            </w:pPr>
            <w:r w:rsidRPr="00467087">
              <w:rPr>
                <w:rFonts w:cs="Arial"/>
                <w:sz w:val="16"/>
                <w:szCs w:val="16"/>
              </w:rPr>
              <w:t>75 849</w:t>
            </w:r>
          </w:p>
        </w:tc>
        <w:tc>
          <w:tcPr>
            <w:tcW w:w="813" w:type="dxa"/>
            <w:shd w:val="clear" w:color="auto" w:fill="D9D9D9" w:themeFill="background1" w:themeFillShade="D9"/>
            <w:noWrap/>
            <w:vAlign w:val="center"/>
          </w:tcPr>
          <w:p w:rsidR="00467087" w:rsidRPr="00467087" w:rsidRDefault="00467087" w:rsidP="00467087">
            <w:pPr>
              <w:jc w:val="right"/>
              <w:rPr>
                <w:rFonts w:cs="Arial"/>
                <w:sz w:val="16"/>
                <w:szCs w:val="16"/>
              </w:rPr>
            </w:pPr>
            <w:r w:rsidRPr="00467087">
              <w:rPr>
                <w:rFonts w:cs="Arial"/>
                <w:sz w:val="16"/>
                <w:szCs w:val="16"/>
              </w:rPr>
              <w:t>72 299</w:t>
            </w:r>
          </w:p>
        </w:tc>
        <w:tc>
          <w:tcPr>
            <w:tcW w:w="813" w:type="dxa"/>
            <w:shd w:val="clear" w:color="auto" w:fill="D9D9D9" w:themeFill="background1" w:themeFillShade="D9"/>
            <w:vAlign w:val="center"/>
          </w:tcPr>
          <w:p w:rsidR="00467087" w:rsidRPr="00467087" w:rsidRDefault="00467087" w:rsidP="00467087">
            <w:pPr>
              <w:jc w:val="right"/>
              <w:rPr>
                <w:rFonts w:cs="Arial"/>
                <w:sz w:val="16"/>
                <w:szCs w:val="16"/>
              </w:rPr>
            </w:pPr>
            <w:r w:rsidRPr="00467087">
              <w:rPr>
                <w:rFonts w:cs="Arial"/>
                <w:sz w:val="16"/>
                <w:szCs w:val="16"/>
              </w:rPr>
              <w:t>72 672</w:t>
            </w:r>
          </w:p>
        </w:tc>
        <w:tc>
          <w:tcPr>
            <w:tcW w:w="813" w:type="dxa"/>
            <w:shd w:val="clear" w:color="auto" w:fill="D9D9D9" w:themeFill="background1" w:themeFillShade="D9"/>
            <w:noWrap/>
            <w:vAlign w:val="center"/>
          </w:tcPr>
          <w:p w:rsidR="00467087" w:rsidRPr="00467087" w:rsidRDefault="00467087" w:rsidP="00467087">
            <w:pPr>
              <w:jc w:val="right"/>
              <w:rPr>
                <w:rFonts w:cs="Arial"/>
                <w:sz w:val="16"/>
                <w:szCs w:val="16"/>
              </w:rPr>
            </w:pPr>
            <w:r w:rsidRPr="00467087">
              <w:rPr>
                <w:rFonts w:cs="Arial"/>
                <w:sz w:val="16"/>
                <w:szCs w:val="16"/>
              </w:rPr>
              <w:t>76 823</w:t>
            </w:r>
          </w:p>
        </w:tc>
        <w:tc>
          <w:tcPr>
            <w:tcW w:w="737" w:type="dxa"/>
            <w:shd w:val="clear" w:color="auto" w:fill="D9D9D9" w:themeFill="background1" w:themeFillShade="D9"/>
            <w:vAlign w:val="center"/>
          </w:tcPr>
          <w:p w:rsidR="00467087" w:rsidRPr="00467087" w:rsidRDefault="00467087" w:rsidP="00467087">
            <w:pPr>
              <w:keepNext/>
              <w:jc w:val="right"/>
              <w:rPr>
                <w:rFonts w:cs="Arial"/>
                <w:sz w:val="16"/>
                <w:szCs w:val="16"/>
              </w:rPr>
            </w:pPr>
            <w:r w:rsidRPr="00467087">
              <w:rPr>
                <w:rFonts w:cs="Arial"/>
                <w:sz w:val="16"/>
                <w:szCs w:val="16"/>
              </w:rPr>
              <w:t>79 100</w:t>
            </w:r>
          </w:p>
        </w:tc>
      </w:tr>
      <w:tr w:rsidR="00467087" w:rsidRPr="00467087" w:rsidTr="00467087">
        <w:trPr>
          <w:trHeight w:val="255"/>
        </w:trPr>
        <w:tc>
          <w:tcPr>
            <w:tcW w:w="4219" w:type="dxa"/>
            <w:noWrap/>
            <w:vAlign w:val="bottom"/>
            <w:hideMark/>
          </w:tcPr>
          <w:p w:rsidR="00467087" w:rsidRPr="00467087" w:rsidRDefault="00467087" w:rsidP="00467087">
            <w:pPr>
              <w:spacing w:line="240" w:lineRule="auto"/>
              <w:rPr>
                <w:rFonts w:cs="Arial"/>
                <w:bCs/>
                <w:sz w:val="16"/>
                <w:szCs w:val="16"/>
              </w:rPr>
            </w:pPr>
            <w:r w:rsidRPr="00467087">
              <w:rPr>
                <w:rFonts w:cs="Arial"/>
                <w:bCs/>
                <w:sz w:val="16"/>
                <w:szCs w:val="16"/>
              </w:rPr>
              <w:t>Ambulantně vydávané léky</w:t>
            </w:r>
          </w:p>
        </w:tc>
        <w:tc>
          <w:tcPr>
            <w:tcW w:w="851"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53 142</w:t>
            </w:r>
          </w:p>
        </w:tc>
        <w:tc>
          <w:tcPr>
            <w:tcW w:w="795"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54 451</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58 208</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53 637</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52 430</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54 525</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55 700</w:t>
            </w:r>
          </w:p>
        </w:tc>
      </w:tr>
      <w:tr w:rsidR="00467087" w:rsidRPr="00467087" w:rsidTr="00467087">
        <w:trPr>
          <w:trHeight w:val="255"/>
        </w:trPr>
        <w:tc>
          <w:tcPr>
            <w:tcW w:w="4219" w:type="dxa"/>
            <w:noWrap/>
            <w:vAlign w:val="bottom"/>
          </w:tcPr>
          <w:p w:rsidR="00467087" w:rsidRPr="00467087" w:rsidRDefault="00467087" w:rsidP="00467087">
            <w:pPr>
              <w:spacing w:line="240" w:lineRule="auto"/>
              <w:ind w:firstLineChars="100" w:firstLine="160"/>
              <w:rPr>
                <w:rFonts w:cs="Arial"/>
                <w:bCs/>
                <w:sz w:val="16"/>
                <w:szCs w:val="16"/>
              </w:rPr>
            </w:pPr>
            <w:r w:rsidRPr="00467087">
              <w:rPr>
                <w:rFonts w:cs="Arial"/>
                <w:bCs/>
                <w:sz w:val="16"/>
                <w:szCs w:val="16"/>
              </w:rPr>
              <w:t>Léky na předpis</w:t>
            </w:r>
          </w:p>
        </w:tc>
        <w:tc>
          <w:tcPr>
            <w:tcW w:w="851"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42 065</w:t>
            </w:r>
          </w:p>
        </w:tc>
        <w:tc>
          <w:tcPr>
            <w:tcW w:w="795"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42 694</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46 144</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41 949</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41 026</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41 781</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42 253</w:t>
            </w:r>
          </w:p>
        </w:tc>
      </w:tr>
      <w:tr w:rsidR="00467087" w:rsidRPr="00467087" w:rsidTr="00467087">
        <w:trPr>
          <w:trHeight w:val="255"/>
        </w:trPr>
        <w:tc>
          <w:tcPr>
            <w:tcW w:w="4219" w:type="dxa"/>
            <w:noWrap/>
            <w:vAlign w:val="bottom"/>
          </w:tcPr>
          <w:p w:rsidR="00467087" w:rsidRPr="00467087" w:rsidRDefault="00467087" w:rsidP="00467087">
            <w:pPr>
              <w:spacing w:line="240" w:lineRule="auto"/>
              <w:ind w:firstLineChars="200" w:firstLine="320"/>
              <w:rPr>
                <w:rFonts w:cs="Arial"/>
                <w:bCs/>
                <w:sz w:val="16"/>
                <w:szCs w:val="16"/>
              </w:rPr>
            </w:pPr>
            <w:r w:rsidRPr="00467087">
              <w:rPr>
                <w:rFonts w:cs="Arial"/>
                <w:bCs/>
                <w:sz w:val="16"/>
                <w:szCs w:val="16"/>
              </w:rPr>
              <w:t>Úhrady z veřejného pojištění za léky na předpis</w:t>
            </w:r>
          </w:p>
        </w:tc>
        <w:tc>
          <w:tcPr>
            <w:tcW w:w="851"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33 460</w:t>
            </w:r>
          </w:p>
        </w:tc>
        <w:tc>
          <w:tcPr>
            <w:tcW w:w="795"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33 579</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36 742</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32 691</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31 965</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31 660</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31 958</w:t>
            </w:r>
          </w:p>
        </w:tc>
      </w:tr>
      <w:tr w:rsidR="00467087" w:rsidRPr="00467087" w:rsidTr="00467087">
        <w:trPr>
          <w:trHeight w:val="255"/>
        </w:trPr>
        <w:tc>
          <w:tcPr>
            <w:tcW w:w="4219" w:type="dxa"/>
            <w:noWrap/>
            <w:vAlign w:val="bottom"/>
          </w:tcPr>
          <w:p w:rsidR="00467087" w:rsidRPr="00467087" w:rsidRDefault="00467087" w:rsidP="00467087">
            <w:pPr>
              <w:spacing w:line="240" w:lineRule="auto"/>
              <w:ind w:firstLineChars="200" w:firstLine="320"/>
              <w:rPr>
                <w:rFonts w:cs="Arial"/>
                <w:bCs/>
                <w:sz w:val="16"/>
                <w:szCs w:val="16"/>
              </w:rPr>
            </w:pPr>
            <w:r w:rsidRPr="00467087">
              <w:rPr>
                <w:rFonts w:cs="Arial"/>
                <w:bCs/>
                <w:sz w:val="16"/>
                <w:szCs w:val="16"/>
              </w:rPr>
              <w:t>Doplatky za léky na předpis</w:t>
            </w:r>
          </w:p>
        </w:tc>
        <w:tc>
          <w:tcPr>
            <w:tcW w:w="851"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8 605</w:t>
            </w:r>
          </w:p>
        </w:tc>
        <w:tc>
          <w:tcPr>
            <w:tcW w:w="795"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9 115</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9 402</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9 258</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9 061</w:t>
            </w:r>
          </w:p>
        </w:tc>
        <w:tc>
          <w:tcPr>
            <w:tcW w:w="813" w:type="dxa"/>
            <w:noWrap/>
            <w:vAlign w:val="center"/>
          </w:tcPr>
          <w:p w:rsidR="00467087" w:rsidRPr="00467087" w:rsidRDefault="00467087" w:rsidP="00467087">
            <w:pPr>
              <w:spacing w:line="240" w:lineRule="auto"/>
              <w:jc w:val="right"/>
              <w:rPr>
                <w:rFonts w:cs="Arial"/>
                <w:sz w:val="16"/>
                <w:szCs w:val="16"/>
              </w:rPr>
            </w:pPr>
            <w:r w:rsidRPr="00467087">
              <w:rPr>
                <w:rFonts w:cs="Arial"/>
                <w:sz w:val="16"/>
                <w:szCs w:val="16"/>
              </w:rPr>
              <w:t>10 121</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10 295</w:t>
            </w:r>
          </w:p>
        </w:tc>
      </w:tr>
      <w:tr w:rsidR="00467087" w:rsidRPr="00467087" w:rsidTr="00467087">
        <w:trPr>
          <w:trHeight w:val="255"/>
        </w:trPr>
        <w:tc>
          <w:tcPr>
            <w:tcW w:w="4219" w:type="dxa"/>
            <w:noWrap/>
            <w:vAlign w:val="bottom"/>
            <w:hideMark/>
          </w:tcPr>
          <w:p w:rsidR="00467087" w:rsidRPr="00467087" w:rsidRDefault="00467087" w:rsidP="00467087">
            <w:pPr>
              <w:spacing w:line="240" w:lineRule="auto"/>
              <w:ind w:firstLineChars="100" w:firstLine="160"/>
              <w:rPr>
                <w:rFonts w:cs="Arial"/>
                <w:bCs/>
                <w:sz w:val="16"/>
                <w:szCs w:val="16"/>
              </w:rPr>
            </w:pPr>
            <w:r w:rsidRPr="00467087">
              <w:rPr>
                <w:rFonts w:cs="Arial"/>
                <w:bCs/>
                <w:sz w:val="16"/>
                <w:szCs w:val="16"/>
              </w:rPr>
              <w:t>Volně prodejné léky</w:t>
            </w:r>
          </w:p>
        </w:tc>
        <w:tc>
          <w:tcPr>
            <w:tcW w:w="851"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11 077</w:t>
            </w:r>
          </w:p>
        </w:tc>
        <w:tc>
          <w:tcPr>
            <w:tcW w:w="795"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11 757</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12 064</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11 688</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11 404</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12 744</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13 447</w:t>
            </w:r>
          </w:p>
        </w:tc>
      </w:tr>
      <w:tr w:rsidR="00467087" w:rsidRPr="00467087" w:rsidTr="00467087">
        <w:trPr>
          <w:trHeight w:val="255"/>
        </w:trPr>
        <w:tc>
          <w:tcPr>
            <w:tcW w:w="4219" w:type="dxa"/>
            <w:noWrap/>
            <w:vAlign w:val="bottom"/>
            <w:hideMark/>
          </w:tcPr>
          <w:p w:rsidR="00467087" w:rsidRPr="00467087" w:rsidRDefault="00467087" w:rsidP="00467087">
            <w:pPr>
              <w:spacing w:line="240" w:lineRule="auto"/>
              <w:rPr>
                <w:rFonts w:cs="Arial"/>
                <w:bCs/>
                <w:sz w:val="16"/>
                <w:szCs w:val="16"/>
              </w:rPr>
            </w:pPr>
            <w:r w:rsidRPr="00467087">
              <w:rPr>
                <w:rFonts w:cs="Arial"/>
                <w:bCs/>
                <w:sz w:val="16"/>
                <w:szCs w:val="16"/>
              </w:rPr>
              <w:t xml:space="preserve">Léky spotřebované ve zdravotnických zařízeních </w:t>
            </w:r>
          </w:p>
        </w:tc>
        <w:tc>
          <w:tcPr>
            <w:tcW w:w="851"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16 469</w:t>
            </w:r>
          </w:p>
        </w:tc>
        <w:tc>
          <w:tcPr>
            <w:tcW w:w="795"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16 596</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17 641</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18 662</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20 241</w:t>
            </w:r>
          </w:p>
        </w:tc>
        <w:tc>
          <w:tcPr>
            <w:tcW w:w="813" w:type="dxa"/>
            <w:noWrap/>
            <w:vAlign w:val="center"/>
            <w:hideMark/>
          </w:tcPr>
          <w:p w:rsidR="00467087" w:rsidRPr="00467087" w:rsidRDefault="00467087" w:rsidP="00467087">
            <w:pPr>
              <w:spacing w:line="240" w:lineRule="auto"/>
              <w:jc w:val="right"/>
              <w:rPr>
                <w:rFonts w:cs="Arial"/>
                <w:sz w:val="16"/>
                <w:szCs w:val="16"/>
              </w:rPr>
            </w:pPr>
            <w:r w:rsidRPr="00467087">
              <w:rPr>
                <w:rFonts w:cs="Arial"/>
                <w:sz w:val="16"/>
                <w:szCs w:val="16"/>
              </w:rPr>
              <w:t>22 307</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23 400</w:t>
            </w:r>
          </w:p>
        </w:tc>
      </w:tr>
      <w:tr w:rsidR="00467087" w:rsidRPr="00467087" w:rsidTr="00467087">
        <w:trPr>
          <w:trHeight w:val="255"/>
        </w:trPr>
        <w:tc>
          <w:tcPr>
            <w:tcW w:w="9117" w:type="dxa"/>
            <w:gridSpan w:val="7"/>
            <w:noWrap/>
            <w:vAlign w:val="bottom"/>
          </w:tcPr>
          <w:p w:rsidR="00467087" w:rsidRPr="00467087" w:rsidRDefault="00467087" w:rsidP="00467087">
            <w:pPr>
              <w:jc w:val="center"/>
              <w:rPr>
                <w:rFonts w:cs="Arial"/>
                <w:sz w:val="16"/>
                <w:szCs w:val="16"/>
              </w:rPr>
            </w:pPr>
            <w:r w:rsidRPr="00467087">
              <w:rPr>
                <w:rFonts w:cs="Arial"/>
                <w:b/>
                <w:sz w:val="16"/>
                <w:szCs w:val="16"/>
              </w:rPr>
              <w:t>Výdaje na léky (v %)</w:t>
            </w:r>
          </w:p>
        </w:tc>
        <w:tc>
          <w:tcPr>
            <w:tcW w:w="737" w:type="dxa"/>
          </w:tcPr>
          <w:p w:rsidR="00467087" w:rsidRPr="00467087" w:rsidRDefault="00467087" w:rsidP="00467087">
            <w:pPr>
              <w:jc w:val="center"/>
              <w:rPr>
                <w:rFonts w:cs="Arial"/>
                <w:b/>
                <w:sz w:val="16"/>
                <w:szCs w:val="16"/>
              </w:rPr>
            </w:pPr>
          </w:p>
        </w:tc>
      </w:tr>
      <w:tr w:rsidR="00467087" w:rsidRPr="00467087" w:rsidTr="00467087">
        <w:trPr>
          <w:trHeight w:val="255"/>
        </w:trPr>
        <w:tc>
          <w:tcPr>
            <w:tcW w:w="4219" w:type="dxa"/>
            <w:noWrap/>
            <w:vAlign w:val="bottom"/>
          </w:tcPr>
          <w:p w:rsidR="00467087" w:rsidRPr="00467087" w:rsidRDefault="00467087" w:rsidP="00467087">
            <w:pPr>
              <w:spacing w:line="240" w:lineRule="auto"/>
              <w:rPr>
                <w:rFonts w:cs="Arial"/>
                <w:sz w:val="16"/>
                <w:szCs w:val="16"/>
              </w:rPr>
            </w:pPr>
            <w:r w:rsidRPr="00467087">
              <w:rPr>
                <w:rFonts w:cs="Arial"/>
                <w:sz w:val="16"/>
                <w:szCs w:val="16"/>
              </w:rPr>
              <w:t>Léky na předpis hrazené z veřejného pojištění</w:t>
            </w:r>
          </w:p>
        </w:tc>
        <w:tc>
          <w:tcPr>
            <w:tcW w:w="851" w:type="dxa"/>
            <w:noWrap/>
            <w:vAlign w:val="center"/>
          </w:tcPr>
          <w:p w:rsidR="00467087" w:rsidRPr="00467087" w:rsidRDefault="00467087" w:rsidP="00467087">
            <w:pPr>
              <w:jc w:val="right"/>
              <w:rPr>
                <w:rFonts w:cs="Arial"/>
                <w:sz w:val="16"/>
                <w:szCs w:val="16"/>
              </w:rPr>
            </w:pPr>
            <w:r w:rsidRPr="00467087">
              <w:rPr>
                <w:rFonts w:cs="Arial"/>
                <w:sz w:val="16"/>
                <w:szCs w:val="16"/>
              </w:rPr>
              <w:t>48,1</w:t>
            </w:r>
          </w:p>
        </w:tc>
        <w:tc>
          <w:tcPr>
            <w:tcW w:w="795" w:type="dxa"/>
            <w:noWrap/>
            <w:vAlign w:val="center"/>
          </w:tcPr>
          <w:p w:rsidR="00467087" w:rsidRPr="00467087" w:rsidRDefault="00467087" w:rsidP="00467087">
            <w:pPr>
              <w:jc w:val="right"/>
              <w:rPr>
                <w:rFonts w:cs="Arial"/>
                <w:sz w:val="16"/>
                <w:szCs w:val="16"/>
              </w:rPr>
            </w:pPr>
            <w:r w:rsidRPr="00467087">
              <w:rPr>
                <w:rFonts w:cs="Arial"/>
                <w:sz w:val="16"/>
                <w:szCs w:val="16"/>
              </w:rPr>
              <w:t>47,3</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48,4</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45,2</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44,0</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41,2</w:t>
            </w:r>
          </w:p>
        </w:tc>
        <w:tc>
          <w:tcPr>
            <w:tcW w:w="737" w:type="dxa"/>
            <w:vAlign w:val="center"/>
          </w:tcPr>
          <w:p w:rsidR="00467087" w:rsidRPr="00467087" w:rsidRDefault="00467087" w:rsidP="00467087">
            <w:pPr>
              <w:keepNext/>
              <w:jc w:val="right"/>
              <w:rPr>
                <w:rFonts w:cs="Arial"/>
                <w:sz w:val="16"/>
                <w:szCs w:val="16"/>
              </w:rPr>
            </w:pPr>
            <w:r w:rsidRPr="00467087">
              <w:rPr>
                <w:rFonts w:cs="Arial"/>
                <w:sz w:val="16"/>
                <w:szCs w:val="16"/>
              </w:rPr>
              <w:t>40,4</w:t>
            </w:r>
          </w:p>
        </w:tc>
      </w:tr>
      <w:tr w:rsidR="00467087" w:rsidRPr="00467087" w:rsidTr="00467087">
        <w:trPr>
          <w:trHeight w:val="255"/>
        </w:trPr>
        <w:tc>
          <w:tcPr>
            <w:tcW w:w="4219" w:type="dxa"/>
            <w:noWrap/>
            <w:vAlign w:val="bottom"/>
          </w:tcPr>
          <w:p w:rsidR="00467087" w:rsidRPr="00467087" w:rsidRDefault="00467087" w:rsidP="00467087">
            <w:pPr>
              <w:spacing w:line="240" w:lineRule="auto"/>
              <w:rPr>
                <w:rFonts w:cs="Arial"/>
                <w:sz w:val="16"/>
                <w:szCs w:val="16"/>
              </w:rPr>
            </w:pPr>
            <w:r w:rsidRPr="00467087">
              <w:rPr>
                <w:rFonts w:cs="Arial"/>
                <w:sz w:val="16"/>
                <w:szCs w:val="16"/>
              </w:rPr>
              <w:t>Léky na předpis hrazené domácnostmi (doplatky)</w:t>
            </w:r>
          </w:p>
        </w:tc>
        <w:tc>
          <w:tcPr>
            <w:tcW w:w="851" w:type="dxa"/>
            <w:noWrap/>
            <w:vAlign w:val="center"/>
          </w:tcPr>
          <w:p w:rsidR="00467087" w:rsidRPr="00467087" w:rsidRDefault="00467087" w:rsidP="00467087">
            <w:pPr>
              <w:jc w:val="right"/>
              <w:rPr>
                <w:rFonts w:cs="Arial"/>
                <w:sz w:val="16"/>
                <w:szCs w:val="16"/>
              </w:rPr>
            </w:pPr>
            <w:r w:rsidRPr="00467087">
              <w:rPr>
                <w:rFonts w:cs="Arial"/>
                <w:sz w:val="16"/>
                <w:szCs w:val="16"/>
              </w:rPr>
              <w:t>12,4</w:t>
            </w:r>
          </w:p>
        </w:tc>
        <w:tc>
          <w:tcPr>
            <w:tcW w:w="795" w:type="dxa"/>
            <w:noWrap/>
            <w:vAlign w:val="center"/>
          </w:tcPr>
          <w:p w:rsidR="00467087" w:rsidRPr="00467087" w:rsidRDefault="00467087" w:rsidP="00467087">
            <w:pPr>
              <w:jc w:val="right"/>
              <w:rPr>
                <w:rFonts w:cs="Arial"/>
                <w:sz w:val="16"/>
                <w:szCs w:val="16"/>
              </w:rPr>
            </w:pPr>
            <w:r w:rsidRPr="00467087">
              <w:rPr>
                <w:rFonts w:cs="Arial"/>
                <w:sz w:val="16"/>
                <w:szCs w:val="16"/>
              </w:rPr>
              <w:t>12,8</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12,4</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12,8</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12,5</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13,2</w:t>
            </w:r>
          </w:p>
        </w:tc>
        <w:tc>
          <w:tcPr>
            <w:tcW w:w="737" w:type="dxa"/>
            <w:vAlign w:val="center"/>
          </w:tcPr>
          <w:p w:rsidR="00467087" w:rsidRPr="00467087" w:rsidRDefault="00467087" w:rsidP="00467087">
            <w:pPr>
              <w:jc w:val="right"/>
              <w:rPr>
                <w:rFonts w:cs="Arial"/>
                <w:sz w:val="16"/>
                <w:szCs w:val="16"/>
              </w:rPr>
            </w:pPr>
            <w:r w:rsidRPr="00467087">
              <w:rPr>
                <w:rFonts w:cs="Arial"/>
                <w:sz w:val="16"/>
                <w:szCs w:val="16"/>
              </w:rPr>
              <w:t>13,0</w:t>
            </w:r>
          </w:p>
        </w:tc>
      </w:tr>
      <w:tr w:rsidR="00467087" w:rsidRPr="00467087" w:rsidTr="00467087">
        <w:trPr>
          <w:trHeight w:val="255"/>
        </w:trPr>
        <w:tc>
          <w:tcPr>
            <w:tcW w:w="4219" w:type="dxa"/>
            <w:noWrap/>
            <w:vAlign w:val="bottom"/>
          </w:tcPr>
          <w:p w:rsidR="00467087" w:rsidRPr="00467087" w:rsidRDefault="00467087" w:rsidP="00467087">
            <w:pPr>
              <w:spacing w:line="240" w:lineRule="auto"/>
              <w:rPr>
                <w:rFonts w:cs="Arial"/>
                <w:sz w:val="16"/>
                <w:szCs w:val="16"/>
              </w:rPr>
            </w:pPr>
            <w:r w:rsidRPr="00467087">
              <w:rPr>
                <w:rFonts w:cs="Arial"/>
                <w:sz w:val="16"/>
                <w:szCs w:val="16"/>
              </w:rPr>
              <w:t>Volně prodejné léky hrazené domácnostmi</w:t>
            </w:r>
          </w:p>
        </w:tc>
        <w:tc>
          <w:tcPr>
            <w:tcW w:w="851" w:type="dxa"/>
            <w:noWrap/>
            <w:vAlign w:val="center"/>
          </w:tcPr>
          <w:p w:rsidR="00467087" w:rsidRPr="00467087" w:rsidRDefault="00467087" w:rsidP="00467087">
            <w:pPr>
              <w:jc w:val="right"/>
              <w:rPr>
                <w:rFonts w:cs="Arial"/>
                <w:sz w:val="16"/>
                <w:szCs w:val="16"/>
              </w:rPr>
            </w:pPr>
            <w:r w:rsidRPr="00467087">
              <w:rPr>
                <w:rFonts w:cs="Arial"/>
                <w:sz w:val="16"/>
                <w:szCs w:val="16"/>
              </w:rPr>
              <w:t>15,9</w:t>
            </w:r>
          </w:p>
        </w:tc>
        <w:tc>
          <w:tcPr>
            <w:tcW w:w="795" w:type="dxa"/>
            <w:noWrap/>
            <w:vAlign w:val="center"/>
          </w:tcPr>
          <w:p w:rsidR="00467087" w:rsidRPr="00467087" w:rsidRDefault="00467087" w:rsidP="00467087">
            <w:pPr>
              <w:jc w:val="right"/>
              <w:rPr>
                <w:rFonts w:cs="Arial"/>
                <w:sz w:val="16"/>
                <w:szCs w:val="16"/>
              </w:rPr>
            </w:pPr>
            <w:r w:rsidRPr="00467087">
              <w:rPr>
                <w:rFonts w:cs="Arial"/>
                <w:sz w:val="16"/>
                <w:szCs w:val="16"/>
              </w:rPr>
              <w:t>16,5</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15,9</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16,2</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15,7</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16,6</w:t>
            </w:r>
          </w:p>
        </w:tc>
        <w:tc>
          <w:tcPr>
            <w:tcW w:w="737" w:type="dxa"/>
            <w:vAlign w:val="center"/>
          </w:tcPr>
          <w:p w:rsidR="00467087" w:rsidRPr="00467087" w:rsidRDefault="00467087" w:rsidP="00467087">
            <w:pPr>
              <w:jc w:val="right"/>
              <w:rPr>
                <w:rFonts w:cs="Arial"/>
                <w:sz w:val="16"/>
                <w:szCs w:val="16"/>
              </w:rPr>
            </w:pPr>
            <w:r w:rsidRPr="00467087">
              <w:rPr>
                <w:rFonts w:cs="Arial"/>
                <w:sz w:val="16"/>
                <w:szCs w:val="16"/>
              </w:rPr>
              <w:t>17,0</w:t>
            </w:r>
          </w:p>
        </w:tc>
      </w:tr>
      <w:tr w:rsidR="00467087" w:rsidRPr="00467087" w:rsidTr="00467087">
        <w:trPr>
          <w:trHeight w:val="255"/>
        </w:trPr>
        <w:tc>
          <w:tcPr>
            <w:tcW w:w="4219" w:type="dxa"/>
            <w:noWrap/>
            <w:vAlign w:val="bottom"/>
            <w:hideMark/>
          </w:tcPr>
          <w:p w:rsidR="00467087" w:rsidRPr="00467087" w:rsidRDefault="00467087" w:rsidP="00467087">
            <w:pPr>
              <w:spacing w:line="240" w:lineRule="auto"/>
              <w:rPr>
                <w:rFonts w:cs="Arial"/>
                <w:sz w:val="16"/>
                <w:szCs w:val="16"/>
              </w:rPr>
            </w:pPr>
            <w:r w:rsidRPr="00467087">
              <w:rPr>
                <w:rFonts w:cs="Arial"/>
                <w:sz w:val="16"/>
                <w:szCs w:val="16"/>
              </w:rPr>
              <w:t>Léky spotřebované přímo ve zdravotnických zařízeních</w:t>
            </w:r>
          </w:p>
        </w:tc>
        <w:tc>
          <w:tcPr>
            <w:tcW w:w="851" w:type="dxa"/>
            <w:noWrap/>
            <w:vAlign w:val="center"/>
          </w:tcPr>
          <w:p w:rsidR="00467087" w:rsidRPr="00467087" w:rsidRDefault="00467087" w:rsidP="00467087">
            <w:pPr>
              <w:jc w:val="right"/>
              <w:rPr>
                <w:rFonts w:cs="Arial"/>
                <w:sz w:val="16"/>
                <w:szCs w:val="16"/>
              </w:rPr>
            </w:pPr>
            <w:r w:rsidRPr="00467087">
              <w:rPr>
                <w:rFonts w:cs="Arial"/>
                <w:sz w:val="16"/>
                <w:szCs w:val="16"/>
              </w:rPr>
              <w:t>23,7</w:t>
            </w:r>
          </w:p>
        </w:tc>
        <w:tc>
          <w:tcPr>
            <w:tcW w:w="795" w:type="dxa"/>
            <w:noWrap/>
            <w:vAlign w:val="center"/>
          </w:tcPr>
          <w:p w:rsidR="00467087" w:rsidRPr="00467087" w:rsidRDefault="00467087" w:rsidP="00467087">
            <w:pPr>
              <w:jc w:val="right"/>
              <w:rPr>
                <w:rFonts w:cs="Arial"/>
                <w:sz w:val="16"/>
                <w:szCs w:val="16"/>
              </w:rPr>
            </w:pPr>
            <w:r w:rsidRPr="00467087">
              <w:rPr>
                <w:rFonts w:cs="Arial"/>
                <w:sz w:val="16"/>
                <w:szCs w:val="16"/>
              </w:rPr>
              <w:t>23,4</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23,3</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25,8</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27,9</w:t>
            </w:r>
          </w:p>
        </w:tc>
        <w:tc>
          <w:tcPr>
            <w:tcW w:w="813" w:type="dxa"/>
            <w:noWrap/>
            <w:vAlign w:val="center"/>
          </w:tcPr>
          <w:p w:rsidR="00467087" w:rsidRPr="00467087" w:rsidRDefault="00467087" w:rsidP="00467087">
            <w:pPr>
              <w:jc w:val="right"/>
              <w:rPr>
                <w:rFonts w:cs="Arial"/>
                <w:sz w:val="16"/>
                <w:szCs w:val="16"/>
              </w:rPr>
            </w:pPr>
            <w:r w:rsidRPr="00467087">
              <w:rPr>
                <w:rFonts w:cs="Arial"/>
                <w:sz w:val="16"/>
                <w:szCs w:val="16"/>
              </w:rPr>
              <w:t>29,0</w:t>
            </w:r>
          </w:p>
        </w:tc>
        <w:tc>
          <w:tcPr>
            <w:tcW w:w="737" w:type="dxa"/>
            <w:vAlign w:val="center"/>
          </w:tcPr>
          <w:p w:rsidR="00467087" w:rsidRPr="00467087" w:rsidRDefault="00467087" w:rsidP="00467087">
            <w:pPr>
              <w:jc w:val="right"/>
              <w:rPr>
                <w:rFonts w:cs="Arial"/>
                <w:sz w:val="16"/>
                <w:szCs w:val="16"/>
              </w:rPr>
            </w:pPr>
            <w:r w:rsidRPr="00467087">
              <w:rPr>
                <w:rFonts w:cs="Arial"/>
                <w:sz w:val="16"/>
                <w:szCs w:val="16"/>
              </w:rPr>
              <w:t>30,0</w:t>
            </w:r>
          </w:p>
        </w:tc>
      </w:tr>
    </w:tbl>
    <w:p w:rsidR="00467087" w:rsidRPr="00467087" w:rsidRDefault="00467087" w:rsidP="00467087">
      <w:pPr>
        <w:rPr>
          <w:sz w:val="16"/>
          <w:szCs w:val="17"/>
        </w:rPr>
      </w:pPr>
      <w:r w:rsidRPr="00467087">
        <w:rPr>
          <w:sz w:val="16"/>
          <w:szCs w:val="17"/>
        </w:rPr>
        <w:t>Zdroj: Zdravotnické účty 2010-2016</w:t>
      </w:r>
    </w:p>
    <w:p w:rsidR="00467087" w:rsidRPr="00467087" w:rsidRDefault="00467087" w:rsidP="00467087">
      <w:pPr>
        <w:keepNext/>
        <w:jc w:val="both"/>
        <w:rPr>
          <w:rFonts w:cs="Arial"/>
          <w:sz w:val="16"/>
          <w:szCs w:val="16"/>
        </w:rPr>
      </w:pPr>
    </w:p>
    <w:p w:rsidR="00467087" w:rsidRPr="00467087" w:rsidRDefault="00467087" w:rsidP="00467087">
      <w:pPr>
        <w:keepNext/>
        <w:jc w:val="both"/>
        <w:rPr>
          <w:rFonts w:cs="Arial"/>
          <w:sz w:val="16"/>
          <w:szCs w:val="16"/>
        </w:rPr>
      </w:pPr>
    </w:p>
    <w:p w:rsidR="00467087" w:rsidRPr="00467087" w:rsidRDefault="00467087" w:rsidP="00467087">
      <w:pPr>
        <w:keepNext/>
        <w:jc w:val="both"/>
        <w:rPr>
          <w:rFonts w:cs="Arial"/>
          <w:sz w:val="16"/>
          <w:szCs w:val="16"/>
        </w:rPr>
      </w:pPr>
    </w:p>
    <w:p w:rsidR="00467087" w:rsidRPr="00467087" w:rsidRDefault="00467087" w:rsidP="00467087">
      <w:pPr>
        <w:keepNext/>
        <w:spacing w:after="120"/>
        <w:jc w:val="both"/>
        <w:rPr>
          <w:sz w:val="16"/>
          <w:szCs w:val="16"/>
        </w:rPr>
      </w:pPr>
      <w:r w:rsidRPr="00467087">
        <w:rPr>
          <w:b/>
          <w:bCs/>
          <w:szCs w:val="17"/>
        </w:rPr>
        <w:t>Tabulka č. 12 Počet pojištěnců podle věkových skupin a pohlaví (v tis.)</w:t>
      </w:r>
    </w:p>
    <w:tbl>
      <w:tblPr>
        <w:tblW w:w="94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850"/>
        <w:gridCol w:w="850"/>
        <w:gridCol w:w="850"/>
        <w:gridCol w:w="850"/>
        <w:gridCol w:w="850"/>
        <w:gridCol w:w="850"/>
        <w:gridCol w:w="840"/>
        <w:gridCol w:w="840"/>
        <w:gridCol w:w="918"/>
        <w:gridCol w:w="919"/>
      </w:tblGrid>
      <w:tr w:rsidR="00467087" w:rsidRPr="00467087" w:rsidTr="00467087">
        <w:trPr>
          <w:trHeight w:val="255"/>
        </w:trPr>
        <w:tc>
          <w:tcPr>
            <w:tcW w:w="800" w:type="dxa"/>
            <w:tcBorders>
              <w:top w:val="single" w:sz="4"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p>
        </w:tc>
        <w:tc>
          <w:tcPr>
            <w:tcW w:w="170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2010</w:t>
            </w:r>
          </w:p>
        </w:tc>
        <w:tc>
          <w:tcPr>
            <w:tcW w:w="170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eastAsia="Arial Unicode MS" w:cs="Arial"/>
                <w:b/>
                <w:bCs/>
                <w:sz w:val="16"/>
                <w:szCs w:val="16"/>
              </w:rPr>
              <w:t>2013</w:t>
            </w:r>
          </w:p>
        </w:tc>
        <w:tc>
          <w:tcPr>
            <w:tcW w:w="170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eastAsia="Arial Unicode MS" w:cs="Arial"/>
                <w:b/>
                <w:bCs/>
                <w:sz w:val="16"/>
                <w:szCs w:val="16"/>
              </w:rPr>
              <w:t>2014</w:t>
            </w:r>
          </w:p>
        </w:tc>
        <w:tc>
          <w:tcPr>
            <w:tcW w:w="1680" w:type="dxa"/>
            <w:gridSpan w:val="2"/>
            <w:tcBorders>
              <w:top w:val="single" w:sz="4"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eastAsia="Arial Unicode MS" w:cs="Arial"/>
                <w:b/>
                <w:bCs/>
                <w:sz w:val="16"/>
                <w:szCs w:val="16"/>
              </w:rPr>
              <w:t>2015</w:t>
            </w:r>
          </w:p>
        </w:tc>
        <w:tc>
          <w:tcPr>
            <w:tcW w:w="1837" w:type="dxa"/>
            <w:gridSpan w:val="2"/>
            <w:tcBorders>
              <w:top w:val="single" w:sz="4" w:space="0" w:color="auto"/>
              <w:left w:val="single" w:sz="6" w:space="0" w:color="auto"/>
              <w:bottom w:val="single" w:sz="6" w:space="0" w:color="auto"/>
              <w:right w:val="single" w:sz="4"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eastAsia="Arial Unicode MS" w:cs="Arial"/>
                <w:b/>
                <w:bCs/>
                <w:sz w:val="16"/>
                <w:szCs w:val="16"/>
              </w:rPr>
              <w:t>2016</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Muži</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Ženy</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Muži</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Ženy</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Muži</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Ženy</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Muži</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Ženy</w:t>
            </w:r>
          </w:p>
        </w:tc>
        <w:tc>
          <w:tcPr>
            <w:tcW w:w="918" w:type="dxa"/>
            <w:tcBorders>
              <w:top w:val="single" w:sz="6" w:space="0" w:color="auto"/>
              <w:left w:val="single" w:sz="6"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Muži</w:t>
            </w:r>
          </w:p>
        </w:tc>
        <w:tc>
          <w:tcPr>
            <w:tcW w:w="919" w:type="dxa"/>
            <w:tcBorders>
              <w:top w:val="single" w:sz="6" w:space="0" w:color="auto"/>
              <w:left w:val="single" w:sz="6" w:space="0" w:color="auto"/>
              <w:bottom w:val="single" w:sz="6" w:space="0" w:color="auto"/>
              <w:right w:val="single" w:sz="4" w:space="0" w:color="auto"/>
            </w:tcBorders>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Ženy</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0-4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297 499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283 519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295 316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281 364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290 779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279 951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285 291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271 321</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284 945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270 888</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5-9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243 439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229 956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273 875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260 001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286 092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272 221</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295 383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281 738</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300 934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287 362</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10-14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234 580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222 194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236 654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223 731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240 261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226 733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245 744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232 156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252 452</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239 011</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15-19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306 567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290 317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253 595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240 385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240 937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228 335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236 715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223 582</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235 946</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222 388</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20-24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339 220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321 814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330 071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311 971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322 592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304 132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309 476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290 843</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291 578</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273 520</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25-29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364 188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342 338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351 185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330 610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348 214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328 333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344 392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324 678</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344 395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324 418</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30-34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452 267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425 043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395 636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370 434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379 193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355 159</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366 744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344 566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362 094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340 408</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35-39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437 623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410 191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471 772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444 765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464 125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438 182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450 974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424 426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432 682</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405 715</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40-44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355 761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335 426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388 178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366 072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413 643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388 956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435 055</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410 408</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451 425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427 803</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45-49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348 875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333 530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359 399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342 056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353 613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336 762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351 876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334 846</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357 443</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339 924</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50-54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344 349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340 602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319 181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311 384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330 767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321 174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341 708</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331 221</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348 068</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337 235</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55-59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372 797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387 405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356 263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365 568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343 392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350 897</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330 464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334 979</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319 001</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320 935</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60-64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347 813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383 635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348 836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380 984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348 795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379 304</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347 942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376 860</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344 807</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371 136</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65-69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247 340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297 265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296 072</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351 115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303 630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357 766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313 233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366 238</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319 958</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372 019</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70-74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159 456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215 525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188 286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247 163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203 087</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264 822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211 942</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275 584</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222 725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289 170</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75-79</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123 431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193 800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119 131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182 246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120 876</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183 448</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126 376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189 352</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133 935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197 699</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80-84</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78 073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150 375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82 980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152 661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84 533</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152 586</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84 283</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150 440</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83 705</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147 510</w:t>
            </w:r>
          </w:p>
        </w:tc>
      </w:tr>
      <w:tr w:rsidR="00467087" w:rsidRPr="00467087" w:rsidTr="00467087">
        <w:trPr>
          <w:trHeight w:val="255"/>
        </w:trPr>
        <w:tc>
          <w:tcPr>
            <w:tcW w:w="800" w:type="dxa"/>
            <w:tcBorders>
              <w:top w:val="single" w:sz="6" w:space="0" w:color="auto"/>
              <w:left w:val="single" w:sz="4" w:space="0" w:color="auto"/>
              <w:bottom w:val="single" w:sz="6" w:space="0" w:color="auto"/>
              <w:right w:val="single" w:sz="6" w:space="0" w:color="auto"/>
            </w:tcBorders>
            <w:noWrap/>
            <w:tcMar>
              <w:left w:w="57" w:type="dxa"/>
              <w:right w:w="57" w:type="dxa"/>
            </w:tcMar>
            <w:vAlign w:val="bottom"/>
          </w:tcPr>
          <w:p w:rsidR="00467087" w:rsidRPr="00467087" w:rsidRDefault="00467087" w:rsidP="00467087">
            <w:pPr>
              <w:keepNext/>
              <w:jc w:val="center"/>
              <w:rPr>
                <w:rFonts w:eastAsia="Arial Unicode MS" w:cs="Arial"/>
                <w:sz w:val="16"/>
                <w:szCs w:val="16"/>
              </w:rPr>
            </w:pPr>
            <w:r w:rsidRPr="00467087">
              <w:rPr>
                <w:rFonts w:cs="Arial"/>
                <w:sz w:val="16"/>
                <w:szCs w:val="16"/>
              </w:rPr>
              <w:t>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40 485</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107 191</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45 860</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119 958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49 648</w:t>
            </w:r>
          </w:p>
        </w:tc>
        <w:tc>
          <w:tcPr>
            <w:tcW w:w="85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sz w:val="16"/>
                <w:szCs w:val="16"/>
              </w:rPr>
            </w:pPr>
            <w:r w:rsidRPr="00467087">
              <w:rPr>
                <w:rFonts w:cs="Arial"/>
                <w:sz w:val="16"/>
                <w:szCs w:val="16"/>
              </w:rPr>
              <w:t>123 087</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53 257</w:t>
            </w:r>
          </w:p>
        </w:tc>
        <w:tc>
          <w:tcPr>
            <w:tcW w:w="840" w:type="dxa"/>
            <w:tcBorders>
              <w:top w:val="single" w:sz="6" w:space="0" w:color="auto"/>
              <w:left w:val="single" w:sz="6" w:space="0" w:color="auto"/>
              <w:bottom w:val="single" w:sz="6" w:space="0" w:color="auto"/>
              <w:right w:val="single" w:sz="6" w:space="0" w:color="auto"/>
            </w:tcBorders>
            <w:noWrap/>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130 718</w:t>
            </w:r>
          </w:p>
        </w:tc>
        <w:tc>
          <w:tcPr>
            <w:tcW w:w="91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56 784</w:t>
            </w:r>
          </w:p>
        </w:tc>
        <w:tc>
          <w:tcPr>
            <w:tcW w:w="919" w:type="dxa"/>
            <w:tcBorders>
              <w:top w:val="single" w:sz="6" w:space="0" w:color="auto"/>
              <w:left w:val="single" w:sz="6" w:space="0" w:color="auto"/>
              <w:bottom w:val="single" w:sz="6" w:space="0" w:color="auto"/>
              <w:right w:val="single" w:sz="4" w:space="0" w:color="auto"/>
            </w:tcBorders>
            <w:tcMar>
              <w:left w:w="57" w:type="dxa"/>
              <w:right w:w="57" w:type="dxa"/>
            </w:tcMar>
            <w:vAlign w:val="center"/>
          </w:tcPr>
          <w:p w:rsidR="00467087" w:rsidRPr="00467087" w:rsidRDefault="00467087" w:rsidP="00467087">
            <w:pPr>
              <w:keepNext/>
              <w:jc w:val="right"/>
              <w:rPr>
                <w:rFonts w:cs="Arial"/>
                <w:color w:val="000000"/>
                <w:sz w:val="16"/>
                <w:szCs w:val="16"/>
              </w:rPr>
            </w:pPr>
            <w:r w:rsidRPr="00467087">
              <w:rPr>
                <w:rFonts w:cs="Arial"/>
                <w:color w:val="000000"/>
                <w:sz w:val="16"/>
                <w:szCs w:val="16"/>
              </w:rPr>
              <w:t>136 484</w:t>
            </w:r>
          </w:p>
        </w:tc>
      </w:tr>
      <w:tr w:rsidR="00467087" w:rsidRPr="00467087" w:rsidTr="00467087">
        <w:trPr>
          <w:trHeight w:val="270"/>
        </w:trPr>
        <w:tc>
          <w:tcPr>
            <w:tcW w:w="800" w:type="dxa"/>
            <w:tcBorders>
              <w:top w:val="single" w:sz="6" w:space="0" w:color="auto"/>
              <w:left w:val="single" w:sz="4" w:space="0" w:color="auto"/>
              <w:bottom w:val="single" w:sz="6" w:space="0" w:color="auto"/>
              <w:right w:val="single" w:sz="6" w:space="0" w:color="auto"/>
            </w:tcBorders>
            <w:shd w:val="clear" w:color="auto" w:fill="D9D9D9"/>
            <w:noWrap/>
            <w:tcMar>
              <w:left w:w="57" w:type="dxa"/>
              <w:right w:w="57" w:type="dxa"/>
            </w:tcMar>
            <w:vAlign w:val="bottom"/>
          </w:tcPr>
          <w:p w:rsidR="00467087" w:rsidRPr="00467087" w:rsidRDefault="00467087" w:rsidP="00467087">
            <w:pPr>
              <w:keepNext/>
              <w:jc w:val="center"/>
              <w:rPr>
                <w:rFonts w:eastAsia="Arial Unicode MS" w:cs="Arial"/>
                <w:b/>
                <w:bCs/>
                <w:sz w:val="16"/>
                <w:szCs w:val="16"/>
              </w:rPr>
            </w:pPr>
            <w:r w:rsidRPr="00467087">
              <w:rPr>
                <w:rFonts w:cs="Arial"/>
                <w:b/>
                <w:bCs/>
                <w:sz w:val="16"/>
                <w:szCs w:val="16"/>
              </w:rPr>
              <w:t>Celkem</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sz w:val="16"/>
                <w:szCs w:val="16"/>
              </w:rPr>
            </w:pPr>
            <w:r w:rsidRPr="00467087">
              <w:rPr>
                <w:rFonts w:cs="Arial"/>
                <w:b/>
                <w:sz w:val="16"/>
                <w:szCs w:val="16"/>
              </w:rPr>
              <w:t>5 093 764</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sz w:val="16"/>
                <w:szCs w:val="16"/>
              </w:rPr>
            </w:pPr>
            <w:r w:rsidRPr="00467087">
              <w:rPr>
                <w:rFonts w:cs="Arial"/>
                <w:b/>
                <w:sz w:val="16"/>
                <w:szCs w:val="16"/>
              </w:rPr>
              <w:t>5 270 124</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sz w:val="16"/>
                <w:szCs w:val="16"/>
              </w:rPr>
            </w:pPr>
            <w:r w:rsidRPr="00467087">
              <w:rPr>
                <w:rFonts w:cs="Arial"/>
                <w:b/>
                <w:sz w:val="16"/>
                <w:szCs w:val="16"/>
              </w:rPr>
              <w:t>5 112 290</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sz w:val="16"/>
                <w:szCs w:val="16"/>
              </w:rPr>
            </w:pPr>
            <w:r w:rsidRPr="00467087">
              <w:rPr>
                <w:rFonts w:cs="Arial"/>
                <w:b/>
                <w:sz w:val="16"/>
                <w:szCs w:val="16"/>
              </w:rPr>
              <w:t>5 282 468</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sz w:val="16"/>
                <w:szCs w:val="16"/>
              </w:rPr>
            </w:pPr>
            <w:r w:rsidRPr="00467087">
              <w:rPr>
                <w:rFonts w:cs="Arial"/>
                <w:b/>
                <w:sz w:val="16"/>
                <w:szCs w:val="16"/>
              </w:rPr>
              <w:t>5 123 257</w:t>
            </w:r>
          </w:p>
        </w:tc>
        <w:tc>
          <w:tcPr>
            <w:tcW w:w="85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sz w:val="16"/>
                <w:szCs w:val="16"/>
              </w:rPr>
            </w:pPr>
            <w:r w:rsidRPr="00467087">
              <w:rPr>
                <w:rFonts w:cs="Arial"/>
                <w:b/>
                <w:sz w:val="16"/>
                <w:szCs w:val="16"/>
              </w:rPr>
              <w:t>5 288 091</w:t>
            </w:r>
          </w:p>
        </w:tc>
        <w:tc>
          <w:tcPr>
            <w:tcW w:w="84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5 130 854</w:t>
            </w:r>
          </w:p>
        </w:tc>
        <w:tc>
          <w:tcPr>
            <w:tcW w:w="840"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5 293 956</w:t>
            </w:r>
          </w:p>
        </w:tc>
        <w:tc>
          <w:tcPr>
            <w:tcW w:w="918" w:type="dxa"/>
            <w:tcBorders>
              <w:top w:val="single" w:sz="6" w:space="0" w:color="auto"/>
              <w:left w:val="single" w:sz="6" w:space="0" w:color="auto"/>
              <w:bottom w:val="single" w:sz="6"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5 142 877</w:t>
            </w:r>
          </w:p>
        </w:tc>
        <w:tc>
          <w:tcPr>
            <w:tcW w:w="919" w:type="dxa"/>
            <w:tcBorders>
              <w:top w:val="single" w:sz="6" w:space="0" w:color="auto"/>
              <w:left w:val="single" w:sz="6" w:space="0" w:color="auto"/>
              <w:bottom w:val="single" w:sz="6" w:space="0" w:color="auto"/>
              <w:right w:val="single" w:sz="4" w:space="0" w:color="auto"/>
            </w:tcBorders>
            <w:shd w:val="clear" w:color="auto" w:fill="D9D9D9"/>
            <w:noWrap/>
            <w:tcMar>
              <w:left w:w="57" w:type="dxa"/>
              <w:right w:w="57" w:type="dxa"/>
            </w:tcMar>
            <w:vAlign w:val="center"/>
          </w:tcPr>
          <w:p w:rsidR="00467087" w:rsidRPr="00467087" w:rsidRDefault="00467087" w:rsidP="00467087">
            <w:pPr>
              <w:keepNext/>
              <w:jc w:val="right"/>
              <w:rPr>
                <w:rFonts w:cs="Arial"/>
                <w:b/>
                <w:color w:val="000000"/>
                <w:sz w:val="16"/>
                <w:szCs w:val="16"/>
              </w:rPr>
            </w:pPr>
            <w:r w:rsidRPr="00467087">
              <w:rPr>
                <w:rFonts w:cs="Arial"/>
                <w:b/>
                <w:color w:val="000000"/>
                <w:sz w:val="16"/>
                <w:szCs w:val="16"/>
              </w:rPr>
              <w:t>5 303 623</w:t>
            </w:r>
          </w:p>
        </w:tc>
      </w:tr>
      <w:tr w:rsidR="00467087" w:rsidRPr="00467087" w:rsidTr="00467087">
        <w:trPr>
          <w:trHeight w:val="270"/>
        </w:trPr>
        <w:tc>
          <w:tcPr>
            <w:tcW w:w="800" w:type="dxa"/>
            <w:tcBorders>
              <w:top w:val="single" w:sz="6" w:space="0" w:color="auto"/>
              <w:left w:val="single" w:sz="4" w:space="0" w:color="auto"/>
              <w:bottom w:val="single" w:sz="4" w:space="0" w:color="auto"/>
              <w:right w:val="single" w:sz="6" w:space="0" w:color="auto"/>
            </w:tcBorders>
            <w:shd w:val="clear" w:color="auto" w:fill="D9D9D9"/>
            <w:noWrap/>
            <w:tcMar>
              <w:left w:w="57" w:type="dxa"/>
              <w:right w:w="57" w:type="dxa"/>
            </w:tcMar>
            <w:vAlign w:val="bottom"/>
          </w:tcPr>
          <w:p w:rsidR="00467087" w:rsidRPr="00467087" w:rsidRDefault="00467087" w:rsidP="00467087">
            <w:pPr>
              <w:keepNext/>
              <w:jc w:val="center"/>
              <w:rPr>
                <w:rFonts w:cs="Arial"/>
                <w:b/>
                <w:bCs/>
                <w:sz w:val="16"/>
                <w:szCs w:val="16"/>
              </w:rPr>
            </w:pPr>
            <w:r w:rsidRPr="00467087">
              <w:rPr>
                <w:rFonts w:cs="Arial"/>
                <w:b/>
                <w:bCs/>
                <w:sz w:val="16"/>
                <w:szCs w:val="16"/>
              </w:rPr>
              <w:t>Celkový součet</w:t>
            </w:r>
          </w:p>
        </w:tc>
        <w:tc>
          <w:tcPr>
            <w:tcW w:w="170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center"/>
              <w:rPr>
                <w:rFonts w:cs="Arial"/>
                <w:b/>
                <w:bCs/>
                <w:sz w:val="16"/>
                <w:szCs w:val="16"/>
              </w:rPr>
            </w:pPr>
            <w:r w:rsidRPr="00467087">
              <w:rPr>
                <w:rFonts w:cs="Arial"/>
                <w:b/>
                <w:sz w:val="16"/>
                <w:szCs w:val="16"/>
              </w:rPr>
              <w:t>10 363 888</w:t>
            </w:r>
          </w:p>
        </w:tc>
        <w:tc>
          <w:tcPr>
            <w:tcW w:w="170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center"/>
              <w:rPr>
                <w:rFonts w:cs="Arial"/>
                <w:b/>
                <w:bCs/>
                <w:sz w:val="16"/>
                <w:szCs w:val="16"/>
              </w:rPr>
            </w:pPr>
            <w:r w:rsidRPr="00467087">
              <w:rPr>
                <w:rFonts w:cs="Arial"/>
                <w:b/>
                <w:sz w:val="16"/>
                <w:szCs w:val="16"/>
              </w:rPr>
              <w:t>10 394 758</w:t>
            </w:r>
          </w:p>
        </w:tc>
        <w:tc>
          <w:tcPr>
            <w:tcW w:w="170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center"/>
              <w:rPr>
                <w:rFonts w:cs="Arial"/>
                <w:b/>
                <w:bCs/>
                <w:sz w:val="16"/>
                <w:szCs w:val="16"/>
              </w:rPr>
            </w:pPr>
            <w:r w:rsidRPr="00467087">
              <w:rPr>
                <w:rFonts w:cs="Arial"/>
                <w:b/>
                <w:sz w:val="16"/>
                <w:szCs w:val="16"/>
              </w:rPr>
              <w:t>10 411 348</w:t>
            </w:r>
          </w:p>
        </w:tc>
        <w:tc>
          <w:tcPr>
            <w:tcW w:w="1680" w:type="dxa"/>
            <w:gridSpan w:val="2"/>
            <w:tcBorders>
              <w:top w:val="single" w:sz="6" w:space="0" w:color="auto"/>
              <w:left w:val="single" w:sz="6" w:space="0" w:color="auto"/>
              <w:bottom w:val="single" w:sz="4" w:space="0" w:color="auto"/>
              <w:right w:val="single" w:sz="6" w:space="0" w:color="auto"/>
            </w:tcBorders>
            <w:shd w:val="clear" w:color="auto" w:fill="D9D9D9"/>
            <w:noWrap/>
            <w:tcMar>
              <w:left w:w="57" w:type="dxa"/>
              <w:right w:w="57" w:type="dxa"/>
            </w:tcMar>
            <w:vAlign w:val="center"/>
          </w:tcPr>
          <w:p w:rsidR="00467087" w:rsidRPr="00467087" w:rsidRDefault="00467087" w:rsidP="00467087">
            <w:pPr>
              <w:keepNext/>
              <w:jc w:val="center"/>
              <w:rPr>
                <w:rFonts w:cs="Arial"/>
                <w:b/>
                <w:bCs/>
                <w:sz w:val="16"/>
                <w:szCs w:val="16"/>
              </w:rPr>
            </w:pPr>
            <w:r w:rsidRPr="00467087">
              <w:rPr>
                <w:rFonts w:cs="Arial"/>
                <w:b/>
                <w:sz w:val="16"/>
                <w:szCs w:val="16"/>
              </w:rPr>
              <w:t>10 424 810</w:t>
            </w:r>
          </w:p>
        </w:tc>
        <w:tc>
          <w:tcPr>
            <w:tcW w:w="1837" w:type="dxa"/>
            <w:gridSpan w:val="2"/>
            <w:tcBorders>
              <w:top w:val="single" w:sz="6" w:space="0" w:color="auto"/>
              <w:left w:val="single" w:sz="6" w:space="0" w:color="auto"/>
              <w:bottom w:val="single" w:sz="4" w:space="0" w:color="auto"/>
              <w:right w:val="single" w:sz="4" w:space="0" w:color="auto"/>
            </w:tcBorders>
            <w:shd w:val="clear" w:color="auto" w:fill="D9D9D9"/>
            <w:noWrap/>
            <w:tcMar>
              <w:left w:w="57" w:type="dxa"/>
              <w:right w:w="57" w:type="dxa"/>
            </w:tcMar>
            <w:vAlign w:val="center"/>
          </w:tcPr>
          <w:p w:rsidR="00467087" w:rsidRPr="00467087" w:rsidRDefault="00467087" w:rsidP="00467087">
            <w:pPr>
              <w:keepNext/>
              <w:jc w:val="center"/>
              <w:rPr>
                <w:rFonts w:cs="Arial"/>
                <w:b/>
                <w:color w:val="000000"/>
                <w:sz w:val="16"/>
                <w:szCs w:val="16"/>
              </w:rPr>
            </w:pPr>
            <w:r w:rsidRPr="00467087">
              <w:rPr>
                <w:rFonts w:cs="Arial"/>
                <w:b/>
                <w:color w:val="000000"/>
                <w:sz w:val="16"/>
                <w:szCs w:val="16"/>
              </w:rPr>
              <w:t>10 446 500</w:t>
            </w:r>
          </w:p>
        </w:tc>
      </w:tr>
    </w:tbl>
    <w:p w:rsidR="00467087" w:rsidRPr="00467087" w:rsidRDefault="00467087" w:rsidP="00467087">
      <w:pPr>
        <w:keepNext/>
        <w:jc w:val="both"/>
        <w:rPr>
          <w:sz w:val="16"/>
          <w:szCs w:val="16"/>
        </w:rPr>
      </w:pPr>
      <w:r w:rsidRPr="00467087">
        <w:rPr>
          <w:sz w:val="16"/>
          <w:szCs w:val="16"/>
        </w:rPr>
        <w:t>Zdroj: Zdravotní pojišťovny v ČR</w:t>
      </w:r>
    </w:p>
    <w:p w:rsidR="00467087" w:rsidRDefault="00467087" w:rsidP="003B34FF">
      <w:pPr>
        <w:jc w:val="both"/>
      </w:pPr>
    </w:p>
    <w:p w:rsidR="001319EB" w:rsidRDefault="001319EB" w:rsidP="003B34FF">
      <w:pPr>
        <w:jc w:val="both"/>
      </w:pPr>
    </w:p>
    <w:p w:rsidR="001319EB" w:rsidRDefault="001319EB" w:rsidP="003B34FF">
      <w:pPr>
        <w:jc w:val="both"/>
      </w:pPr>
    </w:p>
    <w:p w:rsidR="001319EB" w:rsidRDefault="001319EB" w:rsidP="003B34FF">
      <w:pPr>
        <w:jc w:val="both"/>
      </w:pPr>
    </w:p>
    <w:sectPr w:rsidR="001319EB" w:rsidSect="001A3B66">
      <w:headerReference w:type="even" r:id="rId69"/>
      <w:headerReference w:type="default" r:id="rId70"/>
      <w:footerReference w:type="even" r:id="rId71"/>
      <w:footerReference w:type="default" r:id="rId72"/>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719" w:rsidRDefault="006E5719" w:rsidP="00E71A58">
      <w:r>
        <w:separator/>
      </w:r>
    </w:p>
  </w:endnote>
  <w:endnote w:type="continuationSeparator" w:id="0">
    <w:p w:rsidR="006E5719" w:rsidRDefault="006E5719"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Default="00216072"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9264" behindDoc="0" locked="0" layoutInCell="1" allowOverlap="1">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9D699F">
      <w:rPr>
        <w:rFonts w:ascii="Arial" w:hAnsi="Arial" w:cs="Arial"/>
        <w:noProof/>
        <w:sz w:val="16"/>
        <w:szCs w:val="16"/>
      </w:rPr>
      <w:t>64</w:t>
    </w:r>
    <w:r w:rsidRPr="005A21E0">
      <w:rPr>
        <w:rFonts w:ascii="Arial" w:hAnsi="Arial" w:cs="Arial"/>
        <w:sz w:val="16"/>
        <w:szCs w:val="16"/>
      </w:rPr>
      <w:fldChar w:fldCharType="end"/>
    </w:r>
    <w:r>
      <w:rPr>
        <w:rFonts w:ascii="Arial" w:hAnsi="Arial" w:cs="Arial"/>
        <w:sz w:val="16"/>
        <w:szCs w:val="16"/>
      </w:rPr>
      <w:tab/>
      <w:t>2018</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Default="00216072"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6192" behindDoc="0" locked="0" layoutInCell="1" allowOverlap="1">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216072" w:rsidRDefault="00216072"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2018</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9D699F">
      <w:rPr>
        <w:rFonts w:ascii="Arial" w:hAnsi="Arial" w:cs="Arial"/>
        <w:noProof/>
        <w:sz w:val="16"/>
        <w:szCs w:val="16"/>
      </w:rPr>
      <w:t>69</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719" w:rsidRDefault="006E5719" w:rsidP="00E71A58">
      <w:r>
        <w:separator/>
      </w:r>
    </w:p>
  </w:footnote>
  <w:footnote w:type="continuationSeparator" w:id="0">
    <w:p w:rsidR="006E5719" w:rsidRDefault="006E5719" w:rsidP="00E71A58">
      <w:r>
        <w:continuationSeparator/>
      </w:r>
    </w:p>
  </w:footnote>
  <w:footnote w:id="1">
    <w:p w:rsidR="00216072" w:rsidRPr="00C32D03" w:rsidRDefault="00216072" w:rsidP="00AE33C2">
      <w:pPr>
        <w:pStyle w:val="Poznamkapodcarou"/>
        <w:spacing w:before="0" w:after="0"/>
        <w:rPr>
          <w:szCs w:val="15"/>
        </w:rPr>
      </w:pPr>
      <w:r w:rsidRPr="00C32D03">
        <w:rPr>
          <w:rStyle w:val="Znakapoznpodarou"/>
          <w:szCs w:val="15"/>
        </w:rPr>
        <w:footnoteRef/>
      </w:r>
      <w:r w:rsidRPr="00C32D03">
        <w:rPr>
          <w:szCs w:val="15"/>
        </w:rPr>
        <w:t xml:space="preserve"> International Classification for Health Accounts – Health Care Functions, </w:t>
      </w:r>
    </w:p>
  </w:footnote>
  <w:footnote w:id="2">
    <w:p w:rsidR="00216072" w:rsidRPr="00C32D03" w:rsidRDefault="00216072" w:rsidP="00AE33C2">
      <w:pPr>
        <w:pStyle w:val="Poznamkapodcarou"/>
        <w:spacing w:before="0" w:after="0"/>
        <w:rPr>
          <w:szCs w:val="15"/>
        </w:rPr>
      </w:pPr>
      <w:r w:rsidRPr="00C32D03">
        <w:rPr>
          <w:rStyle w:val="Znakapoznpodarou"/>
          <w:szCs w:val="15"/>
        </w:rPr>
        <w:footnoteRef/>
      </w:r>
      <w:r w:rsidRPr="00C32D03">
        <w:rPr>
          <w:szCs w:val="15"/>
        </w:rPr>
        <w:t xml:space="preserve"> International Classification for Health Accounts – Health Care Providers</w:t>
      </w:r>
    </w:p>
  </w:footnote>
  <w:footnote w:id="3">
    <w:p w:rsidR="00216072" w:rsidRPr="00C32D03" w:rsidRDefault="00216072" w:rsidP="00AE33C2">
      <w:pPr>
        <w:pStyle w:val="Poznamkapodcarou"/>
        <w:spacing w:before="0" w:after="0"/>
        <w:rPr>
          <w:szCs w:val="15"/>
        </w:rPr>
      </w:pPr>
      <w:r w:rsidRPr="00C32D03">
        <w:rPr>
          <w:rStyle w:val="Znakapoznpodarou"/>
          <w:szCs w:val="15"/>
        </w:rPr>
        <w:footnoteRef/>
      </w:r>
      <w:r w:rsidRPr="00C32D03">
        <w:rPr>
          <w:szCs w:val="15"/>
        </w:rPr>
        <w:t xml:space="preserve"> International Classification for Health Accounts – Health Care Sources of Funding</w:t>
      </w:r>
    </w:p>
  </w:footnote>
  <w:footnote w:id="4">
    <w:p w:rsidR="00216072" w:rsidRDefault="00216072" w:rsidP="00240B6D">
      <w:pPr>
        <w:pStyle w:val="Textpoznpodarou"/>
      </w:pPr>
      <w:r>
        <w:rPr>
          <w:rStyle w:val="Znakapoznpodarou"/>
        </w:rPr>
        <w:t xml:space="preserve">4 </w:t>
      </w:r>
      <w:r w:rsidRPr="00ED2A41">
        <w:t xml:space="preserve"> </w:t>
      </w:r>
      <w:r>
        <w:t>Z</w:t>
      </w:r>
      <w:r w:rsidRPr="000A1E10">
        <w:t xml:space="preserve">ahrnují </w:t>
      </w:r>
      <w:r>
        <w:t xml:space="preserve">pouze </w:t>
      </w:r>
      <w:r w:rsidRPr="000A1E10">
        <w:t>běžné (provozní</w:t>
      </w:r>
      <w:r>
        <w:t>/neinvestiční</w:t>
      </w:r>
      <w:r w:rsidRPr="000A1E10">
        <w:t>)) výdaje na zdravotní péči</w:t>
      </w:r>
      <w:r>
        <w:t xml:space="preserve">. Kapitálové (investiční) výdaje, které se dle manuálu SHA 2011 v rámci mezinárodní srovnatelnosti do výdajů na zdravotnictví nezahrnuji, jsou v Česku </w:t>
      </w:r>
      <w:r w:rsidRPr="002D246F">
        <w:t xml:space="preserve">k dispozici pouze </w:t>
      </w:r>
      <w:r>
        <w:t xml:space="preserve">v rámci </w:t>
      </w:r>
      <w:r w:rsidRPr="002D246F">
        <w:t>výdajů</w:t>
      </w:r>
      <w:r>
        <w:t xml:space="preserve"> na zdravotní péči financovaných přímo </w:t>
      </w:r>
      <w:r w:rsidRPr="002D246F">
        <w:t>ze státního rozpoč</w:t>
      </w:r>
      <w:r>
        <w:t>tu.</w:t>
      </w:r>
    </w:p>
  </w:footnote>
  <w:footnote w:id="5">
    <w:p w:rsidR="00216072" w:rsidRDefault="00216072" w:rsidP="000353CA">
      <w:pPr>
        <w:pStyle w:val="Textpoznpodarou"/>
      </w:pPr>
      <w:r>
        <w:rPr>
          <w:rStyle w:val="Znakapoznpodarou"/>
        </w:rPr>
        <w:footnoteRef/>
      </w:r>
      <w:r>
        <w:t xml:space="preserve"> V roce 2016 dosáhly investiční (kapitálové) výdaje </w:t>
      </w:r>
      <w:r w:rsidRPr="000353CA">
        <w:t>na nákup a modernizaci přístrojového vybavení a výstavbu a rekonstrukci zdravotnických zařízení</w:t>
      </w:r>
      <w:r>
        <w:t xml:space="preserve"> financované přímo ze státního rozpočtu 5 mld. Kč, tj. o pětinu více než v roce 2015.</w:t>
      </w:r>
    </w:p>
    <w:p w:rsidR="00216072" w:rsidRDefault="00216072">
      <w:pPr>
        <w:pStyle w:val="Textpoznpodarou"/>
      </w:pPr>
    </w:p>
  </w:footnote>
  <w:footnote w:id="6">
    <w:p w:rsidR="00216072" w:rsidRPr="00DA0B2A" w:rsidRDefault="00216072" w:rsidP="00240B6D">
      <w:pPr>
        <w:pStyle w:val="Textpoznpodarou"/>
        <w:rPr>
          <w:szCs w:val="16"/>
        </w:rPr>
      </w:pPr>
      <w:r w:rsidRPr="00DA0B2A">
        <w:rPr>
          <w:rStyle w:val="Znakapoznpodarou"/>
          <w:szCs w:val="16"/>
        </w:rPr>
        <w:footnoteRef/>
      </w:r>
      <w:r>
        <w:rPr>
          <w:szCs w:val="16"/>
        </w:rPr>
        <w:t xml:space="preserve"> </w:t>
      </w:r>
      <w:r w:rsidRPr="006374C2">
        <w:rPr>
          <w:szCs w:val="16"/>
        </w:rPr>
        <w:t>zahrnuje léky na předpis a volně prodejné léky, n</w:t>
      </w:r>
      <w:r w:rsidRPr="006374C2">
        <w:rPr>
          <w:bCs/>
          <w:szCs w:val="16"/>
        </w:rPr>
        <w:t>ezahrnuje léky spotřebované přímo ve zdravotnických zařízeních</w:t>
      </w:r>
      <w:r>
        <w:rPr>
          <w:szCs w:val="16"/>
        </w:rPr>
        <w:t xml:space="preserve"> </w:t>
      </w:r>
    </w:p>
  </w:footnote>
  <w:footnote w:id="7">
    <w:p w:rsidR="00216072" w:rsidRDefault="00216072" w:rsidP="00214E6F">
      <w:pPr>
        <w:pStyle w:val="Textpoznpodarou"/>
      </w:pPr>
      <w:r w:rsidRPr="00991FEF">
        <w:rPr>
          <w:rStyle w:val="Znakapoznpodarou"/>
        </w:rPr>
        <w:footnoteRef/>
      </w:r>
      <w:r w:rsidRPr="00991FEF">
        <w:t xml:space="preserve"> Nejsou zde samostatně zahrnuty diagnózy z kapitoly - Faktory ovlivňující zdravotní stav a kontakt se zdravotnickými službami, které</w:t>
      </w:r>
      <w:r>
        <w:t> </w:t>
      </w:r>
      <w:r w:rsidRPr="00991FEF">
        <w:t>jsou uvedeny v položce ostatní diagnózy.</w:t>
      </w:r>
    </w:p>
    <w:p w:rsidR="00216072" w:rsidRDefault="00216072" w:rsidP="00214E6F">
      <w:pPr>
        <w:pStyle w:val="Textpoznpodarou"/>
      </w:pPr>
    </w:p>
  </w:footnote>
  <w:footnote w:id="8">
    <w:p w:rsidR="00216072" w:rsidRDefault="00216072" w:rsidP="00214E6F">
      <w:pPr>
        <w:pStyle w:val="Textpoznpodarou"/>
      </w:pPr>
      <w:r>
        <w:rPr>
          <w:rStyle w:val="Znakapoznpodarou"/>
        </w:rPr>
        <w:footnoteRef/>
      </w:r>
      <w:r>
        <w:t xml:space="preserve"> </w:t>
      </w:r>
      <w:r w:rsidRPr="00B23596">
        <w:t xml:space="preserve">Tabulka počtu pojištěnců podle věku a pohlaví je uvedena </w:t>
      </w:r>
      <w:r w:rsidRPr="00223335">
        <w:t>v příloze (viz tabulka č.1</w:t>
      </w:r>
      <w:r>
        <w:t>2)</w:t>
      </w:r>
    </w:p>
  </w:footnote>
  <w:footnote w:id="9">
    <w:p w:rsidR="00216072" w:rsidRDefault="00216072" w:rsidP="00214E6F">
      <w:pPr>
        <w:pStyle w:val="Textpoznpodarou"/>
        <w:spacing w:before="0" w:after="0"/>
      </w:pPr>
      <w:r>
        <w:rPr>
          <w:rStyle w:val="Znakapoznpodarou"/>
        </w:rPr>
        <w:footnoteRef/>
      </w:r>
      <w:r>
        <w:t xml:space="preserve"> Charakteristika léků na předpis a volně prodejných léků je uvedena v kapitole </w:t>
      </w:r>
      <w:r w:rsidRPr="00223335">
        <w:t>Metodická příloha</w:t>
      </w:r>
    </w:p>
  </w:footnote>
  <w:footnote w:id="10">
    <w:p w:rsidR="00216072" w:rsidRDefault="00216072" w:rsidP="00214E6F">
      <w:pPr>
        <w:pStyle w:val="Textpoznpodarou"/>
        <w:spacing w:before="0" w:after="0"/>
      </w:pPr>
      <w:r>
        <w:rPr>
          <w:rStyle w:val="Znakapoznpodarou"/>
        </w:rPr>
        <w:footnoteRef/>
      </w:r>
      <w:r>
        <w:t xml:space="preserve"> </w:t>
      </w:r>
      <w:r w:rsidRPr="00E22935">
        <w:t>Tento údaj zahrnuje celkové výdaje za léky a je metodicky odlišný od údajů uvedených v tabulce č. 2.2, kapitoly 2, ve které položka léky zahrnuje pouze výdaje za léky na předpis a volně prodejné léky včetně zdravotnického materiálu. Výdaje na léky spotřebované ve zdravotnických zařízeních v rámci léčby jsou v této tabulce především součástí položek lůžková léčebná péče, lůžková rehabilitační péče a lůžková dlouhodobá zdravotní péče.</w:t>
      </w:r>
    </w:p>
  </w:footnote>
  <w:footnote w:id="11">
    <w:p w:rsidR="00216072" w:rsidRDefault="00216072" w:rsidP="00214E6F">
      <w:pPr>
        <w:pStyle w:val="Textpoznpodarou"/>
      </w:pPr>
      <w:r>
        <w:rPr>
          <w:rStyle w:val="Znakapoznpodarou"/>
        </w:rPr>
        <w:footnoteRef/>
      </w:r>
      <w:r>
        <w:t xml:space="preserve"> Definovaná denní dávka je jednotka užívaná např. ke sledování spotřeby léčiv. Většinou se jedná o průměrnou denní udržovací dávku léku podávanou v léčbě daného onemocnění u dospělých pacientů.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Pr="002175EE" w:rsidRDefault="00216072"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072" w:rsidRPr="002175EE" w:rsidRDefault="00216072"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8D550C"/>
    <w:multiLevelType w:val="hybridMultilevel"/>
    <w:tmpl w:val="86B43882"/>
    <w:lvl w:ilvl="0" w:tplc="46C2DFC0">
      <w:start w:val="1"/>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2">
    <w:nsid w:val="07A27793"/>
    <w:multiLevelType w:val="hybridMultilevel"/>
    <w:tmpl w:val="D486A0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D80405"/>
    <w:multiLevelType w:val="multilevel"/>
    <w:tmpl w:val="B94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421244"/>
    <w:multiLevelType w:val="hybridMultilevel"/>
    <w:tmpl w:val="939657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25AC752F"/>
    <w:multiLevelType w:val="hybridMultilevel"/>
    <w:tmpl w:val="F1DE7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3F919ED"/>
    <w:multiLevelType w:val="multilevel"/>
    <w:tmpl w:val="B0E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3CB35327"/>
    <w:multiLevelType w:val="hybridMultilevel"/>
    <w:tmpl w:val="0CBCD77C"/>
    <w:lvl w:ilvl="0" w:tplc="C80617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96F7E70"/>
    <w:multiLevelType w:val="hybridMultilevel"/>
    <w:tmpl w:val="0128A08A"/>
    <w:lvl w:ilvl="0" w:tplc="49A0ED0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CC32522"/>
    <w:multiLevelType w:val="hybridMultilevel"/>
    <w:tmpl w:val="7F9C2826"/>
    <w:lvl w:ilvl="0" w:tplc="F938899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2">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34">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F9F4163"/>
    <w:multiLevelType w:val="hybridMultilevel"/>
    <w:tmpl w:val="A78ADFC6"/>
    <w:lvl w:ilvl="0" w:tplc="242AA788">
      <w:numFmt w:val="bullet"/>
      <w:lvlText w:val="-"/>
      <w:lvlJc w:val="left"/>
      <w:pPr>
        <w:ind w:left="306" w:hanging="360"/>
      </w:pPr>
      <w:rPr>
        <w:rFonts w:ascii="Arial" w:eastAsia="Times New Roman" w:hAnsi="Arial" w:cs="Arial" w:hint="default"/>
      </w:rPr>
    </w:lvl>
    <w:lvl w:ilvl="1" w:tplc="04050003" w:tentative="1">
      <w:start w:val="1"/>
      <w:numFmt w:val="bullet"/>
      <w:lvlText w:val="o"/>
      <w:lvlJc w:val="left"/>
      <w:pPr>
        <w:ind w:left="1026" w:hanging="360"/>
      </w:pPr>
      <w:rPr>
        <w:rFonts w:ascii="Courier New" w:hAnsi="Courier New" w:cs="Courier New" w:hint="default"/>
      </w:rPr>
    </w:lvl>
    <w:lvl w:ilvl="2" w:tplc="04050005" w:tentative="1">
      <w:start w:val="1"/>
      <w:numFmt w:val="bullet"/>
      <w:lvlText w:val=""/>
      <w:lvlJc w:val="left"/>
      <w:pPr>
        <w:ind w:left="1746" w:hanging="360"/>
      </w:pPr>
      <w:rPr>
        <w:rFonts w:ascii="Wingdings" w:hAnsi="Wingdings" w:hint="default"/>
      </w:rPr>
    </w:lvl>
    <w:lvl w:ilvl="3" w:tplc="04050001" w:tentative="1">
      <w:start w:val="1"/>
      <w:numFmt w:val="bullet"/>
      <w:lvlText w:val=""/>
      <w:lvlJc w:val="left"/>
      <w:pPr>
        <w:ind w:left="2466" w:hanging="360"/>
      </w:pPr>
      <w:rPr>
        <w:rFonts w:ascii="Symbol" w:hAnsi="Symbol" w:hint="default"/>
      </w:rPr>
    </w:lvl>
    <w:lvl w:ilvl="4" w:tplc="04050003" w:tentative="1">
      <w:start w:val="1"/>
      <w:numFmt w:val="bullet"/>
      <w:lvlText w:val="o"/>
      <w:lvlJc w:val="left"/>
      <w:pPr>
        <w:ind w:left="3186" w:hanging="360"/>
      </w:pPr>
      <w:rPr>
        <w:rFonts w:ascii="Courier New" w:hAnsi="Courier New" w:cs="Courier New" w:hint="default"/>
      </w:rPr>
    </w:lvl>
    <w:lvl w:ilvl="5" w:tplc="04050005" w:tentative="1">
      <w:start w:val="1"/>
      <w:numFmt w:val="bullet"/>
      <w:lvlText w:val=""/>
      <w:lvlJc w:val="left"/>
      <w:pPr>
        <w:ind w:left="3906" w:hanging="360"/>
      </w:pPr>
      <w:rPr>
        <w:rFonts w:ascii="Wingdings" w:hAnsi="Wingdings" w:hint="default"/>
      </w:rPr>
    </w:lvl>
    <w:lvl w:ilvl="6" w:tplc="04050001" w:tentative="1">
      <w:start w:val="1"/>
      <w:numFmt w:val="bullet"/>
      <w:lvlText w:val=""/>
      <w:lvlJc w:val="left"/>
      <w:pPr>
        <w:ind w:left="4626" w:hanging="360"/>
      </w:pPr>
      <w:rPr>
        <w:rFonts w:ascii="Symbol" w:hAnsi="Symbol" w:hint="default"/>
      </w:rPr>
    </w:lvl>
    <w:lvl w:ilvl="7" w:tplc="04050003" w:tentative="1">
      <w:start w:val="1"/>
      <w:numFmt w:val="bullet"/>
      <w:lvlText w:val="o"/>
      <w:lvlJc w:val="left"/>
      <w:pPr>
        <w:ind w:left="5346" w:hanging="360"/>
      </w:pPr>
      <w:rPr>
        <w:rFonts w:ascii="Courier New" w:hAnsi="Courier New" w:cs="Courier New" w:hint="default"/>
      </w:rPr>
    </w:lvl>
    <w:lvl w:ilvl="8" w:tplc="04050005" w:tentative="1">
      <w:start w:val="1"/>
      <w:numFmt w:val="bullet"/>
      <w:lvlText w:val=""/>
      <w:lvlJc w:val="left"/>
      <w:pPr>
        <w:ind w:left="6066" w:hanging="360"/>
      </w:pPr>
      <w:rPr>
        <w:rFonts w:ascii="Wingdings" w:hAnsi="Wingdings" w:hint="default"/>
      </w:rPr>
    </w:lvl>
  </w:abstractNum>
  <w:num w:numId="1">
    <w:abstractNumId w:val="22"/>
  </w:num>
  <w:num w:numId="2">
    <w:abstractNumId w:val="29"/>
  </w:num>
  <w:num w:numId="3">
    <w:abstractNumId w:val="5"/>
  </w:num>
  <w:num w:numId="4">
    <w:abstractNumId w:val="30"/>
  </w:num>
  <w:num w:numId="5">
    <w:abstractNumId w:val="3"/>
  </w:num>
  <w:num w:numId="6">
    <w:abstractNumId w:val="11"/>
  </w:num>
  <w:num w:numId="7">
    <w:abstractNumId w:val="24"/>
  </w:num>
  <w:num w:numId="8">
    <w:abstractNumId w:val="34"/>
  </w:num>
  <w:num w:numId="9">
    <w:abstractNumId w:val="23"/>
  </w:num>
  <w:num w:numId="10">
    <w:abstractNumId w:val="32"/>
  </w:num>
  <w:num w:numId="11">
    <w:abstractNumId w:val="10"/>
  </w:num>
  <w:num w:numId="12">
    <w:abstractNumId w:val="37"/>
  </w:num>
  <w:num w:numId="13">
    <w:abstractNumId w:val="28"/>
  </w:num>
  <w:num w:numId="14">
    <w:abstractNumId w:val="31"/>
  </w:num>
  <w:num w:numId="15">
    <w:abstractNumId w:val="33"/>
  </w:num>
  <w:num w:numId="16">
    <w:abstractNumId w:val="4"/>
  </w:num>
  <w:num w:numId="17">
    <w:abstractNumId w:val="16"/>
  </w:num>
  <w:num w:numId="18">
    <w:abstractNumId w:val="35"/>
  </w:num>
  <w:num w:numId="19">
    <w:abstractNumId w:val="0"/>
  </w:num>
  <w:num w:numId="20">
    <w:abstractNumId w:val="40"/>
  </w:num>
  <w:num w:numId="21">
    <w:abstractNumId w:val="6"/>
  </w:num>
  <w:num w:numId="22">
    <w:abstractNumId w:val="27"/>
  </w:num>
  <w:num w:numId="23">
    <w:abstractNumId w:val="17"/>
  </w:num>
  <w:num w:numId="24">
    <w:abstractNumId w:val="14"/>
  </w:num>
  <w:num w:numId="25">
    <w:abstractNumId w:val="39"/>
  </w:num>
  <w:num w:numId="26">
    <w:abstractNumId w:val="19"/>
  </w:num>
  <w:num w:numId="27">
    <w:abstractNumId w:val="12"/>
  </w:num>
  <w:num w:numId="28">
    <w:abstractNumId w:val="36"/>
  </w:num>
  <w:num w:numId="29">
    <w:abstractNumId w:val="15"/>
  </w:num>
  <w:num w:numId="30">
    <w:abstractNumId w:val="21"/>
  </w:num>
  <w:num w:numId="31">
    <w:abstractNumId w:val="9"/>
  </w:num>
  <w:num w:numId="32">
    <w:abstractNumId w:val="38"/>
  </w:num>
  <w:num w:numId="33">
    <w:abstractNumId w:val="25"/>
  </w:num>
  <w:num w:numId="34">
    <w:abstractNumId w:val="7"/>
  </w:num>
  <w:num w:numId="35">
    <w:abstractNumId w:val="18"/>
  </w:num>
  <w:num w:numId="36">
    <w:abstractNumId w:val="20"/>
  </w:num>
  <w:num w:numId="37">
    <w:abstractNumId w:val="13"/>
  </w:num>
  <w:num w:numId="38">
    <w:abstractNumId w:val="1"/>
  </w:num>
  <w:num w:numId="39">
    <w:abstractNumId w:val="8"/>
  </w:num>
  <w:num w:numId="40">
    <w:abstractNumId w:val="26"/>
  </w:num>
  <w:num w:numId="4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2F19"/>
    <w:rsid w:val="00005515"/>
    <w:rsid w:val="00005868"/>
    <w:rsid w:val="0000767A"/>
    <w:rsid w:val="00007BF6"/>
    <w:rsid w:val="00010702"/>
    <w:rsid w:val="0002040C"/>
    <w:rsid w:val="00025165"/>
    <w:rsid w:val="000307D2"/>
    <w:rsid w:val="000353CA"/>
    <w:rsid w:val="0004694F"/>
    <w:rsid w:val="00052D0B"/>
    <w:rsid w:val="00060D56"/>
    <w:rsid w:val="00062EC5"/>
    <w:rsid w:val="0006345C"/>
    <w:rsid w:val="00074403"/>
    <w:rsid w:val="0007543A"/>
    <w:rsid w:val="00083528"/>
    <w:rsid w:val="00087634"/>
    <w:rsid w:val="000915F5"/>
    <w:rsid w:val="00096004"/>
    <w:rsid w:val="000A1183"/>
    <w:rsid w:val="000A2D10"/>
    <w:rsid w:val="000C3408"/>
    <w:rsid w:val="000C547E"/>
    <w:rsid w:val="000D0933"/>
    <w:rsid w:val="000D1765"/>
    <w:rsid w:val="000D21E1"/>
    <w:rsid w:val="000D2433"/>
    <w:rsid w:val="000D3D85"/>
    <w:rsid w:val="000D5E39"/>
    <w:rsid w:val="000E5DE5"/>
    <w:rsid w:val="000F6E14"/>
    <w:rsid w:val="00101535"/>
    <w:rsid w:val="00110E3B"/>
    <w:rsid w:val="001149A1"/>
    <w:rsid w:val="00121C92"/>
    <w:rsid w:val="00123EF0"/>
    <w:rsid w:val="001319EB"/>
    <w:rsid w:val="00133BA8"/>
    <w:rsid w:val="001351C9"/>
    <w:rsid w:val="001405FA"/>
    <w:rsid w:val="001425C3"/>
    <w:rsid w:val="00154ED5"/>
    <w:rsid w:val="00157587"/>
    <w:rsid w:val="00162BF0"/>
    <w:rsid w:val="00162D56"/>
    <w:rsid w:val="00163793"/>
    <w:rsid w:val="00164260"/>
    <w:rsid w:val="0016731E"/>
    <w:rsid w:val="001714F2"/>
    <w:rsid w:val="00172311"/>
    <w:rsid w:val="00175160"/>
    <w:rsid w:val="0017751B"/>
    <w:rsid w:val="00185010"/>
    <w:rsid w:val="00190B38"/>
    <w:rsid w:val="00193560"/>
    <w:rsid w:val="001A177C"/>
    <w:rsid w:val="001A3B66"/>
    <w:rsid w:val="001A552F"/>
    <w:rsid w:val="001B3110"/>
    <w:rsid w:val="001B61BC"/>
    <w:rsid w:val="001C1D52"/>
    <w:rsid w:val="001D189A"/>
    <w:rsid w:val="001E1749"/>
    <w:rsid w:val="001E3731"/>
    <w:rsid w:val="001F4597"/>
    <w:rsid w:val="00200B56"/>
    <w:rsid w:val="00210AA5"/>
    <w:rsid w:val="00213704"/>
    <w:rsid w:val="00213C72"/>
    <w:rsid w:val="00214E6F"/>
    <w:rsid w:val="00216072"/>
    <w:rsid w:val="002175EE"/>
    <w:rsid w:val="0022139E"/>
    <w:rsid w:val="00223335"/>
    <w:rsid w:val="002237C6"/>
    <w:rsid w:val="002252E0"/>
    <w:rsid w:val="002255F6"/>
    <w:rsid w:val="00226272"/>
    <w:rsid w:val="00227AA9"/>
    <w:rsid w:val="00236443"/>
    <w:rsid w:val="0024085E"/>
    <w:rsid w:val="00240B6D"/>
    <w:rsid w:val="002436BA"/>
    <w:rsid w:val="00244A15"/>
    <w:rsid w:val="0024799E"/>
    <w:rsid w:val="00247A40"/>
    <w:rsid w:val="00254100"/>
    <w:rsid w:val="0026319A"/>
    <w:rsid w:val="00264C1E"/>
    <w:rsid w:val="00270041"/>
    <w:rsid w:val="00271AC3"/>
    <w:rsid w:val="00281EE4"/>
    <w:rsid w:val="0028438F"/>
    <w:rsid w:val="00290B98"/>
    <w:rsid w:val="00290F1C"/>
    <w:rsid w:val="002A310D"/>
    <w:rsid w:val="002A795D"/>
    <w:rsid w:val="002B4648"/>
    <w:rsid w:val="002B6C95"/>
    <w:rsid w:val="002B7526"/>
    <w:rsid w:val="002C1EDC"/>
    <w:rsid w:val="002C43BD"/>
    <w:rsid w:val="002D246F"/>
    <w:rsid w:val="002D700F"/>
    <w:rsid w:val="002E02A1"/>
    <w:rsid w:val="002E7C59"/>
    <w:rsid w:val="002F59C4"/>
    <w:rsid w:val="00304771"/>
    <w:rsid w:val="00306C5B"/>
    <w:rsid w:val="003209D6"/>
    <w:rsid w:val="00323231"/>
    <w:rsid w:val="00330C8E"/>
    <w:rsid w:val="0034055C"/>
    <w:rsid w:val="00341C9C"/>
    <w:rsid w:val="00341E61"/>
    <w:rsid w:val="00344398"/>
    <w:rsid w:val="00344A9F"/>
    <w:rsid w:val="003452B6"/>
    <w:rsid w:val="00345347"/>
    <w:rsid w:val="0035195A"/>
    <w:rsid w:val="00352ACB"/>
    <w:rsid w:val="00356E1F"/>
    <w:rsid w:val="003657F3"/>
    <w:rsid w:val="00370B28"/>
    <w:rsid w:val="00375B3D"/>
    <w:rsid w:val="00380B0F"/>
    <w:rsid w:val="00381C1A"/>
    <w:rsid w:val="0038205A"/>
    <w:rsid w:val="00385D98"/>
    <w:rsid w:val="00394B23"/>
    <w:rsid w:val="00396A34"/>
    <w:rsid w:val="00397972"/>
    <w:rsid w:val="003A2B4D"/>
    <w:rsid w:val="003A478C"/>
    <w:rsid w:val="003A5525"/>
    <w:rsid w:val="003A6B38"/>
    <w:rsid w:val="003B34FF"/>
    <w:rsid w:val="003B4169"/>
    <w:rsid w:val="003B5A32"/>
    <w:rsid w:val="003B5B99"/>
    <w:rsid w:val="003C627D"/>
    <w:rsid w:val="003C6CC2"/>
    <w:rsid w:val="003D5919"/>
    <w:rsid w:val="003E037E"/>
    <w:rsid w:val="003E0671"/>
    <w:rsid w:val="003F174C"/>
    <w:rsid w:val="003F313C"/>
    <w:rsid w:val="004004F4"/>
    <w:rsid w:val="0040155D"/>
    <w:rsid w:val="00403484"/>
    <w:rsid w:val="00406353"/>
    <w:rsid w:val="004117C8"/>
    <w:rsid w:val="00416281"/>
    <w:rsid w:val="00416C0A"/>
    <w:rsid w:val="004236AB"/>
    <w:rsid w:val="004242B2"/>
    <w:rsid w:val="00426A61"/>
    <w:rsid w:val="00437DC6"/>
    <w:rsid w:val="0044625F"/>
    <w:rsid w:val="00452EBE"/>
    <w:rsid w:val="00467087"/>
    <w:rsid w:val="00470E57"/>
    <w:rsid w:val="00476265"/>
    <w:rsid w:val="0048086F"/>
    <w:rsid w:val="00480E40"/>
    <w:rsid w:val="0048139F"/>
    <w:rsid w:val="004859A8"/>
    <w:rsid w:val="004868D6"/>
    <w:rsid w:val="004A081C"/>
    <w:rsid w:val="004A44A2"/>
    <w:rsid w:val="004A77DF"/>
    <w:rsid w:val="004B2C1E"/>
    <w:rsid w:val="004B55B7"/>
    <w:rsid w:val="004B7591"/>
    <w:rsid w:val="004C3867"/>
    <w:rsid w:val="004C4ABE"/>
    <w:rsid w:val="004C4CD0"/>
    <w:rsid w:val="004C70DC"/>
    <w:rsid w:val="004D0211"/>
    <w:rsid w:val="004D5E24"/>
    <w:rsid w:val="004E1007"/>
    <w:rsid w:val="004E3E1A"/>
    <w:rsid w:val="004F06F5"/>
    <w:rsid w:val="004F0E28"/>
    <w:rsid w:val="004F209C"/>
    <w:rsid w:val="004F78C3"/>
    <w:rsid w:val="00501EFA"/>
    <w:rsid w:val="005108C0"/>
    <w:rsid w:val="00511873"/>
    <w:rsid w:val="00513B7E"/>
    <w:rsid w:val="00514041"/>
    <w:rsid w:val="0051478D"/>
    <w:rsid w:val="005151FB"/>
    <w:rsid w:val="00520DCA"/>
    <w:rsid w:val="005221B3"/>
    <w:rsid w:val="0052495E"/>
    <w:rsid w:val="00525137"/>
    <w:rsid w:val="005251DD"/>
    <w:rsid w:val="00527720"/>
    <w:rsid w:val="00532D7D"/>
    <w:rsid w:val="005376AD"/>
    <w:rsid w:val="005376E3"/>
    <w:rsid w:val="00542E84"/>
    <w:rsid w:val="00544082"/>
    <w:rsid w:val="00550483"/>
    <w:rsid w:val="00550FE5"/>
    <w:rsid w:val="005513E1"/>
    <w:rsid w:val="00551573"/>
    <w:rsid w:val="00557A96"/>
    <w:rsid w:val="00561D72"/>
    <w:rsid w:val="00572C92"/>
    <w:rsid w:val="00583FFD"/>
    <w:rsid w:val="0058445D"/>
    <w:rsid w:val="00586971"/>
    <w:rsid w:val="00591143"/>
    <w:rsid w:val="00593152"/>
    <w:rsid w:val="00593E87"/>
    <w:rsid w:val="005956E7"/>
    <w:rsid w:val="005A21E0"/>
    <w:rsid w:val="005A7316"/>
    <w:rsid w:val="005B20AA"/>
    <w:rsid w:val="005C04E2"/>
    <w:rsid w:val="005C2045"/>
    <w:rsid w:val="005D1BF3"/>
    <w:rsid w:val="005D514D"/>
    <w:rsid w:val="005D5802"/>
    <w:rsid w:val="005E0178"/>
    <w:rsid w:val="005E1DD5"/>
    <w:rsid w:val="005E316C"/>
    <w:rsid w:val="005E73F3"/>
    <w:rsid w:val="005F153A"/>
    <w:rsid w:val="005F2EE2"/>
    <w:rsid w:val="006016D1"/>
    <w:rsid w:val="00602EF3"/>
    <w:rsid w:val="00604307"/>
    <w:rsid w:val="0060487F"/>
    <w:rsid w:val="00606B1B"/>
    <w:rsid w:val="0061689B"/>
    <w:rsid w:val="00624093"/>
    <w:rsid w:val="00625E0F"/>
    <w:rsid w:val="00633AEB"/>
    <w:rsid w:val="00633F6D"/>
    <w:rsid w:val="006352A8"/>
    <w:rsid w:val="00635866"/>
    <w:rsid w:val="00635B35"/>
    <w:rsid w:val="00635FC7"/>
    <w:rsid w:val="006366C8"/>
    <w:rsid w:val="006374C2"/>
    <w:rsid w:val="006404A7"/>
    <w:rsid w:val="006419F8"/>
    <w:rsid w:val="006451E4"/>
    <w:rsid w:val="00645EF8"/>
    <w:rsid w:val="006523BB"/>
    <w:rsid w:val="00653860"/>
    <w:rsid w:val="00655906"/>
    <w:rsid w:val="0065667A"/>
    <w:rsid w:val="00657E87"/>
    <w:rsid w:val="006710C9"/>
    <w:rsid w:val="00674BA1"/>
    <w:rsid w:val="00675DD1"/>
    <w:rsid w:val="00675E37"/>
    <w:rsid w:val="00677696"/>
    <w:rsid w:val="0068260E"/>
    <w:rsid w:val="0069246C"/>
    <w:rsid w:val="006941CE"/>
    <w:rsid w:val="00695BEF"/>
    <w:rsid w:val="00696417"/>
    <w:rsid w:val="00697219"/>
    <w:rsid w:val="006977F6"/>
    <w:rsid w:val="00697A13"/>
    <w:rsid w:val="00697C9B"/>
    <w:rsid w:val="006A109C"/>
    <w:rsid w:val="006A31C8"/>
    <w:rsid w:val="006A420D"/>
    <w:rsid w:val="006A4247"/>
    <w:rsid w:val="006A429F"/>
    <w:rsid w:val="006B7581"/>
    <w:rsid w:val="006B78D8"/>
    <w:rsid w:val="006C0C43"/>
    <w:rsid w:val="006C113F"/>
    <w:rsid w:val="006C47BD"/>
    <w:rsid w:val="006D211A"/>
    <w:rsid w:val="006D3ACC"/>
    <w:rsid w:val="006D61F6"/>
    <w:rsid w:val="006E09D5"/>
    <w:rsid w:val="006E1FDB"/>
    <w:rsid w:val="006E279A"/>
    <w:rsid w:val="006E313B"/>
    <w:rsid w:val="006E5719"/>
    <w:rsid w:val="006E5DFC"/>
    <w:rsid w:val="007051F5"/>
    <w:rsid w:val="0070676A"/>
    <w:rsid w:val="00711D97"/>
    <w:rsid w:val="007211F5"/>
    <w:rsid w:val="007271FD"/>
    <w:rsid w:val="00730AE8"/>
    <w:rsid w:val="007350CC"/>
    <w:rsid w:val="00736D17"/>
    <w:rsid w:val="00741493"/>
    <w:rsid w:val="00746E1B"/>
    <w:rsid w:val="0074736D"/>
    <w:rsid w:val="00747BB9"/>
    <w:rsid w:val="00750951"/>
    <w:rsid w:val="00752180"/>
    <w:rsid w:val="00755D3A"/>
    <w:rsid w:val="007572C9"/>
    <w:rsid w:val="0075757C"/>
    <w:rsid w:val="007609C6"/>
    <w:rsid w:val="00760D36"/>
    <w:rsid w:val="0077264D"/>
    <w:rsid w:val="00774CA3"/>
    <w:rsid w:val="00776527"/>
    <w:rsid w:val="0078471B"/>
    <w:rsid w:val="00784861"/>
    <w:rsid w:val="007949E3"/>
    <w:rsid w:val="007A01BD"/>
    <w:rsid w:val="007A4E4E"/>
    <w:rsid w:val="007A68E8"/>
    <w:rsid w:val="007A7B9B"/>
    <w:rsid w:val="007B47EE"/>
    <w:rsid w:val="007B60D9"/>
    <w:rsid w:val="007C740E"/>
    <w:rsid w:val="007D3A47"/>
    <w:rsid w:val="007D6E98"/>
    <w:rsid w:val="007E12CE"/>
    <w:rsid w:val="007E7E61"/>
    <w:rsid w:val="007F4A5E"/>
    <w:rsid w:val="007F6B36"/>
    <w:rsid w:val="00802A57"/>
    <w:rsid w:val="00814887"/>
    <w:rsid w:val="00814A8E"/>
    <w:rsid w:val="008207EF"/>
    <w:rsid w:val="00821FF6"/>
    <w:rsid w:val="0083143E"/>
    <w:rsid w:val="00834FAA"/>
    <w:rsid w:val="0083596D"/>
    <w:rsid w:val="00836086"/>
    <w:rsid w:val="0084681E"/>
    <w:rsid w:val="00853E06"/>
    <w:rsid w:val="00855FB6"/>
    <w:rsid w:val="00857578"/>
    <w:rsid w:val="008605E5"/>
    <w:rsid w:val="00860953"/>
    <w:rsid w:val="008620CA"/>
    <w:rsid w:val="00863FDA"/>
    <w:rsid w:val="0087055B"/>
    <w:rsid w:val="00876086"/>
    <w:rsid w:val="008877B0"/>
    <w:rsid w:val="008B309A"/>
    <w:rsid w:val="008B5772"/>
    <w:rsid w:val="008B7C02"/>
    <w:rsid w:val="008C0E88"/>
    <w:rsid w:val="008C1793"/>
    <w:rsid w:val="008D1923"/>
    <w:rsid w:val="008D2A16"/>
    <w:rsid w:val="008D7DD3"/>
    <w:rsid w:val="008E31FF"/>
    <w:rsid w:val="008E401B"/>
    <w:rsid w:val="008E41B4"/>
    <w:rsid w:val="008F60FD"/>
    <w:rsid w:val="009003A8"/>
    <w:rsid w:val="00901E8E"/>
    <w:rsid w:val="009020FE"/>
    <w:rsid w:val="00902EFF"/>
    <w:rsid w:val="0090382A"/>
    <w:rsid w:val="00903ADB"/>
    <w:rsid w:val="00917F10"/>
    <w:rsid w:val="00921F14"/>
    <w:rsid w:val="009233F1"/>
    <w:rsid w:val="009248E3"/>
    <w:rsid w:val="00930E84"/>
    <w:rsid w:val="00931794"/>
    <w:rsid w:val="0094427A"/>
    <w:rsid w:val="00944EA6"/>
    <w:rsid w:val="009552B1"/>
    <w:rsid w:val="00957CD1"/>
    <w:rsid w:val="00972CA2"/>
    <w:rsid w:val="00973454"/>
    <w:rsid w:val="00974923"/>
    <w:rsid w:val="0098715D"/>
    <w:rsid w:val="00991A9E"/>
    <w:rsid w:val="009A23E5"/>
    <w:rsid w:val="009A76CB"/>
    <w:rsid w:val="009B6FD3"/>
    <w:rsid w:val="009C00F3"/>
    <w:rsid w:val="009C3912"/>
    <w:rsid w:val="009C7B08"/>
    <w:rsid w:val="009D15E0"/>
    <w:rsid w:val="009D2120"/>
    <w:rsid w:val="009D307C"/>
    <w:rsid w:val="009D699F"/>
    <w:rsid w:val="009D7138"/>
    <w:rsid w:val="009E14B5"/>
    <w:rsid w:val="009E3131"/>
    <w:rsid w:val="009E3D07"/>
    <w:rsid w:val="009E5300"/>
    <w:rsid w:val="009E5C6B"/>
    <w:rsid w:val="009F30E4"/>
    <w:rsid w:val="009F4437"/>
    <w:rsid w:val="00A00BE4"/>
    <w:rsid w:val="00A074EF"/>
    <w:rsid w:val="00A077BC"/>
    <w:rsid w:val="00A10D66"/>
    <w:rsid w:val="00A15646"/>
    <w:rsid w:val="00A1636E"/>
    <w:rsid w:val="00A202A7"/>
    <w:rsid w:val="00A204CF"/>
    <w:rsid w:val="00A219A9"/>
    <w:rsid w:val="00A23E43"/>
    <w:rsid w:val="00A33EFD"/>
    <w:rsid w:val="00A34DA0"/>
    <w:rsid w:val="00A35033"/>
    <w:rsid w:val="00A460B2"/>
    <w:rsid w:val="00A46DE0"/>
    <w:rsid w:val="00A475AC"/>
    <w:rsid w:val="00A5222D"/>
    <w:rsid w:val="00A52B44"/>
    <w:rsid w:val="00A52EC2"/>
    <w:rsid w:val="00A5555E"/>
    <w:rsid w:val="00A55FDE"/>
    <w:rsid w:val="00A57446"/>
    <w:rsid w:val="00A62CE1"/>
    <w:rsid w:val="00A75E40"/>
    <w:rsid w:val="00A857C0"/>
    <w:rsid w:val="00A90201"/>
    <w:rsid w:val="00A902A5"/>
    <w:rsid w:val="00A91F5C"/>
    <w:rsid w:val="00A94AB5"/>
    <w:rsid w:val="00A953D4"/>
    <w:rsid w:val="00AA0168"/>
    <w:rsid w:val="00AA315F"/>
    <w:rsid w:val="00AA3BA1"/>
    <w:rsid w:val="00AA559A"/>
    <w:rsid w:val="00AB2AF1"/>
    <w:rsid w:val="00AB3CE2"/>
    <w:rsid w:val="00AB64E8"/>
    <w:rsid w:val="00AC1752"/>
    <w:rsid w:val="00AC4A24"/>
    <w:rsid w:val="00AD239A"/>
    <w:rsid w:val="00AD306C"/>
    <w:rsid w:val="00AD4FBF"/>
    <w:rsid w:val="00AD5913"/>
    <w:rsid w:val="00AE33C2"/>
    <w:rsid w:val="00AF25EE"/>
    <w:rsid w:val="00B01CAD"/>
    <w:rsid w:val="00B17C49"/>
    <w:rsid w:val="00B17E71"/>
    <w:rsid w:val="00B17FDE"/>
    <w:rsid w:val="00B2098B"/>
    <w:rsid w:val="00B32BCC"/>
    <w:rsid w:val="00B32DDB"/>
    <w:rsid w:val="00B36A65"/>
    <w:rsid w:val="00B372C8"/>
    <w:rsid w:val="00B40A03"/>
    <w:rsid w:val="00B40CFB"/>
    <w:rsid w:val="00B44676"/>
    <w:rsid w:val="00B448FC"/>
    <w:rsid w:val="00B46099"/>
    <w:rsid w:val="00B4643E"/>
    <w:rsid w:val="00B513EB"/>
    <w:rsid w:val="00B551E6"/>
    <w:rsid w:val="00B63AFC"/>
    <w:rsid w:val="00B6608F"/>
    <w:rsid w:val="00B76CB5"/>
    <w:rsid w:val="00B76D1E"/>
    <w:rsid w:val="00B801AF"/>
    <w:rsid w:val="00B80EDA"/>
    <w:rsid w:val="00B81475"/>
    <w:rsid w:val="00B85CB1"/>
    <w:rsid w:val="00B95940"/>
    <w:rsid w:val="00B97BEC"/>
    <w:rsid w:val="00BA0E5F"/>
    <w:rsid w:val="00BA493B"/>
    <w:rsid w:val="00BA4D62"/>
    <w:rsid w:val="00BB0015"/>
    <w:rsid w:val="00BB10A9"/>
    <w:rsid w:val="00BB5FF0"/>
    <w:rsid w:val="00BC2F06"/>
    <w:rsid w:val="00BC3543"/>
    <w:rsid w:val="00BC39BB"/>
    <w:rsid w:val="00BC5568"/>
    <w:rsid w:val="00BC66E8"/>
    <w:rsid w:val="00BD2BDC"/>
    <w:rsid w:val="00BD366B"/>
    <w:rsid w:val="00BD3FB1"/>
    <w:rsid w:val="00BD6D50"/>
    <w:rsid w:val="00BD7706"/>
    <w:rsid w:val="00BE23F8"/>
    <w:rsid w:val="00BF011D"/>
    <w:rsid w:val="00BF26C4"/>
    <w:rsid w:val="00C01506"/>
    <w:rsid w:val="00C107E7"/>
    <w:rsid w:val="00C21F94"/>
    <w:rsid w:val="00C274E0"/>
    <w:rsid w:val="00C3177E"/>
    <w:rsid w:val="00C36AC9"/>
    <w:rsid w:val="00C41EFF"/>
    <w:rsid w:val="00C41FBD"/>
    <w:rsid w:val="00C45E27"/>
    <w:rsid w:val="00C47265"/>
    <w:rsid w:val="00C51E92"/>
    <w:rsid w:val="00C556F4"/>
    <w:rsid w:val="00C64B75"/>
    <w:rsid w:val="00C6634F"/>
    <w:rsid w:val="00C8098B"/>
    <w:rsid w:val="00C80F44"/>
    <w:rsid w:val="00C85E96"/>
    <w:rsid w:val="00C901F9"/>
    <w:rsid w:val="00C90CF4"/>
    <w:rsid w:val="00C91D7C"/>
    <w:rsid w:val="00C92654"/>
    <w:rsid w:val="00C93389"/>
    <w:rsid w:val="00C93C0D"/>
    <w:rsid w:val="00C97E34"/>
    <w:rsid w:val="00CA0463"/>
    <w:rsid w:val="00CA24C7"/>
    <w:rsid w:val="00CA5A12"/>
    <w:rsid w:val="00CB7349"/>
    <w:rsid w:val="00CC14C1"/>
    <w:rsid w:val="00CC1931"/>
    <w:rsid w:val="00CC1CC4"/>
    <w:rsid w:val="00CC2E9C"/>
    <w:rsid w:val="00CC475C"/>
    <w:rsid w:val="00CD288B"/>
    <w:rsid w:val="00CE26E9"/>
    <w:rsid w:val="00CE3173"/>
    <w:rsid w:val="00CE6149"/>
    <w:rsid w:val="00CF3148"/>
    <w:rsid w:val="00CF51EC"/>
    <w:rsid w:val="00D03353"/>
    <w:rsid w:val="00D03693"/>
    <w:rsid w:val="00D040DD"/>
    <w:rsid w:val="00D10241"/>
    <w:rsid w:val="00D15A3E"/>
    <w:rsid w:val="00D16F21"/>
    <w:rsid w:val="00D30233"/>
    <w:rsid w:val="00D32AAF"/>
    <w:rsid w:val="00D347C8"/>
    <w:rsid w:val="00D3681A"/>
    <w:rsid w:val="00D41CE2"/>
    <w:rsid w:val="00D516DE"/>
    <w:rsid w:val="00D51805"/>
    <w:rsid w:val="00D56ADA"/>
    <w:rsid w:val="00D602CE"/>
    <w:rsid w:val="00D60433"/>
    <w:rsid w:val="00D615CD"/>
    <w:rsid w:val="00D61A47"/>
    <w:rsid w:val="00D67975"/>
    <w:rsid w:val="00D709E7"/>
    <w:rsid w:val="00D7363A"/>
    <w:rsid w:val="00D76ECF"/>
    <w:rsid w:val="00D842D3"/>
    <w:rsid w:val="00DA2A27"/>
    <w:rsid w:val="00DA3AAF"/>
    <w:rsid w:val="00DA45FF"/>
    <w:rsid w:val="00DA5852"/>
    <w:rsid w:val="00DB210A"/>
    <w:rsid w:val="00DB4F3B"/>
    <w:rsid w:val="00DC2E00"/>
    <w:rsid w:val="00DC5B3B"/>
    <w:rsid w:val="00DD39C0"/>
    <w:rsid w:val="00DE2D8F"/>
    <w:rsid w:val="00DE3724"/>
    <w:rsid w:val="00DE6B5D"/>
    <w:rsid w:val="00DE6F11"/>
    <w:rsid w:val="00DF00E1"/>
    <w:rsid w:val="00DF4DBA"/>
    <w:rsid w:val="00DF5641"/>
    <w:rsid w:val="00E01C0E"/>
    <w:rsid w:val="00E03893"/>
    <w:rsid w:val="00E04694"/>
    <w:rsid w:val="00E069D1"/>
    <w:rsid w:val="00E17090"/>
    <w:rsid w:val="00E1763E"/>
    <w:rsid w:val="00E22935"/>
    <w:rsid w:val="00E23CFF"/>
    <w:rsid w:val="00E263D4"/>
    <w:rsid w:val="00E2712D"/>
    <w:rsid w:val="00E40102"/>
    <w:rsid w:val="00E42B4D"/>
    <w:rsid w:val="00E438DF"/>
    <w:rsid w:val="00E5040E"/>
    <w:rsid w:val="00E55504"/>
    <w:rsid w:val="00E65D1A"/>
    <w:rsid w:val="00E663CD"/>
    <w:rsid w:val="00E71A58"/>
    <w:rsid w:val="00E81B7C"/>
    <w:rsid w:val="00E8493B"/>
    <w:rsid w:val="00E90C72"/>
    <w:rsid w:val="00E93764"/>
    <w:rsid w:val="00E97C6C"/>
    <w:rsid w:val="00EA0C68"/>
    <w:rsid w:val="00EA29F0"/>
    <w:rsid w:val="00EB3661"/>
    <w:rsid w:val="00EB7DA1"/>
    <w:rsid w:val="00ED286F"/>
    <w:rsid w:val="00EE1E7F"/>
    <w:rsid w:val="00EE39DC"/>
    <w:rsid w:val="00EE3E78"/>
    <w:rsid w:val="00EE5A6E"/>
    <w:rsid w:val="00EF1AEF"/>
    <w:rsid w:val="00EF1F5A"/>
    <w:rsid w:val="00EF3E4D"/>
    <w:rsid w:val="00EF4D97"/>
    <w:rsid w:val="00EF5416"/>
    <w:rsid w:val="00F014FF"/>
    <w:rsid w:val="00F02F8E"/>
    <w:rsid w:val="00F0328F"/>
    <w:rsid w:val="00F03967"/>
    <w:rsid w:val="00F04811"/>
    <w:rsid w:val="00F0488C"/>
    <w:rsid w:val="00F12246"/>
    <w:rsid w:val="00F15BEF"/>
    <w:rsid w:val="00F24FAA"/>
    <w:rsid w:val="00F3364D"/>
    <w:rsid w:val="00F41C6D"/>
    <w:rsid w:val="00F42351"/>
    <w:rsid w:val="00F45E8A"/>
    <w:rsid w:val="00F53404"/>
    <w:rsid w:val="00F5536C"/>
    <w:rsid w:val="00F6371C"/>
    <w:rsid w:val="00F63DDE"/>
    <w:rsid w:val="00F63FB7"/>
    <w:rsid w:val="00F6458A"/>
    <w:rsid w:val="00F67236"/>
    <w:rsid w:val="00F71B42"/>
    <w:rsid w:val="00F73A0C"/>
    <w:rsid w:val="00F85872"/>
    <w:rsid w:val="00F954C5"/>
    <w:rsid w:val="00F95636"/>
    <w:rsid w:val="00FA499A"/>
    <w:rsid w:val="00FB007E"/>
    <w:rsid w:val="00FB2302"/>
    <w:rsid w:val="00FC0C8F"/>
    <w:rsid w:val="00FC0E5F"/>
    <w:rsid w:val="00FC12FB"/>
    <w:rsid w:val="00FC1CDE"/>
    <w:rsid w:val="00FC56DE"/>
    <w:rsid w:val="00FD0311"/>
    <w:rsid w:val="00FD0F42"/>
    <w:rsid w:val="00FD730E"/>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15171869">
      <w:bodyDiv w:val="1"/>
      <w:marLeft w:val="0"/>
      <w:marRight w:val="0"/>
      <w:marTop w:val="0"/>
      <w:marBottom w:val="0"/>
      <w:divBdr>
        <w:top w:val="none" w:sz="0" w:space="0" w:color="auto"/>
        <w:left w:val="none" w:sz="0" w:space="0" w:color="auto"/>
        <w:bottom w:val="none" w:sz="0" w:space="0" w:color="auto"/>
        <w:right w:val="none" w:sz="0" w:space="0" w:color="auto"/>
      </w:divBdr>
    </w:div>
    <w:div w:id="1162425717">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36795140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53.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 Type="http://schemas.openxmlformats.org/officeDocument/2006/relationships/footnotes" Target="footnote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1" Type="http://schemas.openxmlformats.org/officeDocument/2006/relationships/oleObject" Target="file:///D:\7_Zdravotnictvi\SHA\ANAL&#221;ZA%20SHA%202010-2016\SHA_2010_2016_Grafy_Kapitola_3.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60424836601322"/>
          <c:y val="4.2267050912584064E-2"/>
          <c:w val="0.81671813725490194"/>
          <c:h val="0.78545161377012174"/>
        </c:manualLayout>
      </c:layout>
      <c:barChart>
        <c:barDir val="col"/>
        <c:grouping val="clustered"/>
        <c:varyColors val="0"/>
        <c:ser>
          <c:idx val="0"/>
          <c:order val="0"/>
          <c:tx>
            <c:strRef>
              <c:f>List1!$A$4</c:f>
              <c:strCache>
                <c:ptCount val="1"/>
                <c:pt idx="0">
                  <c:v> mld. Kč - běžné ceny</c:v>
                </c:pt>
              </c:strCache>
            </c:strRef>
          </c:tx>
          <c:spPr>
            <a:solidFill>
              <a:srgbClr val="D96D75"/>
            </a:solidFill>
          </c:spPr>
          <c:invertIfNegative val="0"/>
          <c:dLbls>
            <c:txPr>
              <a:bodyPr/>
              <a:lstStyle/>
              <a:p>
                <a:pPr>
                  <a:defRPr>
                    <a:solidFill>
                      <a:schemeClr val="bg1"/>
                    </a:solidFill>
                  </a:defRPr>
                </a:pPr>
                <a:endParaRPr lang="cs-CZ"/>
              </a:p>
            </c:txPr>
            <c:dLblPos val="inEnd"/>
            <c:showLegendKey val="0"/>
            <c:showVal val="1"/>
            <c:showCatName val="0"/>
            <c:showSerName val="0"/>
            <c:showPercent val="0"/>
            <c:showBubbleSize val="0"/>
            <c:showLeaderLines val="0"/>
          </c:dLbls>
          <c:cat>
            <c:numRef>
              <c:f>List1!$B$3:$H$3</c:f>
              <c:numCache>
                <c:formatCode>General</c:formatCode>
                <c:ptCount val="7"/>
                <c:pt idx="0">
                  <c:v>2010</c:v>
                </c:pt>
                <c:pt idx="1">
                  <c:v>2011</c:v>
                </c:pt>
                <c:pt idx="2">
                  <c:v>2012</c:v>
                </c:pt>
                <c:pt idx="3">
                  <c:v>2013</c:v>
                </c:pt>
                <c:pt idx="4">
                  <c:v>2014</c:v>
                </c:pt>
                <c:pt idx="5">
                  <c:v>2015</c:v>
                </c:pt>
                <c:pt idx="6">
                  <c:v>2016</c:v>
                </c:pt>
              </c:numCache>
            </c:numRef>
          </c:cat>
          <c:val>
            <c:numRef>
              <c:f>List1!$B$4:$H$4</c:f>
              <c:numCache>
                <c:formatCode>0.0</c:formatCode>
                <c:ptCount val="7"/>
                <c:pt idx="0">
                  <c:v>334.08787277798501</c:v>
                </c:pt>
                <c:pt idx="1">
                  <c:v>338.08024387488001</c:v>
                </c:pt>
                <c:pt idx="2">
                  <c:v>341.91286464049301</c:v>
                </c:pt>
                <c:pt idx="3">
                  <c:v>344.72030419945099</c:v>
                </c:pt>
                <c:pt idx="4">
                  <c:v>348.73013961768498</c:v>
                </c:pt>
                <c:pt idx="5">
                  <c:v>352.03961029067801</c:v>
                </c:pt>
                <c:pt idx="6">
                  <c:v>361.64678947189088</c:v>
                </c:pt>
              </c:numCache>
            </c:numRef>
          </c:val>
        </c:ser>
        <c:dLbls>
          <c:showLegendKey val="0"/>
          <c:showVal val="0"/>
          <c:showCatName val="0"/>
          <c:showSerName val="0"/>
          <c:showPercent val="0"/>
          <c:showBubbleSize val="0"/>
        </c:dLbls>
        <c:gapWidth val="100"/>
        <c:axId val="179636736"/>
        <c:axId val="160102592"/>
      </c:barChart>
      <c:lineChart>
        <c:grouping val="standard"/>
        <c:varyColors val="0"/>
        <c:ser>
          <c:idx val="1"/>
          <c:order val="1"/>
          <c:tx>
            <c:strRef>
              <c:f>List1!$A$5</c:f>
              <c:strCache>
                <c:ptCount val="1"/>
                <c:pt idx="0">
                  <c:v> podíl na HDP  v %</c:v>
                </c:pt>
              </c:strCache>
            </c:strRef>
          </c:tx>
          <c:spPr>
            <a:ln>
              <a:solidFill>
                <a:srgbClr val="187BB8"/>
              </a:solidFill>
            </a:ln>
          </c:spPr>
          <c:marker>
            <c:symbol val="diamond"/>
            <c:size val="7"/>
            <c:spPr>
              <a:solidFill>
                <a:srgbClr val="0070C0"/>
              </a:solidFill>
              <a:ln>
                <a:solidFill>
                  <a:schemeClr val="accent1">
                    <a:lumMod val="75000"/>
                  </a:schemeClr>
                </a:solidFill>
              </a:ln>
            </c:spPr>
          </c:marker>
          <c:dLbls>
            <c:spPr>
              <a:solidFill>
                <a:srgbClr val="4F81BD">
                  <a:lumMod val="20000"/>
                  <a:lumOff val="80000"/>
                </a:srgbClr>
              </a:solidFill>
            </c:spPr>
            <c:dLblPos val="t"/>
            <c:showLegendKey val="0"/>
            <c:showVal val="1"/>
            <c:showCatName val="0"/>
            <c:showSerName val="0"/>
            <c:showPercent val="0"/>
            <c:showBubbleSize val="0"/>
            <c:showLeaderLines val="0"/>
          </c:dLbls>
          <c:trendline>
            <c:spPr>
              <a:ln>
                <a:noFill/>
              </a:ln>
            </c:spPr>
            <c:trendlineType val="linear"/>
            <c:dispRSqr val="0"/>
            <c:dispEq val="0"/>
          </c:trendline>
          <c:cat>
            <c:numRef>
              <c:f>List1!$B$3:$H$3</c:f>
              <c:numCache>
                <c:formatCode>General</c:formatCode>
                <c:ptCount val="7"/>
                <c:pt idx="0">
                  <c:v>2010</c:v>
                </c:pt>
                <c:pt idx="1">
                  <c:v>2011</c:v>
                </c:pt>
                <c:pt idx="2">
                  <c:v>2012</c:v>
                </c:pt>
                <c:pt idx="3">
                  <c:v>2013</c:v>
                </c:pt>
                <c:pt idx="4">
                  <c:v>2014</c:v>
                </c:pt>
                <c:pt idx="5">
                  <c:v>2015</c:v>
                </c:pt>
                <c:pt idx="6">
                  <c:v>2016</c:v>
                </c:pt>
              </c:numCache>
            </c:numRef>
          </c:cat>
          <c:val>
            <c:numRef>
              <c:f>List1!$B$5:$H$5</c:f>
              <c:numCache>
                <c:formatCode>0.00%</c:formatCode>
                <c:ptCount val="7"/>
                <c:pt idx="0">
                  <c:v>8.4313162915293366E-2</c:v>
                </c:pt>
                <c:pt idx="1">
                  <c:v>8.3812785822361541E-2</c:v>
                </c:pt>
                <c:pt idx="2">
                  <c:v>8.4216816679891837E-2</c:v>
                </c:pt>
                <c:pt idx="3">
                  <c:v>8.4116529351804289E-2</c:v>
                </c:pt>
                <c:pt idx="4">
                  <c:v>8.0840796714369903E-2</c:v>
                </c:pt>
                <c:pt idx="5">
                  <c:v>7.6600572805695571E-2</c:v>
                </c:pt>
                <c:pt idx="6">
                  <c:v>7.5765473655607277E-2</c:v>
                </c:pt>
              </c:numCache>
            </c:numRef>
          </c:val>
          <c:smooth val="0"/>
        </c:ser>
        <c:dLbls>
          <c:showLegendKey val="0"/>
          <c:showVal val="0"/>
          <c:showCatName val="0"/>
          <c:showSerName val="0"/>
          <c:showPercent val="0"/>
          <c:showBubbleSize val="0"/>
        </c:dLbls>
        <c:marker val="1"/>
        <c:smooth val="0"/>
        <c:axId val="179637760"/>
        <c:axId val="165922496"/>
      </c:lineChart>
      <c:catAx>
        <c:axId val="179636736"/>
        <c:scaling>
          <c:orientation val="minMax"/>
        </c:scaling>
        <c:delete val="0"/>
        <c:axPos val="b"/>
        <c:numFmt formatCode="General" sourceLinked="1"/>
        <c:majorTickMark val="out"/>
        <c:minorTickMark val="none"/>
        <c:tickLblPos val="nextTo"/>
        <c:spPr>
          <a:ln w="3175">
            <a:solidFill>
              <a:schemeClr val="bg1">
                <a:lumMod val="75000"/>
              </a:schemeClr>
            </a:solidFill>
          </a:ln>
        </c:spPr>
        <c:crossAx val="160102592"/>
        <c:crosses val="autoZero"/>
        <c:auto val="1"/>
        <c:lblAlgn val="ctr"/>
        <c:lblOffset val="100"/>
        <c:noMultiLvlLbl val="0"/>
      </c:catAx>
      <c:valAx>
        <c:axId val="160102592"/>
        <c:scaling>
          <c:orientation val="minMax"/>
          <c:max val="500"/>
          <c:min val="0"/>
        </c:scaling>
        <c:delete val="0"/>
        <c:axPos val="l"/>
        <c:majorGridlines>
          <c:spPr>
            <a:ln>
              <a:prstDash val="dash"/>
            </a:ln>
          </c:spPr>
        </c:majorGridlines>
        <c:title>
          <c:tx>
            <c:rich>
              <a:bodyPr rot="-5400000" vert="horz"/>
              <a:lstStyle/>
              <a:p>
                <a:pPr>
                  <a:defRPr/>
                </a:pPr>
                <a:r>
                  <a:rPr lang="cs-CZ"/>
                  <a:t>mld. Kč v běžných cenách</a:t>
                </a:r>
                <a:endParaRPr lang="en-US"/>
              </a:p>
            </c:rich>
          </c:tx>
          <c:layout>
            <c:manualLayout>
              <c:xMode val="edge"/>
              <c:yMode val="edge"/>
              <c:x val="1.8676470588235312E-2"/>
              <c:y val="0.24013978079829376"/>
            </c:manualLayout>
          </c:layout>
          <c:overlay val="0"/>
        </c:title>
        <c:numFmt formatCode="0" sourceLinked="0"/>
        <c:majorTickMark val="out"/>
        <c:minorTickMark val="none"/>
        <c:tickLblPos val="nextTo"/>
        <c:spPr>
          <a:ln w="3175">
            <a:solidFill>
              <a:schemeClr val="bg1">
                <a:lumMod val="75000"/>
              </a:schemeClr>
            </a:solidFill>
          </a:ln>
        </c:spPr>
        <c:crossAx val="179636736"/>
        <c:crosses val="autoZero"/>
        <c:crossBetween val="between"/>
        <c:majorUnit val="50"/>
        <c:minorUnit val="10"/>
      </c:valAx>
      <c:valAx>
        <c:axId val="165922496"/>
        <c:scaling>
          <c:orientation val="minMax"/>
          <c:max val="0.1"/>
          <c:min val="0"/>
        </c:scaling>
        <c:delete val="0"/>
        <c:axPos val="r"/>
        <c:title>
          <c:tx>
            <c:rich>
              <a:bodyPr rot="-5400000" vert="horz"/>
              <a:lstStyle/>
              <a:p>
                <a:pPr>
                  <a:defRPr/>
                </a:pPr>
                <a:r>
                  <a:rPr lang="cs-CZ"/>
                  <a:t>%HDP</a:t>
                </a:r>
                <a:endParaRPr lang="en-US"/>
              </a:p>
            </c:rich>
          </c:tx>
          <c:overlay val="0"/>
        </c:title>
        <c:numFmt formatCode="0%" sourceLinked="0"/>
        <c:majorTickMark val="out"/>
        <c:minorTickMark val="none"/>
        <c:tickLblPos val="nextTo"/>
        <c:crossAx val="179637760"/>
        <c:crosses val="max"/>
        <c:crossBetween val="between"/>
        <c:majorUnit val="1.0000000000000005E-2"/>
        <c:minorUnit val="5.0000000000000044E-3"/>
      </c:valAx>
      <c:catAx>
        <c:axId val="179637760"/>
        <c:scaling>
          <c:orientation val="minMax"/>
        </c:scaling>
        <c:delete val="1"/>
        <c:axPos val="b"/>
        <c:numFmt formatCode="General" sourceLinked="1"/>
        <c:majorTickMark val="out"/>
        <c:minorTickMark val="none"/>
        <c:tickLblPos val="none"/>
        <c:crossAx val="165922496"/>
        <c:crosses val="autoZero"/>
        <c:auto val="1"/>
        <c:lblAlgn val="ctr"/>
        <c:lblOffset val="100"/>
        <c:noMultiLvlLbl val="0"/>
      </c:catAx>
      <c:spPr>
        <a:ln>
          <a:noFill/>
        </a:ln>
      </c:spPr>
    </c:plotArea>
    <c:legend>
      <c:legendPos val="b"/>
      <c:legendEntry>
        <c:idx val="2"/>
        <c:delete val="1"/>
      </c:legendEntry>
      <c:layout>
        <c:manualLayout>
          <c:xMode val="edge"/>
          <c:yMode val="edge"/>
          <c:x val="0.24734623483069429"/>
          <c:y val="0.90351706036745327"/>
          <c:w val="0.50956209714040757"/>
          <c:h val="9.2900661497687026E-2"/>
        </c:manualLayout>
      </c:layout>
      <c:overlay val="0"/>
      <c:spPr>
        <a:ln>
          <a:solidFill>
            <a:sysClr val="window" lastClr="FFFFFF">
              <a:lumMod val="75000"/>
            </a:sysClr>
          </a:solidFill>
        </a:ln>
      </c:spPr>
    </c:legend>
    <c:plotVisOnly val="1"/>
    <c:dispBlanksAs val="gap"/>
    <c:showDLblsOverMax val="0"/>
  </c:chart>
  <c:spPr>
    <a:ln>
      <a:noFill/>
    </a:ln>
  </c:spPr>
  <c:txPr>
    <a:bodyPr/>
    <a:lstStyle/>
    <a:p>
      <a:pPr>
        <a:defRPr sz="800" b="1">
          <a:latin typeface="Arial" panose="020B0604020202020204" pitchFamily="34" charset="0"/>
          <a:cs typeface="Arial" panose="020B0604020202020204" pitchFamily="34" charset="0"/>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695551481072693"/>
          <c:y val="4.4511868686868676E-2"/>
          <c:w val="0.69937886872122201"/>
          <c:h val="0.85527012248469003"/>
        </c:manualLayout>
      </c:layout>
      <c:barChart>
        <c:barDir val="bar"/>
        <c:grouping val="clustered"/>
        <c:varyColors val="0"/>
        <c:ser>
          <c:idx val="0"/>
          <c:order val="0"/>
          <c:tx>
            <c:strRef>
              <c:f>'2_2 (2)'!$N$43</c:f>
              <c:strCache>
                <c:ptCount val="1"/>
                <c:pt idx="0">
                  <c:v> roční průměr 
 2010 až 2016</c:v>
                </c:pt>
              </c:strCache>
            </c:strRef>
          </c:tx>
          <c:spPr>
            <a:solidFill>
              <a:srgbClr val="00B050"/>
            </a:solidFill>
          </c:spPr>
          <c:invertIfNegative val="0"/>
          <c:dLbls>
            <c:dLbl>
              <c:idx val="0"/>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dLbl>
              <c:idx val="1"/>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dLbl>
              <c:idx val="5"/>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dLbl>
              <c:idx val="6"/>
              <c:numFmt formatCode="#,##0.0" sourceLinked="0"/>
              <c:spPr/>
              <c:txPr>
                <a:bodyPr/>
                <a:lstStyle/>
                <a:p>
                  <a:pPr>
                    <a:defRPr b="0">
                      <a:solidFill>
                        <a:sysClr val="windowText" lastClr="000000"/>
                      </a:solidFill>
                    </a:defRPr>
                  </a:pPr>
                  <a:endParaRPr lang="cs-CZ"/>
                </a:p>
              </c:txPr>
              <c:dLblPos val="outEnd"/>
              <c:showLegendKey val="0"/>
              <c:showVal val="1"/>
              <c:showCatName val="0"/>
              <c:showSerName val="0"/>
              <c:showPercent val="0"/>
              <c:showBubbleSize val="0"/>
            </c:dLbl>
            <c:numFmt formatCode="#,##0.0" sourceLinked="0"/>
            <c:txPr>
              <a:bodyPr/>
              <a:lstStyle/>
              <a:p>
                <a:pPr>
                  <a:defRPr b="0">
                    <a:solidFill>
                      <a:schemeClr val="bg1"/>
                    </a:solidFill>
                  </a:defRPr>
                </a:pPr>
                <a:endParaRPr lang="cs-CZ"/>
              </a:p>
            </c:txPr>
            <c:dLblPos val="inEnd"/>
            <c:showLegendKey val="0"/>
            <c:showVal val="1"/>
            <c:showCatName val="0"/>
            <c:showSerName val="0"/>
            <c:showPercent val="0"/>
            <c:showBubbleSize val="0"/>
            <c:showLeaderLines val="0"/>
          </c:dLbls>
          <c:cat>
            <c:strRef>
              <c:f>'2_2 (2)'!$M$44:$M$52</c:f>
              <c:strCache>
                <c:ptCount val="9"/>
                <c:pt idx="0">
                  <c:v>  doprava pacientů</c:v>
                </c:pt>
                <c:pt idx="1">
                  <c:v>  zobrazovací metody</c:v>
                </c:pt>
                <c:pt idx="2">
                  <c:v>  laboratorní služby</c:v>
                </c:pt>
                <c:pt idx="3">
                  <c:v>  léčiva a ost. zdrav. výrobky (1)</c:v>
                </c:pt>
                <c:pt idx="5">
                  <c:v>  preventivní péče</c:v>
                </c:pt>
                <c:pt idx="6">
                  <c:v>  rehabilitační péče</c:v>
                </c:pt>
                <c:pt idx="7">
                  <c:v>  dlouhodobá péče</c:v>
                </c:pt>
                <c:pt idx="8">
                  <c:v>  léčebná péče</c:v>
                </c:pt>
              </c:strCache>
            </c:strRef>
          </c:cat>
          <c:val>
            <c:numRef>
              <c:f>'2_2 (2)'!$N$44:$N$52</c:f>
              <c:numCache>
                <c:formatCode>#,##0.0</c:formatCode>
                <c:ptCount val="9"/>
                <c:pt idx="0">
                  <c:v>7.3955714285714294</c:v>
                </c:pt>
                <c:pt idx="1">
                  <c:v>10.165857142857144</c:v>
                </c:pt>
                <c:pt idx="2">
                  <c:v>21.185714285714287</c:v>
                </c:pt>
                <c:pt idx="3">
                  <c:v>67.922045435931437</c:v>
                </c:pt>
                <c:pt idx="5">
                  <c:v>10.273285714285715</c:v>
                </c:pt>
                <c:pt idx="6">
                  <c:v>13.918388757142854</c:v>
                </c:pt>
                <c:pt idx="7">
                  <c:v>57.57929285118572</c:v>
                </c:pt>
                <c:pt idx="8">
                  <c:v>139.34443698337321</c:v>
                </c:pt>
              </c:numCache>
            </c:numRef>
          </c:val>
        </c:ser>
        <c:ser>
          <c:idx val="1"/>
          <c:order val="1"/>
          <c:tx>
            <c:strRef>
              <c:f>'2_2 (2)'!$O$43</c:f>
              <c:strCache>
                <c:ptCount val="1"/>
                <c:pt idx="0">
                  <c:v> rok 2015</c:v>
                </c:pt>
              </c:strCache>
            </c:strRef>
          </c:tx>
          <c:spPr>
            <a:solidFill>
              <a:srgbClr val="00B0F0"/>
            </a:solidFill>
          </c:spPr>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
              <c:idx val="6"/>
              <c:dLblPos val="outEnd"/>
              <c:showLegendKey val="0"/>
              <c:showVal val="1"/>
              <c:showCatName val="0"/>
              <c:showSerName val="0"/>
              <c:showPercent val="0"/>
              <c:showBubbleSize val="0"/>
            </c:dLbl>
            <c:numFmt formatCode="#,##0.0" sourceLinked="0"/>
            <c:txPr>
              <a:bodyPr/>
              <a:lstStyle/>
              <a:p>
                <a:pPr>
                  <a:defRPr b="0">
                    <a:solidFill>
                      <a:sysClr val="windowText" lastClr="000000"/>
                    </a:solidFill>
                  </a:defRPr>
                </a:pPr>
                <a:endParaRPr lang="cs-CZ"/>
              </a:p>
            </c:txPr>
            <c:dLblPos val="inEnd"/>
            <c:showLegendKey val="0"/>
            <c:showVal val="1"/>
            <c:showCatName val="0"/>
            <c:showSerName val="0"/>
            <c:showPercent val="0"/>
            <c:showBubbleSize val="0"/>
            <c:showLeaderLines val="0"/>
          </c:dLbls>
          <c:cat>
            <c:strRef>
              <c:f>'2_2 (2)'!$M$44:$M$52</c:f>
              <c:strCache>
                <c:ptCount val="9"/>
                <c:pt idx="0">
                  <c:v>  doprava pacientů</c:v>
                </c:pt>
                <c:pt idx="1">
                  <c:v>  zobrazovací metody</c:v>
                </c:pt>
                <c:pt idx="2">
                  <c:v>  laboratorní služby</c:v>
                </c:pt>
                <c:pt idx="3">
                  <c:v>  léčiva a ost. zdrav. výrobky (1)</c:v>
                </c:pt>
                <c:pt idx="5">
                  <c:v>  preventivní péče</c:v>
                </c:pt>
                <c:pt idx="6">
                  <c:v>  rehabilitační péče</c:v>
                </c:pt>
                <c:pt idx="7">
                  <c:v>  dlouhodobá péče</c:v>
                </c:pt>
                <c:pt idx="8">
                  <c:v>  léčebná péče</c:v>
                </c:pt>
              </c:strCache>
            </c:strRef>
          </c:cat>
          <c:val>
            <c:numRef>
              <c:f>'2_2 (2)'!$O$44:$O$52</c:f>
              <c:numCache>
                <c:formatCode>#,##0.0</c:formatCode>
                <c:ptCount val="9"/>
                <c:pt idx="0">
                  <c:v>7.4989999999999997</c:v>
                </c:pt>
                <c:pt idx="1">
                  <c:v>10.484</c:v>
                </c:pt>
                <c:pt idx="2">
                  <c:v>22.036999999999999</c:v>
                </c:pt>
                <c:pt idx="3">
                  <c:v>67.831000000000003</c:v>
                </c:pt>
                <c:pt idx="5">
                  <c:v>9.0269999999999992</c:v>
                </c:pt>
                <c:pt idx="6">
                  <c:v>14.763999999999999</c:v>
                </c:pt>
                <c:pt idx="7">
                  <c:v>61.018000000000001</c:v>
                </c:pt>
                <c:pt idx="8">
                  <c:v>141.6</c:v>
                </c:pt>
              </c:numCache>
            </c:numRef>
          </c:val>
        </c:ser>
        <c:ser>
          <c:idx val="2"/>
          <c:order val="2"/>
          <c:tx>
            <c:strRef>
              <c:f>'2_2 (2)'!$P$43</c:f>
              <c:strCache>
                <c:ptCount val="1"/>
                <c:pt idx="0">
                  <c:v> rok 2016</c:v>
                </c:pt>
              </c:strCache>
            </c:strRef>
          </c:tx>
          <c:spPr>
            <a:solidFill>
              <a:srgbClr val="FF0000"/>
            </a:solidFill>
          </c:spPr>
          <c:invertIfNegative val="0"/>
          <c:dLbls>
            <c:dLbl>
              <c:idx val="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1"/>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5"/>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6"/>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'2_2 (2)'!$M$44:$M$52</c:f>
              <c:strCache>
                <c:ptCount val="9"/>
                <c:pt idx="0">
                  <c:v>  doprava pacientů</c:v>
                </c:pt>
                <c:pt idx="1">
                  <c:v>  zobrazovací metody</c:v>
                </c:pt>
                <c:pt idx="2">
                  <c:v>  laboratorní služby</c:v>
                </c:pt>
                <c:pt idx="3">
                  <c:v>  léčiva a ost. zdrav. výrobky (1)</c:v>
                </c:pt>
                <c:pt idx="5">
                  <c:v>  preventivní péče</c:v>
                </c:pt>
                <c:pt idx="6">
                  <c:v>  rehabilitační péče</c:v>
                </c:pt>
                <c:pt idx="7">
                  <c:v>  dlouhodobá péče</c:v>
                </c:pt>
                <c:pt idx="8">
                  <c:v>  léčebná péče</c:v>
                </c:pt>
              </c:strCache>
            </c:strRef>
          </c:cat>
          <c:val>
            <c:numRef>
              <c:f>'2_2 (2)'!$P$44:$P$52</c:f>
              <c:numCache>
                <c:formatCode>#,##0.0</c:formatCode>
                <c:ptCount val="9"/>
                <c:pt idx="0">
                  <c:v>7.8559999999999999</c:v>
                </c:pt>
                <c:pt idx="1">
                  <c:v>10.698</c:v>
                </c:pt>
                <c:pt idx="2">
                  <c:v>22.527000000000001</c:v>
                </c:pt>
                <c:pt idx="3">
                  <c:v>69.285318051520008</c:v>
                </c:pt>
                <c:pt idx="5">
                  <c:v>9.7390000000000008</c:v>
                </c:pt>
                <c:pt idx="6">
                  <c:v>15.017721299999993</c:v>
                </c:pt>
                <c:pt idx="7">
                  <c:v>65.264049958299978</c:v>
                </c:pt>
                <c:pt idx="8">
                  <c:v>142.43705888361248</c:v>
                </c:pt>
              </c:numCache>
            </c:numRef>
          </c:val>
        </c:ser>
        <c:dLbls>
          <c:showLegendKey val="0"/>
          <c:showVal val="0"/>
          <c:showCatName val="0"/>
          <c:showSerName val="0"/>
          <c:showPercent val="0"/>
          <c:showBubbleSize val="0"/>
        </c:dLbls>
        <c:gapWidth val="30"/>
        <c:axId val="194600448"/>
        <c:axId val="58885824"/>
      </c:barChart>
      <c:catAx>
        <c:axId val="194600448"/>
        <c:scaling>
          <c:orientation val="minMax"/>
        </c:scaling>
        <c:delete val="0"/>
        <c:axPos val="l"/>
        <c:majorTickMark val="out"/>
        <c:minorTickMark val="none"/>
        <c:tickLblPos val="nextTo"/>
        <c:crossAx val="58885824"/>
        <c:crosses val="autoZero"/>
        <c:auto val="1"/>
        <c:lblAlgn val="ctr"/>
        <c:lblOffset val="100"/>
        <c:noMultiLvlLbl val="0"/>
      </c:catAx>
      <c:valAx>
        <c:axId val="58885824"/>
        <c:scaling>
          <c:orientation val="minMax"/>
          <c:max val="150"/>
          <c:min val="0"/>
        </c:scaling>
        <c:delete val="0"/>
        <c:axPos val="b"/>
        <c:majorGridlines>
          <c:spPr>
            <a:ln>
              <a:prstDash val="dash"/>
            </a:ln>
          </c:spPr>
        </c:majorGridlines>
        <c:numFmt formatCode="#,##0" sourceLinked="0"/>
        <c:majorTickMark val="out"/>
        <c:minorTickMark val="none"/>
        <c:tickLblPos val="nextTo"/>
        <c:crossAx val="194600448"/>
        <c:crosses val="autoZero"/>
        <c:crossBetween val="between"/>
        <c:majorUnit val="10"/>
        <c:minorUnit val="5"/>
      </c:valAx>
      <c:spPr>
        <a:ln>
          <a:solidFill>
            <a:schemeClr val="bg1">
              <a:lumMod val="50000"/>
            </a:schemeClr>
          </a:solidFill>
        </a:ln>
      </c:spPr>
    </c:plotArea>
    <c:legend>
      <c:legendPos val="r"/>
      <c:layout>
        <c:manualLayout>
          <c:xMode val="edge"/>
          <c:yMode val="edge"/>
          <c:x val="0.80235716633793508"/>
          <c:y val="0.62306305555555563"/>
          <c:w val="0.13519658119658121"/>
          <c:h val="0.24455270194029485"/>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8198553583169"/>
          <c:y val="5.0925925925925923E-2"/>
          <c:w val="0.82366491269931053"/>
          <c:h val="0.55068678915135527"/>
        </c:manualLayout>
      </c:layout>
      <c:barChart>
        <c:barDir val="bar"/>
        <c:grouping val="percentStacked"/>
        <c:varyColors val="0"/>
        <c:ser>
          <c:idx val="0"/>
          <c:order val="0"/>
          <c:tx>
            <c:strRef>
              <c:f>'2_2 (2)'!$R$44</c:f>
              <c:strCache>
                <c:ptCount val="1"/>
                <c:pt idx="0">
                  <c:v> léčebná péče</c:v>
                </c:pt>
              </c:strCache>
            </c:strRef>
          </c:tx>
          <c:spPr>
            <a:solidFill>
              <a:srgbClr val="FF000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(2)'!$S$44:$U$44</c:f>
              <c:numCache>
                <c:formatCode>0.0%</c:formatCode>
                <c:ptCount val="3"/>
                <c:pt idx="0">
                  <c:v>0.40285973784352963</c:v>
                </c:pt>
                <c:pt idx="1">
                  <c:v>0.40222793776639398</c:v>
                </c:pt>
                <c:pt idx="2">
                  <c:v>0.39385683224238799</c:v>
                </c:pt>
              </c:numCache>
            </c:numRef>
          </c:val>
        </c:ser>
        <c:ser>
          <c:idx val="1"/>
          <c:order val="1"/>
          <c:tx>
            <c:strRef>
              <c:f>'2_2 (2)'!$R$45</c:f>
              <c:strCache>
                <c:ptCount val="1"/>
                <c:pt idx="0">
                  <c:v> dlouhodobá péče</c:v>
                </c:pt>
              </c:strCache>
            </c:strRef>
          </c:tx>
          <c:spPr>
            <a:solidFill>
              <a:schemeClr val="accent6">
                <a:lumMod val="60000"/>
                <a:lumOff val="4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(2)'!$S$45:$U$45</c:f>
              <c:numCache>
                <c:formatCode>0.0%</c:formatCode>
                <c:ptCount val="3"/>
                <c:pt idx="0">
                  <c:v>0.16646792168683652</c:v>
                </c:pt>
                <c:pt idx="1">
                  <c:v>0.17332729030105812</c:v>
                </c:pt>
                <c:pt idx="2">
                  <c:v>0.18046351263745683</c:v>
                </c:pt>
              </c:numCache>
            </c:numRef>
          </c:val>
        </c:ser>
        <c:ser>
          <c:idx val="2"/>
          <c:order val="2"/>
          <c:tx>
            <c:strRef>
              <c:f>'2_2 (2)'!$R$46</c:f>
              <c:strCache>
                <c:ptCount val="1"/>
                <c:pt idx="0">
                  <c:v> rehabilitační péče</c:v>
                </c:pt>
              </c:strCache>
            </c:strRef>
          </c:tx>
          <c:spPr>
            <a:solidFill>
              <a:schemeClr val="accent2">
                <a:lumMod val="40000"/>
                <a:lumOff val="6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(2)'!$S$46:$U$46</c:f>
              <c:numCache>
                <c:formatCode>0.0%</c:formatCode>
                <c:ptCount val="3"/>
                <c:pt idx="0">
                  <c:v>4.023955722449081E-2</c:v>
                </c:pt>
                <c:pt idx="1">
                  <c:v>4.1938511816264408E-2</c:v>
                </c:pt>
                <c:pt idx="2">
                  <c:v>4.1525935631331272E-2</c:v>
                </c:pt>
              </c:numCache>
            </c:numRef>
          </c:val>
        </c:ser>
        <c:ser>
          <c:idx val="3"/>
          <c:order val="3"/>
          <c:tx>
            <c:strRef>
              <c:f>'2_2 (2)'!$R$47</c:f>
              <c:strCache>
                <c:ptCount val="1"/>
                <c:pt idx="0">
                  <c:v> preventivní péče</c:v>
                </c:pt>
              </c:strCache>
            </c:strRef>
          </c:tx>
          <c:spPr>
            <a:solidFill>
              <a:schemeClr val="accent2">
                <a:lumMod val="20000"/>
                <a:lumOff val="8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(2)'!$S$47:$U$47</c:f>
              <c:numCache>
                <c:formatCode>0.0%</c:formatCode>
                <c:ptCount val="3"/>
                <c:pt idx="0">
                  <c:v>2.97011727145064E-2</c:v>
                </c:pt>
                <c:pt idx="1">
                  <c:v>2.5642031032607614E-2</c:v>
                </c:pt>
                <c:pt idx="2">
                  <c:v>2.6929590650582619E-2</c:v>
                </c:pt>
              </c:numCache>
            </c:numRef>
          </c:val>
        </c:ser>
        <c:ser>
          <c:idx val="4"/>
          <c:order val="4"/>
          <c:tx>
            <c:strRef>
              <c:f>'2_2 (2)'!$R$48</c:f>
              <c:strCache>
                <c:ptCount val="1"/>
                <c:pt idx="0">
                  <c:v> léčiva (1)</c:v>
                </c:pt>
              </c:strCache>
            </c:strRef>
          </c:tx>
          <c:spPr>
            <a:solidFill>
              <a:srgbClr val="0070C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(2)'!$S$48:$U$48</c:f>
              <c:numCache>
                <c:formatCode>0.0%</c:formatCode>
                <c:ptCount val="3"/>
                <c:pt idx="0">
                  <c:v>0.19636993058704344</c:v>
                </c:pt>
                <c:pt idx="1">
                  <c:v>0.19268024891689456</c:v>
                </c:pt>
                <c:pt idx="2">
                  <c:v>0.19158283737784745</c:v>
                </c:pt>
              </c:numCache>
            </c:numRef>
          </c:val>
        </c:ser>
        <c:ser>
          <c:idx val="5"/>
          <c:order val="5"/>
          <c:tx>
            <c:strRef>
              <c:f>'2_2 (2)'!$R$49</c:f>
              <c:strCache>
                <c:ptCount val="1"/>
                <c:pt idx="0">
                  <c:v> laboratorní služby</c:v>
                </c:pt>
              </c:strCache>
            </c:strRef>
          </c:tx>
          <c:spPr>
            <a:solidFill>
              <a:schemeClr val="tx2">
                <a:lumMod val="60000"/>
                <a:lumOff val="4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(2)'!$S$49:$U$49</c:f>
              <c:numCache>
                <c:formatCode>0.0%</c:formatCode>
                <c:ptCount val="3"/>
                <c:pt idx="0">
                  <c:v>6.1250176095577979E-2</c:v>
                </c:pt>
                <c:pt idx="1">
                  <c:v>6.2598143111285476E-2</c:v>
                </c:pt>
                <c:pt idx="2">
                  <c:v>6.2290059409146184E-2</c:v>
                </c:pt>
              </c:numCache>
            </c:numRef>
          </c:val>
        </c:ser>
        <c:ser>
          <c:idx val="6"/>
          <c:order val="6"/>
          <c:tx>
            <c:strRef>
              <c:f>'2_2 (2)'!$R$50</c:f>
              <c:strCache>
                <c:ptCount val="1"/>
                <c:pt idx="0">
                  <c:v> zobrazovací metody</c:v>
                </c:pt>
              </c:strCache>
            </c:strRef>
          </c:tx>
          <c:spPr>
            <a:solidFill>
              <a:schemeClr val="tx2">
                <a:lumMod val="20000"/>
                <a:lumOff val="8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(2)'!$S$50:$U$50</c:f>
              <c:numCache>
                <c:formatCode>0.0%</c:formatCode>
                <c:ptCount val="3"/>
                <c:pt idx="0">
                  <c:v>2.9390585172875419E-2</c:v>
                </c:pt>
                <c:pt idx="1">
                  <c:v>2.9780774714285838E-2</c:v>
                </c:pt>
                <c:pt idx="2">
                  <c:v>2.9581349294581873E-2</c:v>
                </c:pt>
              </c:numCache>
            </c:numRef>
          </c:val>
        </c:ser>
        <c:ser>
          <c:idx val="7"/>
          <c:order val="7"/>
          <c:tx>
            <c:strRef>
              <c:f>'2_2 (2)'!$R$51</c:f>
              <c:strCache>
                <c:ptCount val="1"/>
                <c:pt idx="0">
                  <c:v> doprava pacientů</c:v>
                </c:pt>
              </c:strCache>
            </c:strRef>
          </c:tx>
          <c:spPr>
            <a:solidFill>
              <a:schemeClr val="accent5">
                <a:lumMod val="20000"/>
                <a:lumOff val="80000"/>
              </a:schemeClr>
            </a:solidFill>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(2)'!$S$51:$U$51</c:f>
              <c:numCache>
                <c:formatCode>0.0%</c:formatCode>
                <c:ptCount val="3"/>
                <c:pt idx="0">
                  <c:v>2.1381391546136053E-2</c:v>
                </c:pt>
                <c:pt idx="1">
                  <c:v>2.130160526349003E-2</c:v>
                </c:pt>
                <c:pt idx="2">
                  <c:v>2.1722852875138827E-2</c:v>
                </c:pt>
              </c:numCache>
            </c:numRef>
          </c:val>
        </c:ser>
        <c:ser>
          <c:idx val="8"/>
          <c:order val="8"/>
          <c:tx>
            <c:strRef>
              <c:f>'2_2 (2)'!$R$52</c:f>
              <c:strCache>
                <c:ptCount val="1"/>
                <c:pt idx="0">
                  <c:v> správa systému ZP (2)</c:v>
                </c:pt>
              </c:strCache>
            </c:strRef>
          </c:tx>
          <c:spPr>
            <a:solidFill>
              <a:srgbClr val="00B050"/>
            </a:solidFill>
          </c:spPr>
          <c:invertIfNegative val="0"/>
          <c:dLbls>
            <c:txPr>
              <a:bodyPr rot="-5400000" vert="horz"/>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(2)'!$S$52:$U$52</c:f>
              <c:numCache>
                <c:formatCode>0.0%</c:formatCode>
                <c:ptCount val="3"/>
                <c:pt idx="0">
                  <c:v>2.5278604369048212E-2</c:v>
                </c:pt>
                <c:pt idx="1">
                  <c:v>2.4247299977217081E-2</c:v>
                </c:pt>
                <c:pt idx="2">
                  <c:v>2.3733101607346815E-2</c:v>
                </c:pt>
              </c:numCache>
            </c:numRef>
          </c:val>
        </c:ser>
        <c:ser>
          <c:idx val="9"/>
          <c:order val="9"/>
          <c:tx>
            <c:strRef>
              <c:f>'2_2 (2)'!$R$53</c:f>
              <c:strCache>
                <c:ptCount val="1"/>
                <c:pt idx="0">
                  <c:v> ostatní (3)</c:v>
                </c:pt>
              </c:strCache>
            </c:strRef>
          </c:tx>
          <c:spPr>
            <a:solidFill>
              <a:schemeClr val="bg1">
                <a:lumMod val="50000"/>
              </a:schemeClr>
            </a:solidFill>
          </c:spPr>
          <c:invertIfNegative val="0"/>
          <c:dLbls>
            <c:txPr>
              <a:bodyPr rot="-5400000" vert="horz"/>
              <a:lstStyle/>
              <a:p>
                <a:pPr>
                  <a:defRPr b="1">
                    <a:solidFill>
                      <a:schemeClr val="bg1"/>
                    </a:solidFill>
                  </a:defRPr>
                </a:pPr>
                <a:endParaRPr lang="cs-CZ"/>
              </a:p>
            </c:txPr>
            <c:showLegendKey val="0"/>
            <c:showVal val="1"/>
            <c:showCatName val="0"/>
            <c:showSerName val="0"/>
            <c:showPercent val="0"/>
            <c:showBubbleSize val="0"/>
            <c:showLeaderLines val="0"/>
          </c:dLbls>
          <c:cat>
            <c:strRef>
              <c:f>'2_2 (2)'!$S$43:$U$43</c:f>
              <c:strCache>
                <c:ptCount val="3"/>
                <c:pt idx="0">
                  <c:v> průměr za roky
 2010 až 2016</c:v>
                </c:pt>
                <c:pt idx="1">
                  <c:v> rok 2015</c:v>
                </c:pt>
                <c:pt idx="2">
                  <c:v> rok 2016</c:v>
                </c:pt>
              </c:strCache>
            </c:strRef>
          </c:cat>
          <c:val>
            <c:numRef>
              <c:f>'2_2 (2)'!$S$53:$U$53</c:f>
              <c:numCache>
                <c:formatCode>0.0%</c:formatCode>
                <c:ptCount val="3"/>
                <c:pt idx="0">
                  <c:v>2.7062508826867657E-2</c:v>
                </c:pt>
                <c:pt idx="1">
                  <c:v>2.6262448821888069E-2</c:v>
                </c:pt>
                <c:pt idx="2">
                  <c:v>2.8314393108253871E-2</c:v>
                </c:pt>
              </c:numCache>
            </c:numRef>
          </c:val>
        </c:ser>
        <c:dLbls>
          <c:showLegendKey val="0"/>
          <c:showVal val="0"/>
          <c:showCatName val="0"/>
          <c:showSerName val="0"/>
          <c:showPercent val="0"/>
          <c:showBubbleSize val="0"/>
        </c:dLbls>
        <c:gapWidth val="40"/>
        <c:overlap val="100"/>
        <c:axId val="187428352"/>
        <c:axId val="185228608"/>
      </c:barChart>
      <c:catAx>
        <c:axId val="187428352"/>
        <c:scaling>
          <c:orientation val="minMax"/>
        </c:scaling>
        <c:delete val="0"/>
        <c:axPos val="l"/>
        <c:majorTickMark val="out"/>
        <c:minorTickMark val="none"/>
        <c:tickLblPos val="nextTo"/>
        <c:crossAx val="185228608"/>
        <c:crosses val="autoZero"/>
        <c:auto val="1"/>
        <c:lblAlgn val="ctr"/>
        <c:lblOffset val="100"/>
        <c:noMultiLvlLbl val="0"/>
      </c:catAx>
      <c:valAx>
        <c:axId val="185228608"/>
        <c:scaling>
          <c:orientation val="minMax"/>
        </c:scaling>
        <c:delete val="0"/>
        <c:axPos val="b"/>
        <c:majorGridlines>
          <c:spPr>
            <a:ln>
              <a:prstDash val="dash"/>
            </a:ln>
          </c:spPr>
        </c:majorGridlines>
        <c:numFmt formatCode="0%" sourceLinked="1"/>
        <c:majorTickMark val="out"/>
        <c:minorTickMark val="none"/>
        <c:tickLblPos val="nextTo"/>
        <c:crossAx val="187428352"/>
        <c:crosses val="autoZero"/>
        <c:crossBetween val="between"/>
      </c:valAx>
    </c:plotArea>
    <c:legend>
      <c:legendPos val="r"/>
      <c:layout>
        <c:manualLayout>
          <c:xMode val="edge"/>
          <c:yMode val="edge"/>
          <c:x val="0.10589940828402367"/>
          <c:y val="0.73419181977252901"/>
          <c:w val="0.8921365467320671"/>
          <c:h val="0.22464397919092821"/>
        </c:manualLayout>
      </c:layout>
      <c:overlay val="0"/>
      <c:spPr>
        <a:ln>
          <a:no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4391638888888891"/>
          <c:h val="0.85527012248469003"/>
        </c:manualLayout>
      </c:layout>
      <c:barChart>
        <c:barDir val="col"/>
        <c:grouping val="stacked"/>
        <c:varyColors val="0"/>
        <c:ser>
          <c:idx val="0"/>
          <c:order val="0"/>
          <c:tx>
            <c:strRef>
              <c:f>'2_7'!$A$13</c:f>
              <c:strCache>
                <c:ptCount val="1"/>
                <c:pt idx="0">
                  <c:v> lůžková</c:v>
                </c:pt>
              </c:strCache>
            </c:strRef>
          </c:tx>
          <c:spPr>
            <a:solidFill>
              <a:srgbClr val="FF0000"/>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'2_7'!$F$13:$H$13</c:f>
              <c:numCache>
                <c:formatCode>#,##0.0</c:formatCode>
                <c:ptCount val="3"/>
                <c:pt idx="0">
                  <c:v>52.473000000000006</c:v>
                </c:pt>
                <c:pt idx="1">
                  <c:v>51.431000000000004</c:v>
                </c:pt>
                <c:pt idx="2">
                  <c:v>50.937806674454976</c:v>
                </c:pt>
              </c:numCache>
            </c:numRef>
          </c:val>
        </c:ser>
        <c:ser>
          <c:idx val="1"/>
          <c:order val="1"/>
          <c:tx>
            <c:strRef>
              <c:f>'2_7'!$A$14</c:f>
              <c:strCache>
                <c:ptCount val="1"/>
                <c:pt idx="0">
                  <c:v> denní</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'2_7'!$F$14:$H$14</c:f>
              <c:numCache>
                <c:formatCode>#,##0.0</c:formatCode>
                <c:ptCount val="3"/>
                <c:pt idx="0">
                  <c:v>5.5609999999999964</c:v>
                </c:pt>
                <c:pt idx="1">
                  <c:v>5.7350000000000003</c:v>
                </c:pt>
                <c:pt idx="2">
                  <c:v>5.7200682139999897</c:v>
                </c:pt>
              </c:numCache>
            </c:numRef>
          </c:val>
        </c:ser>
        <c:ser>
          <c:idx val="2"/>
          <c:order val="2"/>
          <c:tx>
            <c:strRef>
              <c:f>'2_7'!$A$15</c:f>
              <c:strCache>
                <c:ptCount val="1"/>
                <c:pt idx="0">
                  <c:v> ambulantní (1)</c:v>
                </c:pt>
              </c:strCache>
            </c:strRef>
          </c:tx>
          <c:spPr>
            <a:solidFill>
              <a:srgbClr val="00B0F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'2_7'!$F$15:$H$15</c:f>
              <c:numCache>
                <c:formatCode>#,##0.0</c:formatCode>
                <c:ptCount val="3"/>
                <c:pt idx="0">
                  <c:v>61.608622727927589</c:v>
                </c:pt>
                <c:pt idx="1">
                  <c:v>66.461267625248695</c:v>
                </c:pt>
                <c:pt idx="2">
                  <c:v>67.361423232845667</c:v>
                </c:pt>
              </c:numCache>
            </c:numRef>
          </c:val>
        </c:ser>
        <c:ser>
          <c:idx val="3"/>
          <c:order val="3"/>
          <c:tx>
            <c:strRef>
              <c:f>'2_7'!$A$16</c:f>
              <c:strCache>
                <c:ptCount val="1"/>
                <c:pt idx="0">
                  <c:v> stomatologická</c:v>
                </c:pt>
              </c:strCache>
            </c:strRef>
          </c:tx>
          <c:spPr>
            <a:solidFill>
              <a:srgbClr val="00B050"/>
            </a:solidFill>
            <a:ln>
              <a:noFill/>
            </a:ln>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'2_7'!$F$16:$H$16</c:f>
              <c:numCache>
                <c:formatCode>#,##0.0</c:formatCode>
                <c:ptCount val="3"/>
                <c:pt idx="0">
                  <c:v>17.490534819759983</c:v>
                </c:pt>
                <c:pt idx="1">
                  <c:v>17.781134462490005</c:v>
                </c:pt>
                <c:pt idx="2">
                  <c:v>18.230256919950026</c:v>
                </c:pt>
              </c:numCache>
            </c:numRef>
          </c:val>
        </c:ser>
        <c:ser>
          <c:idx val="4"/>
          <c:order val="4"/>
          <c:tx>
            <c:strRef>
              <c:f>'2_7'!$A$17</c:f>
              <c:strCache>
                <c:ptCount val="1"/>
                <c:pt idx="0">
                  <c:v> domácí</c:v>
                </c:pt>
              </c:strCache>
            </c:strRef>
          </c:tx>
          <c:spPr>
            <a:solidFill>
              <a:schemeClr val="tx1"/>
            </a:solidFill>
            <a:ln>
              <a:noFill/>
            </a:ln>
          </c:spPr>
          <c:invertIfNegative val="0"/>
          <c:cat>
            <c:strRef>
              <c:f>'2_7'!$F$12:$H$12</c:f>
              <c:strCache>
                <c:ptCount val="3"/>
                <c:pt idx="0">
                  <c:v>2014</c:v>
                </c:pt>
                <c:pt idx="1">
                  <c:v>2015</c:v>
                </c:pt>
                <c:pt idx="2">
                  <c:v>2016</c:v>
                </c:pt>
              </c:strCache>
            </c:strRef>
          </c:cat>
          <c:val>
            <c:numRef>
              <c:f>'2_7'!$F$17:$H$17</c:f>
              <c:numCache>
                <c:formatCode>#,##0.0</c:formatCode>
                <c:ptCount val="3"/>
                <c:pt idx="0">
                  <c:v>0.1790000000000001</c:v>
                </c:pt>
                <c:pt idx="1">
                  <c:v>0.192</c:v>
                </c:pt>
                <c:pt idx="2">
                  <c:v>0.18749738100000068</c:v>
                </c:pt>
              </c:numCache>
            </c:numRef>
          </c:val>
        </c:ser>
        <c:ser>
          <c:idx val="5"/>
          <c:order val="5"/>
          <c:tx>
            <c:strRef>
              <c:f>'2_7'!$A$18</c:f>
              <c:strCache>
                <c:ptCount val="1"/>
                <c:pt idx="0">
                  <c:v>Léčebná péče celkem</c:v>
                </c:pt>
              </c:strCache>
            </c:strRef>
          </c:tx>
          <c:spPr>
            <a:noFill/>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'2_7'!$F$12:$H$12</c:f>
              <c:strCache>
                <c:ptCount val="3"/>
                <c:pt idx="0">
                  <c:v>2014</c:v>
                </c:pt>
                <c:pt idx="1">
                  <c:v>2015</c:v>
                </c:pt>
                <c:pt idx="2">
                  <c:v>2016</c:v>
                </c:pt>
              </c:strCache>
            </c:strRef>
          </c:cat>
          <c:val>
            <c:numRef>
              <c:f>'2_7'!$F$18:$H$18</c:f>
              <c:numCache>
                <c:formatCode>#,##0.0</c:formatCode>
                <c:ptCount val="3"/>
                <c:pt idx="0">
                  <c:v>137.31100000000001</c:v>
                </c:pt>
                <c:pt idx="1">
                  <c:v>141.6</c:v>
                </c:pt>
                <c:pt idx="2">
                  <c:v>142.43705888361259</c:v>
                </c:pt>
              </c:numCache>
            </c:numRef>
          </c:val>
        </c:ser>
        <c:dLbls>
          <c:showLegendKey val="0"/>
          <c:showVal val="0"/>
          <c:showCatName val="0"/>
          <c:showSerName val="0"/>
          <c:showPercent val="0"/>
          <c:showBubbleSize val="0"/>
        </c:dLbls>
        <c:gapWidth val="30"/>
        <c:overlap val="100"/>
        <c:axId val="198341120"/>
        <c:axId val="58887552"/>
      </c:barChart>
      <c:catAx>
        <c:axId val="198341120"/>
        <c:scaling>
          <c:orientation val="minMax"/>
        </c:scaling>
        <c:delete val="0"/>
        <c:axPos val="b"/>
        <c:numFmt formatCode="General" sourceLinked="1"/>
        <c:majorTickMark val="out"/>
        <c:minorTickMark val="none"/>
        <c:tickLblPos val="nextTo"/>
        <c:crossAx val="58887552"/>
        <c:crosses val="autoZero"/>
        <c:auto val="1"/>
        <c:lblAlgn val="ctr"/>
        <c:lblOffset val="100"/>
        <c:noMultiLvlLbl val="0"/>
      </c:catAx>
      <c:valAx>
        <c:axId val="58887552"/>
        <c:scaling>
          <c:orientation val="minMax"/>
          <c:max val="160"/>
        </c:scaling>
        <c:delete val="0"/>
        <c:axPos val="l"/>
        <c:majorGridlines>
          <c:spPr>
            <a:ln>
              <a:prstDash val="dash"/>
            </a:ln>
          </c:spPr>
        </c:majorGridlines>
        <c:numFmt formatCode="#,##0" sourceLinked="0"/>
        <c:majorTickMark val="none"/>
        <c:minorTickMark val="none"/>
        <c:tickLblPos val="none"/>
        <c:crossAx val="198341120"/>
        <c:crosses val="autoZero"/>
        <c:crossBetween val="between"/>
        <c:majorUnit val="20"/>
        <c:minorUnit val="10"/>
      </c:valAx>
      <c:spPr>
        <a:ln>
          <a:solidFill>
            <a:schemeClr val="bg1">
              <a:lumMod val="75000"/>
            </a:schemeClr>
          </a:solidFill>
        </a:ln>
      </c:spPr>
    </c:plotArea>
    <c:legend>
      <c:legendPos val="r"/>
      <c:legendEntry>
        <c:idx val="0"/>
        <c:delete val="1"/>
      </c:legendEntry>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'2_7'!$A$4</c:f>
              <c:strCache>
                <c:ptCount val="1"/>
                <c:pt idx="0">
                  <c:v> lůžková</c:v>
                </c:pt>
              </c:strCache>
            </c:strRef>
          </c:tx>
          <c:spPr>
            <a:solidFill>
              <a:srgbClr val="FF000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'2_7'!$F$4:$H$4</c:f>
              <c:numCache>
                <c:formatCode>0.0%</c:formatCode>
                <c:ptCount val="3"/>
                <c:pt idx="0">
                  <c:v>0.3821470967366053</c:v>
                </c:pt>
                <c:pt idx="1">
                  <c:v>0.36321327683615817</c:v>
                </c:pt>
                <c:pt idx="2">
                  <c:v>0.35761624870446868</c:v>
                </c:pt>
              </c:numCache>
            </c:numRef>
          </c:val>
        </c:ser>
        <c:ser>
          <c:idx val="1"/>
          <c:order val="1"/>
          <c:tx>
            <c:strRef>
              <c:f>'2_7'!$A$5</c:f>
              <c:strCache>
                <c:ptCount val="1"/>
                <c:pt idx="0">
                  <c:v> denní</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'2_7'!$F$5:$H$5</c:f>
              <c:numCache>
                <c:formatCode>0.0%</c:formatCode>
                <c:ptCount val="3"/>
                <c:pt idx="0">
                  <c:v>4.0499304498547092E-2</c:v>
                </c:pt>
                <c:pt idx="1">
                  <c:v>4.0501412429378526E-2</c:v>
                </c:pt>
                <c:pt idx="2">
                  <c:v>4.0158567291634015E-2</c:v>
                </c:pt>
              </c:numCache>
            </c:numRef>
          </c:val>
        </c:ser>
        <c:ser>
          <c:idx val="2"/>
          <c:order val="2"/>
          <c:tx>
            <c:strRef>
              <c:f>'2_7'!$A$6</c:f>
              <c:strCache>
                <c:ptCount val="1"/>
                <c:pt idx="0">
                  <c:v> ambulantní (1)</c:v>
                </c:pt>
              </c:strCache>
            </c:strRef>
          </c:tx>
          <c:spPr>
            <a:solidFill>
              <a:srgbClr val="00B0F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'2_7'!$F$6:$H$6</c:f>
              <c:numCache>
                <c:formatCode>0.0%</c:formatCode>
                <c:ptCount val="3"/>
                <c:pt idx="0">
                  <c:v>0.4486794410347868</c:v>
                </c:pt>
                <c:pt idx="1">
                  <c:v>0.46935923464158574</c:v>
                </c:pt>
                <c:pt idx="2">
                  <c:v>0.47292062726377793</c:v>
                </c:pt>
              </c:numCache>
            </c:numRef>
          </c:val>
        </c:ser>
        <c:ser>
          <c:idx val="3"/>
          <c:order val="3"/>
          <c:tx>
            <c:strRef>
              <c:f>'2_7'!$A$7</c:f>
              <c:strCache>
                <c:ptCount val="1"/>
                <c:pt idx="0">
                  <c:v> stomatologická</c:v>
                </c:pt>
              </c:strCache>
            </c:strRef>
          </c:tx>
          <c:spPr>
            <a:solidFill>
              <a:srgbClr val="00B05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'2_7'!$F$3:$H$3</c:f>
              <c:strCache>
                <c:ptCount val="3"/>
                <c:pt idx="0">
                  <c:v>2014</c:v>
                </c:pt>
                <c:pt idx="1">
                  <c:v>2015</c:v>
                </c:pt>
                <c:pt idx="2">
                  <c:v>2016</c:v>
                </c:pt>
              </c:strCache>
            </c:strRef>
          </c:cat>
          <c:val>
            <c:numRef>
              <c:f>'2_7'!$F$7:$H$7</c:f>
              <c:numCache>
                <c:formatCode>0.0%</c:formatCode>
                <c:ptCount val="3"/>
                <c:pt idx="0">
                  <c:v>0.12737897779318474</c:v>
                </c:pt>
                <c:pt idx="1">
                  <c:v>0.12557298349216117</c:v>
                </c:pt>
                <c:pt idx="2">
                  <c:v>0.12798815886002152</c:v>
                </c:pt>
              </c:numCache>
            </c:numRef>
          </c:val>
        </c:ser>
        <c:ser>
          <c:idx val="4"/>
          <c:order val="4"/>
          <c:tx>
            <c:strRef>
              <c:f>'2_7'!$A$8</c:f>
              <c:strCache>
                <c:ptCount val="1"/>
                <c:pt idx="0">
                  <c:v> domácí</c:v>
                </c:pt>
              </c:strCache>
            </c:strRef>
          </c:tx>
          <c:invertIfNegative val="0"/>
          <c:cat>
            <c:strRef>
              <c:f>'2_7'!$F$3:$H$3</c:f>
              <c:strCache>
                <c:ptCount val="3"/>
                <c:pt idx="0">
                  <c:v>2014</c:v>
                </c:pt>
                <c:pt idx="1">
                  <c:v>2015</c:v>
                </c:pt>
                <c:pt idx="2">
                  <c:v>2016</c:v>
                </c:pt>
              </c:strCache>
            </c:strRef>
          </c:cat>
          <c:val>
            <c:numRef>
              <c:f>'2_7'!$F$8:$H$8</c:f>
              <c:numCache>
                <c:formatCode>0.0%</c:formatCode>
                <c:ptCount val="3"/>
                <c:pt idx="0">
                  <c:v>1.3036100530911588E-3</c:v>
                </c:pt>
                <c:pt idx="1">
                  <c:v>1.3559322033898306E-3</c:v>
                </c:pt>
                <c:pt idx="2">
                  <c:v>1.3163525171718663E-3</c:v>
                </c:pt>
              </c:numCache>
            </c:numRef>
          </c:val>
        </c:ser>
        <c:dLbls>
          <c:showLegendKey val="0"/>
          <c:showVal val="0"/>
          <c:showCatName val="0"/>
          <c:showSerName val="0"/>
          <c:showPercent val="0"/>
          <c:showBubbleSize val="0"/>
        </c:dLbls>
        <c:gapWidth val="50"/>
        <c:overlap val="100"/>
        <c:axId val="198343168"/>
        <c:axId val="58891008"/>
      </c:barChart>
      <c:catAx>
        <c:axId val="198343168"/>
        <c:scaling>
          <c:orientation val="minMax"/>
        </c:scaling>
        <c:delete val="0"/>
        <c:axPos val="b"/>
        <c:numFmt formatCode="General" sourceLinked="1"/>
        <c:majorTickMark val="out"/>
        <c:minorTickMark val="none"/>
        <c:tickLblPos val="nextTo"/>
        <c:crossAx val="58891008"/>
        <c:crosses val="autoZero"/>
        <c:auto val="1"/>
        <c:lblAlgn val="ctr"/>
        <c:lblOffset val="100"/>
        <c:noMultiLvlLbl val="0"/>
      </c:catAx>
      <c:valAx>
        <c:axId val="58891008"/>
        <c:scaling>
          <c:orientation val="minMax"/>
          <c:max val="1"/>
        </c:scaling>
        <c:delete val="0"/>
        <c:axPos val="l"/>
        <c:majorGridlines>
          <c:spPr>
            <a:ln>
              <a:prstDash val="dash"/>
            </a:ln>
          </c:spPr>
        </c:majorGridlines>
        <c:numFmt formatCode="0%" sourceLinked="0"/>
        <c:majorTickMark val="none"/>
        <c:minorTickMark val="none"/>
        <c:tickLblPos val="none"/>
        <c:crossAx val="198343168"/>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58821461988304058"/>
          <c:h val="0.85527012248469003"/>
        </c:manualLayout>
      </c:layout>
      <c:barChart>
        <c:barDir val="col"/>
        <c:grouping val="stacked"/>
        <c:varyColors val="0"/>
        <c:ser>
          <c:idx val="0"/>
          <c:order val="0"/>
          <c:tx>
            <c:strRef>
              <c:f>'2_8'!$A$13</c:f>
              <c:strCache>
                <c:ptCount val="1"/>
                <c:pt idx="0">
                  <c:v> léky na předpis</c:v>
                </c:pt>
              </c:strCache>
            </c:strRef>
          </c:tx>
          <c:spPr>
            <a:solidFill>
              <a:schemeClr val="accent2">
                <a:lumMod val="75000"/>
              </a:schemeClr>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'2_8'!$D$13:$H$13</c:f>
              <c:numCache>
                <c:formatCode>#,##0.0</c:formatCode>
                <c:ptCount val="5"/>
                <c:pt idx="0">
                  <c:v>46.136242076430108</c:v>
                </c:pt>
                <c:pt idx="1">
                  <c:v>41.993872785000001</c:v>
                </c:pt>
                <c:pt idx="2">
                  <c:v>41.46142476499999</c:v>
                </c:pt>
                <c:pt idx="3">
                  <c:v>41.780529850000001</c:v>
                </c:pt>
                <c:pt idx="4">
                  <c:v>42.252809820000003</c:v>
                </c:pt>
              </c:numCache>
            </c:numRef>
          </c:val>
        </c:ser>
        <c:ser>
          <c:idx val="1"/>
          <c:order val="1"/>
          <c:tx>
            <c:strRef>
              <c:f>'2_8'!$A$14</c:f>
              <c:strCache>
                <c:ptCount val="1"/>
                <c:pt idx="0">
                  <c:v> volně prodejné léky</c:v>
                </c:pt>
              </c:strCache>
            </c:strRef>
          </c:tx>
          <c:spPr>
            <a:solidFill>
              <a:schemeClr val="accent2">
                <a:lumMod val="40000"/>
                <a:lumOff val="6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'2_8'!$D$14:$H$14</c:f>
              <c:numCache>
                <c:formatCode>#,##0.0</c:formatCode>
                <c:ptCount val="5"/>
                <c:pt idx="0">
                  <c:v>12.088000000000001</c:v>
                </c:pt>
                <c:pt idx="1">
                  <c:v>11.179</c:v>
                </c:pt>
                <c:pt idx="2">
                  <c:v>12.14</c:v>
                </c:pt>
                <c:pt idx="3">
                  <c:v>12.744</c:v>
                </c:pt>
                <c:pt idx="4">
                  <c:v>13.447000000000001</c:v>
                </c:pt>
              </c:numCache>
            </c:numRef>
          </c:val>
        </c:ser>
        <c:ser>
          <c:idx val="2"/>
          <c:order val="2"/>
          <c:tx>
            <c:strRef>
              <c:f>'2_8'!$A$15</c:f>
              <c:strCache>
                <c:ptCount val="1"/>
                <c:pt idx="0">
                  <c:v> léky spotřebované přímo ve ZZ (1)</c:v>
                </c:pt>
              </c:strCache>
            </c:strRef>
          </c:tx>
          <c:spPr>
            <a:pattFill prst="ltUpDiag">
              <a:fgClr>
                <a:srgbClr val="FF0000"/>
              </a:fgClr>
              <a:bgClr>
                <a:schemeClr val="bg1"/>
              </a:bgClr>
            </a:pattFill>
          </c:spPr>
          <c:invertIfNegative val="0"/>
          <c:dLbls>
            <c:txPr>
              <a:bodyPr/>
              <a:lstStyle/>
              <a:p>
                <a:pPr>
                  <a:defRPr b="1"/>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'2_8'!$D$15:$H$15</c:f>
              <c:numCache>
                <c:formatCode>#,##0.0</c:formatCode>
                <c:ptCount val="5"/>
                <c:pt idx="0">
                  <c:v>17.641157000000014</c:v>
                </c:pt>
                <c:pt idx="1">
                  <c:v>18.662196999999981</c:v>
                </c:pt>
                <c:pt idx="2">
                  <c:v>20.241109000000002</c:v>
                </c:pt>
                <c:pt idx="3">
                  <c:v>22.306852000000013</c:v>
                </c:pt>
                <c:pt idx="4">
                  <c:v>23.4</c:v>
                </c:pt>
              </c:numCache>
            </c:numRef>
          </c:val>
        </c:ser>
        <c:ser>
          <c:idx val="3"/>
          <c:order val="3"/>
          <c:tx>
            <c:strRef>
              <c:f>'2_8'!$A$16</c:f>
              <c:strCache>
                <c:ptCount val="1"/>
                <c:pt idx="0">
                  <c:v> terapeutické pomůcky</c:v>
                </c:pt>
              </c:strCache>
            </c:strRef>
          </c:tx>
          <c:spPr>
            <a:solidFill>
              <a:srgbClr val="00B0F0"/>
            </a:solidFill>
            <a:ln>
              <a:noFill/>
            </a:ln>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'2_8'!$D$16:$H$16</c:f>
              <c:numCache>
                <c:formatCode>#,##0.0</c:formatCode>
                <c:ptCount val="5"/>
                <c:pt idx="0">
                  <c:v>9.2860820990000068</c:v>
                </c:pt>
                <c:pt idx="1">
                  <c:v>10.562966914000008</c:v>
                </c:pt>
                <c:pt idx="2">
                  <c:v>10.063605268000007</c:v>
                </c:pt>
                <c:pt idx="3">
                  <c:v>9.7695422730000079</c:v>
                </c:pt>
                <c:pt idx="4">
                  <c:v>9.9208073910000003</c:v>
                </c:pt>
              </c:numCache>
            </c:numRef>
          </c:val>
        </c:ser>
        <c:ser>
          <c:idx val="4"/>
          <c:order val="4"/>
          <c:tx>
            <c:strRef>
              <c:f>'2_8'!$A$17</c:f>
              <c:strCache>
                <c:ptCount val="1"/>
                <c:pt idx="0">
                  <c:v> ostatní zdrav. materiál a výrobky</c:v>
                </c:pt>
              </c:strCache>
            </c:strRef>
          </c:tx>
          <c:spPr>
            <a:solidFill>
              <a:schemeClr val="bg1">
                <a:lumMod val="50000"/>
              </a:schemeClr>
            </a:solidFill>
            <a:ln>
              <a:noFill/>
            </a:ln>
          </c:spPr>
          <c:invertIfNegative val="0"/>
          <c:cat>
            <c:strRef>
              <c:f>'2_8'!$D$12:$H$12</c:f>
              <c:strCache>
                <c:ptCount val="5"/>
                <c:pt idx="0">
                  <c:v>2012</c:v>
                </c:pt>
                <c:pt idx="1">
                  <c:v>2013</c:v>
                </c:pt>
                <c:pt idx="2">
                  <c:v>2014</c:v>
                </c:pt>
                <c:pt idx="3">
                  <c:v>2015</c:v>
                </c:pt>
                <c:pt idx="4">
                  <c:v>2016</c:v>
                </c:pt>
              </c:strCache>
            </c:strRef>
          </c:cat>
          <c:val>
            <c:numRef>
              <c:f>'2_8'!$D$17:$H$17</c:f>
              <c:numCache>
                <c:formatCode>#,##0.0</c:formatCode>
                <c:ptCount val="5"/>
                <c:pt idx="0">
                  <c:v>3.1654680709999998</c:v>
                </c:pt>
                <c:pt idx="1">
                  <c:v>3.0484557029999997</c:v>
                </c:pt>
                <c:pt idx="2">
                  <c:v>3.3558651549999974</c:v>
                </c:pt>
                <c:pt idx="3">
                  <c:v>3.5359773989999996</c:v>
                </c:pt>
                <c:pt idx="4">
                  <c:v>3.6647016780000023</c:v>
                </c:pt>
              </c:numCache>
            </c:numRef>
          </c:val>
        </c:ser>
        <c:ser>
          <c:idx val="5"/>
          <c:order val="5"/>
          <c:tx>
            <c:strRef>
              <c:f>'2_8'!$A$18</c:f>
              <c:strCache>
                <c:ptCount val="1"/>
                <c:pt idx="0">
                  <c:v>Léčiva a ostatní zdravotnické výrobky celkem</c:v>
                </c:pt>
              </c:strCache>
            </c:strRef>
          </c:tx>
          <c:spPr>
            <a:noFill/>
          </c:spPr>
          <c:invertIfNegative val="0"/>
          <c:dLbls>
            <c:txPr>
              <a:bodyPr/>
              <a:lstStyle/>
              <a:p>
                <a:pPr>
                  <a:defRPr b="1" i="1"/>
                </a:pPr>
                <a:endParaRPr lang="cs-CZ"/>
              </a:p>
            </c:txPr>
            <c:dLblPos val="inBase"/>
            <c:showLegendKey val="0"/>
            <c:showVal val="1"/>
            <c:showCatName val="0"/>
            <c:showSerName val="0"/>
            <c:showPercent val="0"/>
            <c:showBubbleSize val="0"/>
            <c:showLeaderLines val="0"/>
          </c:dLbls>
          <c:cat>
            <c:strRef>
              <c:f>'2_8'!$D$12:$H$12</c:f>
              <c:strCache>
                <c:ptCount val="5"/>
                <c:pt idx="0">
                  <c:v>2012</c:v>
                </c:pt>
                <c:pt idx="1">
                  <c:v>2013</c:v>
                </c:pt>
                <c:pt idx="2">
                  <c:v>2014</c:v>
                </c:pt>
                <c:pt idx="3">
                  <c:v>2015</c:v>
                </c:pt>
                <c:pt idx="4">
                  <c:v>2016</c:v>
                </c:pt>
              </c:strCache>
            </c:strRef>
          </c:cat>
          <c:val>
            <c:numRef>
              <c:f>'2_8'!$D$18:$H$18</c:f>
              <c:numCache>
                <c:formatCode>#,##0.0</c:formatCode>
                <c:ptCount val="5"/>
                <c:pt idx="0">
                  <c:v>88.316949246430113</c:v>
                </c:pt>
                <c:pt idx="1">
                  <c:v>85.446492402000004</c:v>
                </c:pt>
                <c:pt idx="2">
                  <c:v>87.262004187999949</c:v>
                </c:pt>
                <c:pt idx="3">
                  <c:v>90.136901521999988</c:v>
                </c:pt>
                <c:pt idx="4">
                  <c:v>92.685318888999888</c:v>
                </c:pt>
              </c:numCache>
            </c:numRef>
          </c:val>
        </c:ser>
        <c:dLbls>
          <c:showLegendKey val="0"/>
          <c:showVal val="0"/>
          <c:showCatName val="0"/>
          <c:showSerName val="0"/>
          <c:showPercent val="0"/>
          <c:showBubbleSize val="0"/>
        </c:dLbls>
        <c:gapWidth val="30"/>
        <c:overlap val="100"/>
        <c:axId val="201617920"/>
        <c:axId val="185225728"/>
      </c:barChart>
      <c:catAx>
        <c:axId val="201617920"/>
        <c:scaling>
          <c:orientation val="minMax"/>
        </c:scaling>
        <c:delete val="0"/>
        <c:axPos val="b"/>
        <c:numFmt formatCode="General" sourceLinked="1"/>
        <c:majorTickMark val="out"/>
        <c:minorTickMark val="none"/>
        <c:tickLblPos val="nextTo"/>
        <c:crossAx val="185225728"/>
        <c:crosses val="autoZero"/>
        <c:auto val="1"/>
        <c:lblAlgn val="ctr"/>
        <c:lblOffset val="100"/>
        <c:noMultiLvlLbl val="0"/>
      </c:catAx>
      <c:valAx>
        <c:axId val="185225728"/>
        <c:scaling>
          <c:orientation val="minMax"/>
          <c:max val="100"/>
        </c:scaling>
        <c:delete val="0"/>
        <c:axPos val="l"/>
        <c:majorGridlines>
          <c:spPr>
            <a:ln>
              <a:prstDash val="dash"/>
            </a:ln>
          </c:spPr>
        </c:majorGridlines>
        <c:numFmt formatCode="#,##0" sourceLinked="0"/>
        <c:majorTickMark val="none"/>
        <c:minorTickMark val="none"/>
        <c:tickLblPos val="none"/>
        <c:crossAx val="201617920"/>
        <c:crosses val="autoZero"/>
        <c:crossBetween val="between"/>
        <c:majorUnit val="10"/>
        <c:minorUnit val="5"/>
      </c:valAx>
      <c:spPr>
        <a:ln>
          <a:solidFill>
            <a:schemeClr val="bg1">
              <a:lumMod val="75000"/>
            </a:schemeClr>
          </a:solidFill>
        </a:ln>
      </c:spPr>
    </c:plotArea>
    <c:legend>
      <c:legendPos val="r"/>
      <c:legendEntry>
        <c:idx val="0"/>
        <c:delete val="1"/>
      </c:legendEntry>
      <c:layout>
        <c:manualLayout>
          <c:xMode val="edge"/>
          <c:yMode val="edge"/>
          <c:x val="0.64438254410399254"/>
          <c:y val="0.23824497130802422"/>
          <c:w val="0.31104921077065922"/>
          <c:h val="0.52298413029497137"/>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'2_8'!$A$4</c:f>
              <c:strCache>
                <c:ptCount val="1"/>
                <c:pt idx="0">
                  <c:v> léky na předpis</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'2_8'!$D$4:$H$4</c:f>
              <c:numCache>
                <c:formatCode>0.0%</c:formatCode>
                <c:ptCount val="5"/>
                <c:pt idx="0">
                  <c:v>0.52239397386447872</c:v>
                </c:pt>
                <c:pt idx="1">
                  <c:v>0.49146397475781123</c:v>
                </c:pt>
                <c:pt idx="2">
                  <c:v>0.4751372049130822</c:v>
                </c:pt>
                <c:pt idx="3">
                  <c:v>0.46352303157217462</c:v>
                </c:pt>
                <c:pt idx="4">
                  <c:v>0.45587381395970644</c:v>
                </c:pt>
              </c:numCache>
            </c:numRef>
          </c:val>
        </c:ser>
        <c:ser>
          <c:idx val="1"/>
          <c:order val="1"/>
          <c:tx>
            <c:strRef>
              <c:f>'2_8'!$A$5</c:f>
              <c:strCache>
                <c:ptCount val="1"/>
                <c:pt idx="0">
                  <c:v> volně prodejné léky</c:v>
                </c:pt>
              </c:strCache>
            </c:strRef>
          </c:tx>
          <c:spPr>
            <a:solidFill>
              <a:schemeClr val="accent2">
                <a:lumMod val="40000"/>
                <a:lumOff val="6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'2_8'!$D$5:$H$5</c:f>
              <c:numCache>
                <c:formatCode>0.0%</c:formatCode>
                <c:ptCount val="5"/>
                <c:pt idx="0">
                  <c:v>0.13687066982206264</c:v>
                </c:pt>
                <c:pt idx="1">
                  <c:v>0.13083041428320039</c:v>
                </c:pt>
                <c:pt idx="2">
                  <c:v>0.13912126031216523</c:v>
                </c:pt>
                <c:pt idx="3">
                  <c:v>0.14138493541282357</c:v>
                </c:pt>
                <c:pt idx="4">
                  <c:v>0.14508230819278026</c:v>
                </c:pt>
              </c:numCache>
            </c:numRef>
          </c:val>
        </c:ser>
        <c:ser>
          <c:idx val="2"/>
          <c:order val="2"/>
          <c:tx>
            <c:strRef>
              <c:f>'2_8'!$A$6</c:f>
              <c:strCache>
                <c:ptCount val="1"/>
                <c:pt idx="0">
                  <c:v> léky spotřebované přímo ve ZZ (1)</c:v>
                </c:pt>
              </c:strCache>
            </c:strRef>
          </c:tx>
          <c:spPr>
            <a:pattFill prst="ltUpDiag">
              <a:fgClr>
                <a:srgbClr val="FF0000"/>
              </a:fgClr>
              <a:bgClr>
                <a:schemeClr val="bg1"/>
              </a:bgClr>
            </a:pattFill>
          </c:spPr>
          <c:invertIfNegative val="0"/>
          <c:dLbls>
            <c:txPr>
              <a:bodyPr/>
              <a:lstStyle/>
              <a:p>
                <a:pPr>
                  <a:defRPr b="1"/>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'2_8'!$D$6:$H$6</c:f>
              <c:numCache>
                <c:formatCode>0.0%</c:formatCode>
                <c:ptCount val="5"/>
                <c:pt idx="0">
                  <c:v>0.19974826067390544</c:v>
                </c:pt>
                <c:pt idx="1">
                  <c:v>0.21840799400167299</c:v>
                </c:pt>
                <c:pt idx="2">
                  <c:v>0.2319578743159729</c:v>
                </c:pt>
                <c:pt idx="3">
                  <c:v>0.24747746620240227</c:v>
                </c:pt>
                <c:pt idx="4">
                  <c:v>0.25246716826883731</c:v>
                </c:pt>
              </c:numCache>
            </c:numRef>
          </c:val>
        </c:ser>
        <c:ser>
          <c:idx val="3"/>
          <c:order val="3"/>
          <c:tx>
            <c:strRef>
              <c:f>'2_8'!$A$7</c:f>
              <c:strCache>
                <c:ptCount val="1"/>
                <c:pt idx="0">
                  <c:v> terapeutické pomůcky</c:v>
                </c:pt>
              </c:strCache>
            </c:strRef>
          </c:tx>
          <c:spPr>
            <a:solidFill>
              <a:srgbClr val="00B0F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'2_8'!$D$3:$H$3</c:f>
              <c:strCache>
                <c:ptCount val="5"/>
                <c:pt idx="0">
                  <c:v>2012</c:v>
                </c:pt>
                <c:pt idx="1">
                  <c:v>2013</c:v>
                </c:pt>
                <c:pt idx="2">
                  <c:v>2014</c:v>
                </c:pt>
                <c:pt idx="3">
                  <c:v>2015</c:v>
                </c:pt>
                <c:pt idx="4">
                  <c:v>2016</c:v>
                </c:pt>
              </c:strCache>
            </c:strRef>
          </c:cat>
          <c:val>
            <c:numRef>
              <c:f>'2_8'!$D$7:$H$7</c:f>
              <c:numCache>
                <c:formatCode>0.0%</c:formatCode>
                <c:ptCount val="5"/>
                <c:pt idx="0">
                  <c:v>0.10514496003580372</c:v>
                </c:pt>
                <c:pt idx="1">
                  <c:v>0.12362083705325705</c:v>
                </c:pt>
                <c:pt idx="2">
                  <c:v>0.11532631368766932</c:v>
                </c:pt>
                <c:pt idx="3">
                  <c:v>0.10838560132461979</c:v>
                </c:pt>
                <c:pt idx="4">
                  <c:v>0.10703752773274872</c:v>
                </c:pt>
              </c:numCache>
            </c:numRef>
          </c:val>
        </c:ser>
        <c:ser>
          <c:idx val="4"/>
          <c:order val="4"/>
          <c:tx>
            <c:strRef>
              <c:f>'2_8'!$A$8</c:f>
              <c:strCache>
                <c:ptCount val="1"/>
                <c:pt idx="0">
                  <c:v> ostatní zdrav. materiál a výrobky</c:v>
                </c:pt>
              </c:strCache>
            </c:strRef>
          </c:tx>
          <c:spPr>
            <a:solidFill>
              <a:schemeClr val="bg1">
                <a:lumMod val="50000"/>
              </a:schemeClr>
            </a:solidFill>
          </c:spPr>
          <c:invertIfNegative val="0"/>
          <c:cat>
            <c:strRef>
              <c:f>'2_8'!$D$3:$H$3</c:f>
              <c:strCache>
                <c:ptCount val="5"/>
                <c:pt idx="0">
                  <c:v>2012</c:v>
                </c:pt>
                <c:pt idx="1">
                  <c:v>2013</c:v>
                </c:pt>
                <c:pt idx="2">
                  <c:v>2014</c:v>
                </c:pt>
                <c:pt idx="3">
                  <c:v>2015</c:v>
                </c:pt>
                <c:pt idx="4">
                  <c:v>2016</c:v>
                </c:pt>
              </c:strCache>
            </c:strRef>
          </c:cat>
          <c:val>
            <c:numRef>
              <c:f>'2_8'!$D$8:$H$8</c:f>
              <c:numCache>
                <c:formatCode>0.0%</c:formatCode>
                <c:ptCount val="5"/>
                <c:pt idx="0">
                  <c:v>3.5842135603749409E-2</c:v>
                </c:pt>
                <c:pt idx="1">
                  <c:v>3.5676779904058951E-2</c:v>
                </c:pt>
                <c:pt idx="2">
                  <c:v>3.8457346771110401E-2</c:v>
                </c:pt>
                <c:pt idx="3">
                  <c:v>3.9228965487980147E-2</c:v>
                </c:pt>
                <c:pt idx="4">
                  <c:v>3.9539181845928049E-2</c:v>
                </c:pt>
              </c:numCache>
            </c:numRef>
          </c:val>
        </c:ser>
        <c:dLbls>
          <c:showLegendKey val="0"/>
          <c:showVal val="0"/>
          <c:showCatName val="0"/>
          <c:showSerName val="0"/>
          <c:showPercent val="0"/>
          <c:showBubbleSize val="0"/>
        </c:dLbls>
        <c:gapWidth val="50"/>
        <c:overlap val="100"/>
        <c:axId val="201619968"/>
        <c:axId val="58891584"/>
      </c:barChart>
      <c:catAx>
        <c:axId val="201619968"/>
        <c:scaling>
          <c:orientation val="minMax"/>
        </c:scaling>
        <c:delete val="0"/>
        <c:axPos val="b"/>
        <c:numFmt formatCode="General" sourceLinked="1"/>
        <c:majorTickMark val="out"/>
        <c:minorTickMark val="none"/>
        <c:tickLblPos val="nextTo"/>
        <c:crossAx val="58891584"/>
        <c:crosses val="autoZero"/>
        <c:auto val="1"/>
        <c:lblAlgn val="ctr"/>
        <c:lblOffset val="100"/>
        <c:noMultiLvlLbl val="0"/>
      </c:catAx>
      <c:valAx>
        <c:axId val="58891584"/>
        <c:scaling>
          <c:orientation val="minMax"/>
          <c:max val="1"/>
        </c:scaling>
        <c:delete val="0"/>
        <c:axPos val="l"/>
        <c:majorGridlines>
          <c:spPr>
            <a:ln>
              <a:prstDash val="dash"/>
            </a:ln>
          </c:spPr>
        </c:majorGridlines>
        <c:numFmt formatCode="0%" sourceLinked="0"/>
        <c:majorTickMark val="none"/>
        <c:minorTickMark val="none"/>
        <c:tickLblPos val="none"/>
        <c:crossAx val="201619968"/>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19221944444445"/>
          <c:h val="0.85527012248469003"/>
        </c:manualLayout>
      </c:layout>
      <c:barChart>
        <c:barDir val="col"/>
        <c:grouping val="stacked"/>
        <c:varyColors val="0"/>
        <c:ser>
          <c:idx val="0"/>
          <c:order val="0"/>
          <c:tx>
            <c:strRef>
              <c:f>'2_9'!$A$4</c:f>
              <c:strCache>
                <c:ptCount val="1"/>
                <c:pt idx="0">
                  <c:v> laboratorní 
 služby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'2_9'!$D$4:$H$4</c:f>
              <c:numCache>
                <c:formatCode>#,##0.0</c:formatCode>
                <c:ptCount val="5"/>
                <c:pt idx="0">
                  <c:v>21.001133312</c:v>
                </c:pt>
                <c:pt idx="1">
                  <c:v>21.215005044000005</c:v>
                </c:pt>
                <c:pt idx="2">
                  <c:v>21.454005407000015</c:v>
                </c:pt>
                <c:pt idx="3">
                  <c:v>22.037013264999999</c:v>
                </c:pt>
                <c:pt idx="4">
                  <c:v>22.527041127000015</c:v>
                </c:pt>
              </c:numCache>
            </c:numRef>
          </c:val>
        </c:ser>
        <c:ser>
          <c:idx val="1"/>
          <c:order val="1"/>
          <c:tx>
            <c:strRef>
              <c:f>'2_9'!$A$5</c:f>
              <c:strCache>
                <c:ptCount val="1"/>
                <c:pt idx="0">
                  <c:v> zobrazovací 
 služby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'2_9'!$D$5:$H$5</c:f>
              <c:numCache>
                <c:formatCode>#,##0.0</c:formatCode>
                <c:ptCount val="5"/>
                <c:pt idx="0">
                  <c:v>9.8609492800000087</c:v>
                </c:pt>
                <c:pt idx="1">
                  <c:v>10.044060403999998</c:v>
                </c:pt>
                <c:pt idx="2">
                  <c:v>10.490058283</c:v>
                </c:pt>
                <c:pt idx="3">
                  <c:v>10.483837113000007</c:v>
                </c:pt>
                <c:pt idx="4">
                  <c:v>10.697739198000004</c:v>
                </c:pt>
              </c:numCache>
            </c:numRef>
          </c:val>
        </c:ser>
        <c:ser>
          <c:idx val="2"/>
          <c:order val="2"/>
          <c:tx>
            <c:strRef>
              <c:f>'2_9'!$A$6</c:f>
              <c:strCache>
                <c:ptCount val="1"/>
                <c:pt idx="0">
                  <c:v> doprava 
 pacientů</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'2_9'!$D$6:$H$6</c:f>
              <c:numCache>
                <c:formatCode>#,##0.0</c:formatCode>
                <c:ptCount val="5"/>
                <c:pt idx="0">
                  <c:v>7.350522875999995</c:v>
                </c:pt>
                <c:pt idx="1">
                  <c:v>7.2098101220000004</c:v>
                </c:pt>
                <c:pt idx="2">
                  <c:v>6.9388643230000024</c:v>
                </c:pt>
                <c:pt idx="3">
                  <c:v>7.4991198540000008</c:v>
                </c:pt>
                <c:pt idx="4">
                  <c:v>7.8558322739999946</c:v>
                </c:pt>
              </c:numCache>
            </c:numRef>
          </c:val>
        </c:ser>
        <c:ser>
          <c:idx val="3"/>
          <c:order val="3"/>
          <c:tx>
            <c:strRef>
              <c:f>'2_9'!$A$7</c:f>
              <c:strCache>
                <c:ptCount val="1"/>
                <c:pt idx="0">
                  <c:v>Doplňkové služby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numRef>
              <c:f>'2_9'!$D$3:$H$3</c:f>
              <c:numCache>
                <c:formatCode>General</c:formatCode>
                <c:ptCount val="5"/>
                <c:pt idx="0">
                  <c:v>2012</c:v>
                </c:pt>
                <c:pt idx="1">
                  <c:v>2013</c:v>
                </c:pt>
                <c:pt idx="2">
                  <c:v>2014</c:v>
                </c:pt>
                <c:pt idx="3">
                  <c:v>2015</c:v>
                </c:pt>
                <c:pt idx="4">
                  <c:v>2016</c:v>
                </c:pt>
              </c:numCache>
            </c:numRef>
          </c:cat>
          <c:val>
            <c:numRef>
              <c:f>'2_9'!$D$7:$H$7</c:f>
              <c:numCache>
                <c:formatCode>#,##0.0</c:formatCode>
                <c:ptCount val="5"/>
                <c:pt idx="0">
                  <c:v>38.212605468</c:v>
                </c:pt>
                <c:pt idx="1">
                  <c:v>38.468875570000002</c:v>
                </c:pt>
                <c:pt idx="2">
                  <c:v>38.882928013000004</c:v>
                </c:pt>
                <c:pt idx="3">
                  <c:v>40.019970232000013</c:v>
                </c:pt>
                <c:pt idx="4">
                  <c:v>41.080612599000006</c:v>
                </c:pt>
              </c:numCache>
            </c:numRef>
          </c:val>
        </c:ser>
        <c:dLbls>
          <c:showLegendKey val="0"/>
          <c:showVal val="0"/>
          <c:showCatName val="0"/>
          <c:showSerName val="0"/>
          <c:showPercent val="0"/>
          <c:showBubbleSize val="0"/>
        </c:dLbls>
        <c:gapWidth val="50"/>
        <c:overlap val="100"/>
        <c:axId val="201883648"/>
        <c:axId val="184290688"/>
      </c:barChart>
      <c:catAx>
        <c:axId val="201883648"/>
        <c:scaling>
          <c:orientation val="minMax"/>
        </c:scaling>
        <c:delete val="0"/>
        <c:axPos val="b"/>
        <c:numFmt formatCode="General" sourceLinked="1"/>
        <c:majorTickMark val="out"/>
        <c:minorTickMark val="none"/>
        <c:tickLblPos val="nextTo"/>
        <c:crossAx val="184290688"/>
        <c:crosses val="autoZero"/>
        <c:auto val="1"/>
        <c:lblAlgn val="ctr"/>
        <c:lblOffset val="100"/>
        <c:noMultiLvlLbl val="0"/>
      </c:catAx>
      <c:valAx>
        <c:axId val="184290688"/>
        <c:scaling>
          <c:orientation val="minMax"/>
          <c:max val="50"/>
        </c:scaling>
        <c:delete val="0"/>
        <c:axPos val="l"/>
        <c:majorGridlines>
          <c:spPr>
            <a:ln>
              <a:prstDash val="dash"/>
            </a:ln>
          </c:spPr>
        </c:majorGridlines>
        <c:numFmt formatCode="#,##0" sourceLinked="0"/>
        <c:majorTickMark val="none"/>
        <c:minorTickMark val="none"/>
        <c:tickLblPos val="none"/>
        <c:crossAx val="201883648"/>
        <c:crosses val="autoZero"/>
        <c:crossBetween val="between"/>
        <c:majorUnit val="10"/>
        <c:minorUnit val="1"/>
      </c:valAx>
      <c:spPr>
        <a:ln>
          <a:solidFill>
            <a:schemeClr val="bg1">
              <a:lumMod val="75000"/>
            </a:schemeClr>
          </a:solidFill>
        </a:ln>
      </c:spPr>
    </c:plotArea>
    <c:legend>
      <c:legendPos val="r"/>
      <c:legendEntry>
        <c:idx val="0"/>
        <c:delete val="1"/>
      </c:legendEntry>
      <c:layout>
        <c:manualLayout>
          <c:xMode val="edge"/>
          <c:yMode val="edge"/>
          <c:x val="0.66983777777777775"/>
          <c:y val="0.19124453193350832"/>
          <c:w val="0.31520416666666695"/>
          <c:h val="0.6053922426363376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'2_9'!$A$10</c:f>
              <c:strCache>
                <c:ptCount val="1"/>
                <c:pt idx="0">
                  <c:v> laboratorní 
 služby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'2_9'!$D$9:$H$9</c:f>
              <c:numCache>
                <c:formatCode>General</c:formatCode>
                <c:ptCount val="5"/>
                <c:pt idx="0">
                  <c:v>2012</c:v>
                </c:pt>
                <c:pt idx="1">
                  <c:v>2013</c:v>
                </c:pt>
                <c:pt idx="2">
                  <c:v>2014</c:v>
                </c:pt>
                <c:pt idx="3">
                  <c:v>2015</c:v>
                </c:pt>
                <c:pt idx="4">
                  <c:v>2016</c:v>
                </c:pt>
              </c:numCache>
            </c:numRef>
          </c:cat>
          <c:val>
            <c:numRef>
              <c:f>'2_9'!$D$10:$H$10</c:f>
              <c:numCache>
                <c:formatCode>0%</c:formatCode>
                <c:ptCount val="5"/>
                <c:pt idx="0">
                  <c:v>0.54958653184710837</c:v>
                </c:pt>
                <c:pt idx="1">
                  <c:v>0.55148492722112596</c:v>
                </c:pt>
                <c:pt idx="2">
                  <c:v>0.55175899818622531</c:v>
                </c:pt>
                <c:pt idx="3">
                  <c:v>0.55065041621093491</c:v>
                </c:pt>
                <c:pt idx="4">
                  <c:v>0.54836185981190422</c:v>
                </c:pt>
              </c:numCache>
            </c:numRef>
          </c:val>
        </c:ser>
        <c:ser>
          <c:idx val="1"/>
          <c:order val="1"/>
          <c:tx>
            <c:strRef>
              <c:f>'2_9'!$A$11</c:f>
              <c:strCache>
                <c:ptCount val="1"/>
                <c:pt idx="0">
                  <c:v> zobrazovací 
 služby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'2_9'!$D$9:$H$9</c:f>
              <c:numCache>
                <c:formatCode>General</c:formatCode>
                <c:ptCount val="5"/>
                <c:pt idx="0">
                  <c:v>2012</c:v>
                </c:pt>
                <c:pt idx="1">
                  <c:v>2013</c:v>
                </c:pt>
                <c:pt idx="2">
                  <c:v>2014</c:v>
                </c:pt>
                <c:pt idx="3">
                  <c:v>2015</c:v>
                </c:pt>
                <c:pt idx="4">
                  <c:v>2016</c:v>
                </c:pt>
              </c:numCache>
            </c:numRef>
          </c:cat>
          <c:val>
            <c:numRef>
              <c:f>'2_9'!$D$11:$H$11</c:f>
              <c:numCache>
                <c:formatCode>0%</c:formatCode>
                <c:ptCount val="5"/>
                <c:pt idx="0">
                  <c:v>0.25805487899163948</c:v>
                </c:pt>
                <c:pt idx="1">
                  <c:v>0.26109576261784162</c:v>
                </c:pt>
                <c:pt idx="2">
                  <c:v>0.26978570851178635</c:v>
                </c:pt>
                <c:pt idx="3">
                  <c:v>0.2619651402093528</c:v>
                </c:pt>
                <c:pt idx="4">
                  <c:v>0.26040846329201112</c:v>
                </c:pt>
              </c:numCache>
            </c:numRef>
          </c:val>
        </c:ser>
        <c:ser>
          <c:idx val="2"/>
          <c:order val="2"/>
          <c:tx>
            <c:strRef>
              <c:f>'2_9'!$A$12</c:f>
              <c:strCache>
                <c:ptCount val="1"/>
                <c:pt idx="0">
                  <c:v> doprava 
 pacientů</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'2_9'!$D$9:$H$9</c:f>
              <c:numCache>
                <c:formatCode>General</c:formatCode>
                <c:ptCount val="5"/>
                <c:pt idx="0">
                  <c:v>2012</c:v>
                </c:pt>
                <c:pt idx="1">
                  <c:v>2013</c:v>
                </c:pt>
                <c:pt idx="2">
                  <c:v>2014</c:v>
                </c:pt>
                <c:pt idx="3">
                  <c:v>2015</c:v>
                </c:pt>
                <c:pt idx="4">
                  <c:v>2016</c:v>
                </c:pt>
              </c:numCache>
            </c:numRef>
          </c:cat>
          <c:val>
            <c:numRef>
              <c:f>'2_9'!$D$12:$H$12</c:f>
              <c:numCache>
                <c:formatCode>0%</c:formatCode>
                <c:ptCount val="5"/>
                <c:pt idx="0">
                  <c:v>0.1923585891612514</c:v>
                </c:pt>
                <c:pt idx="1">
                  <c:v>0.18741931016103294</c:v>
                </c:pt>
                <c:pt idx="2">
                  <c:v>0.17845529330198812</c:v>
                </c:pt>
                <c:pt idx="3">
                  <c:v>0.18738444357971326</c:v>
                </c:pt>
                <c:pt idx="4">
                  <c:v>0.1912296768960848</c:v>
                </c:pt>
              </c:numCache>
            </c:numRef>
          </c:val>
        </c:ser>
        <c:dLbls>
          <c:showLegendKey val="0"/>
          <c:showVal val="0"/>
          <c:showCatName val="0"/>
          <c:showSerName val="0"/>
          <c:showPercent val="0"/>
          <c:showBubbleSize val="0"/>
        </c:dLbls>
        <c:gapWidth val="50"/>
        <c:overlap val="100"/>
        <c:axId val="201885696"/>
        <c:axId val="184292416"/>
      </c:barChart>
      <c:catAx>
        <c:axId val="201885696"/>
        <c:scaling>
          <c:orientation val="minMax"/>
        </c:scaling>
        <c:delete val="0"/>
        <c:axPos val="b"/>
        <c:numFmt formatCode="General" sourceLinked="1"/>
        <c:majorTickMark val="out"/>
        <c:minorTickMark val="none"/>
        <c:tickLblPos val="nextTo"/>
        <c:crossAx val="184292416"/>
        <c:crosses val="autoZero"/>
        <c:auto val="1"/>
        <c:lblAlgn val="ctr"/>
        <c:lblOffset val="100"/>
        <c:noMultiLvlLbl val="0"/>
      </c:catAx>
      <c:valAx>
        <c:axId val="184292416"/>
        <c:scaling>
          <c:orientation val="minMax"/>
          <c:max val="1"/>
        </c:scaling>
        <c:delete val="0"/>
        <c:axPos val="l"/>
        <c:majorGridlines>
          <c:spPr>
            <a:ln>
              <a:prstDash val="dash"/>
            </a:ln>
          </c:spPr>
        </c:majorGridlines>
        <c:numFmt formatCode="0%" sourceLinked="0"/>
        <c:majorTickMark val="none"/>
        <c:minorTickMark val="none"/>
        <c:tickLblPos val="none"/>
        <c:crossAx val="201885696"/>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59099972222222219"/>
          <c:h val="0.85527012248469003"/>
        </c:manualLayout>
      </c:layout>
      <c:barChart>
        <c:barDir val="col"/>
        <c:grouping val="stacked"/>
        <c:varyColors val="0"/>
        <c:ser>
          <c:idx val="0"/>
          <c:order val="0"/>
          <c:tx>
            <c:strRef>
              <c:f>'2_10'!$A$16</c:f>
              <c:strCache>
                <c:ptCount val="1"/>
                <c:pt idx="0">
                  <c:v> Nemocnice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'2_10'!$F$16:$H$16</c:f>
              <c:numCache>
                <c:formatCode>#,##0.0</c:formatCode>
                <c:ptCount val="3"/>
                <c:pt idx="0">
                  <c:v>136.87205240100002</c:v>
                </c:pt>
                <c:pt idx="1">
                  <c:v>137.195415333</c:v>
                </c:pt>
                <c:pt idx="2">
                  <c:v>138.93479299299997</c:v>
                </c:pt>
              </c:numCache>
            </c:numRef>
          </c:val>
        </c:ser>
        <c:ser>
          <c:idx val="1"/>
          <c:order val="1"/>
          <c:tx>
            <c:strRef>
              <c:f>'2_10'!$A$17</c:f>
              <c:strCache>
                <c:ptCount val="1"/>
                <c:pt idx="0">
                  <c:v> Zařízení 
 ambulantní péče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'2_10'!$F$17:$H$17</c:f>
              <c:numCache>
                <c:formatCode>#,##0.0</c:formatCode>
                <c:ptCount val="3"/>
                <c:pt idx="0">
                  <c:v>71.987942351000001</c:v>
                </c:pt>
                <c:pt idx="1">
                  <c:v>72.855706118199848</c:v>
                </c:pt>
                <c:pt idx="2">
                  <c:v>74.34188971899998</c:v>
                </c:pt>
              </c:numCache>
            </c:numRef>
          </c:val>
        </c:ser>
        <c:ser>
          <c:idx val="2"/>
          <c:order val="2"/>
          <c:tx>
            <c:strRef>
              <c:f>'2_10'!$A$18</c:f>
              <c:strCache>
                <c:ptCount val="1"/>
                <c:pt idx="0">
                  <c:v> Zařízení 
 dlouhodobé péče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'2_10'!$F$18:$H$18</c:f>
              <c:numCache>
                <c:formatCode>#,##0.0</c:formatCode>
                <c:ptCount val="3"/>
                <c:pt idx="0">
                  <c:v>22.573848160000015</c:v>
                </c:pt>
                <c:pt idx="1">
                  <c:v>24.42611020999998</c:v>
                </c:pt>
                <c:pt idx="2">
                  <c:v>26.014267921999998</c:v>
                </c:pt>
              </c:numCache>
            </c:numRef>
          </c:val>
        </c:ser>
        <c:ser>
          <c:idx val="3"/>
          <c:order val="3"/>
          <c:tx>
            <c:strRef>
              <c:f>'2_10'!$A$19</c:f>
              <c:strCache>
                <c:ptCount val="1"/>
                <c:pt idx="0">
                  <c:v> Ostatní přímí 
 poskytovatelé ZP (2)</c:v>
                </c:pt>
              </c:strCache>
            </c:strRef>
          </c:tx>
          <c:spPr>
            <a:solidFill>
              <a:schemeClr val="tx1">
                <a:lumMod val="50000"/>
                <a:lumOff val="50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'2_10'!$F$19:$H$19</c:f>
              <c:numCache>
                <c:formatCode>#,##0.0</c:formatCode>
                <c:ptCount val="3"/>
                <c:pt idx="0">
                  <c:v>23.970055660000014</c:v>
                </c:pt>
                <c:pt idx="1">
                  <c:v>23.524916000000001</c:v>
                </c:pt>
                <c:pt idx="2">
                  <c:v>25.586912869999981</c:v>
                </c:pt>
              </c:numCache>
            </c:numRef>
          </c:val>
        </c:ser>
        <c:ser>
          <c:idx val="4"/>
          <c:order val="4"/>
          <c:tx>
            <c:strRef>
              <c:f>'2_10'!$A$20</c:f>
              <c:strCache>
                <c:ptCount val="1"/>
                <c:pt idx="0">
                  <c:v> Lékárny a ost. 
 prodejci zdrav. zboží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'2_10'!$F$20:$H$20</c:f>
              <c:numCache>
                <c:formatCode>#,##0.0</c:formatCode>
                <c:ptCount val="3"/>
                <c:pt idx="0">
                  <c:v>55.540638307000002</c:v>
                </c:pt>
                <c:pt idx="1">
                  <c:v>56.59237205000003</c:v>
                </c:pt>
                <c:pt idx="2">
                  <c:v>58.178856543000009</c:v>
                </c:pt>
              </c:numCache>
            </c:numRef>
          </c:val>
        </c:ser>
        <c:ser>
          <c:idx val="5"/>
          <c:order val="5"/>
          <c:tx>
            <c:strRef>
              <c:f>'2_10'!$A$21</c:f>
              <c:strCache>
                <c:ptCount val="1"/>
                <c:pt idx="0">
                  <c:v> Poskytovatelé 
 doplňkových služeb (3)</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'2_10'!$F$21:$H$21</c:f>
              <c:numCache>
                <c:formatCode>#,##0.0</c:formatCode>
                <c:ptCount val="3"/>
                <c:pt idx="0">
                  <c:v>11.240274626999998</c:v>
                </c:pt>
                <c:pt idx="1">
                  <c:v>11.960302287000006</c:v>
                </c:pt>
                <c:pt idx="2">
                  <c:v>12.988934166</c:v>
                </c:pt>
              </c:numCache>
            </c:numRef>
          </c:val>
        </c:ser>
        <c:ser>
          <c:idx val="6"/>
          <c:order val="6"/>
          <c:tx>
            <c:strRef>
              <c:f>'2_10'!$A$22</c:f>
              <c:strCache>
                <c:ptCount val="1"/>
                <c:pt idx="0">
                  <c:v> Správa systému 
 zdravotní péče</c:v>
                </c:pt>
              </c:strCache>
            </c:strRef>
          </c:tx>
          <c:invertIfNegative val="0"/>
          <c:cat>
            <c:strRef>
              <c:f>'2_10'!$F$15:$H$15</c:f>
              <c:strCache>
                <c:ptCount val="3"/>
                <c:pt idx="0">
                  <c:v>2014</c:v>
                </c:pt>
                <c:pt idx="1">
                  <c:v>2015</c:v>
                </c:pt>
                <c:pt idx="2">
                  <c:v>2016</c:v>
                </c:pt>
              </c:strCache>
            </c:strRef>
          </c:cat>
          <c:val>
            <c:numRef>
              <c:f>'2_10'!$F$22:$H$22</c:f>
              <c:numCache>
                <c:formatCode>#,##0.0</c:formatCode>
                <c:ptCount val="3"/>
                <c:pt idx="0">
                  <c:v>11.311317150999999</c:v>
                </c:pt>
                <c:pt idx="1">
                  <c:v>10.845175649000002</c:v>
                </c:pt>
                <c:pt idx="2">
                  <c:v>11.066501775000004</c:v>
                </c:pt>
              </c:numCache>
            </c:numRef>
          </c:val>
        </c:ser>
        <c:ser>
          <c:idx val="7"/>
          <c:order val="7"/>
          <c:tx>
            <c:strRef>
              <c:f>'2_10'!$A$23</c:f>
              <c:strCache>
                <c:ptCount val="1"/>
                <c:pt idx="0">
                  <c:v> ostatní nebo 
 nerozlišeno</c:v>
                </c:pt>
              </c:strCache>
            </c:strRef>
          </c:tx>
          <c:spPr>
            <a:solidFill>
              <a:schemeClr val="tx1"/>
            </a:solidFill>
          </c:spPr>
          <c:invertIfNegative val="0"/>
          <c:cat>
            <c:strRef>
              <c:f>'2_10'!$F$15:$H$15</c:f>
              <c:strCache>
                <c:ptCount val="3"/>
                <c:pt idx="0">
                  <c:v>2014</c:v>
                </c:pt>
                <c:pt idx="1">
                  <c:v>2015</c:v>
                </c:pt>
                <c:pt idx="2">
                  <c:v>2016</c:v>
                </c:pt>
              </c:strCache>
            </c:strRef>
          </c:cat>
          <c:val>
            <c:numRef>
              <c:f>'2_10'!$F$23:$H$23</c:f>
              <c:numCache>
                <c:formatCode>#,##0.0</c:formatCode>
                <c:ptCount val="3"/>
                <c:pt idx="0">
                  <c:v>15.234324701099563</c:v>
                </c:pt>
                <c:pt idx="1">
                  <c:v>14.639198800259294</c:v>
                </c:pt>
                <c:pt idx="2">
                  <c:v>14.534633462522095</c:v>
                </c:pt>
              </c:numCache>
            </c:numRef>
          </c:val>
        </c:ser>
        <c:ser>
          <c:idx val="8"/>
          <c:order val="8"/>
          <c:tx>
            <c:strRef>
              <c:f>'2_10'!$A$24</c:f>
              <c:strCache>
                <c:ptCount val="1"/>
                <c:pt idx="0">
                  <c:v>Zdravotní péče celkem</c:v>
                </c:pt>
              </c:strCache>
            </c:strRef>
          </c:tx>
          <c:spPr>
            <a:noFill/>
            <a:ln>
              <a:noFill/>
            </a:ln>
          </c:spPr>
          <c:invertIfNegative val="0"/>
          <c:dLbls>
            <c:txPr>
              <a:bodyPr/>
              <a:lstStyle/>
              <a:p>
                <a:pPr>
                  <a:defRPr b="1" i="1"/>
                </a:pPr>
                <a:endParaRPr lang="cs-CZ"/>
              </a:p>
            </c:txPr>
            <c:dLblPos val="inBase"/>
            <c:showLegendKey val="0"/>
            <c:showVal val="1"/>
            <c:showCatName val="0"/>
            <c:showSerName val="0"/>
            <c:showPercent val="0"/>
            <c:showBubbleSize val="0"/>
            <c:showLeaderLines val="0"/>
          </c:dLbls>
          <c:cat>
            <c:strRef>
              <c:f>'2_10'!$F$15:$H$15</c:f>
              <c:strCache>
                <c:ptCount val="3"/>
                <c:pt idx="0">
                  <c:v>2014</c:v>
                </c:pt>
                <c:pt idx="1">
                  <c:v>2015</c:v>
                </c:pt>
                <c:pt idx="2">
                  <c:v>2016</c:v>
                </c:pt>
              </c:strCache>
            </c:strRef>
          </c:cat>
          <c:val>
            <c:numRef>
              <c:f>'2_10'!$F$24:$H$24</c:f>
              <c:numCache>
                <c:formatCode>#,##0.0</c:formatCode>
                <c:ptCount val="3"/>
                <c:pt idx="0">
                  <c:v>348.73045335809917</c:v>
                </c:pt>
                <c:pt idx="1">
                  <c:v>352.03919644745895</c:v>
                </c:pt>
                <c:pt idx="2">
                  <c:v>361.64678945052196</c:v>
                </c:pt>
              </c:numCache>
            </c:numRef>
          </c:val>
        </c:ser>
        <c:dLbls>
          <c:showLegendKey val="0"/>
          <c:showVal val="0"/>
          <c:showCatName val="0"/>
          <c:showSerName val="0"/>
          <c:showPercent val="0"/>
          <c:showBubbleSize val="0"/>
        </c:dLbls>
        <c:gapWidth val="50"/>
        <c:overlap val="100"/>
        <c:axId val="217567744"/>
        <c:axId val="184291264"/>
      </c:barChart>
      <c:catAx>
        <c:axId val="217567744"/>
        <c:scaling>
          <c:orientation val="minMax"/>
        </c:scaling>
        <c:delete val="0"/>
        <c:axPos val="b"/>
        <c:numFmt formatCode="General" sourceLinked="1"/>
        <c:majorTickMark val="out"/>
        <c:minorTickMark val="none"/>
        <c:tickLblPos val="nextTo"/>
        <c:crossAx val="184291264"/>
        <c:crosses val="autoZero"/>
        <c:auto val="1"/>
        <c:lblAlgn val="ctr"/>
        <c:lblOffset val="100"/>
        <c:noMultiLvlLbl val="0"/>
      </c:catAx>
      <c:valAx>
        <c:axId val="184291264"/>
        <c:scaling>
          <c:orientation val="minMax"/>
          <c:max val="400"/>
        </c:scaling>
        <c:delete val="0"/>
        <c:axPos val="l"/>
        <c:majorGridlines>
          <c:spPr>
            <a:ln>
              <a:prstDash val="dash"/>
            </a:ln>
          </c:spPr>
        </c:majorGridlines>
        <c:numFmt formatCode="#,##0" sourceLinked="0"/>
        <c:majorTickMark val="none"/>
        <c:minorTickMark val="none"/>
        <c:tickLblPos val="none"/>
        <c:crossAx val="217567744"/>
        <c:crosses val="autoZero"/>
        <c:crossBetween val="between"/>
        <c:majorUnit val="50"/>
        <c:minorUnit val="10"/>
      </c:valAx>
      <c:spPr>
        <a:ln>
          <a:solidFill>
            <a:schemeClr val="tx1">
              <a:tint val="75000"/>
              <a:shade val="95000"/>
              <a:satMod val="105000"/>
            </a:schemeClr>
          </a:solidFill>
        </a:ln>
      </c:spPr>
    </c:plotArea>
    <c:legend>
      <c:legendPos val="r"/>
      <c:legendEntry>
        <c:idx val="0"/>
        <c:delete val="1"/>
      </c:legendEntry>
      <c:layout>
        <c:manualLayout>
          <c:xMode val="edge"/>
          <c:yMode val="edge"/>
          <c:x val="0.62750444444444464"/>
          <c:y val="7.0292013888888949E-2"/>
          <c:w val="0.34391666666666704"/>
          <c:h val="0.8534111111111111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94377749999999982"/>
          <c:h val="0.85527012248469003"/>
        </c:manualLayout>
      </c:layout>
      <c:barChart>
        <c:barDir val="col"/>
        <c:grouping val="stacked"/>
        <c:varyColors val="0"/>
        <c:ser>
          <c:idx val="0"/>
          <c:order val="0"/>
          <c:tx>
            <c:strRef>
              <c:f>'2_10'!$A$4</c:f>
              <c:strCache>
                <c:ptCount val="1"/>
                <c:pt idx="0">
                  <c:v> Nemocnice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'2_10'!$F$4:$H$4</c:f>
              <c:numCache>
                <c:formatCode>0.0%</c:formatCode>
                <c:ptCount val="3"/>
                <c:pt idx="0">
                  <c:v>0.39248666436495855</c:v>
                </c:pt>
                <c:pt idx="1">
                  <c:v>0.38971630635873256</c:v>
                </c:pt>
                <c:pt idx="2">
                  <c:v>0.38417261550723147</c:v>
                </c:pt>
              </c:numCache>
            </c:numRef>
          </c:val>
        </c:ser>
        <c:ser>
          <c:idx val="1"/>
          <c:order val="1"/>
          <c:tx>
            <c:strRef>
              <c:f>'2_10'!$A$5</c:f>
              <c:strCache>
                <c:ptCount val="1"/>
                <c:pt idx="0">
                  <c:v> Zařízení 
 ambulantní péče</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'2_10'!$F$5:$H$5</c:f>
              <c:numCache>
                <c:formatCode>0.0%</c:formatCode>
                <c:ptCount val="3"/>
                <c:pt idx="0">
                  <c:v>0.20642860885188594</c:v>
                </c:pt>
                <c:pt idx="1">
                  <c:v>0.20695339284207681</c:v>
                </c:pt>
                <c:pt idx="2">
                  <c:v>0.20556490998289634</c:v>
                </c:pt>
              </c:numCache>
            </c:numRef>
          </c:val>
        </c:ser>
        <c:ser>
          <c:idx val="2"/>
          <c:order val="2"/>
          <c:tx>
            <c:strRef>
              <c:f>'2_10'!$A$6</c:f>
              <c:strCache>
                <c:ptCount val="1"/>
                <c:pt idx="0">
                  <c:v> Zařízení 
 dlouhodobé péče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'2_10'!$F$6:$H$6</c:f>
              <c:numCache>
                <c:formatCode>0.0%</c:formatCode>
                <c:ptCount val="3"/>
                <c:pt idx="0">
                  <c:v>6.473150808203057E-2</c:v>
                </c:pt>
                <c:pt idx="1">
                  <c:v>6.9384632326433437E-2</c:v>
                </c:pt>
                <c:pt idx="2">
                  <c:v>7.193280482739943E-2</c:v>
                </c:pt>
              </c:numCache>
            </c:numRef>
          </c:val>
        </c:ser>
        <c:ser>
          <c:idx val="3"/>
          <c:order val="3"/>
          <c:tx>
            <c:strRef>
              <c:f>'2_10'!$A$7</c:f>
              <c:strCache>
                <c:ptCount val="1"/>
                <c:pt idx="0">
                  <c:v> Ostatní přímí 
 poskytovatelé ZP (2)</c:v>
                </c:pt>
              </c:strCache>
            </c:strRef>
          </c:tx>
          <c:spPr>
            <a:solidFill>
              <a:schemeClr val="tx1">
                <a:lumMod val="50000"/>
                <a:lumOff val="50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'2_10'!$F$7:$H$7</c:f>
              <c:numCache>
                <c:formatCode>0.0%</c:formatCode>
                <c:ptCount val="3"/>
                <c:pt idx="0">
                  <c:v>6.8735194845131534E-2</c:v>
                </c:pt>
                <c:pt idx="1">
                  <c:v>6.6824706559376029E-2</c:v>
                </c:pt>
                <c:pt idx="2">
                  <c:v>7.0751113009674918E-2</c:v>
                </c:pt>
              </c:numCache>
            </c:numRef>
          </c:val>
        </c:ser>
        <c:ser>
          <c:idx val="4"/>
          <c:order val="4"/>
          <c:tx>
            <c:strRef>
              <c:f>'2_10'!$A$8</c:f>
              <c:strCache>
                <c:ptCount val="1"/>
                <c:pt idx="0">
                  <c:v> Lékárny a ost. 
 prodejci zdrav. zboží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'2_10'!$F$8:$H$8</c:f>
              <c:numCache>
                <c:formatCode>0.0%</c:formatCode>
                <c:ptCount val="3"/>
                <c:pt idx="0">
                  <c:v>0.15926523701091075</c:v>
                </c:pt>
                <c:pt idx="1">
                  <c:v>0.16075588349562173</c:v>
                </c:pt>
                <c:pt idx="2">
                  <c:v>0.16087203934921038</c:v>
                </c:pt>
              </c:numCache>
            </c:numRef>
          </c:val>
        </c:ser>
        <c:ser>
          <c:idx val="5"/>
          <c:order val="5"/>
          <c:tx>
            <c:strRef>
              <c:f>'2_10'!$A$9</c:f>
              <c:strCache>
                <c:ptCount val="1"/>
                <c:pt idx="0">
                  <c:v> Poskytovatelé 
 doplňkových služeb (3)</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'2_10'!$F$3:$H$3</c:f>
              <c:strCache>
                <c:ptCount val="3"/>
                <c:pt idx="0">
                  <c:v>2014</c:v>
                </c:pt>
                <c:pt idx="1">
                  <c:v>2015</c:v>
                </c:pt>
                <c:pt idx="2">
                  <c:v>2016</c:v>
                </c:pt>
              </c:strCache>
            </c:strRef>
          </c:cat>
          <c:val>
            <c:numRef>
              <c:f>'2_10'!$F$9:$H$9</c:f>
              <c:numCache>
                <c:formatCode>0.0%</c:formatCode>
                <c:ptCount val="3"/>
                <c:pt idx="0">
                  <c:v>3.2231984671145845E-2</c:v>
                </c:pt>
                <c:pt idx="1">
                  <c:v>3.3974348333069886E-2</c:v>
                </c:pt>
                <c:pt idx="2">
                  <c:v>3.5916077634022672E-2</c:v>
                </c:pt>
              </c:numCache>
            </c:numRef>
          </c:val>
        </c:ser>
        <c:ser>
          <c:idx val="6"/>
          <c:order val="6"/>
          <c:tx>
            <c:strRef>
              <c:f>'2_10'!$A$10</c:f>
              <c:strCache>
                <c:ptCount val="1"/>
                <c:pt idx="0">
                  <c:v> Správa systému 
 zdravotní péče</c:v>
                </c:pt>
              </c:strCache>
            </c:strRef>
          </c:tx>
          <c:invertIfNegative val="0"/>
          <c:cat>
            <c:strRef>
              <c:f>'2_10'!$F$3:$H$3</c:f>
              <c:strCache>
                <c:ptCount val="3"/>
                <c:pt idx="0">
                  <c:v>2014</c:v>
                </c:pt>
                <c:pt idx="1">
                  <c:v>2015</c:v>
                </c:pt>
                <c:pt idx="2">
                  <c:v>2016</c:v>
                </c:pt>
              </c:strCache>
            </c:strRef>
          </c:cat>
          <c:val>
            <c:numRef>
              <c:f>'2_10'!$F$10:$H$10</c:f>
              <c:numCache>
                <c:formatCode>0.0%</c:formatCode>
                <c:ptCount val="3"/>
                <c:pt idx="0">
                  <c:v>3.2435702251058629E-2</c:v>
                </c:pt>
                <c:pt idx="1">
                  <c:v>3.0806727655449059E-2</c:v>
                </c:pt>
                <c:pt idx="2">
                  <c:v>3.0600304213440392E-2</c:v>
                </c:pt>
              </c:numCache>
            </c:numRef>
          </c:val>
        </c:ser>
        <c:ser>
          <c:idx val="7"/>
          <c:order val="7"/>
          <c:tx>
            <c:strRef>
              <c:f>'2_10'!$A$11</c:f>
              <c:strCache>
                <c:ptCount val="1"/>
                <c:pt idx="0">
                  <c:v> ostatní nebo 
 nerozlišeno</c:v>
                </c:pt>
              </c:strCache>
            </c:strRef>
          </c:tx>
          <c:spPr>
            <a:solidFill>
              <a:schemeClr val="tx1"/>
            </a:solidFill>
          </c:spPr>
          <c:invertIfNegative val="0"/>
          <c:cat>
            <c:strRef>
              <c:f>'2_10'!$F$3:$H$3</c:f>
              <c:strCache>
                <c:ptCount val="3"/>
                <c:pt idx="0">
                  <c:v>2014</c:v>
                </c:pt>
                <c:pt idx="1">
                  <c:v>2015</c:v>
                </c:pt>
                <c:pt idx="2">
                  <c:v>2016</c:v>
                </c:pt>
              </c:strCache>
            </c:strRef>
          </c:cat>
          <c:val>
            <c:numRef>
              <c:f>'2_10'!$F$11:$H$11</c:f>
              <c:numCache>
                <c:formatCode>0.0%</c:formatCode>
                <c:ptCount val="3"/>
                <c:pt idx="0">
                  <c:v>4.3685099922879299E-2</c:v>
                </c:pt>
                <c:pt idx="1">
                  <c:v>4.1584002429241304E-2</c:v>
                </c:pt>
                <c:pt idx="2">
                  <c:v>4.0190135476124877E-2</c:v>
                </c:pt>
              </c:numCache>
            </c:numRef>
          </c:val>
        </c:ser>
        <c:dLbls>
          <c:showLegendKey val="0"/>
          <c:showVal val="0"/>
          <c:showCatName val="0"/>
          <c:showSerName val="0"/>
          <c:showPercent val="0"/>
          <c:showBubbleSize val="0"/>
        </c:dLbls>
        <c:gapWidth val="50"/>
        <c:overlap val="100"/>
        <c:axId val="201884672"/>
        <c:axId val="184293568"/>
      </c:barChart>
      <c:catAx>
        <c:axId val="201884672"/>
        <c:scaling>
          <c:orientation val="minMax"/>
        </c:scaling>
        <c:delete val="0"/>
        <c:axPos val="b"/>
        <c:numFmt formatCode="General" sourceLinked="1"/>
        <c:majorTickMark val="out"/>
        <c:minorTickMark val="none"/>
        <c:tickLblPos val="nextTo"/>
        <c:crossAx val="184293568"/>
        <c:crosses val="autoZero"/>
        <c:auto val="1"/>
        <c:lblAlgn val="ctr"/>
        <c:lblOffset val="100"/>
        <c:noMultiLvlLbl val="0"/>
      </c:catAx>
      <c:valAx>
        <c:axId val="184293568"/>
        <c:scaling>
          <c:orientation val="minMax"/>
          <c:max val="1"/>
        </c:scaling>
        <c:delete val="0"/>
        <c:axPos val="l"/>
        <c:majorGridlines>
          <c:spPr>
            <a:ln>
              <a:prstDash val="dash"/>
            </a:ln>
          </c:spPr>
        </c:majorGridlines>
        <c:numFmt formatCode="0.0%" sourceLinked="0"/>
        <c:majorTickMark val="none"/>
        <c:minorTickMark val="none"/>
        <c:tickLblPos val="none"/>
        <c:crossAx val="201884672"/>
        <c:crosses val="autoZero"/>
        <c:crossBetween val="between"/>
        <c:majorUnit val="0.1"/>
        <c:minorUnit val="1.0000000000000005E-2"/>
      </c:valAx>
      <c:spPr>
        <a:ln>
          <a:solidFill>
            <a:schemeClr val="tx1">
              <a:tint val="75000"/>
              <a:shade val="95000"/>
              <a:satMod val="10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9932777777777775E-2"/>
          <c:y val="5.0925925925925923E-2"/>
          <c:w val="0.61922194444444445"/>
          <c:h val="0.85527012248468937"/>
        </c:manualLayout>
      </c:layout>
      <c:barChart>
        <c:barDir val="col"/>
        <c:grouping val="stacked"/>
        <c:varyColors val="0"/>
        <c:ser>
          <c:idx val="0"/>
          <c:order val="0"/>
          <c:tx>
            <c:strRef>
              <c:f>'2_2'!$A$15</c:f>
              <c:strCache>
                <c:ptCount val="1"/>
                <c:pt idx="0">
                  <c:v>  veřejné 
  zdravotní pojišťění </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'2_2'!$D$15:$H$15</c:f>
              <c:numCache>
                <c:formatCode>#,##0.0</c:formatCode>
                <c:ptCount val="5"/>
                <c:pt idx="0">
                  <c:v>237.92727992194759</c:v>
                </c:pt>
                <c:pt idx="1">
                  <c:v>238.3540485343969</c:v>
                </c:pt>
                <c:pt idx="2">
                  <c:v>234.60161366699961</c:v>
                </c:pt>
                <c:pt idx="3">
                  <c:v>234.4604914581293</c:v>
                </c:pt>
                <c:pt idx="4">
                  <c:v>237.70046427490126</c:v>
                </c:pt>
              </c:numCache>
            </c:numRef>
          </c:val>
        </c:ser>
        <c:ser>
          <c:idx val="1"/>
          <c:order val="1"/>
          <c:tx>
            <c:strRef>
              <c:f>'2_2'!$A$16</c:f>
              <c:strCache>
                <c:ptCount val="1"/>
                <c:pt idx="0">
                  <c:v>  ostatní 
  veřejné zdroje (1)</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'2_2'!$D$16:$H$16</c:f>
              <c:numCache>
                <c:formatCode>#,##0.0</c:formatCode>
                <c:ptCount val="5"/>
                <c:pt idx="0">
                  <c:v>50.636373634000002</c:v>
                </c:pt>
                <c:pt idx="1">
                  <c:v>53.699245578979998</c:v>
                </c:pt>
                <c:pt idx="2">
                  <c:v>56.970839691100004</c:v>
                </c:pt>
                <c:pt idx="3">
                  <c:v>58.89870498933</c:v>
                </c:pt>
                <c:pt idx="4">
                  <c:v>62.509395422999994</c:v>
                </c:pt>
              </c:numCache>
            </c:numRef>
          </c:val>
        </c:ser>
        <c:ser>
          <c:idx val="2"/>
          <c:order val="2"/>
          <c:tx>
            <c:strRef>
              <c:f>'2_2'!$A$17</c:f>
              <c:strCache>
                <c:ptCount val="1"/>
                <c:pt idx="0">
                  <c:v>  přímé platby 
  domácností</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'2_2'!$D$17:$H$17</c:f>
              <c:numCache>
                <c:formatCode>#,##0.0</c:formatCode>
                <c:ptCount val="5"/>
                <c:pt idx="0">
                  <c:v>44.238999999999997</c:v>
                </c:pt>
                <c:pt idx="1">
                  <c:v>43.465000000000003</c:v>
                </c:pt>
                <c:pt idx="2">
                  <c:v>46.49</c:v>
                </c:pt>
                <c:pt idx="3">
                  <c:v>49.357999999999997</c:v>
                </c:pt>
                <c:pt idx="4">
                  <c:v>51.215000000000003</c:v>
                </c:pt>
              </c:numCache>
            </c:numRef>
          </c:val>
        </c:ser>
        <c:ser>
          <c:idx val="3"/>
          <c:order val="3"/>
          <c:tx>
            <c:strRef>
              <c:f>'2_2'!$A$18</c:f>
              <c:strCache>
                <c:ptCount val="1"/>
                <c:pt idx="0">
                  <c:v>  ostatní 
  soukromé zdroje (2)</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'2_2'!$D$18:$H$18</c:f>
              <c:numCache>
                <c:formatCode>#,##0.0</c:formatCode>
                <c:ptCount val="5"/>
                <c:pt idx="0">
                  <c:v>9.11</c:v>
                </c:pt>
                <c:pt idx="1">
                  <c:v>9.202</c:v>
                </c:pt>
                <c:pt idx="2">
                  <c:v>10.667999999999999</c:v>
                </c:pt>
                <c:pt idx="3">
                  <c:v>9.3219999999999992</c:v>
                </c:pt>
                <c:pt idx="4">
                  <c:v>10.221929752620868</c:v>
                </c:pt>
              </c:numCache>
            </c:numRef>
          </c:val>
        </c:ser>
        <c:ser>
          <c:idx val="4"/>
          <c:order val="4"/>
          <c:tx>
            <c:strRef>
              <c:f>'2_2'!$A$19</c:f>
              <c:strCache>
                <c:ptCount val="1"/>
                <c:pt idx="0">
                  <c:v>Zdravotní péče celkem</c:v>
                </c:pt>
              </c:strCache>
            </c:strRef>
          </c:tx>
          <c:spPr>
            <a:noFill/>
            <a:ln>
              <a:noFill/>
            </a:ln>
          </c:spPr>
          <c:invertIfNegative val="0"/>
          <c:dLbls>
            <c:spPr>
              <a:solidFill>
                <a:schemeClr val="bg1">
                  <a:lumMod val="85000"/>
                </a:schemeClr>
              </a:solidFill>
            </c:spPr>
            <c:txPr>
              <a:bodyPr/>
              <a:lstStyle/>
              <a:p>
                <a:pPr>
                  <a:defRPr b="1" i="1"/>
                </a:pPr>
                <a:endParaRPr lang="cs-CZ"/>
              </a:p>
            </c:txPr>
            <c:dLblPos val="inBase"/>
            <c:showLegendKey val="0"/>
            <c:showVal val="1"/>
            <c:showCatName val="0"/>
            <c:showSerName val="0"/>
            <c:showPercent val="0"/>
            <c:showBubbleSize val="0"/>
            <c:showLeaderLines val="0"/>
          </c:dLbls>
          <c:cat>
            <c:strRef>
              <c:f>'2_2'!$D$14:$H$14</c:f>
              <c:strCache>
                <c:ptCount val="5"/>
                <c:pt idx="0">
                  <c:v>2012</c:v>
                </c:pt>
                <c:pt idx="1">
                  <c:v>2013</c:v>
                </c:pt>
                <c:pt idx="2">
                  <c:v>2014</c:v>
                </c:pt>
                <c:pt idx="3">
                  <c:v>2015</c:v>
                </c:pt>
                <c:pt idx="4">
                  <c:v>2016</c:v>
                </c:pt>
              </c:strCache>
            </c:strRef>
          </c:cat>
          <c:val>
            <c:numRef>
              <c:f>'2_2'!$D$19:$H$19</c:f>
              <c:numCache>
                <c:formatCode>#,##0.0</c:formatCode>
                <c:ptCount val="5"/>
                <c:pt idx="0">
                  <c:v>341.9126535559476</c:v>
                </c:pt>
                <c:pt idx="1">
                  <c:v>344.72029411337689</c:v>
                </c:pt>
                <c:pt idx="2">
                  <c:v>348.73045335809962</c:v>
                </c:pt>
                <c:pt idx="3">
                  <c:v>352.03919644745929</c:v>
                </c:pt>
                <c:pt idx="4">
                  <c:v>361.64678945052208</c:v>
                </c:pt>
              </c:numCache>
            </c:numRef>
          </c:val>
        </c:ser>
        <c:dLbls>
          <c:showLegendKey val="0"/>
          <c:showVal val="0"/>
          <c:showCatName val="0"/>
          <c:showSerName val="0"/>
          <c:showPercent val="0"/>
          <c:showBubbleSize val="0"/>
        </c:dLbls>
        <c:gapWidth val="50"/>
        <c:overlap val="100"/>
        <c:axId val="179687936"/>
        <c:axId val="165923648"/>
      </c:barChart>
      <c:catAx>
        <c:axId val="179687936"/>
        <c:scaling>
          <c:orientation val="minMax"/>
        </c:scaling>
        <c:delete val="0"/>
        <c:axPos val="b"/>
        <c:numFmt formatCode="General" sourceLinked="1"/>
        <c:majorTickMark val="out"/>
        <c:minorTickMark val="none"/>
        <c:tickLblPos val="nextTo"/>
        <c:crossAx val="165923648"/>
        <c:crosses val="autoZero"/>
        <c:auto val="1"/>
        <c:lblAlgn val="ctr"/>
        <c:lblOffset val="100"/>
        <c:noMultiLvlLbl val="0"/>
      </c:catAx>
      <c:valAx>
        <c:axId val="165923648"/>
        <c:scaling>
          <c:orientation val="minMax"/>
          <c:max val="400"/>
        </c:scaling>
        <c:delete val="0"/>
        <c:axPos val="l"/>
        <c:majorGridlines>
          <c:spPr>
            <a:ln>
              <a:prstDash val="dash"/>
            </a:ln>
          </c:spPr>
        </c:majorGridlines>
        <c:numFmt formatCode="#,##0" sourceLinked="0"/>
        <c:majorTickMark val="out"/>
        <c:minorTickMark val="none"/>
        <c:tickLblPos val="none"/>
        <c:crossAx val="179687936"/>
        <c:crosses val="autoZero"/>
        <c:crossBetween val="between"/>
      </c:valAx>
      <c:spPr>
        <a:ln>
          <a:solidFill>
            <a:schemeClr val="bg1">
              <a:lumMod val="75000"/>
            </a:schemeClr>
          </a:solidFill>
        </a:ln>
      </c:spPr>
    </c:plotArea>
    <c:legend>
      <c:legendPos val="r"/>
      <c:legendEntry>
        <c:idx val="0"/>
        <c:delete val="1"/>
      </c:legendEntry>
      <c:layout>
        <c:manualLayout>
          <c:xMode val="edge"/>
          <c:yMode val="edge"/>
          <c:x val="0.66631032232082099"/>
          <c:y val="0.15333640810777271"/>
          <c:w val="0.31623666666666667"/>
          <c:h val="0.64704895986941557"/>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57707426900584791"/>
          <c:h val="0.85527012248469003"/>
        </c:manualLayout>
      </c:layout>
      <c:barChart>
        <c:barDir val="col"/>
        <c:grouping val="stacked"/>
        <c:varyColors val="0"/>
        <c:ser>
          <c:idx val="0"/>
          <c:order val="0"/>
          <c:tx>
            <c:strRef>
              <c:f>'2_11'!$A$14</c:f>
              <c:strCache>
                <c:ptCount val="1"/>
                <c:pt idx="0">
                  <c:v> léčebná péče 
 - lůžková</c:v>
                </c:pt>
              </c:strCache>
            </c:strRef>
          </c:tx>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'2_11'!$F$14:$H$14</c:f>
              <c:numCache>
                <c:formatCode>#,##0.0</c:formatCode>
                <c:ptCount val="3"/>
                <c:pt idx="0">
                  <c:v>50.507355000000004</c:v>
                </c:pt>
                <c:pt idx="1">
                  <c:v>49.723276499999997</c:v>
                </c:pt>
                <c:pt idx="2">
                  <c:v>49.204482499999997</c:v>
                </c:pt>
              </c:numCache>
            </c:numRef>
          </c:val>
        </c:ser>
        <c:ser>
          <c:idx val="1"/>
          <c:order val="1"/>
          <c:tx>
            <c:strRef>
              <c:f>'2_11'!$A$15</c:f>
              <c:strCache>
                <c:ptCount val="1"/>
                <c:pt idx="0">
                  <c:v> léčebná péče 
 - denní a ambulantní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'2_11'!$F$15:$H$15</c:f>
              <c:numCache>
                <c:formatCode>#,##0.0</c:formatCode>
                <c:ptCount val="3"/>
                <c:pt idx="0">
                  <c:v>27.888692899999999</c:v>
                </c:pt>
                <c:pt idx="1">
                  <c:v>32.194987300000001</c:v>
                </c:pt>
                <c:pt idx="2">
                  <c:v>32.486406099999996</c:v>
                </c:pt>
              </c:numCache>
            </c:numRef>
          </c:val>
        </c:ser>
        <c:ser>
          <c:idx val="2"/>
          <c:order val="2"/>
          <c:tx>
            <c:strRef>
              <c:f>'2_11'!$A$16</c:f>
              <c:strCache>
                <c:ptCount val="1"/>
                <c:pt idx="0">
                  <c:v> dlouhodobá 
 péče</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'2_11'!$F$16:$H$16</c:f>
              <c:numCache>
                <c:formatCode>#,##0.0</c:formatCode>
                <c:ptCount val="3"/>
                <c:pt idx="0">
                  <c:v>4.9943502900000007</c:v>
                </c:pt>
                <c:pt idx="1">
                  <c:v>4.9563564100000006</c:v>
                </c:pt>
                <c:pt idx="2">
                  <c:v>4.8001246899999996</c:v>
                </c:pt>
              </c:numCache>
            </c:numRef>
          </c:val>
        </c:ser>
        <c:ser>
          <c:idx val="3"/>
          <c:order val="3"/>
          <c:tx>
            <c:strRef>
              <c:f>'2_11'!$A$17</c:f>
              <c:strCache>
                <c:ptCount val="1"/>
                <c:pt idx="0">
                  <c:v> rehabilitační 
 péče </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'2_11'!$F$17:$H$17</c:f>
              <c:numCache>
                <c:formatCode>#,##0.0</c:formatCode>
                <c:ptCount val="3"/>
                <c:pt idx="0">
                  <c:v>2.8638419000000002</c:v>
                </c:pt>
                <c:pt idx="1">
                  <c:v>2.8937469</c:v>
                </c:pt>
                <c:pt idx="2">
                  <c:v>3.1276532000000001</c:v>
                </c:pt>
              </c:numCache>
            </c:numRef>
          </c:val>
        </c:ser>
        <c:ser>
          <c:idx val="4"/>
          <c:order val="4"/>
          <c:tx>
            <c:strRef>
              <c:f>'2_11'!$A$18</c:f>
              <c:strCache>
                <c:ptCount val="1"/>
                <c:pt idx="0">
                  <c:v> laboratorní 
 a zobrazovací služby</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'2_11'!$F$18:$H$18</c:f>
              <c:numCache>
                <c:formatCode>#,##0.0</c:formatCode>
                <c:ptCount val="3"/>
                <c:pt idx="0">
                  <c:v>23.262886999999999</c:v>
                </c:pt>
                <c:pt idx="1">
                  <c:v>23.247710999999999</c:v>
                </c:pt>
                <c:pt idx="2">
                  <c:v>23.301521000000001</c:v>
                </c:pt>
              </c:numCache>
            </c:numRef>
          </c:val>
        </c:ser>
        <c:ser>
          <c:idx val="5"/>
          <c:order val="5"/>
          <c:tx>
            <c:strRef>
              <c:f>'2_11'!$A$19</c:f>
              <c:strCache>
                <c:ptCount val="1"/>
                <c:pt idx="0">
                  <c:v> ostatní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'2_11'!$F$19:$H$19</c:f>
              <c:numCache>
                <c:formatCode>#,##0.0</c:formatCode>
                <c:ptCount val="3"/>
                <c:pt idx="0">
                  <c:v>9.2061729610000285</c:v>
                </c:pt>
                <c:pt idx="1">
                  <c:v>9.5075306450000028</c:v>
                </c:pt>
                <c:pt idx="2">
                  <c:v>9.681496318999999</c:v>
                </c:pt>
              </c:numCache>
            </c:numRef>
          </c:val>
        </c:ser>
        <c:ser>
          <c:idx val="6"/>
          <c:order val="6"/>
          <c:tx>
            <c:strRef>
              <c:f>'2_11'!$A$20</c:f>
              <c:strCache>
                <c:ptCount val="1"/>
                <c:pt idx="0">
                  <c:v>Zdravotní péče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'2_11'!$F$13:$H$13</c:f>
              <c:strCache>
                <c:ptCount val="3"/>
                <c:pt idx="0">
                  <c:v>2014</c:v>
                </c:pt>
                <c:pt idx="1">
                  <c:v>2015</c:v>
                </c:pt>
                <c:pt idx="2">
                  <c:v>2016</c:v>
                </c:pt>
              </c:strCache>
            </c:strRef>
          </c:cat>
          <c:val>
            <c:numRef>
              <c:f>'2_11'!$F$20:$H$20</c:f>
              <c:numCache>
                <c:formatCode>#,##0.0</c:formatCode>
                <c:ptCount val="3"/>
                <c:pt idx="0">
                  <c:v>118.72330005100002</c:v>
                </c:pt>
                <c:pt idx="1">
                  <c:v>122.523608755</c:v>
                </c:pt>
                <c:pt idx="2">
                  <c:v>122.60168380899999</c:v>
                </c:pt>
              </c:numCache>
            </c:numRef>
          </c:val>
        </c:ser>
        <c:dLbls>
          <c:showLegendKey val="0"/>
          <c:showVal val="0"/>
          <c:showCatName val="0"/>
          <c:showSerName val="0"/>
          <c:showPercent val="0"/>
          <c:showBubbleSize val="0"/>
        </c:dLbls>
        <c:gapWidth val="30"/>
        <c:overlap val="100"/>
        <c:axId val="218301952"/>
        <c:axId val="217630976"/>
      </c:barChart>
      <c:catAx>
        <c:axId val="218301952"/>
        <c:scaling>
          <c:orientation val="minMax"/>
        </c:scaling>
        <c:delete val="0"/>
        <c:axPos val="b"/>
        <c:numFmt formatCode="General" sourceLinked="1"/>
        <c:majorTickMark val="out"/>
        <c:minorTickMark val="none"/>
        <c:tickLblPos val="nextTo"/>
        <c:crossAx val="217630976"/>
        <c:crosses val="autoZero"/>
        <c:auto val="1"/>
        <c:lblAlgn val="ctr"/>
        <c:lblOffset val="100"/>
        <c:noMultiLvlLbl val="0"/>
      </c:catAx>
      <c:valAx>
        <c:axId val="217630976"/>
        <c:scaling>
          <c:orientation val="minMax"/>
          <c:max val="140"/>
        </c:scaling>
        <c:delete val="0"/>
        <c:axPos val="l"/>
        <c:majorGridlines>
          <c:spPr>
            <a:ln>
              <a:prstDash val="dash"/>
            </a:ln>
          </c:spPr>
        </c:majorGridlines>
        <c:numFmt formatCode="#,##0" sourceLinked="0"/>
        <c:majorTickMark val="none"/>
        <c:minorTickMark val="none"/>
        <c:tickLblPos val="none"/>
        <c:crossAx val="218301952"/>
        <c:crosses val="autoZero"/>
        <c:crossBetween val="between"/>
        <c:majorUnit val="20"/>
        <c:minorUnit val="10"/>
      </c:valAx>
      <c:spPr>
        <a:ln>
          <a:solidFill>
            <a:schemeClr val="tx1">
              <a:tint val="75000"/>
              <a:shade val="95000"/>
              <a:satMod val="105000"/>
            </a:schemeClr>
          </a:solidFill>
        </a:ln>
      </c:spPr>
    </c:plotArea>
    <c:legend>
      <c:legendPos val="r"/>
      <c:legendEntry>
        <c:idx val="0"/>
        <c:delete val="1"/>
      </c:legendEntry>
      <c:layout>
        <c:manualLayout>
          <c:xMode val="edge"/>
          <c:yMode val="edge"/>
          <c:x val="0.63668466296184667"/>
          <c:y val="9.394230351856514E-2"/>
          <c:w val="0.32097982813005671"/>
          <c:h val="0.7944744723888566"/>
        </c:manualLayout>
      </c:layout>
      <c:overlay val="0"/>
      <c:spPr>
        <a:ln>
          <a:solidFill>
            <a:sysClr val="window" lastClr="FFFFFF">
              <a:lumMod val="50000"/>
            </a:sys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92242514619883065"/>
          <c:h val="0.85527012248469003"/>
        </c:manualLayout>
      </c:layout>
      <c:barChart>
        <c:barDir val="col"/>
        <c:grouping val="percentStacked"/>
        <c:varyColors val="0"/>
        <c:ser>
          <c:idx val="0"/>
          <c:order val="0"/>
          <c:tx>
            <c:strRef>
              <c:f>'2_11'!$A$4</c:f>
              <c:strCache>
                <c:ptCount val="1"/>
                <c:pt idx="0">
                  <c:v> léčebná péče 
 - lůžková</c:v>
                </c:pt>
              </c:strCache>
            </c:strRef>
          </c:tx>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'2_11'!$F$4:$H$4</c:f>
              <c:numCache>
                <c:formatCode>0.0%</c:formatCode>
                <c:ptCount val="3"/>
                <c:pt idx="0">
                  <c:v>0.42542074705052452</c:v>
                </c:pt>
                <c:pt idx="1">
                  <c:v>0.40582608531738068</c:v>
                </c:pt>
                <c:pt idx="2">
                  <c:v>0.40133610706893058</c:v>
                </c:pt>
              </c:numCache>
            </c:numRef>
          </c:val>
        </c:ser>
        <c:ser>
          <c:idx val="1"/>
          <c:order val="1"/>
          <c:tx>
            <c:strRef>
              <c:f>'2_11'!$A$5</c:f>
              <c:strCache>
                <c:ptCount val="1"/>
                <c:pt idx="0">
                  <c:v> léčebná péče 
 - denní a ambulantní</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'2_11'!$F$5:$H$5</c:f>
              <c:numCache>
                <c:formatCode>0.0%</c:formatCode>
                <c:ptCount val="3"/>
                <c:pt idx="0">
                  <c:v>0.23490496716331033</c:v>
                </c:pt>
                <c:pt idx="1">
                  <c:v>0.26276558148379037</c:v>
                </c:pt>
                <c:pt idx="2">
                  <c:v>0.26497520336352198</c:v>
                </c:pt>
              </c:numCache>
            </c:numRef>
          </c:val>
        </c:ser>
        <c:ser>
          <c:idx val="2"/>
          <c:order val="2"/>
          <c:tx>
            <c:strRef>
              <c:f>'2_11'!$A$6</c:f>
              <c:strCache>
                <c:ptCount val="1"/>
                <c:pt idx="0">
                  <c:v> dlouhodobá 
 péče</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'2_11'!$F$6:$H$6</c:f>
              <c:numCache>
                <c:formatCode>0.0%</c:formatCode>
                <c:ptCount val="3"/>
                <c:pt idx="0">
                  <c:v>4.2067145100031546E-2</c:v>
                </c:pt>
                <c:pt idx="1">
                  <c:v>4.0452256184445264E-2</c:v>
                </c:pt>
                <c:pt idx="2">
                  <c:v>3.9152192211960715E-2</c:v>
                </c:pt>
              </c:numCache>
            </c:numRef>
          </c:val>
        </c:ser>
        <c:ser>
          <c:idx val="3"/>
          <c:order val="3"/>
          <c:tx>
            <c:strRef>
              <c:f>'2_11'!$A$7</c:f>
              <c:strCache>
                <c:ptCount val="1"/>
                <c:pt idx="0">
                  <c:v> rehabilitační 
 péče </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'2_11'!$F$7:$H$7</c:f>
              <c:numCache>
                <c:formatCode>0.0%</c:formatCode>
                <c:ptCount val="3"/>
                <c:pt idx="0">
                  <c:v>2.4121986996400693E-2</c:v>
                </c:pt>
                <c:pt idx="1">
                  <c:v>2.3617871930187582E-2</c:v>
                </c:pt>
                <c:pt idx="2">
                  <c:v>2.5510687152327707E-2</c:v>
                </c:pt>
              </c:numCache>
            </c:numRef>
          </c:val>
        </c:ser>
        <c:ser>
          <c:idx val="4"/>
          <c:order val="4"/>
          <c:tx>
            <c:strRef>
              <c:f>'2_11'!$A$8</c:f>
              <c:strCache>
                <c:ptCount val="1"/>
                <c:pt idx="0">
                  <c:v> laboratorní 
 a zobrazovací služby</c:v>
                </c:pt>
              </c:strCache>
            </c:strRef>
          </c:tx>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'2_11'!$F$8:$H$8</c:f>
              <c:numCache>
                <c:formatCode>0.0%</c:formatCode>
                <c:ptCount val="3"/>
                <c:pt idx="0">
                  <c:v>0.19594205172874196</c:v>
                </c:pt>
                <c:pt idx="1">
                  <c:v>0.18974066497246633</c:v>
                </c:pt>
                <c:pt idx="2">
                  <c:v>0.19005873554152178</c:v>
                </c:pt>
              </c:numCache>
            </c:numRef>
          </c:val>
        </c:ser>
        <c:ser>
          <c:idx val="5"/>
          <c:order val="5"/>
          <c:tx>
            <c:strRef>
              <c:f>'2_11'!$A$9</c:f>
              <c:strCache>
                <c:ptCount val="1"/>
                <c:pt idx="0">
                  <c:v> ostatní (1)</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'2_11'!$F$3:$H$3</c:f>
              <c:strCache>
                <c:ptCount val="3"/>
                <c:pt idx="0">
                  <c:v>2014</c:v>
                </c:pt>
                <c:pt idx="1">
                  <c:v>2015</c:v>
                </c:pt>
                <c:pt idx="2">
                  <c:v>2016</c:v>
                </c:pt>
              </c:strCache>
            </c:strRef>
          </c:cat>
          <c:val>
            <c:numRef>
              <c:f>'2_11'!$F$9:$H$9</c:f>
              <c:numCache>
                <c:formatCode>0.0%</c:formatCode>
                <c:ptCount val="3"/>
                <c:pt idx="0">
                  <c:v>7.7543101960991054E-2</c:v>
                </c:pt>
                <c:pt idx="1">
                  <c:v>7.7597540111729812E-2</c:v>
                </c:pt>
                <c:pt idx="2">
                  <c:v>7.8967074661737191E-2</c:v>
                </c:pt>
              </c:numCache>
            </c:numRef>
          </c:val>
        </c:ser>
        <c:dLbls>
          <c:showLegendKey val="0"/>
          <c:showVal val="0"/>
          <c:showCatName val="0"/>
          <c:showSerName val="0"/>
          <c:showPercent val="0"/>
          <c:showBubbleSize val="0"/>
        </c:dLbls>
        <c:gapWidth val="30"/>
        <c:overlap val="100"/>
        <c:axId val="218554368"/>
        <c:axId val="217632704"/>
      </c:barChart>
      <c:catAx>
        <c:axId val="218554368"/>
        <c:scaling>
          <c:orientation val="minMax"/>
        </c:scaling>
        <c:delete val="0"/>
        <c:axPos val="b"/>
        <c:numFmt formatCode="General" sourceLinked="1"/>
        <c:majorTickMark val="out"/>
        <c:minorTickMark val="none"/>
        <c:tickLblPos val="nextTo"/>
        <c:crossAx val="217632704"/>
        <c:crosses val="autoZero"/>
        <c:auto val="1"/>
        <c:lblAlgn val="ctr"/>
        <c:lblOffset val="100"/>
        <c:noMultiLvlLbl val="0"/>
      </c:catAx>
      <c:valAx>
        <c:axId val="217632704"/>
        <c:scaling>
          <c:orientation val="minMax"/>
          <c:max val="1"/>
        </c:scaling>
        <c:delete val="0"/>
        <c:axPos val="l"/>
        <c:majorGridlines>
          <c:spPr>
            <a:ln>
              <a:prstDash val="dash"/>
            </a:ln>
          </c:spPr>
        </c:majorGridlines>
        <c:numFmt formatCode="0.0%" sourceLinked="0"/>
        <c:majorTickMark val="none"/>
        <c:minorTickMark val="none"/>
        <c:tickLblPos val="none"/>
        <c:crossAx val="218554368"/>
        <c:crosses val="autoZero"/>
        <c:crossBetween val="between"/>
        <c:majorUnit val="0.1"/>
        <c:minorUnit val="1.0000000000000005E-2"/>
      </c:valAx>
      <c:spPr>
        <a:ln>
          <a:solidFill>
            <a:schemeClr val="tx1">
              <a:tint val="75000"/>
              <a:shade val="95000"/>
              <a:satMod val="10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823202614379087E-2"/>
          <c:y val="4.2266993464052292E-2"/>
          <c:w val="0.93915277777777773"/>
          <c:h val="0.78547727422034108"/>
        </c:manualLayout>
      </c:layout>
      <c:barChart>
        <c:barDir val="col"/>
        <c:grouping val="clustered"/>
        <c:varyColors val="0"/>
        <c:ser>
          <c:idx val="0"/>
          <c:order val="0"/>
          <c:tx>
            <c:strRef>
              <c:f>'2_1'!$A$4</c:f>
              <c:strCache>
                <c:ptCount val="1"/>
                <c:pt idx="0">
                  <c:v> Celkem v mld. Kč - běžné ceny</c:v>
                </c:pt>
              </c:strCache>
            </c:strRef>
          </c:tx>
          <c:spPr>
            <a:solidFill>
              <a:srgbClr val="D96D75"/>
            </a:solidFill>
          </c:spPr>
          <c:invertIfNegative val="0"/>
          <c:dLbls>
            <c:txPr>
              <a:bodyPr/>
              <a:lstStyle/>
              <a:p>
                <a:pPr>
                  <a:defRPr>
                    <a:solidFill>
                      <a:schemeClr val="bg1"/>
                    </a:solidFill>
                  </a:defRPr>
                </a:pPr>
                <a:endParaRPr lang="cs-CZ"/>
              </a:p>
            </c:txPr>
            <c:dLblPos val="inEnd"/>
            <c:showLegendKey val="0"/>
            <c:showVal val="1"/>
            <c:showCatName val="0"/>
            <c:showSerName val="0"/>
            <c:showPercent val="0"/>
            <c:showBubbleSize val="0"/>
            <c:showLeaderLines val="0"/>
          </c:dLbls>
          <c:cat>
            <c:numRef>
              <c:f>'2_1'!$B$3:$H$3</c:f>
              <c:numCache>
                <c:formatCode>General</c:formatCode>
                <c:ptCount val="7"/>
                <c:pt idx="0">
                  <c:v>2010</c:v>
                </c:pt>
                <c:pt idx="1">
                  <c:v>2011</c:v>
                </c:pt>
                <c:pt idx="2">
                  <c:v>2012</c:v>
                </c:pt>
                <c:pt idx="3">
                  <c:v>2013</c:v>
                </c:pt>
                <c:pt idx="4">
                  <c:v>2014</c:v>
                </c:pt>
                <c:pt idx="5">
                  <c:v>2015</c:v>
                </c:pt>
                <c:pt idx="6">
                  <c:v>2016</c:v>
                </c:pt>
              </c:numCache>
            </c:numRef>
          </c:cat>
          <c:val>
            <c:numRef>
              <c:f>'2_1'!$B$4:$H$4</c:f>
              <c:numCache>
                <c:formatCode>0.0</c:formatCode>
                <c:ptCount val="7"/>
                <c:pt idx="0">
                  <c:v>231.88897809654742</c:v>
                </c:pt>
                <c:pt idx="1">
                  <c:v>234.33741301580017</c:v>
                </c:pt>
                <c:pt idx="2">
                  <c:v>237.92727992194759</c:v>
                </c:pt>
                <c:pt idx="3">
                  <c:v>238.3540485343969</c:v>
                </c:pt>
                <c:pt idx="4">
                  <c:v>234.60161366699961</c:v>
                </c:pt>
                <c:pt idx="5">
                  <c:v>234.4604914581293</c:v>
                </c:pt>
                <c:pt idx="6">
                  <c:v>237.70046427490126</c:v>
                </c:pt>
              </c:numCache>
            </c:numRef>
          </c:val>
        </c:ser>
        <c:dLbls>
          <c:showLegendKey val="0"/>
          <c:showVal val="0"/>
          <c:showCatName val="0"/>
          <c:showSerName val="0"/>
          <c:showPercent val="0"/>
          <c:showBubbleSize val="0"/>
        </c:dLbls>
        <c:gapWidth val="100"/>
        <c:axId val="218300416"/>
        <c:axId val="217633856"/>
      </c:barChart>
      <c:lineChart>
        <c:grouping val="standard"/>
        <c:varyColors val="0"/>
        <c:ser>
          <c:idx val="1"/>
          <c:order val="1"/>
          <c:tx>
            <c:strRef>
              <c:f>'2_1'!$A$5</c:f>
              <c:strCache>
                <c:ptCount val="1"/>
                <c:pt idx="0">
                  <c:v> na 1 pojištěnce v Kč</c:v>
                </c:pt>
              </c:strCache>
            </c:strRef>
          </c:tx>
          <c:spPr>
            <a:ln>
              <a:solidFill>
                <a:srgbClr val="187BB8"/>
              </a:solidFill>
            </a:ln>
          </c:spPr>
          <c:marker>
            <c:symbol val="diamond"/>
            <c:size val="7"/>
            <c:spPr>
              <a:solidFill>
                <a:srgbClr val="0070C0"/>
              </a:solidFill>
              <a:ln>
                <a:solidFill>
                  <a:schemeClr val="accent1">
                    <a:lumMod val="75000"/>
                  </a:schemeClr>
                </a:solidFill>
              </a:ln>
            </c:spPr>
          </c:marker>
          <c:dLbls>
            <c:dLblPos val="t"/>
            <c:showLegendKey val="0"/>
            <c:showVal val="1"/>
            <c:showCatName val="0"/>
            <c:showSerName val="0"/>
            <c:showPercent val="0"/>
            <c:showBubbleSize val="0"/>
            <c:showLeaderLines val="0"/>
          </c:dLbls>
          <c:trendline>
            <c:spPr>
              <a:ln>
                <a:noFill/>
              </a:ln>
            </c:spPr>
            <c:trendlineType val="linear"/>
            <c:dispRSqr val="0"/>
            <c:dispEq val="0"/>
          </c:trendline>
          <c:cat>
            <c:numRef>
              <c:f>'2_1'!$B$3:$H$3</c:f>
              <c:numCache>
                <c:formatCode>General</c:formatCode>
                <c:ptCount val="7"/>
                <c:pt idx="0">
                  <c:v>2010</c:v>
                </c:pt>
                <c:pt idx="1">
                  <c:v>2011</c:v>
                </c:pt>
                <c:pt idx="2">
                  <c:v>2012</c:v>
                </c:pt>
                <c:pt idx="3">
                  <c:v>2013</c:v>
                </c:pt>
                <c:pt idx="4">
                  <c:v>2014</c:v>
                </c:pt>
                <c:pt idx="5">
                  <c:v>2015</c:v>
                </c:pt>
                <c:pt idx="6">
                  <c:v>2016</c:v>
                </c:pt>
              </c:numCache>
            </c:numRef>
          </c:cat>
          <c:val>
            <c:numRef>
              <c:f>'2_1'!$B$5:$H$5</c:f>
              <c:numCache>
                <c:formatCode>#,##0.0</c:formatCode>
                <c:ptCount val="7"/>
                <c:pt idx="0">
                  <c:v>22374.708998837828</c:v>
                </c:pt>
                <c:pt idx="1">
                  <c:v>22599.254779157705</c:v>
                </c:pt>
                <c:pt idx="2">
                  <c:v>22924.941029431284</c:v>
                </c:pt>
                <c:pt idx="3">
                  <c:v>22930.233871367458</c:v>
                </c:pt>
                <c:pt idx="4">
                  <c:v>22533.260214431371</c:v>
                </c:pt>
                <c:pt idx="5">
                  <c:v>22490.624909051512</c:v>
                </c:pt>
                <c:pt idx="6">
                  <c:v>22710.59707398856</c:v>
                </c:pt>
              </c:numCache>
            </c:numRef>
          </c:val>
          <c:smooth val="0"/>
        </c:ser>
        <c:dLbls>
          <c:showLegendKey val="0"/>
          <c:showVal val="0"/>
          <c:showCatName val="0"/>
          <c:showSerName val="0"/>
          <c:showPercent val="0"/>
          <c:showBubbleSize val="0"/>
        </c:dLbls>
        <c:marker val="1"/>
        <c:smooth val="0"/>
        <c:axId val="218555904"/>
        <c:axId val="217634432"/>
      </c:lineChart>
      <c:catAx>
        <c:axId val="218300416"/>
        <c:scaling>
          <c:orientation val="minMax"/>
        </c:scaling>
        <c:delete val="0"/>
        <c:axPos val="b"/>
        <c:numFmt formatCode="General" sourceLinked="1"/>
        <c:majorTickMark val="out"/>
        <c:minorTickMark val="none"/>
        <c:tickLblPos val="nextTo"/>
        <c:spPr>
          <a:ln w="3175">
            <a:solidFill>
              <a:schemeClr val="bg1">
                <a:lumMod val="75000"/>
              </a:schemeClr>
            </a:solidFill>
          </a:ln>
        </c:spPr>
        <c:crossAx val="217633856"/>
        <c:crosses val="autoZero"/>
        <c:auto val="1"/>
        <c:lblAlgn val="ctr"/>
        <c:lblOffset val="100"/>
        <c:noMultiLvlLbl val="0"/>
      </c:catAx>
      <c:valAx>
        <c:axId val="217633856"/>
        <c:scaling>
          <c:orientation val="minMax"/>
          <c:max val="300"/>
          <c:min val="0"/>
        </c:scaling>
        <c:delete val="0"/>
        <c:axPos val="l"/>
        <c:majorGridlines>
          <c:spPr>
            <a:ln>
              <a:prstDash val="dash"/>
            </a:ln>
          </c:spPr>
        </c:majorGridlines>
        <c:numFmt formatCode="0" sourceLinked="0"/>
        <c:majorTickMark val="none"/>
        <c:minorTickMark val="none"/>
        <c:tickLblPos val="none"/>
        <c:spPr>
          <a:ln w="3175">
            <a:solidFill>
              <a:schemeClr val="bg1">
                <a:lumMod val="75000"/>
              </a:schemeClr>
            </a:solidFill>
          </a:ln>
        </c:spPr>
        <c:crossAx val="218300416"/>
        <c:crosses val="autoZero"/>
        <c:crossBetween val="between"/>
        <c:majorUnit val="50"/>
        <c:minorUnit val="1"/>
      </c:valAx>
      <c:valAx>
        <c:axId val="217634432"/>
        <c:scaling>
          <c:orientation val="minMax"/>
          <c:max val="26000"/>
          <c:min val="0"/>
        </c:scaling>
        <c:delete val="0"/>
        <c:axPos val="r"/>
        <c:numFmt formatCode="#,##0" sourceLinked="0"/>
        <c:majorTickMark val="none"/>
        <c:minorTickMark val="none"/>
        <c:tickLblPos val="none"/>
        <c:crossAx val="218555904"/>
        <c:crosses val="max"/>
        <c:crossBetween val="between"/>
        <c:majorUnit val="1000"/>
        <c:minorUnit val="100"/>
      </c:valAx>
      <c:catAx>
        <c:axId val="218555904"/>
        <c:scaling>
          <c:orientation val="minMax"/>
        </c:scaling>
        <c:delete val="1"/>
        <c:axPos val="b"/>
        <c:numFmt formatCode="General" sourceLinked="1"/>
        <c:majorTickMark val="out"/>
        <c:minorTickMark val="none"/>
        <c:tickLblPos val="nextTo"/>
        <c:crossAx val="217634432"/>
        <c:crosses val="autoZero"/>
        <c:auto val="1"/>
        <c:lblAlgn val="ctr"/>
        <c:lblOffset val="100"/>
        <c:noMultiLvlLbl val="0"/>
      </c:catAx>
      <c:spPr>
        <a:ln>
          <a:noFill/>
        </a:ln>
      </c:spPr>
    </c:plotArea>
    <c:legend>
      <c:legendPos val="b"/>
      <c:legendEntry>
        <c:idx val="2"/>
        <c:delete val="1"/>
      </c:legendEntry>
      <c:overlay val="0"/>
    </c:legend>
    <c:plotVisOnly val="1"/>
    <c:dispBlanksAs val="gap"/>
    <c:showDLblsOverMax val="0"/>
  </c:chart>
  <c:spPr>
    <a:ln>
      <a:noFill/>
    </a:ln>
  </c:spPr>
  <c:txPr>
    <a:bodyPr/>
    <a:lstStyle/>
    <a:p>
      <a:pPr>
        <a:defRPr sz="800" b="1">
          <a:latin typeface="Arial" panose="020B0604020202020204" pitchFamily="34" charset="0"/>
          <a:cs typeface="Arial" panose="020B0604020202020204" pitchFamily="34" charset="0"/>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324929971988816"/>
          <c:y val="0.10167992225153223"/>
          <c:w val="0.46124324781982895"/>
          <c:h val="0.72069257471848325"/>
        </c:manualLayout>
      </c:layout>
      <c:pieChart>
        <c:varyColors val="1"/>
        <c:ser>
          <c:idx val="0"/>
          <c:order val="0"/>
          <c:spPr>
            <a:ln>
              <a:solidFill>
                <a:sysClr val="window" lastClr="FFFFFF">
                  <a:lumMod val="75000"/>
                </a:sysClr>
              </a:solidFill>
            </a:ln>
          </c:spPr>
          <c:dPt>
            <c:idx val="0"/>
            <c:bubble3D val="0"/>
            <c:spPr>
              <a:solidFill>
                <a:srgbClr val="D96D75"/>
              </a:solidFill>
              <a:ln>
                <a:solidFill>
                  <a:srgbClr val="953735"/>
                </a:solidFill>
              </a:ln>
            </c:spPr>
          </c:dPt>
          <c:dPt>
            <c:idx val="1"/>
            <c:bubble3D val="0"/>
            <c:spPr>
              <a:solidFill>
                <a:srgbClr val="0071BC"/>
              </a:solidFill>
              <a:ln>
                <a:solidFill>
                  <a:srgbClr val="376092"/>
                </a:solidFill>
              </a:ln>
            </c:spPr>
          </c:dPt>
          <c:dPt>
            <c:idx val="2"/>
            <c:bubble3D val="0"/>
            <c:spPr>
              <a:solidFill>
                <a:srgbClr val="92D050"/>
              </a:solidFill>
              <a:ln>
                <a:solidFill>
                  <a:srgbClr val="77933C"/>
                </a:solidFill>
              </a:ln>
            </c:spPr>
          </c:dPt>
          <c:dPt>
            <c:idx val="3"/>
            <c:bubble3D val="0"/>
            <c:spPr>
              <a:solidFill>
                <a:schemeClr val="accent4">
                  <a:lumMod val="40000"/>
                  <a:lumOff val="60000"/>
                </a:schemeClr>
              </a:solidFill>
              <a:ln>
                <a:solidFill>
                  <a:srgbClr val="8064A2">
                    <a:lumMod val="40000"/>
                    <a:lumOff val="60000"/>
                  </a:srgbClr>
                </a:solidFill>
              </a:ln>
            </c:spPr>
          </c:dPt>
          <c:dPt>
            <c:idx val="4"/>
            <c:bubble3D val="0"/>
            <c:spPr>
              <a:solidFill>
                <a:srgbClr val="EAF46C"/>
              </a:solidFill>
              <a:ln>
                <a:solidFill>
                  <a:srgbClr val="FAC090"/>
                </a:solidFill>
              </a:ln>
            </c:spPr>
          </c:dPt>
          <c:dPt>
            <c:idx val="5"/>
            <c:bubble3D val="0"/>
            <c:spPr>
              <a:solidFill>
                <a:srgbClr val="83A5CF"/>
              </a:solidFill>
              <a:ln>
                <a:solidFill>
                  <a:srgbClr val="376092"/>
                </a:solidFill>
              </a:ln>
            </c:spPr>
          </c:dPt>
          <c:dPt>
            <c:idx val="6"/>
            <c:bubble3D val="0"/>
            <c:spPr>
              <a:solidFill>
                <a:srgbClr val="E6B9B8"/>
              </a:solidFill>
              <a:ln>
                <a:solidFill>
                  <a:srgbClr val="D99694"/>
                </a:solidFill>
              </a:ln>
            </c:spPr>
          </c:dPt>
          <c:dPt>
            <c:idx val="7"/>
            <c:bubble3D val="0"/>
            <c:spPr>
              <a:solidFill>
                <a:srgbClr val="EEECE1">
                  <a:lumMod val="50000"/>
                </a:srgbClr>
              </a:solidFill>
              <a:ln>
                <a:solidFill>
                  <a:srgbClr val="EEECE1">
                    <a:lumMod val="50000"/>
                  </a:srgbClr>
                </a:solidFill>
              </a:ln>
            </c:spPr>
          </c:dPt>
          <c:dPt>
            <c:idx val="8"/>
            <c:bubble3D val="0"/>
            <c:spPr>
              <a:solidFill>
                <a:srgbClr val="B43734"/>
              </a:solidFill>
              <a:ln>
                <a:solidFill>
                  <a:srgbClr val="C00000"/>
                </a:solidFill>
              </a:ln>
            </c:spPr>
          </c:dPt>
          <c:dPt>
            <c:idx val="9"/>
            <c:bubble3D val="0"/>
            <c:spPr>
              <a:solidFill>
                <a:srgbClr val="FFC000"/>
              </a:solidFill>
              <a:ln>
                <a:solidFill>
                  <a:srgbClr val="E46C0A"/>
                </a:solidFill>
              </a:ln>
            </c:spPr>
          </c:dPt>
          <c:dLbls>
            <c:dLbl>
              <c:idx val="0"/>
              <c:layout>
                <c:manualLayout>
                  <c:x val="7.2098382068438632E-2"/>
                  <c:y val="-7.4280408542246983E-3"/>
                </c:manualLayout>
              </c:layout>
              <c:tx>
                <c:rich>
                  <a:bodyPr/>
                  <a:lstStyle/>
                  <a:p>
                    <a:r>
                      <a:rPr lang="en-US"/>
                      <a:t>Nemoci oběhové soustavy</a:t>
                    </a:r>
                    <a:endParaRPr lang="cs-CZ"/>
                  </a:p>
                  <a:p>
                    <a:r>
                      <a:rPr lang="en-US"/>
                      <a:t>25,4</a:t>
                    </a:r>
                    <a:endParaRPr lang="cs-CZ"/>
                  </a:p>
                  <a:p>
                    <a:r>
                      <a:rPr lang="en-US"/>
                      <a:t>1</a:t>
                    </a:r>
                    <a:r>
                      <a:rPr lang="cs-CZ"/>
                      <a:t>3,6</a:t>
                    </a:r>
                    <a:r>
                      <a:rPr lang="en-US"/>
                      <a:t>%</a:t>
                    </a:r>
                  </a:p>
                </c:rich>
              </c:tx>
              <c:dLblPos val="bestFit"/>
              <c:showLegendKey val="0"/>
              <c:showVal val="1"/>
              <c:showCatName val="1"/>
              <c:showSerName val="0"/>
              <c:showPercent val="1"/>
              <c:showBubbleSize val="0"/>
            </c:dLbl>
            <c:dLbl>
              <c:idx val="1"/>
              <c:layout>
                <c:manualLayout>
                  <c:x val="9.3221610209521938E-2"/>
                  <c:y val="-7.2284488115865742E-2"/>
                </c:manualLayout>
              </c:layout>
              <c:tx>
                <c:rich>
                  <a:bodyPr/>
                  <a:lstStyle/>
                  <a:p>
                    <a:r>
                      <a:rPr lang="en-US"/>
                      <a:t>Novotvary</a:t>
                    </a:r>
                    <a:endParaRPr lang="cs-CZ"/>
                  </a:p>
                  <a:p>
                    <a:r>
                      <a:rPr lang="en-US"/>
                      <a:t>23,6</a:t>
                    </a:r>
                    <a:endParaRPr lang="cs-CZ"/>
                  </a:p>
                  <a:p>
                    <a:r>
                      <a:rPr lang="en-US"/>
                      <a:t>1</a:t>
                    </a:r>
                    <a:r>
                      <a:rPr lang="cs-CZ"/>
                      <a:t>2,7</a:t>
                    </a:r>
                    <a:r>
                      <a:rPr lang="en-US"/>
                      <a:t>%</a:t>
                    </a:r>
                  </a:p>
                </c:rich>
              </c:tx>
              <c:dLblPos val="bestFit"/>
              <c:showLegendKey val="0"/>
              <c:showVal val="1"/>
              <c:showCatName val="1"/>
              <c:showSerName val="0"/>
              <c:showPercent val="1"/>
              <c:showBubbleSize val="0"/>
            </c:dLbl>
            <c:dLbl>
              <c:idx val="2"/>
              <c:layout>
                <c:manualLayout>
                  <c:x val="0.1506617541351932"/>
                  <c:y val="-0.12056675366832628"/>
                </c:manualLayout>
              </c:layout>
              <c:tx>
                <c:rich>
                  <a:bodyPr/>
                  <a:lstStyle/>
                  <a:p>
                    <a:r>
                      <a:rPr lang="en-US"/>
                      <a:t>Faktory ovlivňující zdravotní stav</a:t>
                    </a:r>
                    <a:endParaRPr lang="cs-CZ"/>
                  </a:p>
                  <a:p>
                    <a:r>
                      <a:rPr lang="en-US"/>
                      <a:t>18,</a:t>
                    </a:r>
                    <a:r>
                      <a:rPr lang="cs-CZ"/>
                      <a:t>0</a:t>
                    </a:r>
                  </a:p>
                  <a:p>
                    <a:r>
                      <a:rPr lang="cs-CZ"/>
                      <a:t>9,7</a:t>
                    </a:r>
                    <a:r>
                      <a:rPr lang="en-US"/>
                      <a:t>%</a:t>
                    </a:r>
                  </a:p>
                </c:rich>
              </c:tx>
              <c:dLblPos val="bestFit"/>
              <c:showLegendKey val="0"/>
              <c:showVal val="1"/>
              <c:showCatName val="1"/>
              <c:showSerName val="0"/>
              <c:showPercent val="1"/>
              <c:showBubbleSize val="0"/>
            </c:dLbl>
            <c:dLbl>
              <c:idx val="3"/>
              <c:layout>
                <c:manualLayout>
                  <c:x val="0.2114150423140238"/>
                  <c:y val="3.0226435801318279E-2"/>
                </c:manualLayout>
              </c:layout>
              <c:tx>
                <c:rich>
                  <a:bodyPr/>
                  <a:lstStyle/>
                  <a:p>
                    <a:r>
                      <a:rPr lang="en-US"/>
                      <a:t>Nemoci svalové, kosterní a pojivové tkáně</a:t>
                    </a:r>
                    <a:endParaRPr lang="cs-CZ"/>
                  </a:p>
                  <a:p>
                    <a:r>
                      <a:rPr lang="en-US"/>
                      <a:t>16,3</a:t>
                    </a:r>
                    <a:endParaRPr lang="cs-CZ"/>
                  </a:p>
                  <a:p>
                    <a:r>
                      <a:rPr lang="en-US"/>
                      <a:t> </a:t>
                    </a:r>
                    <a:r>
                      <a:rPr lang="cs-CZ"/>
                      <a:t>8,7</a:t>
                    </a:r>
                    <a:r>
                      <a:rPr lang="en-US"/>
                      <a:t>%</a:t>
                    </a:r>
                  </a:p>
                </c:rich>
              </c:tx>
              <c:dLblPos val="bestFit"/>
              <c:showLegendKey val="0"/>
              <c:showVal val="1"/>
              <c:showCatName val="1"/>
              <c:showSerName val="0"/>
              <c:showPercent val="1"/>
              <c:showBubbleSize val="0"/>
            </c:dLbl>
            <c:dLbl>
              <c:idx val="4"/>
              <c:layout>
                <c:manualLayout>
                  <c:x val="-7.6785988605884356E-2"/>
                  <c:y val="5.8426220399330306E-2"/>
                </c:manualLayout>
              </c:layout>
              <c:tx>
                <c:rich>
                  <a:bodyPr/>
                  <a:lstStyle/>
                  <a:p>
                    <a:r>
                      <a:rPr lang="en-US"/>
                      <a:t>Nemoci močové a pohlavní soustavy</a:t>
                    </a:r>
                    <a:endParaRPr lang="cs-CZ"/>
                  </a:p>
                  <a:p>
                    <a:r>
                      <a:rPr lang="en-US"/>
                      <a:t> 14,4</a:t>
                    </a:r>
                    <a:endParaRPr lang="cs-CZ"/>
                  </a:p>
                  <a:p>
                    <a:r>
                      <a:rPr lang="cs-CZ"/>
                      <a:t>7,7</a:t>
                    </a:r>
                    <a:r>
                      <a:rPr lang="en-US"/>
                      <a:t>%</a:t>
                    </a:r>
                  </a:p>
                </c:rich>
              </c:tx>
              <c:dLblPos val="bestFit"/>
              <c:showLegendKey val="0"/>
              <c:showVal val="1"/>
              <c:showCatName val="1"/>
              <c:showSerName val="0"/>
              <c:showPercent val="1"/>
              <c:showBubbleSize val="0"/>
            </c:dLbl>
            <c:dLbl>
              <c:idx val="5"/>
              <c:layout>
                <c:manualLayout>
                  <c:x val="-3.5086318435547673E-2"/>
                  <c:y val="3.9012713940005411E-2"/>
                </c:manualLayout>
              </c:layout>
              <c:tx>
                <c:rich>
                  <a:bodyPr/>
                  <a:lstStyle/>
                  <a:p>
                    <a:r>
                      <a:rPr lang="en-US"/>
                      <a:t>Nemoci trávicí soustavy</a:t>
                    </a:r>
                    <a:endParaRPr lang="cs-CZ"/>
                  </a:p>
                  <a:p>
                    <a:r>
                      <a:rPr lang="en-US"/>
                      <a:t> 14,4</a:t>
                    </a:r>
                    <a:endParaRPr lang="cs-CZ"/>
                  </a:p>
                  <a:p>
                    <a:r>
                      <a:rPr lang="cs-CZ"/>
                      <a:t>7,7</a:t>
                    </a:r>
                    <a:r>
                      <a:rPr lang="en-US"/>
                      <a:t>%</a:t>
                    </a:r>
                  </a:p>
                </c:rich>
              </c:tx>
              <c:dLblPos val="bestFit"/>
              <c:showLegendKey val="0"/>
              <c:showVal val="1"/>
              <c:showCatName val="1"/>
              <c:showSerName val="0"/>
              <c:showPercent val="1"/>
              <c:showBubbleSize val="0"/>
            </c:dLbl>
            <c:dLbl>
              <c:idx val="6"/>
              <c:layout>
                <c:manualLayout>
                  <c:x val="-8.5068122353250453E-2"/>
                  <c:y val="2.7839653748016873E-2"/>
                </c:manualLayout>
              </c:layout>
              <c:tx>
                <c:rich>
                  <a:bodyPr/>
                  <a:lstStyle/>
                  <a:p>
                    <a:r>
                      <a:rPr lang="en-US"/>
                      <a:t>Poranění, otravy </a:t>
                    </a:r>
                    <a:endParaRPr lang="cs-CZ"/>
                  </a:p>
                  <a:p>
                    <a:r>
                      <a:rPr lang="en-US"/>
                      <a:t> 10,7</a:t>
                    </a:r>
                    <a:endParaRPr lang="cs-CZ"/>
                  </a:p>
                  <a:p>
                    <a:r>
                      <a:rPr lang="cs-CZ"/>
                      <a:t>5,8</a:t>
                    </a:r>
                    <a:r>
                      <a:rPr lang="en-US"/>
                      <a:t>%</a:t>
                    </a:r>
                  </a:p>
                </c:rich>
              </c:tx>
              <c:dLblPos val="bestFit"/>
              <c:showLegendKey val="0"/>
              <c:showVal val="1"/>
              <c:showCatName val="1"/>
              <c:showSerName val="0"/>
              <c:showPercent val="1"/>
              <c:showBubbleSize val="0"/>
            </c:dLbl>
            <c:dLbl>
              <c:idx val="7"/>
              <c:layout>
                <c:manualLayout>
                  <c:x val="-0.11193654783762358"/>
                  <c:y val="1.2952573128915989E-2"/>
                </c:manualLayout>
              </c:layout>
              <c:tx>
                <c:rich>
                  <a:bodyPr/>
                  <a:lstStyle/>
                  <a:p>
                    <a:r>
                      <a:rPr lang="en-US"/>
                      <a:t>Poruchy duševní a poruchy chování</a:t>
                    </a:r>
                    <a:endParaRPr lang="cs-CZ"/>
                  </a:p>
                  <a:p>
                    <a:r>
                      <a:rPr lang="en-US"/>
                      <a:t>9,6</a:t>
                    </a:r>
                    <a:endParaRPr lang="cs-CZ"/>
                  </a:p>
                  <a:p>
                    <a:r>
                      <a:rPr lang="en-US"/>
                      <a:t>5</a:t>
                    </a:r>
                    <a:r>
                      <a:rPr lang="cs-CZ"/>
                      <a:t>,1</a:t>
                    </a:r>
                    <a:r>
                      <a:rPr lang="en-US"/>
                      <a:t>%</a:t>
                    </a:r>
                  </a:p>
                </c:rich>
              </c:tx>
              <c:dLblPos val="bestFit"/>
              <c:showLegendKey val="0"/>
              <c:showVal val="1"/>
              <c:showCatName val="1"/>
              <c:showSerName val="0"/>
              <c:showPercent val="1"/>
              <c:showBubbleSize val="0"/>
            </c:dLbl>
            <c:dLbl>
              <c:idx val="8"/>
              <c:layout>
                <c:manualLayout>
                  <c:x val="-8.5325249836728151E-2"/>
                  <c:y val="-1.6759590287982806E-2"/>
                </c:manualLayout>
              </c:layout>
              <c:tx>
                <c:rich>
                  <a:bodyPr/>
                  <a:lstStyle/>
                  <a:p>
                    <a:r>
                      <a:rPr lang="en-US"/>
                      <a:t>Nemoci dýchací soustavy</a:t>
                    </a:r>
                    <a:endParaRPr lang="cs-CZ"/>
                  </a:p>
                  <a:p>
                    <a:r>
                      <a:rPr lang="en-US"/>
                      <a:t>9,9</a:t>
                    </a:r>
                    <a:endParaRPr lang="cs-CZ"/>
                  </a:p>
                  <a:p>
                    <a:r>
                      <a:rPr lang="en-US"/>
                      <a:t> 5</a:t>
                    </a:r>
                    <a:r>
                      <a:rPr lang="cs-CZ"/>
                      <a:t>,3</a:t>
                    </a:r>
                    <a:r>
                      <a:rPr lang="en-US"/>
                      <a:t>%</a:t>
                    </a:r>
                  </a:p>
                </c:rich>
              </c:tx>
              <c:dLblPos val="bestFit"/>
              <c:showLegendKey val="0"/>
              <c:showVal val="1"/>
              <c:showCatName val="1"/>
              <c:showSerName val="0"/>
              <c:showPercent val="1"/>
              <c:showBubbleSize val="0"/>
            </c:dLbl>
            <c:dLbl>
              <c:idx val="9"/>
              <c:layout>
                <c:manualLayout>
                  <c:x val="-0.15636152738972139"/>
                  <c:y val="3.3595271623792625E-2"/>
                </c:manualLayout>
              </c:layout>
              <c:tx>
                <c:rich>
                  <a:bodyPr/>
                  <a:lstStyle/>
                  <a:p>
                    <a:r>
                      <a:rPr lang="en-US"/>
                      <a:t>Ostatní</a:t>
                    </a:r>
                    <a:r>
                      <a:rPr lang="cs-CZ"/>
                      <a:t> (1)</a:t>
                    </a:r>
                  </a:p>
                  <a:p>
                    <a:r>
                      <a:rPr lang="en-US"/>
                      <a:t> 43,9</a:t>
                    </a:r>
                    <a:endParaRPr lang="cs-CZ"/>
                  </a:p>
                  <a:p>
                    <a:r>
                      <a:rPr lang="en-US"/>
                      <a:t>23</a:t>
                    </a:r>
                    <a:r>
                      <a:rPr lang="cs-CZ"/>
                      <a:t>,6</a:t>
                    </a:r>
                    <a:r>
                      <a:rPr lang="en-US"/>
                      <a:t>%</a:t>
                    </a:r>
                  </a:p>
                </c:rich>
              </c:tx>
              <c:dLblPos val="bestFit"/>
              <c:showLegendKey val="0"/>
              <c:showVal val="1"/>
              <c:showCatName val="1"/>
              <c:showSerName val="0"/>
              <c:showPercent val="1"/>
              <c:showBubbleSize val="0"/>
            </c:dLbl>
            <c:spPr>
              <a:ln>
                <a:noFill/>
              </a:ln>
            </c:spPr>
            <c:txPr>
              <a:bodyPr/>
              <a:lstStyle/>
              <a:p>
                <a:pPr>
                  <a:defRPr sz="800">
                    <a:latin typeface="Arial" panose="020B0604020202020204" pitchFamily="34" charset="0"/>
                    <a:cs typeface="Arial" panose="020B0604020202020204" pitchFamily="34" charset="0"/>
                  </a:defRPr>
                </a:pPr>
                <a:endParaRPr lang="cs-CZ"/>
              </a:p>
            </c:txPr>
            <c:dLblPos val="outEnd"/>
            <c:showLegendKey val="0"/>
            <c:showVal val="1"/>
            <c:showCatName val="1"/>
            <c:showSerName val="0"/>
            <c:showPercent val="1"/>
            <c:showBubbleSize val="0"/>
            <c:showLeaderLines val="1"/>
          </c:dLbls>
          <c:cat>
            <c:strRef>
              <c:f>'Graf 3.1.2, 3.1.3 a 3.1.4'!$A$88:$A$97</c:f>
              <c:strCache>
                <c:ptCount val="10"/>
                <c:pt idx="0">
                  <c:v>Nemoci oběhové soustavy</c:v>
                </c:pt>
                <c:pt idx="1">
                  <c:v>Novotvary</c:v>
                </c:pt>
                <c:pt idx="2">
                  <c:v>Faktory ovlivňující zdravotní stav</c:v>
                </c:pt>
                <c:pt idx="3">
                  <c:v>Nemoci svalové, kosterní a pojivové tkáně</c:v>
                </c:pt>
                <c:pt idx="4">
                  <c:v>Nemoci močové a pohlavní soustavy</c:v>
                </c:pt>
                <c:pt idx="5">
                  <c:v>Nemoci trávicí soustavy</c:v>
                </c:pt>
                <c:pt idx="6">
                  <c:v>Poranění, otravy aj.</c:v>
                </c:pt>
                <c:pt idx="7">
                  <c:v>Poruchy duševní a poruchy chování</c:v>
                </c:pt>
                <c:pt idx="8">
                  <c:v>Nemoci dýchací soustavy</c:v>
                </c:pt>
                <c:pt idx="9">
                  <c:v>Ostatní (1)</c:v>
                </c:pt>
              </c:strCache>
            </c:strRef>
          </c:cat>
          <c:val>
            <c:numRef>
              <c:f>'Graf 3.1.2, 3.1.3 a 3.1.4'!$B$88:$B$97</c:f>
              <c:numCache>
                <c:formatCode>0.0</c:formatCode>
                <c:ptCount val="10"/>
                <c:pt idx="0">
                  <c:v>25.396318149999999</c:v>
                </c:pt>
                <c:pt idx="1">
                  <c:v>23.618393510000001</c:v>
                </c:pt>
                <c:pt idx="2">
                  <c:v>18.084579694734998</c:v>
                </c:pt>
                <c:pt idx="3">
                  <c:v>16.27556697</c:v>
                </c:pt>
                <c:pt idx="4">
                  <c:v>14.39198504</c:v>
                </c:pt>
                <c:pt idx="5">
                  <c:v>14.385266040000001</c:v>
                </c:pt>
                <c:pt idx="6">
                  <c:v>10.743911389999999</c:v>
                </c:pt>
                <c:pt idx="7">
                  <c:v>9.5672169</c:v>
                </c:pt>
                <c:pt idx="8">
                  <c:v>9.873019545</c:v>
                </c:pt>
                <c:pt idx="9">
                  <c:v>43.939597418999902</c:v>
                </c:pt>
              </c:numCache>
            </c:numRef>
          </c:val>
        </c:ser>
        <c:ser>
          <c:idx val="1"/>
          <c:order val="1"/>
          <c:cat>
            <c:strRef>
              <c:f>'Graf 3.1.2, 3.1.3 a 3.1.4'!$A$88:$A$97</c:f>
              <c:strCache>
                <c:ptCount val="10"/>
                <c:pt idx="0">
                  <c:v>Nemoci oběhové soustavy</c:v>
                </c:pt>
                <c:pt idx="1">
                  <c:v>Novotvary</c:v>
                </c:pt>
                <c:pt idx="2">
                  <c:v>Faktory ovlivňující zdravotní stav</c:v>
                </c:pt>
                <c:pt idx="3">
                  <c:v>Nemoci svalové, kosterní a pojivové tkáně</c:v>
                </c:pt>
                <c:pt idx="4">
                  <c:v>Nemoci močové a pohlavní soustavy</c:v>
                </c:pt>
                <c:pt idx="5">
                  <c:v>Nemoci trávicí soustavy</c:v>
                </c:pt>
                <c:pt idx="6">
                  <c:v>Poranění, otravy aj.</c:v>
                </c:pt>
                <c:pt idx="7">
                  <c:v>Poruchy duševní a poruchy chování</c:v>
                </c:pt>
                <c:pt idx="8">
                  <c:v>Nemoci dýchací soustavy</c:v>
                </c:pt>
                <c:pt idx="9">
                  <c:v>Ostatní (1)</c:v>
                </c:pt>
              </c:strCache>
            </c:strRef>
          </c:cat>
          <c:val>
            <c:numRef>
              <c:f>'Graf 3.1.2, 3.1.3 a 3.1.4'!$C$88:$C$97</c:f>
              <c:numCache>
                <c:formatCode>0%</c:formatCode>
                <c:ptCount val="10"/>
                <c:pt idx="0">
                  <c:v>0.13633714469611261</c:v>
                </c:pt>
                <c:pt idx="1">
                  <c:v>0.12679256553818993</c:v>
                </c:pt>
                <c:pt idx="2">
                  <c:v>9.7084937432533547E-2</c:v>
                </c:pt>
                <c:pt idx="3">
                  <c:v>8.7373465550956694E-2</c:v>
                </c:pt>
                <c:pt idx="4">
                  <c:v>7.7261677668137421E-2</c:v>
                </c:pt>
                <c:pt idx="5">
                  <c:v>7.7225607507502222E-2</c:v>
                </c:pt>
                <c:pt idx="6">
                  <c:v>5.7677423677283804E-2</c:v>
                </c:pt>
                <c:pt idx="7">
                  <c:v>5.1360477811402516E-2</c:v>
                </c:pt>
                <c:pt idx="8">
                  <c:v>5.3002143316361501E-2</c:v>
                </c:pt>
                <c:pt idx="9">
                  <c:v>0.23588455680151971</c:v>
                </c:pt>
              </c:numCache>
            </c:numRef>
          </c:val>
        </c:ser>
        <c:dLbls>
          <c:showLegendKey val="0"/>
          <c:showVal val="0"/>
          <c:showCatName val="0"/>
          <c:showSerName val="0"/>
          <c:showPercent val="0"/>
          <c:showBubbleSize val="0"/>
          <c:showLeaderLines val="1"/>
        </c:dLbls>
        <c:firstSliceAng val="40"/>
      </c:pieChart>
    </c:plotArea>
    <c:plotVisOnly val="1"/>
    <c:dispBlanksAs val="zero"/>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603760797505968"/>
          <c:y val="2.0530442260027992E-2"/>
          <c:w val="0.6054189001022755"/>
          <c:h val="0.93057624756220247"/>
        </c:manualLayout>
      </c:layout>
      <c:barChart>
        <c:barDir val="bar"/>
        <c:grouping val="clustered"/>
        <c:varyColors val="0"/>
        <c:ser>
          <c:idx val="1"/>
          <c:order val="1"/>
          <c:tx>
            <c:strRef>
              <c:f>'Graf 3.1.2, 3.1.3 a 3.1.4'!$C$30</c:f>
              <c:strCache>
                <c:ptCount val="1"/>
                <c:pt idx="0">
                  <c:v>2016</c:v>
                </c:pt>
              </c:strCache>
            </c:strRef>
          </c:tx>
          <c:spPr>
            <a:solidFill>
              <a:srgbClr val="D96D75"/>
            </a:solidFill>
            <a:ln>
              <a:solidFill>
                <a:srgbClr val="953735"/>
              </a:solidFill>
            </a:ln>
          </c:spPr>
          <c:invertIfNegative val="0"/>
          <c:dLbls>
            <c:dLbl>
              <c:idx val="19"/>
              <c:layout>
                <c:manualLayout>
                  <c:x val="2.8402366863905442E-2"/>
                  <c:y val="0"/>
                </c:manualLayout>
              </c:layout>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3.1.2, 3.1.3 a 3.1.4'!$A$31:$A$50</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3.1.2, 3.1.3 a 3.1.4'!$C$31:$C$50</c:f>
              <c:numCache>
                <c:formatCode>#,##0</c:formatCode>
                <c:ptCount val="20"/>
                <c:pt idx="0">
                  <c:v>1139.4234039999999</c:v>
                </c:pt>
                <c:pt idx="1">
                  <c:v>1417.0808890000001</c:v>
                </c:pt>
                <c:pt idx="2">
                  <c:v>1516.7775860000008</c:v>
                </c:pt>
                <c:pt idx="3">
                  <c:v>2752.1108009999998</c:v>
                </c:pt>
                <c:pt idx="4">
                  <c:v>2998.3950590000018</c:v>
                </c:pt>
                <c:pt idx="5">
                  <c:v>3528.2727949999999</c:v>
                </c:pt>
                <c:pt idx="6">
                  <c:v>4282.4777439999962</c:v>
                </c:pt>
                <c:pt idx="7">
                  <c:v>2708.9885920000002</c:v>
                </c:pt>
                <c:pt idx="8">
                  <c:v>7720.1354620000002</c:v>
                </c:pt>
                <c:pt idx="9">
                  <c:v>7686.1245570000001</c:v>
                </c:pt>
                <c:pt idx="10">
                  <c:v>8189.8105300000034</c:v>
                </c:pt>
                <c:pt idx="11">
                  <c:v>10743.911389999992</c:v>
                </c:pt>
                <c:pt idx="12">
                  <c:v>9567.2168999999922</c:v>
                </c:pt>
                <c:pt idx="13">
                  <c:v>9873.0195449999992</c:v>
                </c:pt>
                <c:pt idx="14">
                  <c:v>16275.566969999989</c:v>
                </c:pt>
                <c:pt idx="15">
                  <c:v>14391.98504</c:v>
                </c:pt>
                <c:pt idx="16">
                  <c:v>18084.579694735003</c:v>
                </c:pt>
                <c:pt idx="17">
                  <c:v>14385.26604</c:v>
                </c:pt>
                <c:pt idx="18">
                  <c:v>23618.393510000002</c:v>
                </c:pt>
                <c:pt idx="19">
                  <c:v>25396.318149999996</c:v>
                </c:pt>
              </c:numCache>
            </c:numRef>
          </c:val>
        </c:ser>
        <c:dLbls>
          <c:showLegendKey val="0"/>
          <c:showVal val="0"/>
          <c:showCatName val="0"/>
          <c:showSerName val="0"/>
          <c:showPercent val="0"/>
          <c:showBubbleSize val="0"/>
        </c:dLbls>
        <c:gapWidth val="25"/>
        <c:overlap val="100"/>
        <c:axId val="219591680"/>
        <c:axId val="184316416"/>
      </c:barChart>
      <c:barChart>
        <c:barDir val="bar"/>
        <c:grouping val="clustered"/>
        <c:varyColors val="0"/>
        <c:ser>
          <c:idx val="0"/>
          <c:order val="0"/>
          <c:tx>
            <c:strRef>
              <c:f>'Graf 3.1.2, 3.1.3 a 3.1.4'!$B$30</c:f>
              <c:strCache>
                <c:ptCount val="1"/>
                <c:pt idx="0">
                  <c:v>2010</c:v>
                </c:pt>
              </c:strCache>
            </c:strRef>
          </c:tx>
          <c:spPr>
            <a:solidFill>
              <a:srgbClr val="83A5CD"/>
            </a:solidFill>
            <a:ln>
              <a:solidFill>
                <a:srgbClr val="376092"/>
              </a:solidFill>
            </a:ln>
          </c:spPr>
          <c:invertIfNegative val="0"/>
          <c:dLbls>
            <c:dLbl>
              <c:idx val="3"/>
              <c:dLblPos val="inBase"/>
              <c:showLegendKey val="0"/>
              <c:showVal val="1"/>
              <c:showCatName val="0"/>
              <c:showSerName val="0"/>
              <c:showPercent val="0"/>
              <c:showBubbleSize val="0"/>
            </c:dLbl>
            <c:dLbl>
              <c:idx val="4"/>
              <c:dLblPos val="inBase"/>
              <c:showLegendKey val="0"/>
              <c:showVal val="1"/>
              <c:showCatName val="0"/>
              <c:showSerName val="0"/>
              <c:showPercent val="0"/>
              <c:showBubbleSize val="0"/>
            </c:dLbl>
            <c:dLbl>
              <c:idx val="5"/>
              <c:dLblPos val="inBase"/>
              <c:showLegendKey val="0"/>
              <c:showVal val="1"/>
              <c:showCatName val="0"/>
              <c:showSerName val="0"/>
              <c:showPercent val="0"/>
              <c:showBubbleSize val="0"/>
            </c:dLbl>
            <c:dLbl>
              <c:idx val="6"/>
              <c:dLblPos val="inBase"/>
              <c:showLegendKey val="0"/>
              <c:showVal val="1"/>
              <c:showCatName val="0"/>
              <c:showSerName val="0"/>
              <c:showPercent val="0"/>
              <c:showBubbleSize val="0"/>
            </c:dLbl>
            <c:dLbl>
              <c:idx val="7"/>
              <c:dLblPos val="inBase"/>
              <c:showLegendKey val="0"/>
              <c:showVal val="1"/>
              <c:showCatName val="0"/>
              <c:showSerName val="0"/>
              <c:showPercent val="0"/>
              <c:showBubbleSize val="0"/>
            </c:dLbl>
            <c:dLbl>
              <c:idx val="8"/>
              <c:dLblPos val="inBase"/>
              <c:showLegendKey val="0"/>
              <c:showVal val="1"/>
              <c:showCatName val="0"/>
              <c:showSerName val="0"/>
              <c:showPercent val="0"/>
              <c:showBubbleSize val="0"/>
            </c:dLbl>
            <c:dLbl>
              <c:idx val="9"/>
              <c:dLblPos val="inBase"/>
              <c:showLegendKey val="0"/>
              <c:showVal val="1"/>
              <c:showCatName val="0"/>
              <c:showSerName val="0"/>
              <c:showPercent val="0"/>
              <c:showBubbleSize val="0"/>
            </c:dLbl>
            <c:dLbl>
              <c:idx val="10"/>
              <c:dLblPos val="inBase"/>
              <c:showLegendKey val="0"/>
              <c:showVal val="1"/>
              <c:showCatName val="0"/>
              <c:showSerName val="0"/>
              <c:showPercent val="0"/>
              <c:showBubbleSize val="0"/>
            </c:dLbl>
            <c:dLbl>
              <c:idx val="11"/>
              <c:dLblPos val="inBase"/>
              <c:showLegendKey val="0"/>
              <c:showVal val="1"/>
              <c:showCatName val="0"/>
              <c:showSerName val="0"/>
              <c:showPercent val="0"/>
              <c:showBubbleSize val="0"/>
            </c:dLbl>
            <c:dLbl>
              <c:idx val="12"/>
              <c:dLblPos val="inBase"/>
              <c:showLegendKey val="0"/>
              <c:showVal val="1"/>
              <c:showCatName val="0"/>
              <c:showSerName val="0"/>
              <c:showPercent val="0"/>
              <c:showBubbleSize val="0"/>
            </c:dLbl>
            <c:dLbl>
              <c:idx val="13"/>
              <c:dLblPos val="inBase"/>
              <c:showLegendKey val="0"/>
              <c:showVal val="1"/>
              <c:showCatName val="0"/>
              <c:showSerName val="0"/>
              <c:showPercent val="0"/>
              <c:showBubbleSize val="0"/>
            </c:dLbl>
            <c:dLbl>
              <c:idx val="14"/>
              <c:dLblPos val="inBase"/>
              <c:showLegendKey val="0"/>
              <c:showVal val="1"/>
              <c:showCatName val="0"/>
              <c:showSerName val="0"/>
              <c:showPercent val="0"/>
              <c:showBubbleSize val="0"/>
            </c:dLbl>
            <c:dLbl>
              <c:idx val="15"/>
              <c:dLblPos val="inBase"/>
              <c:showLegendKey val="0"/>
              <c:showVal val="1"/>
              <c:showCatName val="0"/>
              <c:showSerName val="0"/>
              <c:showPercent val="0"/>
              <c:showBubbleSize val="0"/>
            </c:dLbl>
            <c:dLbl>
              <c:idx val="16"/>
              <c:dLblPos val="inBase"/>
              <c:showLegendKey val="0"/>
              <c:showVal val="1"/>
              <c:showCatName val="0"/>
              <c:showSerName val="0"/>
              <c:showPercent val="0"/>
              <c:showBubbleSize val="0"/>
            </c:dLbl>
            <c:dLbl>
              <c:idx val="17"/>
              <c:dLblPos val="inBase"/>
              <c:showLegendKey val="0"/>
              <c:showVal val="1"/>
              <c:showCatName val="0"/>
              <c:showSerName val="0"/>
              <c:showPercent val="0"/>
              <c:showBubbleSize val="0"/>
            </c:dLbl>
            <c:dLbl>
              <c:idx val="18"/>
              <c:dLblPos val="inBase"/>
              <c:showLegendKey val="0"/>
              <c:showVal val="1"/>
              <c:showCatName val="0"/>
              <c:showSerName val="0"/>
              <c:showPercent val="0"/>
              <c:showBubbleSize val="0"/>
            </c:dLbl>
            <c:dLbl>
              <c:idx val="19"/>
              <c:dLblPos val="inBase"/>
              <c:showLegendKey val="0"/>
              <c:showVal val="1"/>
              <c:showCatName val="0"/>
              <c:showSerName val="0"/>
              <c:showPercent val="0"/>
              <c:showBubbleSize val="0"/>
            </c:dLbl>
            <c:txPr>
              <a:bodyPr/>
              <a:lstStyle/>
              <a:p>
                <a:pPr>
                  <a:defRPr sz="750" b="1">
                    <a:latin typeface="Arial" panose="020B0604020202020204" pitchFamily="34" charset="0"/>
                    <a:cs typeface="Arial" panose="020B0604020202020204" pitchFamily="34" charset="0"/>
                  </a:defRPr>
                </a:pPr>
                <a:endParaRPr lang="cs-CZ"/>
              </a:p>
            </c:txPr>
            <c:dLblPos val="inBase"/>
            <c:showLegendKey val="0"/>
            <c:showVal val="0"/>
            <c:showCatName val="0"/>
            <c:showSerName val="0"/>
            <c:showPercent val="0"/>
            <c:showBubbleSize val="0"/>
          </c:dLbls>
          <c:cat>
            <c:strRef>
              <c:f>'Graf 3.1.2, 3.1.3 a 3.1.4'!$A$31:$A$50</c:f>
              <c:strCache>
                <c:ptCount val="20"/>
                <c:pt idx="0">
                  <c:v>Vrozené vady a deformace</c:v>
                </c:pt>
                <c:pt idx="1">
                  <c:v>Nemoci ucha</c:v>
                </c:pt>
                <c:pt idx="2">
                  <c:v>Stavy vzniklé v perinatálním období</c:v>
                </c:pt>
                <c:pt idx="3">
                  <c:v>Nemoci kůže</c:v>
                </c:pt>
                <c:pt idx="4">
                  <c:v>Nemoci krve a krvetvorných orgánů</c:v>
                </c:pt>
                <c:pt idx="5">
                  <c:v>Infekční a parazitární nemoci</c:v>
                </c:pt>
                <c:pt idx="6">
                  <c:v>Nemoci oka</c:v>
                </c:pt>
                <c:pt idx="7">
                  <c:v>Těhotenství, porod a šestinedělí</c:v>
                </c:pt>
                <c:pt idx="8">
                  <c:v>Příznaky, znaky</c:v>
                </c:pt>
                <c:pt idx="9">
                  <c:v>Nemoci endokrinní a metabolické</c:v>
                </c:pt>
                <c:pt idx="10">
                  <c:v>Nemoci nervové soustavy</c:v>
                </c:pt>
                <c:pt idx="11">
                  <c:v>Poranění, otravy aj.</c:v>
                </c:pt>
                <c:pt idx="12">
                  <c:v>Poruchy duševní a poruchy chování</c:v>
                </c:pt>
                <c:pt idx="13">
                  <c:v>Nemoci dýchací soustavy</c:v>
                </c:pt>
                <c:pt idx="14">
                  <c:v>Nemoci svalové, kosterní a pojivové tkáně</c:v>
                </c:pt>
                <c:pt idx="15">
                  <c:v>Nemoci močové a pohlavní soustavy</c:v>
                </c:pt>
                <c:pt idx="16">
                  <c:v>Faktory ovlivňující zdravotní stav</c:v>
                </c:pt>
                <c:pt idx="17">
                  <c:v>Nemoci trávicí soustavy</c:v>
                </c:pt>
                <c:pt idx="18">
                  <c:v>Novotvary</c:v>
                </c:pt>
                <c:pt idx="19">
                  <c:v>Nemoci oběhové soustavy</c:v>
                </c:pt>
              </c:strCache>
            </c:strRef>
          </c:cat>
          <c:val>
            <c:numRef>
              <c:f>'Graf 3.1.2, 3.1.3 a 3.1.4'!$B$31:$B$50</c:f>
              <c:numCache>
                <c:formatCode>General</c:formatCode>
                <c:ptCount val="20"/>
                <c:pt idx="0">
                  <c:v>932</c:v>
                </c:pt>
                <c:pt idx="1">
                  <c:v>940</c:v>
                </c:pt>
                <c:pt idx="2" formatCode="#,##0">
                  <c:v>2091</c:v>
                </c:pt>
                <c:pt idx="3" formatCode="#,##0">
                  <c:v>2096</c:v>
                </c:pt>
                <c:pt idx="4" formatCode="#,##0">
                  <c:v>2359</c:v>
                </c:pt>
                <c:pt idx="5" formatCode="#,##0">
                  <c:v>2384</c:v>
                </c:pt>
                <c:pt idx="6" formatCode="#,##0">
                  <c:v>2816</c:v>
                </c:pt>
                <c:pt idx="7" formatCode="#,##0">
                  <c:v>2884</c:v>
                </c:pt>
                <c:pt idx="8" formatCode="#,##0">
                  <c:v>5400</c:v>
                </c:pt>
                <c:pt idx="9" formatCode="#,##0">
                  <c:v>5690</c:v>
                </c:pt>
                <c:pt idx="10" formatCode="#,##0">
                  <c:v>5832</c:v>
                </c:pt>
                <c:pt idx="11" formatCode="#,##0">
                  <c:v>6627</c:v>
                </c:pt>
                <c:pt idx="12" formatCode="#,##0">
                  <c:v>7783</c:v>
                </c:pt>
                <c:pt idx="13" formatCode="#,##0">
                  <c:v>8551</c:v>
                </c:pt>
                <c:pt idx="14" formatCode="#,##0">
                  <c:v>10659</c:v>
                </c:pt>
                <c:pt idx="15" formatCode="#,##0">
                  <c:v>11355</c:v>
                </c:pt>
                <c:pt idx="16" formatCode="#,##0">
                  <c:v>12614</c:v>
                </c:pt>
                <c:pt idx="17" formatCode="#,##0">
                  <c:v>13213</c:v>
                </c:pt>
                <c:pt idx="18" formatCode="#,##0">
                  <c:v>19217</c:v>
                </c:pt>
                <c:pt idx="19" formatCode="#,##0">
                  <c:v>26758</c:v>
                </c:pt>
              </c:numCache>
            </c:numRef>
          </c:val>
        </c:ser>
        <c:dLbls>
          <c:showLegendKey val="0"/>
          <c:showVal val="0"/>
          <c:showCatName val="0"/>
          <c:showSerName val="0"/>
          <c:showPercent val="0"/>
          <c:showBubbleSize val="0"/>
        </c:dLbls>
        <c:gapWidth val="110"/>
        <c:overlap val="100"/>
        <c:axId val="219592704"/>
        <c:axId val="184316992"/>
      </c:barChart>
      <c:catAx>
        <c:axId val="219591680"/>
        <c:scaling>
          <c:orientation val="minMax"/>
        </c:scaling>
        <c:delete val="0"/>
        <c:axPos val="l"/>
        <c:numFmt formatCode="#,##0.00" sourceLinked="0"/>
        <c:majorTickMark val="out"/>
        <c:minorTickMark val="none"/>
        <c:tickLblPos val="nextTo"/>
        <c:txPr>
          <a:bodyPr/>
          <a:lstStyle/>
          <a:p>
            <a:pPr>
              <a:defRPr sz="800" baseline="0">
                <a:latin typeface="Arial" panose="020B0604020202020204" pitchFamily="34" charset="0"/>
              </a:defRPr>
            </a:pPr>
            <a:endParaRPr lang="cs-CZ"/>
          </a:p>
        </c:txPr>
        <c:crossAx val="184316416"/>
        <c:crosses val="autoZero"/>
        <c:auto val="1"/>
        <c:lblAlgn val="ctr"/>
        <c:lblOffset val="100"/>
        <c:noMultiLvlLbl val="0"/>
      </c:catAx>
      <c:valAx>
        <c:axId val="184316416"/>
        <c:scaling>
          <c:orientation val="minMax"/>
          <c:max val="30000"/>
        </c:scaling>
        <c:delete val="0"/>
        <c:axPos val="b"/>
        <c:majorGridlines>
          <c:spPr>
            <a:ln>
              <a:solidFill>
                <a:schemeClr val="bg1">
                  <a:lumMod val="75000"/>
                </a:schemeClr>
              </a:solidFill>
            </a:ln>
          </c:spPr>
        </c:majorGridlines>
        <c:numFmt formatCode="#,##0" sourceLinked="0"/>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219591680"/>
        <c:crosses val="autoZero"/>
        <c:crossBetween val="between"/>
      </c:valAx>
      <c:valAx>
        <c:axId val="184316992"/>
        <c:scaling>
          <c:orientation val="minMax"/>
        </c:scaling>
        <c:delete val="1"/>
        <c:axPos val="t"/>
        <c:numFmt formatCode="General" sourceLinked="1"/>
        <c:majorTickMark val="out"/>
        <c:minorTickMark val="none"/>
        <c:tickLblPos val="none"/>
        <c:crossAx val="219592704"/>
        <c:crosses val="max"/>
        <c:crossBetween val="between"/>
      </c:valAx>
      <c:catAx>
        <c:axId val="219592704"/>
        <c:scaling>
          <c:orientation val="minMax"/>
        </c:scaling>
        <c:delete val="1"/>
        <c:axPos val="l"/>
        <c:majorTickMark val="out"/>
        <c:minorTickMark val="none"/>
        <c:tickLblPos val="none"/>
        <c:crossAx val="184316992"/>
        <c:crosses val="autoZero"/>
        <c:auto val="1"/>
        <c:lblAlgn val="ctr"/>
        <c:lblOffset val="100"/>
        <c:noMultiLvlLbl val="0"/>
      </c:catAx>
    </c:plotArea>
    <c:legend>
      <c:legendPos val="r"/>
      <c:layout>
        <c:manualLayout>
          <c:xMode val="edge"/>
          <c:yMode val="edge"/>
          <c:x val="0.86748947461379533"/>
          <c:y val="0.83648714497193788"/>
          <c:w val="8.2508072854529546E-2"/>
          <c:h val="9.8964213333395057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296495284464161"/>
          <c:y val="0"/>
          <c:w val="0.63125338565906097"/>
          <c:h val="0.90167483781508495"/>
        </c:manualLayout>
      </c:layout>
      <c:barChart>
        <c:barDir val="bar"/>
        <c:grouping val="clustered"/>
        <c:varyColors val="0"/>
        <c:ser>
          <c:idx val="0"/>
          <c:order val="0"/>
          <c:spPr>
            <a:solidFill>
              <a:srgbClr val="D96D75"/>
            </a:solidFill>
            <a:ln>
              <a:solidFill>
                <a:srgbClr val="953735"/>
              </a:solidFill>
            </a:ln>
          </c:spPr>
          <c:invertIfNegative val="0"/>
          <c:dPt>
            <c:idx val="0"/>
            <c:invertIfNegative val="0"/>
            <c:bubble3D val="0"/>
            <c:spPr>
              <a:solidFill>
                <a:srgbClr val="0071BC"/>
              </a:solidFill>
              <a:ln>
                <a:solidFill>
                  <a:srgbClr val="376092"/>
                </a:solidFill>
              </a:ln>
            </c:spPr>
          </c:dPt>
          <c:dPt>
            <c:idx val="2"/>
            <c:invertIfNegative val="0"/>
            <c:bubble3D val="0"/>
            <c:spPr>
              <a:solidFill>
                <a:srgbClr val="0071BC"/>
              </a:solidFill>
              <a:ln>
                <a:solidFill>
                  <a:srgbClr val="376092"/>
                </a:solidFill>
              </a:ln>
            </c:spPr>
          </c:dPt>
          <c:dLbls>
            <c:dLbl>
              <c:idx val="0"/>
              <c:delete val="1"/>
            </c:dLbl>
            <c:dLbl>
              <c:idx val="1"/>
              <c:spPr>
                <a:solidFill>
                  <a:srgbClr val="0071BC"/>
                </a:solidFill>
                <a:ln>
                  <a:solidFill>
                    <a:srgbClr val="376092"/>
                  </a:solidFill>
                </a:ln>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dLbl>
            <c:dLbl>
              <c:idx val="3"/>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dLbl>
            <c:dLbl>
              <c:idx val="4"/>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dLbl>
            <c:dLbl>
              <c:idx val="5"/>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dLbl>
            <c:dLbl>
              <c:idx val="6"/>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dLbl>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showLeaderLines val="0"/>
          </c:dLbls>
          <c:cat>
            <c:strRef>
              <c:f>'Graf 3.1.2, 3.1.3 a 3.1.4'!$A$63:$A$82</c:f>
              <c:strCache>
                <c:ptCount val="20"/>
                <c:pt idx="0">
                  <c:v>Těhotenství, porod a šestinedělí</c:v>
                </c:pt>
                <c:pt idx="1">
                  <c:v>Stavy vzniklé v perinatálním období</c:v>
                </c:pt>
                <c:pt idx="2">
                  <c:v>Nemoci oběhové soustavy</c:v>
                </c:pt>
                <c:pt idx="3">
                  <c:v>Vrozené vady a deformace</c:v>
                </c:pt>
                <c:pt idx="4">
                  <c:v>Nemoci ucha</c:v>
                </c:pt>
                <c:pt idx="5">
                  <c:v>Nemoci krve a krvetvorných orgánů</c:v>
                </c:pt>
                <c:pt idx="6">
                  <c:v>Nemoci kůže</c:v>
                </c:pt>
                <c:pt idx="7">
                  <c:v>Infekční a parazitární nemoci</c:v>
                </c:pt>
                <c:pt idx="8">
                  <c:v>Nemoci trávicí soustavy</c:v>
                </c:pt>
                <c:pt idx="9">
                  <c:v>Nemoci dýchací soustavy</c:v>
                </c:pt>
                <c:pt idx="10">
                  <c:v>Nemoci oka</c:v>
                </c:pt>
                <c:pt idx="11">
                  <c:v>Poruchy duševní a poruchy chování</c:v>
                </c:pt>
                <c:pt idx="12">
                  <c:v>Nemoci endokrinní a metabolické</c:v>
                </c:pt>
                <c:pt idx="13">
                  <c:v>Příznaky, znaky</c:v>
                </c:pt>
                <c:pt idx="14">
                  <c:v>Nemoci nervové soustavy</c:v>
                </c:pt>
                <c:pt idx="15">
                  <c:v>Nemoci močové a pohlavní soustavy</c:v>
                </c:pt>
                <c:pt idx="16">
                  <c:v>Poranění, otravy aj.</c:v>
                </c:pt>
                <c:pt idx="17">
                  <c:v>Novotvary</c:v>
                </c:pt>
                <c:pt idx="18">
                  <c:v>Faktory ovlivňující zdravotní stav</c:v>
                </c:pt>
                <c:pt idx="19">
                  <c:v>Nemoci svalové, kosterní a pojivové tkáně</c:v>
                </c:pt>
              </c:strCache>
            </c:strRef>
          </c:cat>
          <c:val>
            <c:numRef>
              <c:f>'Graf 3.1.2, 3.1.3 a 3.1.4'!$B$63:$B$82</c:f>
              <c:numCache>
                <c:formatCode>#,##0</c:formatCode>
                <c:ptCount val="20"/>
                <c:pt idx="0">
                  <c:v>-175.01140799999996</c:v>
                </c:pt>
                <c:pt idx="1">
                  <c:v>-574.22241400000007</c:v>
                </c:pt>
                <c:pt idx="2">
                  <c:v>-1361.6818500000008</c:v>
                </c:pt>
                <c:pt idx="3">
                  <c:v>207.42340399999989</c:v>
                </c:pt>
                <c:pt idx="4">
                  <c:v>477.08088900000007</c:v>
                </c:pt>
                <c:pt idx="5">
                  <c:v>639.39505899999949</c:v>
                </c:pt>
                <c:pt idx="6">
                  <c:v>656.11080099999981</c:v>
                </c:pt>
                <c:pt idx="7">
                  <c:v>1144.2727949999999</c:v>
                </c:pt>
                <c:pt idx="8">
                  <c:v>1172.26604</c:v>
                </c:pt>
                <c:pt idx="9">
                  <c:v>1322.0195449999992</c:v>
                </c:pt>
                <c:pt idx="10">
                  <c:v>1466.477744</c:v>
                </c:pt>
                <c:pt idx="11">
                  <c:v>1784.2169000000001</c:v>
                </c:pt>
                <c:pt idx="12">
                  <c:v>1996.1245570000001</c:v>
                </c:pt>
                <c:pt idx="13">
                  <c:v>2320.1354620000002</c:v>
                </c:pt>
                <c:pt idx="14">
                  <c:v>2357.810530000002</c:v>
                </c:pt>
                <c:pt idx="15">
                  <c:v>3036.9850399999996</c:v>
                </c:pt>
                <c:pt idx="16">
                  <c:v>4116.9113899999993</c:v>
                </c:pt>
                <c:pt idx="17">
                  <c:v>4401.3935100000017</c:v>
                </c:pt>
                <c:pt idx="18">
                  <c:v>5470.5796947350054</c:v>
                </c:pt>
                <c:pt idx="19">
                  <c:v>5616.5669700000044</c:v>
                </c:pt>
              </c:numCache>
            </c:numRef>
          </c:val>
        </c:ser>
        <c:dLbls>
          <c:showLegendKey val="0"/>
          <c:showVal val="0"/>
          <c:showCatName val="0"/>
          <c:showSerName val="0"/>
          <c:showPercent val="0"/>
          <c:showBubbleSize val="0"/>
        </c:dLbls>
        <c:gapWidth val="40"/>
        <c:axId val="219593728"/>
        <c:axId val="184312960"/>
      </c:barChart>
      <c:catAx>
        <c:axId val="219593728"/>
        <c:scaling>
          <c:orientation val="minMax"/>
        </c:scaling>
        <c:delete val="0"/>
        <c:axPos val="l"/>
        <c:majorTickMark val="out"/>
        <c:minorTickMark val="none"/>
        <c:tickLblPos val="low"/>
        <c:spPr>
          <a:ln w="3175">
            <a:noFill/>
          </a:ln>
        </c:spPr>
        <c:txPr>
          <a:bodyPr/>
          <a:lstStyle/>
          <a:p>
            <a:pPr>
              <a:defRPr sz="800">
                <a:latin typeface="Arial" panose="020B0604020202020204" pitchFamily="34" charset="0"/>
                <a:cs typeface="Arial" panose="020B0604020202020204" pitchFamily="34" charset="0"/>
              </a:defRPr>
            </a:pPr>
            <a:endParaRPr lang="cs-CZ"/>
          </a:p>
        </c:txPr>
        <c:crossAx val="184312960"/>
        <c:crosses val="autoZero"/>
        <c:auto val="1"/>
        <c:lblAlgn val="ctr"/>
        <c:lblOffset val="1000"/>
        <c:noMultiLvlLbl val="0"/>
      </c:catAx>
      <c:valAx>
        <c:axId val="184312960"/>
        <c:scaling>
          <c:orientation val="minMax"/>
          <c:max val="6000"/>
          <c:min val="-2000"/>
        </c:scaling>
        <c:delete val="0"/>
        <c:axPos val="b"/>
        <c:majorGridlines>
          <c:spPr>
            <a:ln>
              <a:solidFill>
                <a:schemeClr val="bg1">
                  <a:lumMod val="85000"/>
                </a:schemeClr>
              </a:solidFill>
            </a:ln>
          </c:spPr>
        </c:majorGridlines>
        <c:numFmt formatCode="#,##0" sourceLinked="1"/>
        <c:majorTickMark val="out"/>
        <c:minorTickMark val="none"/>
        <c:tickLblPos val="nextTo"/>
        <c:spPr>
          <a:ln w="3175">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219593728"/>
        <c:crosses val="autoZero"/>
        <c:crossBetween val="between"/>
        <c:majorUnit val="1000"/>
        <c:minorUnit val="100"/>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84201879345337E-2"/>
          <c:y val="4.3419267299864311E-2"/>
          <c:w val="0.88747250105187236"/>
          <c:h val="0.64636152188293539"/>
        </c:manualLayout>
      </c:layout>
      <c:barChart>
        <c:barDir val="bar"/>
        <c:grouping val="stacked"/>
        <c:varyColors val="0"/>
        <c:ser>
          <c:idx val="0"/>
          <c:order val="0"/>
          <c:tx>
            <c:strRef>
              <c:f>'Graf 3.1.5'!$L$5:$M$5</c:f>
              <c:strCache>
                <c:ptCount val="1"/>
                <c:pt idx="0">
                  <c:v>Novotvary</c:v>
                </c:pt>
              </c:strCache>
            </c:strRef>
          </c:tx>
          <c:spPr>
            <a:solidFill>
              <a:srgbClr val="0071BC"/>
            </a:solidFill>
            <a:ln>
              <a:solidFill>
                <a:srgbClr val="376092"/>
              </a:solidFill>
            </a:ln>
          </c:spPr>
          <c:invertIfNegative val="0"/>
          <c:dLbls>
            <c:txPr>
              <a:bodyPr rot="-5400000" vert="horz"/>
              <a:lstStyle/>
              <a:p>
                <a:pPr>
                  <a:defRPr b="1">
                    <a:solidFill>
                      <a:schemeClr val="bg1"/>
                    </a:solidFill>
                  </a:defRPr>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3.1.5'!$N$5:$P$5</c:f>
              <c:numCache>
                <c:formatCode>0.0%</c:formatCode>
                <c:ptCount val="3"/>
                <c:pt idx="0" formatCode="0%">
                  <c:v>0.14327776184426141</c:v>
                </c:pt>
                <c:pt idx="1">
                  <c:v>0.12741934415818368</c:v>
                </c:pt>
                <c:pt idx="2">
                  <c:v>3.9468346500374507E-2</c:v>
                </c:pt>
              </c:numCache>
            </c:numRef>
          </c:val>
        </c:ser>
        <c:ser>
          <c:idx val="1"/>
          <c:order val="1"/>
          <c:tx>
            <c:strRef>
              <c:f>'Graf 3.1.5'!$L$6:$M$6</c:f>
              <c:strCache>
                <c:ptCount val="1"/>
                <c:pt idx="0">
                  <c:v>Nem. oběhové soust.</c:v>
                </c:pt>
              </c:strCache>
            </c:strRef>
          </c:tx>
          <c:spPr>
            <a:solidFill>
              <a:srgbClr val="D96D75"/>
            </a:solidFill>
            <a:ln>
              <a:solidFill>
                <a:srgbClr val="953735"/>
              </a:solidFill>
            </a:ln>
          </c:spPr>
          <c:invertIfNegative val="0"/>
          <c:dLbls>
            <c:dLbl>
              <c:idx val="2"/>
              <c:delete val="1"/>
            </c:dLbl>
            <c:txPr>
              <a:bodyPr rot="0" vert="horz"/>
              <a:lstStyle/>
              <a:p>
                <a:pPr>
                  <a:defRPr b="1"/>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3.1.5'!$N$6:$P$6</c:f>
              <c:numCache>
                <c:formatCode>0.0%</c:formatCode>
                <c:ptCount val="3"/>
                <c:pt idx="0">
                  <c:v>0.22131604835928761</c:v>
                </c:pt>
                <c:pt idx="1">
                  <c:v>8.8856104915998713E-2</c:v>
                </c:pt>
                <c:pt idx="2">
                  <c:v>6.3826341596235825E-3</c:v>
                </c:pt>
              </c:numCache>
            </c:numRef>
          </c:val>
        </c:ser>
        <c:ser>
          <c:idx val="2"/>
          <c:order val="2"/>
          <c:tx>
            <c:strRef>
              <c:f>'Graf 3.1.5'!$L$7:$M$7</c:f>
              <c:strCache>
                <c:ptCount val="1"/>
                <c:pt idx="0">
                  <c:v>Nem. dýchací soust.</c:v>
                </c:pt>
              </c:strCache>
            </c:strRef>
          </c:tx>
          <c:spPr>
            <a:solidFill>
              <a:srgbClr val="92D050"/>
            </a:solidFill>
            <a:ln>
              <a:solidFill>
                <a:srgbClr val="77933C"/>
              </a:solidFill>
            </a:ln>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3.1.5'!$N$7:$P$7</c:f>
              <c:numCache>
                <c:formatCode>0.0%</c:formatCode>
                <c:ptCount val="3"/>
                <c:pt idx="0">
                  <c:v>5.1343976863685872E-2</c:v>
                </c:pt>
                <c:pt idx="1">
                  <c:v>4.4273887512323334E-2</c:v>
                </c:pt>
                <c:pt idx="2">
                  <c:v>0.11649681750530438</c:v>
                </c:pt>
              </c:numCache>
            </c:numRef>
          </c:val>
        </c:ser>
        <c:ser>
          <c:idx val="3"/>
          <c:order val="3"/>
          <c:tx>
            <c:strRef>
              <c:f>'Graf 3.1.5'!$L$8:$M$8</c:f>
              <c:strCache>
                <c:ptCount val="1"/>
                <c:pt idx="0">
                  <c:v>Nem. trávicí soust.</c:v>
                </c:pt>
              </c:strCache>
            </c:strRef>
          </c:tx>
          <c:spPr>
            <a:solidFill>
              <a:schemeClr val="accent4">
                <a:lumMod val="60000"/>
                <a:lumOff val="40000"/>
              </a:schemeClr>
            </a:solidFill>
            <a:ln>
              <a:solidFill>
                <a:schemeClr val="accent4">
                  <a:lumMod val="60000"/>
                  <a:lumOff val="40000"/>
                </a:schemeClr>
              </a:solidFill>
            </a:ln>
          </c:spPr>
          <c:invertIfNegative val="0"/>
          <c:dLbls>
            <c:txPr>
              <a:bodyPr rot="-5400000" vert="horz"/>
              <a:lstStyle/>
              <a:p>
                <a:pPr>
                  <a:defRPr b="1">
                    <a:solidFill>
                      <a:sysClr val="windowText" lastClr="000000"/>
                    </a:solidFill>
                  </a:defRPr>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3.1.5'!$N$8:$P$8</c:f>
              <c:numCache>
                <c:formatCode>0.0%</c:formatCode>
                <c:ptCount val="3"/>
                <c:pt idx="0">
                  <c:v>5.9246003869585707E-2</c:v>
                </c:pt>
                <c:pt idx="1">
                  <c:v>9.2509382254590045E-2</c:v>
                </c:pt>
                <c:pt idx="2">
                  <c:v>7.1649737599763397E-2</c:v>
                </c:pt>
              </c:numCache>
            </c:numRef>
          </c:val>
        </c:ser>
        <c:ser>
          <c:idx val="4"/>
          <c:order val="4"/>
          <c:tx>
            <c:strRef>
              <c:f>'Graf 3.1.5'!$L$9:$M$9</c:f>
              <c:strCache>
                <c:ptCount val="1"/>
                <c:pt idx="0">
                  <c:v>Nem. svalové a kosterní soust.</c:v>
                </c:pt>
              </c:strCache>
            </c:strRef>
          </c:tx>
          <c:spPr>
            <a:solidFill>
              <a:srgbClr val="FFC000"/>
            </a:solidFill>
            <a:ln>
              <a:solidFill>
                <a:srgbClr val="E36C0A"/>
              </a:solidFill>
            </a:ln>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3.1.5'!$N$9:$P$9</c:f>
              <c:numCache>
                <c:formatCode>0.0%</c:formatCode>
                <c:ptCount val="3"/>
                <c:pt idx="0">
                  <c:v>8.2734743269344144E-2</c:v>
                </c:pt>
                <c:pt idx="1">
                  <c:v>0.1000951932818771</c:v>
                </c:pt>
                <c:pt idx="2">
                  <c:v>3.0508280865934049E-2</c:v>
                </c:pt>
              </c:numCache>
            </c:numRef>
          </c:val>
        </c:ser>
        <c:ser>
          <c:idx val="5"/>
          <c:order val="5"/>
          <c:tx>
            <c:strRef>
              <c:f>'Graf 3.1.5'!$L$10:$M$10</c:f>
              <c:strCache>
                <c:ptCount val="1"/>
                <c:pt idx="0">
                  <c:v>Nem. pohlavní a močové soust.</c:v>
                </c:pt>
              </c:strCache>
            </c:strRef>
          </c:tx>
          <c:spPr>
            <a:solidFill>
              <a:srgbClr val="F3F9A1"/>
            </a:solidFill>
            <a:ln>
              <a:solidFill>
                <a:srgbClr val="FAC090"/>
              </a:solidFill>
            </a:ln>
          </c:spPr>
          <c:invertIfNegative val="0"/>
          <c:dLbls>
            <c:txPr>
              <a:bodyPr rot="-5400000" vert="horz"/>
              <a:lstStyle/>
              <a:p>
                <a:pPr>
                  <a:defRPr b="1"/>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3.1.5'!$N$10:$P$10</c:f>
              <c:numCache>
                <c:formatCode>0.0%</c:formatCode>
                <c:ptCount val="3"/>
                <c:pt idx="0">
                  <c:v>9.0567144427112528E-2</c:v>
                </c:pt>
                <c:pt idx="1">
                  <c:v>7.604229163653034E-2</c:v>
                </c:pt>
                <c:pt idx="2">
                  <c:v>1.7674049296991429E-2</c:v>
                </c:pt>
              </c:numCache>
            </c:numRef>
          </c:val>
        </c:ser>
        <c:ser>
          <c:idx val="6"/>
          <c:order val="6"/>
          <c:tx>
            <c:strRef>
              <c:f>'Graf 3.1.5'!$L$11:$M$11</c:f>
              <c:strCache>
                <c:ptCount val="1"/>
                <c:pt idx="0">
                  <c:v>Stavy vzniklé v perinatálním obd.</c:v>
                </c:pt>
              </c:strCache>
            </c:strRef>
          </c:tx>
          <c:spPr>
            <a:solidFill>
              <a:srgbClr val="E6B9B8"/>
            </a:solidFill>
            <a:ln>
              <a:solidFill>
                <a:srgbClr val="D99694"/>
              </a:solidFill>
            </a:ln>
          </c:spPr>
          <c:invertIfNegative val="0"/>
          <c:dLbls>
            <c:dLbl>
              <c:idx val="0"/>
              <c:delete val="1"/>
            </c:dLbl>
            <c:dLbl>
              <c:idx val="1"/>
              <c:delete val="1"/>
            </c:dLbl>
            <c:txPr>
              <a:bodyPr/>
              <a:lstStyle/>
              <a:p>
                <a:pPr>
                  <a:defRPr b="1"/>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3.1.5'!$N$11:$P$11</c:f>
              <c:numCache>
                <c:formatCode>0.0%</c:formatCode>
                <c:ptCount val="3"/>
                <c:pt idx="0">
                  <c:v>4.2357643710036327E-6</c:v>
                </c:pt>
                <c:pt idx="1">
                  <c:v>3.8698237473560328E-5</c:v>
                </c:pt>
                <c:pt idx="2">
                  <c:v>0.10045998122674657</c:v>
                </c:pt>
              </c:numCache>
            </c:numRef>
          </c:val>
        </c:ser>
        <c:ser>
          <c:idx val="7"/>
          <c:order val="7"/>
          <c:tx>
            <c:strRef>
              <c:f>'Graf 3.1.5'!$L$12:$M$12</c:f>
              <c:strCache>
                <c:ptCount val="1"/>
                <c:pt idx="0">
                  <c:v>Ostatní</c:v>
                </c:pt>
              </c:strCache>
            </c:strRef>
          </c:tx>
          <c:spPr>
            <a:solidFill>
              <a:srgbClr val="83A5CF"/>
            </a:solidFill>
            <a:ln>
              <a:solidFill>
                <a:srgbClr val="376092"/>
              </a:solidFill>
            </a:ln>
          </c:spPr>
          <c:invertIfNegative val="0"/>
          <c:dLbls>
            <c:txPr>
              <a:bodyPr/>
              <a:lstStyle/>
              <a:p>
                <a:pPr>
                  <a:defRPr b="1"/>
                </a:pPr>
                <a:endParaRPr lang="cs-CZ"/>
              </a:p>
            </c:txPr>
            <c:showLegendKey val="0"/>
            <c:showVal val="1"/>
            <c:showCatName val="0"/>
            <c:showSerName val="0"/>
            <c:showPercent val="0"/>
            <c:showBubbleSize val="0"/>
            <c:showLeaderLines val="0"/>
          </c:dLbls>
          <c:cat>
            <c:strRef>
              <c:f>'Graf 3.1.5'!$N$4:$P$4</c:f>
              <c:strCache>
                <c:ptCount val="3"/>
                <c:pt idx="0">
                  <c:v>65+</c:v>
                </c:pt>
                <c:pt idx="1">
                  <c:v>15-64</c:v>
                </c:pt>
                <c:pt idx="2">
                  <c:v>0-14</c:v>
                </c:pt>
              </c:strCache>
            </c:strRef>
          </c:cat>
          <c:val>
            <c:numRef>
              <c:f>'Graf 3.1.5'!$N$12:$P$12</c:f>
              <c:numCache>
                <c:formatCode>0.0%</c:formatCode>
                <c:ptCount val="3"/>
                <c:pt idx="0">
                  <c:v>0.35150879373264127</c:v>
                </c:pt>
                <c:pt idx="1">
                  <c:v>0.47076509800302369</c:v>
                </c:pt>
                <c:pt idx="2">
                  <c:v>0.61736015284526158</c:v>
                </c:pt>
              </c:numCache>
            </c:numRef>
          </c:val>
        </c:ser>
        <c:dLbls>
          <c:showLegendKey val="0"/>
          <c:showVal val="0"/>
          <c:showCatName val="0"/>
          <c:showSerName val="0"/>
          <c:showPercent val="0"/>
          <c:showBubbleSize val="0"/>
        </c:dLbls>
        <c:gapWidth val="50"/>
        <c:overlap val="100"/>
        <c:axId val="220299776"/>
        <c:axId val="184314688"/>
      </c:barChart>
      <c:catAx>
        <c:axId val="220299776"/>
        <c:scaling>
          <c:orientation val="minMax"/>
        </c:scaling>
        <c:delete val="0"/>
        <c:axPos val="l"/>
        <c:majorTickMark val="out"/>
        <c:minorTickMark val="none"/>
        <c:tickLblPos val="nextTo"/>
        <c:spPr>
          <a:ln w="3175">
            <a:solidFill>
              <a:schemeClr val="bg1">
                <a:lumMod val="85000"/>
              </a:schemeClr>
            </a:solidFill>
          </a:ln>
        </c:spPr>
        <c:crossAx val="184314688"/>
        <c:crosses val="autoZero"/>
        <c:auto val="1"/>
        <c:lblAlgn val="ctr"/>
        <c:lblOffset val="100"/>
        <c:noMultiLvlLbl val="0"/>
      </c:catAx>
      <c:valAx>
        <c:axId val="184314688"/>
        <c:scaling>
          <c:orientation val="minMax"/>
          <c:max val="1"/>
        </c:scaling>
        <c:delete val="0"/>
        <c:axPos val="b"/>
        <c:majorGridlines>
          <c:spPr>
            <a:ln>
              <a:solidFill>
                <a:schemeClr val="bg1">
                  <a:lumMod val="75000"/>
                </a:schemeClr>
              </a:solidFill>
            </a:ln>
          </c:spPr>
        </c:majorGridlines>
        <c:numFmt formatCode="0%" sourceLinked="1"/>
        <c:majorTickMark val="out"/>
        <c:minorTickMark val="none"/>
        <c:tickLblPos val="nextTo"/>
        <c:spPr>
          <a:ln w="3175">
            <a:solidFill>
              <a:schemeClr val="bg1">
                <a:lumMod val="75000"/>
              </a:schemeClr>
            </a:solidFill>
          </a:ln>
        </c:spPr>
        <c:crossAx val="220299776"/>
        <c:crosses val="autoZero"/>
        <c:crossBetween val="between"/>
        <c:majorUnit val="0.1"/>
      </c:valAx>
    </c:plotArea>
    <c:legend>
      <c:legendPos val="b"/>
      <c:layout>
        <c:manualLayout>
          <c:xMode val="edge"/>
          <c:yMode val="edge"/>
          <c:x val="9.5166997255114127E-2"/>
          <c:y val="0.77976612679512625"/>
          <c:w val="0.84724190726159321"/>
          <c:h val="0.19112298208314191"/>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34489607717978"/>
          <c:y val="2.1431898477479106E-2"/>
          <c:w val="0.68880825707597404"/>
          <c:h val="0.90935306054607068"/>
        </c:manualLayout>
      </c:layout>
      <c:barChart>
        <c:barDir val="bar"/>
        <c:grouping val="clustered"/>
        <c:varyColors val="0"/>
        <c:ser>
          <c:idx val="3"/>
          <c:order val="0"/>
          <c:tx>
            <c:v>Ženy</c:v>
          </c:tx>
          <c:spPr>
            <a:solidFill>
              <a:srgbClr val="D96D75"/>
            </a:solidFill>
            <a:ln w="9525">
              <a:solidFill>
                <a:srgbClr val="953735"/>
              </a:solidFill>
              <a:prstDash val="solid"/>
            </a:ln>
          </c:spPr>
          <c:invertIfNegative val="0"/>
          <c:dLbls>
            <c:dLbl>
              <c:idx val="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1"/>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2"/>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3"/>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4"/>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5"/>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6"/>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7"/>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'Graf 3.1.6'!$S$30:$S$49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3.1.6'!$T$30:$T$49</c:f>
              <c:numCache>
                <c:formatCode>#,##0</c:formatCode>
                <c:ptCount val="20"/>
                <c:pt idx="0">
                  <c:v>99.980955947058192</c:v>
                </c:pt>
                <c:pt idx="1">
                  <c:v>141.29111712914568</c:v>
                </c:pt>
                <c:pt idx="2">
                  <c:v>127.07204077897238</c:v>
                </c:pt>
                <c:pt idx="3">
                  <c:v>268.40189663293535</c:v>
                </c:pt>
                <c:pt idx="4">
                  <c:v>276.80630477466929</c:v>
                </c:pt>
                <c:pt idx="5">
                  <c:v>473.78901069343203</c:v>
                </c:pt>
                <c:pt idx="6">
                  <c:v>302.63139488841864</c:v>
                </c:pt>
                <c:pt idx="7">
                  <c:v>510.58333144988575</c:v>
                </c:pt>
                <c:pt idx="8">
                  <c:v>831.33825107003111</c:v>
                </c:pt>
                <c:pt idx="9">
                  <c:v>808.06429697996441</c:v>
                </c:pt>
                <c:pt idx="10">
                  <c:v>888.21259401387101</c:v>
                </c:pt>
                <c:pt idx="11">
                  <c:v>876.38925700905759</c:v>
                </c:pt>
                <c:pt idx="12">
                  <c:v>883.81670819774058</c:v>
                </c:pt>
                <c:pt idx="13">
                  <c:v>970.93990987262771</c:v>
                </c:pt>
                <c:pt idx="14">
                  <c:v>1901.2219441127074</c:v>
                </c:pt>
                <c:pt idx="15">
                  <c:v>1505.1848935842104</c:v>
                </c:pt>
                <c:pt idx="16">
                  <c:v>1384.7455940055911</c:v>
                </c:pt>
                <c:pt idx="17">
                  <c:v>1995.565735793333</c:v>
                </c:pt>
                <c:pt idx="18">
                  <c:v>2252.2985746166405</c:v>
                </c:pt>
                <c:pt idx="19">
                  <c:v>2135.0373356126725</c:v>
                </c:pt>
              </c:numCache>
            </c:numRef>
          </c:val>
        </c:ser>
        <c:ser>
          <c:idx val="0"/>
          <c:order val="1"/>
          <c:tx>
            <c:v>Muži</c:v>
          </c:tx>
          <c:spPr>
            <a:solidFill>
              <a:srgbClr val="0071BC"/>
            </a:solidFill>
            <a:ln>
              <a:solidFill>
                <a:srgbClr val="376092"/>
              </a:solidFill>
            </a:ln>
          </c:spPr>
          <c:invertIfNegative val="0"/>
          <c:dLbls>
            <c:dLbl>
              <c:idx val="0"/>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1"/>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2"/>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3"/>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4"/>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5"/>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dLbl>
              <c:idx val="6"/>
              <c:numFmt formatCode="#,##0;#,##0" sourceLinked="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cs-CZ"/>
              </a:p>
            </c:txPr>
            <c:dLblPos val="inEnd"/>
            <c:showLegendKey val="0"/>
            <c:showVal val="1"/>
            <c:showCatName val="0"/>
            <c:showSerName val="0"/>
            <c:showPercent val="0"/>
            <c:showBubbleSize val="0"/>
            <c:showLeaderLines val="0"/>
          </c:dLbls>
          <c:cat>
            <c:strRef>
              <c:f>'Graf 3.1.6'!$S$30:$S$49</c:f>
              <c:strCache>
                <c:ptCount val="20"/>
                <c:pt idx="0">
                  <c:v>Vrozené vady a deformace</c:v>
                </c:pt>
                <c:pt idx="1">
                  <c:v>Nemoci ucha</c:v>
                </c:pt>
                <c:pt idx="2">
                  <c:v>Stavy vzniklé v perinatálním období</c:v>
                </c:pt>
                <c:pt idx="3">
                  <c:v>Nemoci kůže</c:v>
                </c:pt>
                <c:pt idx="4">
                  <c:v>Nemoci krve a krvetvorných orgánů</c:v>
                </c:pt>
                <c:pt idx="5">
                  <c:v>Nemoci oka</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'Graf 3.1.6'!$U$30:$U$49</c:f>
              <c:numCache>
                <c:formatCode>#,##0</c:formatCode>
                <c:ptCount val="20"/>
                <c:pt idx="0">
                  <c:v>-118.44773011247659</c:v>
                </c:pt>
                <c:pt idx="1">
                  <c:v>-129.83512355294661</c:v>
                </c:pt>
                <c:pt idx="2">
                  <c:v>-163.88402596600417</c:v>
                </c:pt>
                <c:pt idx="3">
                  <c:v>-258.33951095601765</c:v>
                </c:pt>
                <c:pt idx="4">
                  <c:v>-297.56083506749621</c:v>
                </c:pt>
                <c:pt idx="5">
                  <c:v>-344.10300876905291</c:v>
                </c:pt>
                <c:pt idx="6">
                  <c:v>-373.95993887254849</c:v>
                </c:pt>
                <c:pt idx="8">
                  <c:v>-637.1958513328027</c:v>
                </c:pt>
                <c:pt idx="9">
                  <c:v>-667.81046301383446</c:v>
                </c:pt>
                <c:pt idx="10">
                  <c:v>-676.4824022097506</c:v>
                </c:pt>
                <c:pt idx="11">
                  <c:v>-956.50327239100795</c:v>
                </c:pt>
                <c:pt idx="12">
                  <c:v>-1008.3050642487875</c:v>
                </c:pt>
                <c:pt idx="13">
                  <c:v>-1087.7981624734209</c:v>
                </c:pt>
                <c:pt idx="14">
                  <c:v>-1204.0347332561712</c:v>
                </c:pt>
                <c:pt idx="15">
                  <c:v>-1246.199708554389</c:v>
                </c:pt>
                <c:pt idx="16">
                  <c:v>-1369.0969972870121</c:v>
                </c:pt>
                <c:pt idx="17">
                  <c:v>-1541.966528610066</c:v>
                </c:pt>
                <c:pt idx="18">
                  <c:v>-2269.7511510419672</c:v>
                </c:pt>
                <c:pt idx="19">
                  <c:v>-2736.38374664295</c:v>
                </c:pt>
              </c:numCache>
            </c:numRef>
          </c:val>
        </c:ser>
        <c:dLbls>
          <c:showLegendKey val="0"/>
          <c:showVal val="0"/>
          <c:showCatName val="0"/>
          <c:showSerName val="0"/>
          <c:showPercent val="0"/>
          <c:showBubbleSize val="0"/>
        </c:dLbls>
        <c:gapWidth val="0"/>
        <c:overlap val="100"/>
        <c:axId val="220302848"/>
        <c:axId val="184313536"/>
      </c:barChart>
      <c:catAx>
        <c:axId val="220302848"/>
        <c:scaling>
          <c:orientation val="minMax"/>
        </c:scaling>
        <c:delete val="0"/>
        <c:axPos val="l"/>
        <c:numFmt formatCode="General" sourceLinked="1"/>
        <c:majorTickMark val="out"/>
        <c:minorTickMark val="none"/>
        <c:tickLblPos val="low"/>
        <c:spPr>
          <a:ln w="3175">
            <a:solidFill>
              <a:schemeClr val="tx1">
                <a:lumMod val="50000"/>
                <a:lumOff val="50000"/>
              </a:schemeClr>
            </a:solidFill>
            <a:prstDash val="solid"/>
          </a:ln>
        </c:spPr>
        <c:txPr>
          <a:bodyPr rot="0" vert="horz"/>
          <a:lstStyle/>
          <a:p>
            <a:pPr>
              <a:defRPr/>
            </a:pPr>
            <a:endParaRPr lang="cs-CZ"/>
          </a:p>
        </c:txPr>
        <c:crossAx val="184313536"/>
        <c:crosses val="autoZero"/>
        <c:auto val="1"/>
        <c:lblAlgn val="ctr"/>
        <c:lblOffset val="100"/>
        <c:tickLblSkip val="1"/>
        <c:tickMarkSkip val="1"/>
        <c:noMultiLvlLbl val="0"/>
      </c:catAx>
      <c:valAx>
        <c:axId val="184313536"/>
        <c:scaling>
          <c:orientation val="minMax"/>
          <c:max val="3000"/>
          <c:min val="-3000"/>
        </c:scaling>
        <c:delete val="0"/>
        <c:axPos val="b"/>
        <c:majorGridlines>
          <c:spPr>
            <a:ln w="9525">
              <a:solidFill>
                <a:schemeClr val="bg1">
                  <a:lumMod val="75000"/>
                </a:schemeClr>
              </a:solidFill>
              <a:prstDash val="sysDash"/>
            </a:ln>
          </c:spPr>
        </c:majorGridlines>
        <c:numFmt formatCode="0;0" sourceLinked="0"/>
        <c:majorTickMark val="out"/>
        <c:minorTickMark val="none"/>
        <c:tickLblPos val="nextTo"/>
        <c:spPr>
          <a:ln w="3175">
            <a:solidFill>
              <a:sysClr val="window" lastClr="FFFFFF">
                <a:lumMod val="75000"/>
              </a:sysClr>
            </a:solidFill>
            <a:prstDash val="solid"/>
          </a:ln>
        </c:spPr>
        <c:txPr>
          <a:bodyPr rot="0" vert="horz"/>
          <a:lstStyle/>
          <a:p>
            <a:pPr>
              <a:defRPr/>
            </a:pPr>
            <a:endParaRPr lang="cs-CZ"/>
          </a:p>
        </c:txPr>
        <c:crossAx val="220302848"/>
        <c:crosses val="autoZero"/>
        <c:crossBetween val="between"/>
        <c:majorUnit val="500"/>
        <c:minorUnit val="20"/>
      </c:valAx>
      <c:spPr>
        <a:solidFill>
          <a:srgbClr val="FFFFFF"/>
        </a:solidFill>
        <a:ln w="3175">
          <a:noFill/>
          <a:prstDash val="solid"/>
        </a:ln>
      </c:spPr>
    </c:plotArea>
    <c:legend>
      <c:legendPos val="b"/>
      <c:layout>
        <c:manualLayout>
          <c:xMode val="edge"/>
          <c:yMode val="edge"/>
          <c:x val="0.82007520219847241"/>
          <c:y val="0.80512004476194887"/>
          <c:w val="0.13477420727814418"/>
          <c:h val="4.7811897957801948E-2"/>
        </c:manualLayout>
      </c:layout>
      <c:overlay val="0"/>
      <c:spPr>
        <a:solidFill>
          <a:srgbClr val="FFFFFF"/>
        </a:solidFill>
        <a:ln w="3175">
          <a:noFill/>
          <a:prstDash val="solid"/>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130278427482718E-2"/>
          <c:y val="5.0925925925925923E-2"/>
          <c:w val="0.93076744100611053"/>
          <c:h val="0.79918965427334832"/>
        </c:manualLayout>
      </c:layout>
      <c:barChart>
        <c:barDir val="col"/>
        <c:grouping val="clustered"/>
        <c:varyColors val="0"/>
        <c:ser>
          <c:idx val="0"/>
          <c:order val="0"/>
          <c:tx>
            <c:strRef>
              <c:f>'Tabulka 3.1.1, Graf 3.1.7'!$B$26</c:f>
              <c:strCache>
                <c:ptCount val="1"/>
                <c:pt idx="0">
                  <c:v>Muži</c:v>
                </c:pt>
              </c:strCache>
            </c:strRef>
          </c:tx>
          <c:spPr>
            <a:solidFill>
              <a:srgbClr val="0071BC"/>
            </a:solidFill>
            <a:ln>
              <a:solidFill>
                <a:srgbClr val="17375E"/>
              </a:solidFill>
            </a:ln>
          </c:spPr>
          <c:invertIfNegative val="0"/>
          <c:cat>
            <c:strRef>
              <c:f>'Tabulka 3.1.1, Graf 3.1.7'!$A$27:$A$44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'Tabulka 3.1.1, Graf 3.1.7'!$B$27:$B$44</c:f>
              <c:numCache>
                <c:formatCode>#,##0</c:formatCode>
                <c:ptCount val="18"/>
                <c:pt idx="0">
                  <c:v>5492.9560540000011</c:v>
                </c:pt>
                <c:pt idx="1">
                  <c:v>3066.4955770000033</c:v>
                </c:pt>
                <c:pt idx="2">
                  <c:v>2709.4879580000002</c:v>
                </c:pt>
                <c:pt idx="3">
                  <c:v>2388.5558570000012</c:v>
                </c:pt>
                <c:pt idx="4">
                  <c:v>2501.2701430000016</c:v>
                </c:pt>
                <c:pt idx="5">
                  <c:v>3343.3291469999999</c:v>
                </c:pt>
                <c:pt idx="6">
                  <c:v>3891.6930870000006</c:v>
                </c:pt>
                <c:pt idx="7">
                  <c:v>5256.8630420000036</c:v>
                </c:pt>
                <c:pt idx="8">
                  <c:v>6239.9439509999993</c:v>
                </c:pt>
                <c:pt idx="9">
                  <c:v>6111.2735290000037</c:v>
                </c:pt>
                <c:pt idx="10">
                  <c:v>7622.8959020000057</c:v>
                </c:pt>
                <c:pt idx="11">
                  <c:v>9266.1968809999926</c:v>
                </c:pt>
                <c:pt idx="12">
                  <c:v>13119.692166000004</c:v>
                </c:pt>
                <c:pt idx="13">
                  <c:v>11408.783103000005</c:v>
                </c:pt>
                <c:pt idx="14">
                  <c:v>13164.832974000003</c:v>
                </c:pt>
                <c:pt idx="15">
                  <c:v>8695.562799000003</c:v>
                </c:pt>
                <c:pt idx="16">
                  <c:v>5556.9414060000036</c:v>
                </c:pt>
                <c:pt idx="17">
                  <c:v>3836.6350630000015</c:v>
                </c:pt>
              </c:numCache>
            </c:numRef>
          </c:val>
        </c:ser>
        <c:ser>
          <c:idx val="1"/>
          <c:order val="1"/>
          <c:tx>
            <c:strRef>
              <c:f>'Tabulka 3.1.1, Graf 3.1.7'!$C$26</c:f>
              <c:strCache>
                <c:ptCount val="1"/>
                <c:pt idx="0">
                  <c:v>Ženy</c:v>
                </c:pt>
              </c:strCache>
            </c:strRef>
          </c:tx>
          <c:spPr>
            <a:solidFill>
              <a:srgbClr val="D96D75"/>
            </a:solidFill>
            <a:ln>
              <a:solidFill>
                <a:srgbClr val="C00000"/>
              </a:solidFill>
            </a:ln>
          </c:spPr>
          <c:invertIfNegative val="0"/>
          <c:cat>
            <c:strRef>
              <c:f>'Tabulka 3.1.1, Graf 3.1.7'!$A$27:$A$44</c:f>
              <c:strCache>
                <c:ptCount val="18"/>
                <c:pt idx="0">
                  <c:v>Do 4 let</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'Tabulka 3.1.1, Graf 3.1.7'!$C$27:$C$44</c:f>
              <c:numCache>
                <c:formatCode>#,##0</c:formatCode>
                <c:ptCount val="18"/>
                <c:pt idx="0">
                  <c:v>4581.3613140000025</c:v>
                </c:pt>
                <c:pt idx="1">
                  <c:v>2485.8853680000002</c:v>
                </c:pt>
                <c:pt idx="2">
                  <c:v>2486.7105180000008</c:v>
                </c:pt>
                <c:pt idx="3">
                  <c:v>2770.7585829999998</c:v>
                </c:pt>
                <c:pt idx="4">
                  <c:v>3312.8268550000003</c:v>
                </c:pt>
                <c:pt idx="5">
                  <c:v>5023.3784060000016</c:v>
                </c:pt>
                <c:pt idx="6">
                  <c:v>5904.9253350000008</c:v>
                </c:pt>
                <c:pt idx="7">
                  <c:v>6859.1219630000096</c:v>
                </c:pt>
                <c:pt idx="8">
                  <c:v>7376.7322910000021</c:v>
                </c:pt>
                <c:pt idx="9">
                  <c:v>6881.5282560000105</c:v>
                </c:pt>
                <c:pt idx="10">
                  <c:v>7828.1942040000104</c:v>
                </c:pt>
                <c:pt idx="11">
                  <c:v>8668.298854000006</c:v>
                </c:pt>
                <c:pt idx="12">
                  <c:v>11547.348518999994</c:v>
                </c:pt>
                <c:pt idx="13">
                  <c:v>10067.223593000004</c:v>
                </c:pt>
                <c:pt idx="14">
                  <c:v>13124.571784000022</c:v>
                </c:pt>
                <c:pt idx="15">
                  <c:v>7719.4211270000051</c:v>
                </c:pt>
                <c:pt idx="16">
                  <c:v>8630.7512410000109</c:v>
                </c:pt>
                <c:pt idx="17">
                  <c:v>8758.0174500000048</c:v>
                </c:pt>
              </c:numCache>
            </c:numRef>
          </c:val>
        </c:ser>
        <c:dLbls>
          <c:showLegendKey val="0"/>
          <c:showVal val="0"/>
          <c:showCatName val="0"/>
          <c:showSerName val="0"/>
          <c:showPercent val="0"/>
          <c:showBubbleSize val="0"/>
        </c:dLbls>
        <c:gapWidth val="70"/>
        <c:axId val="220377088"/>
        <c:axId val="184319296"/>
      </c:barChart>
      <c:catAx>
        <c:axId val="220377088"/>
        <c:scaling>
          <c:orientation val="minMax"/>
        </c:scaling>
        <c:delete val="0"/>
        <c:axPos val="b"/>
        <c:majorTickMark val="out"/>
        <c:minorTickMark val="none"/>
        <c:tickLblPos val="nextTo"/>
        <c:spPr>
          <a:ln w="3175">
            <a:solidFill>
              <a:schemeClr val="bg1">
                <a:lumMod val="75000"/>
              </a:schemeClr>
            </a:solidFill>
          </a:ln>
        </c:spPr>
        <c:crossAx val="184319296"/>
        <c:crosses val="autoZero"/>
        <c:auto val="1"/>
        <c:lblAlgn val="ctr"/>
        <c:lblOffset val="100"/>
        <c:noMultiLvlLbl val="0"/>
      </c:catAx>
      <c:valAx>
        <c:axId val="184319296"/>
        <c:scaling>
          <c:orientation val="minMax"/>
          <c:max val="14000"/>
        </c:scaling>
        <c:delete val="0"/>
        <c:axPos val="l"/>
        <c:majorGridlines>
          <c:spPr>
            <a:ln>
              <a:solidFill>
                <a:sysClr val="window" lastClr="FFFFFF">
                  <a:lumMod val="75000"/>
                </a:sysClr>
              </a:solidFill>
              <a:prstDash val="dash"/>
            </a:ln>
          </c:spPr>
        </c:majorGridlines>
        <c:numFmt formatCode="#,##0" sourceLinked="1"/>
        <c:majorTickMark val="out"/>
        <c:minorTickMark val="none"/>
        <c:tickLblPos val="nextTo"/>
        <c:spPr>
          <a:ln w="3175">
            <a:solidFill>
              <a:schemeClr val="bg1">
                <a:lumMod val="75000"/>
              </a:schemeClr>
            </a:solidFill>
          </a:ln>
        </c:spPr>
        <c:crossAx val="220377088"/>
        <c:crosses val="autoZero"/>
        <c:crossBetween val="between"/>
        <c:majorUnit val="1000"/>
        <c:minorUnit val="500"/>
      </c:valAx>
      <c:spPr>
        <a:ln>
          <a:noFill/>
        </a:ln>
      </c:spPr>
    </c:plotArea>
    <c:legend>
      <c:legendPos val="b"/>
      <c:layout>
        <c:manualLayout>
          <c:xMode val="edge"/>
          <c:yMode val="edge"/>
          <c:x val="0.10468208486777061"/>
          <c:y val="7.6822153146174285E-2"/>
          <c:w val="0.15630607206962982"/>
          <c:h val="6.5543446142079922E-2"/>
        </c:manualLayout>
      </c:layout>
      <c:overlay val="0"/>
      <c:spPr>
        <a:solidFill>
          <a:sysClr val="window" lastClr="FFFFFF"/>
        </a:solidFill>
        <a:ln>
          <a:solidFill>
            <a:sysClr val="window" lastClr="FFFFFF">
              <a:lumMod val="75000"/>
            </a:sysClr>
          </a:solidFill>
        </a:ln>
      </c:sp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823202614379087E-2"/>
          <c:y val="4.2266993464052292E-2"/>
          <c:w val="0.93915277777777773"/>
          <c:h val="0.7689121527777778"/>
        </c:manualLayout>
      </c:layout>
      <c:barChart>
        <c:barDir val="col"/>
        <c:grouping val="clustered"/>
        <c:varyColors val="0"/>
        <c:ser>
          <c:idx val="0"/>
          <c:order val="0"/>
          <c:tx>
            <c:strRef>
              <c:f>'2_1 (2)'!$A$4</c:f>
              <c:strCache>
                <c:ptCount val="1"/>
                <c:pt idx="0">
                  <c:v> Celkem v mld. Kč - běžné ceny</c:v>
                </c:pt>
              </c:strCache>
            </c:strRef>
          </c:tx>
          <c:spPr>
            <a:solidFill>
              <a:srgbClr val="D96D75"/>
            </a:solidFill>
          </c:spPr>
          <c:invertIfNegative val="0"/>
          <c:dLbls>
            <c:txPr>
              <a:bodyPr/>
              <a:lstStyle/>
              <a:p>
                <a:pPr>
                  <a:defRPr>
                    <a:solidFill>
                      <a:schemeClr val="bg1"/>
                    </a:solidFill>
                  </a:defRPr>
                </a:pPr>
                <a:endParaRPr lang="cs-CZ"/>
              </a:p>
            </c:txPr>
            <c:dLblPos val="inEnd"/>
            <c:showLegendKey val="0"/>
            <c:showVal val="1"/>
            <c:showCatName val="0"/>
            <c:showSerName val="0"/>
            <c:showPercent val="0"/>
            <c:showBubbleSize val="0"/>
            <c:showLeaderLines val="0"/>
          </c:dLbls>
          <c:cat>
            <c:numRef>
              <c:f>'2_1 (2)'!$B$3:$H$3</c:f>
              <c:numCache>
                <c:formatCode>General</c:formatCode>
                <c:ptCount val="7"/>
                <c:pt idx="0">
                  <c:v>2010</c:v>
                </c:pt>
                <c:pt idx="1">
                  <c:v>2011</c:v>
                </c:pt>
                <c:pt idx="2">
                  <c:v>2012</c:v>
                </c:pt>
                <c:pt idx="3">
                  <c:v>2013</c:v>
                </c:pt>
                <c:pt idx="4">
                  <c:v>2014</c:v>
                </c:pt>
                <c:pt idx="5">
                  <c:v>2015</c:v>
                </c:pt>
                <c:pt idx="6">
                  <c:v>2016</c:v>
                </c:pt>
              </c:numCache>
            </c:numRef>
          </c:cat>
          <c:val>
            <c:numRef>
              <c:f>'2_1 (2)'!$B$4:$H$4</c:f>
              <c:numCache>
                <c:formatCode>0.0</c:formatCode>
                <c:ptCount val="7"/>
                <c:pt idx="0">
                  <c:v>42.704999999999998</c:v>
                </c:pt>
                <c:pt idx="1">
                  <c:v>44.027999999999999</c:v>
                </c:pt>
                <c:pt idx="2">
                  <c:v>44.238999999999997</c:v>
                </c:pt>
                <c:pt idx="3">
                  <c:v>43.465000000000003</c:v>
                </c:pt>
                <c:pt idx="4">
                  <c:v>46.49</c:v>
                </c:pt>
                <c:pt idx="5">
                  <c:v>49.357999999999997</c:v>
                </c:pt>
                <c:pt idx="6">
                  <c:v>51.215000000000003</c:v>
                </c:pt>
              </c:numCache>
            </c:numRef>
          </c:val>
        </c:ser>
        <c:dLbls>
          <c:showLegendKey val="0"/>
          <c:showVal val="0"/>
          <c:showCatName val="0"/>
          <c:showSerName val="0"/>
          <c:showPercent val="0"/>
          <c:showBubbleSize val="0"/>
        </c:dLbls>
        <c:gapWidth val="100"/>
        <c:axId val="220300800"/>
        <c:axId val="217635584"/>
      </c:barChart>
      <c:lineChart>
        <c:grouping val="standard"/>
        <c:varyColors val="0"/>
        <c:ser>
          <c:idx val="1"/>
          <c:order val="1"/>
          <c:tx>
            <c:strRef>
              <c:f>'2_1 (2)'!$A$5</c:f>
              <c:strCache>
                <c:ptCount val="1"/>
                <c:pt idx="0">
                  <c:v> na 1 obyvatele v Kč</c:v>
                </c:pt>
              </c:strCache>
            </c:strRef>
          </c:tx>
          <c:spPr>
            <a:ln>
              <a:solidFill>
                <a:srgbClr val="187BB8"/>
              </a:solidFill>
            </a:ln>
          </c:spPr>
          <c:marker>
            <c:symbol val="diamond"/>
            <c:size val="7"/>
            <c:spPr>
              <a:solidFill>
                <a:srgbClr val="0070C0"/>
              </a:solidFill>
              <a:ln>
                <a:solidFill>
                  <a:schemeClr val="accent1">
                    <a:lumMod val="75000"/>
                  </a:schemeClr>
                </a:solidFill>
              </a:ln>
            </c:spPr>
          </c:marker>
          <c:dLbls>
            <c:spPr>
              <a:solidFill>
                <a:schemeClr val="accent1">
                  <a:lumMod val="20000"/>
                  <a:lumOff val="80000"/>
                </a:schemeClr>
              </a:solidFill>
            </c:spPr>
            <c:dLblPos val="t"/>
            <c:showLegendKey val="0"/>
            <c:showVal val="1"/>
            <c:showCatName val="0"/>
            <c:showSerName val="0"/>
            <c:showPercent val="0"/>
            <c:showBubbleSize val="0"/>
            <c:showLeaderLines val="0"/>
          </c:dLbls>
          <c:trendline>
            <c:spPr>
              <a:ln>
                <a:noFill/>
              </a:ln>
            </c:spPr>
            <c:trendlineType val="linear"/>
            <c:dispRSqr val="0"/>
            <c:dispEq val="0"/>
          </c:trendline>
          <c:cat>
            <c:numRef>
              <c:f>'2_1 (2)'!$B$3:$H$3</c:f>
              <c:numCache>
                <c:formatCode>General</c:formatCode>
                <c:ptCount val="7"/>
                <c:pt idx="0">
                  <c:v>2010</c:v>
                </c:pt>
                <c:pt idx="1">
                  <c:v>2011</c:v>
                </c:pt>
                <c:pt idx="2">
                  <c:v>2012</c:v>
                </c:pt>
                <c:pt idx="3">
                  <c:v>2013</c:v>
                </c:pt>
                <c:pt idx="4">
                  <c:v>2014</c:v>
                </c:pt>
                <c:pt idx="5">
                  <c:v>2015</c:v>
                </c:pt>
                <c:pt idx="6">
                  <c:v>2016</c:v>
                </c:pt>
              </c:numCache>
            </c:numRef>
          </c:cat>
          <c:val>
            <c:numRef>
              <c:f>'2_1 (2)'!$B$5:$H$5</c:f>
              <c:numCache>
                <c:formatCode>#,##0.0</c:formatCode>
                <c:ptCount val="7"/>
                <c:pt idx="0">
                  <c:v>4060.4732398126621</c:v>
                </c:pt>
                <c:pt idx="1">
                  <c:v>4194.4723051268056</c:v>
                </c:pt>
                <c:pt idx="2">
                  <c:v>4209.5152801056129</c:v>
                </c:pt>
                <c:pt idx="3">
                  <c:v>4135.3022566772079</c:v>
                </c:pt>
                <c:pt idx="4">
                  <c:v>4417.1932095892143</c:v>
                </c:pt>
                <c:pt idx="5">
                  <c:v>4681.6154352361991</c:v>
                </c:pt>
                <c:pt idx="6">
                  <c:v>4847.47972700024</c:v>
                </c:pt>
              </c:numCache>
            </c:numRef>
          </c:val>
          <c:smooth val="0"/>
        </c:ser>
        <c:dLbls>
          <c:showLegendKey val="0"/>
          <c:showVal val="0"/>
          <c:showCatName val="0"/>
          <c:showSerName val="0"/>
          <c:showPercent val="0"/>
          <c:showBubbleSize val="0"/>
        </c:dLbls>
        <c:marker val="1"/>
        <c:smooth val="0"/>
        <c:axId val="220378624"/>
        <c:axId val="220112576"/>
      </c:lineChart>
      <c:catAx>
        <c:axId val="220300800"/>
        <c:scaling>
          <c:orientation val="minMax"/>
        </c:scaling>
        <c:delete val="0"/>
        <c:axPos val="b"/>
        <c:numFmt formatCode="General" sourceLinked="1"/>
        <c:majorTickMark val="out"/>
        <c:minorTickMark val="none"/>
        <c:tickLblPos val="nextTo"/>
        <c:spPr>
          <a:ln w="3175">
            <a:solidFill>
              <a:schemeClr val="bg1">
                <a:lumMod val="75000"/>
              </a:schemeClr>
            </a:solidFill>
          </a:ln>
        </c:spPr>
        <c:crossAx val="217635584"/>
        <c:crosses val="autoZero"/>
        <c:auto val="1"/>
        <c:lblAlgn val="ctr"/>
        <c:lblOffset val="100"/>
        <c:noMultiLvlLbl val="0"/>
      </c:catAx>
      <c:valAx>
        <c:axId val="217635584"/>
        <c:scaling>
          <c:orientation val="minMax"/>
          <c:max val="60"/>
          <c:min val="0"/>
        </c:scaling>
        <c:delete val="0"/>
        <c:axPos val="l"/>
        <c:majorGridlines>
          <c:spPr>
            <a:ln>
              <a:prstDash val="dash"/>
            </a:ln>
          </c:spPr>
        </c:majorGridlines>
        <c:numFmt formatCode="0" sourceLinked="0"/>
        <c:majorTickMark val="none"/>
        <c:minorTickMark val="none"/>
        <c:tickLblPos val="none"/>
        <c:spPr>
          <a:ln w="3175">
            <a:solidFill>
              <a:schemeClr val="bg1">
                <a:lumMod val="75000"/>
              </a:schemeClr>
            </a:solidFill>
          </a:ln>
        </c:spPr>
        <c:crossAx val="220300800"/>
        <c:crosses val="autoZero"/>
        <c:crossBetween val="between"/>
        <c:majorUnit val="10"/>
        <c:minorUnit val="1"/>
      </c:valAx>
      <c:valAx>
        <c:axId val="220112576"/>
        <c:scaling>
          <c:orientation val="minMax"/>
          <c:max val="5500"/>
          <c:min val="0"/>
        </c:scaling>
        <c:delete val="0"/>
        <c:axPos val="r"/>
        <c:numFmt formatCode="#,##0" sourceLinked="0"/>
        <c:majorTickMark val="none"/>
        <c:minorTickMark val="none"/>
        <c:tickLblPos val="none"/>
        <c:crossAx val="220378624"/>
        <c:crosses val="max"/>
        <c:crossBetween val="between"/>
        <c:majorUnit val="500"/>
        <c:minorUnit val="100"/>
      </c:valAx>
      <c:catAx>
        <c:axId val="220378624"/>
        <c:scaling>
          <c:orientation val="minMax"/>
        </c:scaling>
        <c:delete val="1"/>
        <c:axPos val="b"/>
        <c:numFmt formatCode="General" sourceLinked="1"/>
        <c:majorTickMark val="out"/>
        <c:minorTickMark val="none"/>
        <c:tickLblPos val="nextTo"/>
        <c:crossAx val="220112576"/>
        <c:crosses val="autoZero"/>
        <c:auto val="1"/>
        <c:lblAlgn val="ctr"/>
        <c:lblOffset val="100"/>
        <c:noMultiLvlLbl val="0"/>
      </c:catAx>
      <c:spPr>
        <a:ln>
          <a:solidFill>
            <a:schemeClr val="bg1">
              <a:lumMod val="75000"/>
            </a:schemeClr>
          </a:solidFill>
        </a:ln>
      </c:spPr>
    </c:plotArea>
    <c:legend>
      <c:legendPos val="b"/>
      <c:legendEntry>
        <c:idx val="2"/>
        <c:delete val="1"/>
      </c:legendEntry>
      <c:overlay val="0"/>
    </c:legend>
    <c:plotVisOnly val="1"/>
    <c:dispBlanksAs val="gap"/>
    <c:showDLblsOverMax val="0"/>
  </c:chart>
  <c:spPr>
    <a:ln>
      <a:noFill/>
    </a:ln>
  </c:spPr>
  <c:txPr>
    <a:bodyPr/>
    <a:lstStyle/>
    <a:p>
      <a:pPr>
        <a:defRPr sz="800" b="1">
          <a:latin typeface="Arial" panose="020B0604020202020204" pitchFamily="34" charset="0"/>
          <a:cs typeface="Arial" panose="020B0604020202020204"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'2_2'!$A$3</c:f>
              <c:strCache>
                <c:ptCount val="1"/>
                <c:pt idx="0">
                  <c:v>  veřejné zdravotní pojišťění </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'2_2'!$D$2:$H$2</c:f>
              <c:strCache>
                <c:ptCount val="5"/>
                <c:pt idx="0">
                  <c:v>2012</c:v>
                </c:pt>
                <c:pt idx="1">
                  <c:v>2013</c:v>
                </c:pt>
                <c:pt idx="2">
                  <c:v>2014</c:v>
                </c:pt>
                <c:pt idx="3">
                  <c:v>2015</c:v>
                </c:pt>
                <c:pt idx="4">
                  <c:v>2016</c:v>
                </c:pt>
              </c:strCache>
            </c:strRef>
          </c:cat>
          <c:val>
            <c:numRef>
              <c:f>'2_2'!$D$3:$H$3</c:f>
              <c:numCache>
                <c:formatCode>0.0%</c:formatCode>
                <c:ptCount val="5"/>
                <c:pt idx="0">
                  <c:v>0.69587152580480693</c:v>
                </c:pt>
                <c:pt idx="1">
                  <c:v>0.69144188086589264</c:v>
                </c:pt>
                <c:pt idx="2">
                  <c:v>0.67273050405521961</c:v>
                </c:pt>
                <c:pt idx="3">
                  <c:v>0.66600677942724951</c:v>
                </c:pt>
                <c:pt idx="4">
                  <c:v>0.65727243047299855</c:v>
                </c:pt>
              </c:numCache>
            </c:numRef>
          </c:val>
        </c:ser>
        <c:ser>
          <c:idx val="1"/>
          <c:order val="1"/>
          <c:tx>
            <c:strRef>
              <c:f>'2_2'!$A$4</c:f>
              <c:strCache>
                <c:ptCount val="1"/>
                <c:pt idx="0">
                  <c:v>  ostatní veřejné zdroje (1)</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'2_2'!$D$2:$H$2</c:f>
              <c:strCache>
                <c:ptCount val="5"/>
                <c:pt idx="0">
                  <c:v>2012</c:v>
                </c:pt>
                <c:pt idx="1">
                  <c:v>2013</c:v>
                </c:pt>
                <c:pt idx="2">
                  <c:v>2014</c:v>
                </c:pt>
                <c:pt idx="3">
                  <c:v>2015</c:v>
                </c:pt>
                <c:pt idx="4">
                  <c:v>2016</c:v>
                </c:pt>
              </c:strCache>
            </c:strRef>
          </c:cat>
          <c:val>
            <c:numRef>
              <c:f>'2_2'!$D$4:$H$4</c:f>
              <c:numCache>
                <c:formatCode>0.0%</c:formatCode>
                <c:ptCount val="5"/>
                <c:pt idx="0">
                  <c:v>0.14809739595002844</c:v>
                </c:pt>
                <c:pt idx="1">
                  <c:v>0.15577628151279846</c:v>
                </c:pt>
                <c:pt idx="2">
                  <c:v>0.16336640274028089</c:v>
                </c:pt>
                <c:pt idx="3">
                  <c:v>0.16730723619328691</c:v>
                </c:pt>
                <c:pt idx="4">
                  <c:v>0.17284653768937194</c:v>
                </c:pt>
              </c:numCache>
            </c:numRef>
          </c:val>
        </c:ser>
        <c:ser>
          <c:idx val="2"/>
          <c:order val="2"/>
          <c:tx>
            <c:strRef>
              <c:f>'2_2'!$A$5</c:f>
              <c:strCache>
                <c:ptCount val="1"/>
                <c:pt idx="0">
                  <c:v>  přímé platby domácností</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'2_2'!$D$2:$H$2</c:f>
              <c:strCache>
                <c:ptCount val="5"/>
                <c:pt idx="0">
                  <c:v>2012</c:v>
                </c:pt>
                <c:pt idx="1">
                  <c:v>2013</c:v>
                </c:pt>
                <c:pt idx="2">
                  <c:v>2014</c:v>
                </c:pt>
                <c:pt idx="3">
                  <c:v>2015</c:v>
                </c:pt>
                <c:pt idx="4">
                  <c:v>2016</c:v>
                </c:pt>
              </c:strCache>
            </c:strRef>
          </c:cat>
          <c:val>
            <c:numRef>
              <c:f>'2_2'!$D$5:$H$5</c:f>
              <c:numCache>
                <c:formatCode>0.0%</c:formatCode>
                <c:ptCount val="5"/>
                <c:pt idx="0">
                  <c:v>0.12938684643550669</c:v>
                </c:pt>
                <c:pt idx="1">
                  <c:v>0.12608773182847369</c:v>
                </c:pt>
                <c:pt idx="2">
                  <c:v>0.1333121313390459</c:v>
                </c:pt>
                <c:pt idx="3">
                  <c:v>0.14020597847650898</c:v>
                </c:pt>
                <c:pt idx="4">
                  <c:v>0.14161607815685273</c:v>
                </c:pt>
              </c:numCache>
            </c:numRef>
          </c:val>
        </c:ser>
        <c:ser>
          <c:idx val="3"/>
          <c:order val="3"/>
          <c:tx>
            <c:strRef>
              <c:f>'2_2'!$A$6</c:f>
              <c:strCache>
                <c:ptCount val="1"/>
                <c:pt idx="0">
                  <c:v>  ostatní soukromé zdroje (2)</c:v>
                </c:pt>
              </c:strCache>
            </c:strRef>
          </c:tx>
          <c:spPr>
            <a:solidFill>
              <a:srgbClr val="FFFF00"/>
            </a:solidFill>
          </c:spPr>
          <c:invertIfNegative val="0"/>
          <c:cat>
            <c:strRef>
              <c:f>'2_2'!$D$2:$H$2</c:f>
              <c:strCache>
                <c:ptCount val="5"/>
                <c:pt idx="0">
                  <c:v>2012</c:v>
                </c:pt>
                <c:pt idx="1">
                  <c:v>2013</c:v>
                </c:pt>
                <c:pt idx="2">
                  <c:v>2014</c:v>
                </c:pt>
                <c:pt idx="3">
                  <c:v>2015</c:v>
                </c:pt>
                <c:pt idx="4">
                  <c:v>2016</c:v>
                </c:pt>
              </c:strCache>
            </c:strRef>
          </c:cat>
          <c:val>
            <c:numRef>
              <c:f>'2_2'!$D$6:$H$6</c:f>
              <c:numCache>
                <c:formatCode>0.0%</c:formatCode>
                <c:ptCount val="5"/>
                <c:pt idx="0">
                  <c:v>2.6644231809658154E-2</c:v>
                </c:pt>
                <c:pt idx="1">
                  <c:v>2.6694105792835942E-2</c:v>
                </c:pt>
                <c:pt idx="2">
                  <c:v>3.0590961865453681E-2</c:v>
                </c:pt>
                <c:pt idx="3">
                  <c:v>2.6480005902954289E-2</c:v>
                </c:pt>
                <c:pt idx="4">
                  <c:v>2.8264953680777416E-2</c:v>
                </c:pt>
              </c:numCache>
            </c:numRef>
          </c:val>
        </c:ser>
        <c:dLbls>
          <c:showLegendKey val="0"/>
          <c:showVal val="0"/>
          <c:showCatName val="0"/>
          <c:showSerName val="0"/>
          <c:showPercent val="0"/>
          <c:showBubbleSize val="0"/>
        </c:dLbls>
        <c:gapWidth val="50"/>
        <c:overlap val="100"/>
        <c:axId val="179689472"/>
        <c:axId val="165926528"/>
      </c:barChart>
      <c:catAx>
        <c:axId val="179689472"/>
        <c:scaling>
          <c:orientation val="minMax"/>
        </c:scaling>
        <c:delete val="0"/>
        <c:axPos val="b"/>
        <c:numFmt formatCode="General" sourceLinked="1"/>
        <c:majorTickMark val="out"/>
        <c:minorTickMark val="none"/>
        <c:tickLblPos val="nextTo"/>
        <c:crossAx val="165926528"/>
        <c:crosses val="autoZero"/>
        <c:auto val="1"/>
        <c:lblAlgn val="ctr"/>
        <c:lblOffset val="100"/>
        <c:noMultiLvlLbl val="0"/>
      </c:catAx>
      <c:valAx>
        <c:axId val="165926528"/>
        <c:scaling>
          <c:orientation val="minMax"/>
          <c:max val="1"/>
        </c:scaling>
        <c:delete val="0"/>
        <c:axPos val="l"/>
        <c:majorGridlines>
          <c:spPr>
            <a:ln>
              <a:prstDash val="dash"/>
            </a:ln>
          </c:spPr>
        </c:majorGridlines>
        <c:numFmt formatCode="0%" sourceLinked="0"/>
        <c:majorTickMark val="none"/>
        <c:minorTickMark val="none"/>
        <c:tickLblPos val="none"/>
        <c:crossAx val="179689472"/>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97186221287553"/>
          <c:y val="0.13141387393644741"/>
          <c:w val="0.5590707683278725"/>
          <c:h val="0.80908238145209344"/>
        </c:manualLayout>
      </c:layout>
      <c:pieChart>
        <c:varyColors val="1"/>
        <c:ser>
          <c:idx val="0"/>
          <c:order val="0"/>
          <c:spPr>
            <a:solidFill>
              <a:srgbClr val="D96D75"/>
            </a:solidFill>
            <a:ln>
              <a:solidFill>
                <a:srgbClr val="7F7F7F"/>
              </a:solidFill>
            </a:ln>
          </c:spPr>
          <c:dPt>
            <c:idx val="0"/>
            <c:bubble3D val="0"/>
            <c:spPr>
              <a:solidFill>
                <a:srgbClr val="83A5CF"/>
              </a:solidFill>
              <a:ln>
                <a:solidFill>
                  <a:srgbClr val="376092"/>
                </a:solidFill>
              </a:ln>
            </c:spPr>
          </c:dPt>
          <c:dPt>
            <c:idx val="1"/>
            <c:bubble3D val="0"/>
            <c:spPr>
              <a:solidFill>
                <a:srgbClr val="92D050"/>
              </a:solidFill>
              <a:ln>
                <a:solidFill>
                  <a:srgbClr val="77933C"/>
                </a:solidFill>
              </a:ln>
            </c:spPr>
          </c:dPt>
          <c:dPt>
            <c:idx val="2"/>
            <c:bubble3D val="0"/>
            <c:spPr>
              <a:solidFill>
                <a:srgbClr val="0071BC"/>
              </a:solidFill>
              <a:ln>
                <a:solidFill>
                  <a:srgbClr val="376092"/>
                </a:solidFill>
              </a:ln>
            </c:spPr>
          </c:dPt>
          <c:dPt>
            <c:idx val="3"/>
            <c:bubble3D val="0"/>
            <c:spPr>
              <a:solidFill>
                <a:srgbClr val="D96D75"/>
              </a:solidFill>
              <a:ln>
                <a:solidFill>
                  <a:srgbClr val="953735"/>
                </a:solidFill>
              </a:ln>
            </c:spPr>
          </c:dPt>
          <c:dPt>
            <c:idx val="4"/>
            <c:bubble3D val="0"/>
            <c:spPr>
              <a:solidFill>
                <a:srgbClr val="FFC000"/>
              </a:solidFill>
              <a:ln>
                <a:solidFill>
                  <a:srgbClr val="E46C0A"/>
                </a:solidFill>
              </a:ln>
            </c:spPr>
          </c:dPt>
          <c:dLbls>
            <c:dLbl>
              <c:idx val="0"/>
              <c:layout>
                <c:manualLayout>
                  <c:x val="0.16635803153713766"/>
                  <c:y val="2.7079194605974608E-2"/>
                </c:manualLayout>
              </c:layout>
              <c:showLegendKey val="0"/>
              <c:showVal val="0"/>
              <c:showCatName val="1"/>
              <c:showSerName val="0"/>
              <c:showPercent val="1"/>
              <c:showBubbleSize val="0"/>
            </c:dLbl>
            <c:dLbl>
              <c:idx val="1"/>
              <c:layout>
                <c:manualLayout>
                  <c:x val="0.11388069449065345"/>
                  <c:y val="0.18494013336672138"/>
                </c:manualLayout>
              </c:layout>
              <c:showLegendKey val="0"/>
              <c:showVal val="0"/>
              <c:showCatName val="1"/>
              <c:showSerName val="0"/>
              <c:showPercent val="1"/>
              <c:showBubbleSize val="0"/>
            </c:dLbl>
            <c:dLbl>
              <c:idx val="2"/>
              <c:layout>
                <c:manualLayout>
                  <c:x val="4.2047407117588594E-2"/>
                  <c:y val="0.13951013347727964"/>
                </c:manualLayout>
              </c:layout>
              <c:showLegendKey val="0"/>
              <c:showVal val="0"/>
              <c:showCatName val="1"/>
              <c:showSerName val="0"/>
              <c:showPercent val="1"/>
              <c:showBubbleSize val="0"/>
            </c:dLbl>
            <c:dLbl>
              <c:idx val="3"/>
              <c:layout>
                <c:manualLayout>
                  <c:x val="-3.3126457018959596E-2"/>
                  <c:y val="2.7804070377556517E-2"/>
                </c:manualLayout>
              </c:layout>
              <c:tx>
                <c:rich>
                  <a:bodyPr/>
                  <a:lstStyle/>
                  <a:p>
                    <a:r>
                      <a:rPr lang="en-US" sz="800">
                        <a:latin typeface="Arial" panose="020B0604020202020204" pitchFamily="34" charset="0"/>
                        <a:cs typeface="Arial" panose="020B0604020202020204" pitchFamily="34" charset="0"/>
                      </a:rPr>
                      <a:t>Léčiva a zdravotnický materiál </a:t>
                    </a:r>
                    <a:endParaRPr lang="cs-CZ" sz="800">
                      <a:latin typeface="Arial" panose="020B0604020202020204" pitchFamily="34" charset="0"/>
                      <a:cs typeface="Arial" panose="020B0604020202020204" pitchFamily="34" charset="0"/>
                    </a:endParaRPr>
                  </a:p>
                  <a:p>
                    <a:r>
                      <a:rPr lang="cs-CZ" sz="800">
                        <a:latin typeface="Arial" panose="020B0604020202020204" pitchFamily="34" charset="0"/>
                        <a:cs typeface="Arial" panose="020B0604020202020204" pitchFamily="34" charset="0"/>
                      </a:rPr>
                      <a:t>48</a:t>
                    </a:r>
                    <a:r>
                      <a:rPr lang="en-US" sz="800">
                        <a:latin typeface="Arial" panose="020B0604020202020204" pitchFamily="34" charset="0"/>
                        <a:cs typeface="Arial" panose="020B0604020202020204" pitchFamily="34" charset="0"/>
                      </a:rPr>
                      <a:t>%</a:t>
                    </a:r>
                  </a:p>
                </c:rich>
              </c:tx>
              <c:showLegendKey val="0"/>
              <c:showVal val="0"/>
              <c:showCatName val="1"/>
              <c:showSerName val="0"/>
              <c:showPercent val="1"/>
              <c:showBubbleSize val="0"/>
            </c:dLbl>
            <c:dLbl>
              <c:idx val="4"/>
              <c:layout>
                <c:manualLayout>
                  <c:x val="-0.13424831133139983"/>
                  <c:y val="3.4260396349538876E-2"/>
                </c:manualLayout>
              </c:layout>
              <c:showLegendKey val="0"/>
              <c:showVal val="0"/>
              <c:showCatName val="1"/>
              <c:showSerName val="0"/>
              <c:showPercent val="1"/>
              <c:showBubbleSize val="0"/>
            </c:dLbl>
            <c:txPr>
              <a:bodyPr/>
              <a:lstStyle/>
              <a:p>
                <a:pPr>
                  <a:defRPr sz="800"/>
                </a:pPr>
                <a:endParaRPr lang="cs-CZ"/>
              </a:p>
            </c:txPr>
            <c:showLegendKey val="0"/>
            <c:showVal val="0"/>
            <c:showCatName val="1"/>
            <c:showSerName val="0"/>
            <c:showPercent val="1"/>
            <c:showBubbleSize val="0"/>
            <c:showLeaderLines val="1"/>
          </c:dLbls>
          <c:cat>
            <c:strRef>
              <c:f>'G2+tabulka 1'!$M$14:$M$18</c:f>
              <c:strCache>
                <c:ptCount val="5"/>
                <c:pt idx="0">
                  <c:v>Lůžková péče
(léčebná, rehabilitační, dlouhodobá)</c:v>
                </c:pt>
                <c:pt idx="1">
                  <c:v>Ambulantní péče
(léčebná, rehabilitační)</c:v>
                </c:pt>
                <c:pt idx="2">
                  <c:v>Stomatologická ambulantní péče</c:v>
                </c:pt>
                <c:pt idx="3">
                  <c:v>Léčiva a zdravotnický materiál</c:v>
                </c:pt>
                <c:pt idx="4">
                  <c:v>Terapeutické pomůcky</c:v>
                </c:pt>
              </c:strCache>
            </c:strRef>
          </c:cat>
          <c:val>
            <c:numRef>
              <c:f>'G2+tabulka 1'!$N$14:$N$18</c:f>
              <c:numCache>
                <c:formatCode>#,##0</c:formatCode>
                <c:ptCount val="5"/>
                <c:pt idx="0">
                  <c:v>3588</c:v>
                </c:pt>
                <c:pt idx="1">
                  <c:v>7416</c:v>
                </c:pt>
                <c:pt idx="2">
                  <c:v>9637</c:v>
                </c:pt>
                <c:pt idx="3">
                  <c:v>24428</c:v>
                </c:pt>
                <c:pt idx="4">
                  <c:v>6146</c:v>
                </c:pt>
              </c:numCache>
            </c:numRef>
          </c:val>
        </c:ser>
        <c:ser>
          <c:idx val="1"/>
          <c:order val="1"/>
          <c:cat>
            <c:strRef>
              <c:f>'G2+tabulka 1'!$M$14:$M$18</c:f>
              <c:strCache>
                <c:ptCount val="5"/>
                <c:pt idx="0">
                  <c:v>Lůžková péče
(léčebná, rehabilitační, dlouhodobá)</c:v>
                </c:pt>
                <c:pt idx="1">
                  <c:v>Ambulantní péče
(léčebná, rehabilitační)</c:v>
                </c:pt>
                <c:pt idx="2">
                  <c:v>Stomatologická ambulantní péče</c:v>
                </c:pt>
                <c:pt idx="3">
                  <c:v>Léčiva a zdravotnický materiál</c:v>
                </c:pt>
                <c:pt idx="4">
                  <c:v>Terapeutické pomůcky</c:v>
                </c:pt>
              </c:strCache>
            </c:strRef>
          </c:cat>
          <c:val>
            <c:numRef>
              <c:f>'G2+tabulka 1'!$O$14:$O$18</c:f>
              <c:numCache>
                <c:formatCode>0%</c:formatCode>
                <c:ptCount val="5"/>
                <c:pt idx="0">
                  <c:v>7.0057600312408513E-2</c:v>
                </c:pt>
                <c:pt idx="1">
                  <c:v>0.14480132773601484</c:v>
                </c:pt>
                <c:pt idx="2">
                  <c:v>0.1881675290442254</c:v>
                </c:pt>
                <c:pt idx="3">
                  <c:v>0.47696963780142537</c:v>
                </c:pt>
                <c:pt idx="4">
                  <c:v>0.12000390510592601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900">
          <a:latin typeface="Arial" panose="020B0604020202020204" pitchFamily="34" charset="0"/>
          <a:cs typeface="Arial" panose="020B0604020202020204" pitchFamily="34" charset="0"/>
        </a:defRPr>
      </a:pPr>
      <a:endParaRPr lang="cs-CZ"/>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333333333333367E-3"/>
          <c:y val="0"/>
          <c:w val="0.64150791151106112"/>
          <c:h val="0.91505550178320738"/>
        </c:manualLayout>
      </c:layout>
      <c:barChart>
        <c:barDir val="col"/>
        <c:grouping val="stacked"/>
        <c:varyColors val="0"/>
        <c:ser>
          <c:idx val="0"/>
          <c:order val="0"/>
          <c:tx>
            <c:strRef>
              <c:f>'G3'!$A$33</c:f>
              <c:strCache>
                <c:ptCount val="1"/>
                <c:pt idx="0">
                  <c:v>Volně prodejné léky</c:v>
                </c:pt>
              </c:strCache>
            </c:strRef>
          </c:tx>
          <c:spPr>
            <a:solidFill>
              <a:schemeClr val="accent2">
                <a:lumMod val="75000"/>
              </a:schemeClr>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dLbls>
          <c:cat>
            <c:numRef>
              <c:f>'G3'!$B$32:$H$32</c:f>
              <c:numCache>
                <c:formatCode>General</c:formatCode>
                <c:ptCount val="5"/>
                <c:pt idx="0">
                  <c:v>2012</c:v>
                </c:pt>
                <c:pt idx="1">
                  <c:v>2013</c:v>
                </c:pt>
                <c:pt idx="2">
                  <c:v>2014</c:v>
                </c:pt>
                <c:pt idx="3">
                  <c:v>2015</c:v>
                </c:pt>
                <c:pt idx="4">
                  <c:v>2016</c:v>
                </c:pt>
              </c:numCache>
            </c:numRef>
          </c:cat>
          <c:val>
            <c:numRef>
              <c:f>'G3'!$B$33:$H$33</c:f>
              <c:numCache>
                <c:formatCode>0.0</c:formatCode>
                <c:ptCount val="5"/>
                <c:pt idx="0">
                  <c:v>12.1</c:v>
                </c:pt>
                <c:pt idx="1">
                  <c:v>11.179</c:v>
                </c:pt>
                <c:pt idx="2">
                  <c:v>12.14</c:v>
                </c:pt>
                <c:pt idx="3">
                  <c:v>12.744</c:v>
                </c:pt>
                <c:pt idx="4">
                  <c:v>13.447000000000001</c:v>
                </c:pt>
              </c:numCache>
            </c:numRef>
          </c:val>
        </c:ser>
        <c:ser>
          <c:idx val="1"/>
          <c:order val="1"/>
          <c:tx>
            <c:strRef>
              <c:f>'G3'!$A$34</c:f>
              <c:strCache>
                <c:ptCount val="1"/>
                <c:pt idx="0">
                  <c:v>Léky na předpis</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'G3'!$B$32:$H$32</c:f>
              <c:numCache>
                <c:formatCode>General</c:formatCode>
                <c:ptCount val="5"/>
                <c:pt idx="0">
                  <c:v>2012</c:v>
                </c:pt>
                <c:pt idx="1">
                  <c:v>2013</c:v>
                </c:pt>
                <c:pt idx="2">
                  <c:v>2014</c:v>
                </c:pt>
                <c:pt idx="3">
                  <c:v>2015</c:v>
                </c:pt>
                <c:pt idx="4">
                  <c:v>2016</c:v>
                </c:pt>
              </c:numCache>
            </c:numRef>
          </c:cat>
          <c:val>
            <c:numRef>
              <c:f>'G3'!$B$34:$H$34</c:f>
              <c:numCache>
                <c:formatCode>0.0</c:formatCode>
                <c:ptCount val="5"/>
                <c:pt idx="0">
                  <c:v>9.4</c:v>
                </c:pt>
                <c:pt idx="1">
                  <c:v>9.3030000000000008</c:v>
                </c:pt>
                <c:pt idx="2">
                  <c:v>9.4960000000000004</c:v>
                </c:pt>
                <c:pt idx="3">
                  <c:v>10.121</c:v>
                </c:pt>
                <c:pt idx="4">
                  <c:v>10.295</c:v>
                </c:pt>
              </c:numCache>
            </c:numRef>
          </c:val>
        </c:ser>
        <c:ser>
          <c:idx val="2"/>
          <c:order val="2"/>
          <c:tx>
            <c:strRef>
              <c:f>'G3'!$A$35</c:f>
              <c:strCache>
                <c:ptCount val="1"/>
                <c:pt idx="0">
                  <c:v>Ostatní zdravotnický materiál a výrobky</c:v>
                </c:pt>
              </c:strCache>
            </c:strRef>
          </c:tx>
          <c:spPr>
            <a:solidFill>
              <a:srgbClr val="92D050"/>
            </a:solidFill>
          </c:spPr>
          <c:invertIfNegative val="0"/>
          <c:cat>
            <c:numRef>
              <c:f>'G3'!$B$32:$H$32</c:f>
              <c:numCache>
                <c:formatCode>General</c:formatCode>
                <c:ptCount val="5"/>
                <c:pt idx="0">
                  <c:v>2012</c:v>
                </c:pt>
                <c:pt idx="1">
                  <c:v>2013</c:v>
                </c:pt>
                <c:pt idx="2">
                  <c:v>2014</c:v>
                </c:pt>
                <c:pt idx="3">
                  <c:v>2015</c:v>
                </c:pt>
                <c:pt idx="4">
                  <c:v>2016</c:v>
                </c:pt>
              </c:numCache>
            </c:numRef>
          </c:cat>
          <c:val>
            <c:numRef>
              <c:f>'G3'!$D$35:$H$35</c:f>
              <c:numCache>
                <c:formatCode>0.0</c:formatCode>
                <c:ptCount val="5"/>
                <c:pt idx="0">
                  <c:v>0.7000000000000004</c:v>
                </c:pt>
                <c:pt idx="1">
                  <c:v>0.62000000000000044</c:v>
                </c:pt>
                <c:pt idx="2">
                  <c:v>0.62800000000000045</c:v>
                </c:pt>
                <c:pt idx="3">
                  <c:v>0.67000000000000071</c:v>
                </c:pt>
                <c:pt idx="4">
                  <c:v>0.68600000000000005</c:v>
                </c:pt>
              </c:numCache>
            </c:numRef>
          </c:val>
        </c:ser>
        <c:dLbls>
          <c:showLegendKey val="0"/>
          <c:showVal val="0"/>
          <c:showCatName val="0"/>
          <c:showSerName val="0"/>
          <c:showPercent val="0"/>
          <c:showBubbleSize val="0"/>
        </c:dLbls>
        <c:gapWidth val="50"/>
        <c:overlap val="100"/>
        <c:axId val="221178880"/>
        <c:axId val="220114880"/>
      </c:barChart>
      <c:catAx>
        <c:axId val="221178880"/>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0114880"/>
        <c:crosses val="autoZero"/>
        <c:auto val="1"/>
        <c:lblAlgn val="ctr"/>
        <c:lblOffset val="100"/>
        <c:noMultiLvlLbl val="0"/>
      </c:catAx>
      <c:valAx>
        <c:axId val="220114880"/>
        <c:scaling>
          <c:orientation val="minMax"/>
        </c:scaling>
        <c:delete val="1"/>
        <c:axPos val="l"/>
        <c:majorGridlines>
          <c:spPr>
            <a:ln>
              <a:solidFill>
                <a:schemeClr val="bg1">
                  <a:lumMod val="75000"/>
                </a:schemeClr>
              </a:solidFill>
              <a:prstDash val="dash"/>
            </a:ln>
          </c:spPr>
        </c:majorGridlines>
        <c:numFmt formatCode="0.0" sourceLinked="1"/>
        <c:majorTickMark val="out"/>
        <c:minorTickMark val="none"/>
        <c:tickLblPos val="none"/>
        <c:crossAx val="221178880"/>
        <c:crosses val="autoZero"/>
        <c:crossBetween val="between"/>
      </c:valAx>
      <c:spPr>
        <a:ln>
          <a:solidFill>
            <a:schemeClr val="bg1">
              <a:lumMod val="75000"/>
            </a:schemeClr>
          </a:solidFill>
        </a:ln>
      </c:spPr>
    </c:plotArea>
    <c:legend>
      <c:legendPos val="r"/>
      <c:layout>
        <c:manualLayout>
          <c:xMode val="edge"/>
          <c:yMode val="edge"/>
          <c:x val="0.71809523809523856"/>
          <c:y val="0.1965890201224848"/>
          <c:w val="0.27698417697787836"/>
          <c:h val="0.55126640419947504"/>
        </c:manualLayout>
      </c:layout>
      <c:overlay val="0"/>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555555555555504E-2"/>
          <c:y val="9.524053792950122E-4"/>
          <c:w val="0.94444444444444464"/>
          <c:h val="0.90929510032744276"/>
        </c:manualLayout>
      </c:layout>
      <c:barChart>
        <c:barDir val="col"/>
        <c:grouping val="stacked"/>
        <c:varyColors val="0"/>
        <c:ser>
          <c:idx val="0"/>
          <c:order val="0"/>
          <c:tx>
            <c:strRef>
              <c:f>'G3'!$A$39</c:f>
              <c:strCache>
                <c:ptCount val="1"/>
                <c:pt idx="0">
                  <c:v>Volně prodejné léky</c:v>
                </c:pt>
              </c:strCache>
            </c:strRef>
          </c:tx>
          <c:spPr>
            <a:solidFill>
              <a:schemeClr val="accent2">
                <a:lumMod val="75000"/>
              </a:schemeClr>
            </a:solidFill>
            <a:ln>
              <a:noFill/>
            </a:ln>
          </c:spPr>
          <c:invertIfNegative val="0"/>
          <c:dPt>
            <c:idx val="0"/>
            <c:invertIfNegative val="0"/>
            <c:bubble3D val="0"/>
            <c:spPr>
              <a:solidFill>
                <a:schemeClr val="accent2">
                  <a:lumMod val="75000"/>
                </a:schemeClr>
              </a:solidFill>
              <a:ln>
                <a:noFill/>
              </a:ln>
            </c:spPr>
          </c:dPt>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'G3'!$B$38:$H$38</c:f>
              <c:numCache>
                <c:formatCode>General</c:formatCode>
                <c:ptCount val="5"/>
                <c:pt idx="0">
                  <c:v>2012</c:v>
                </c:pt>
                <c:pt idx="1">
                  <c:v>2013</c:v>
                </c:pt>
                <c:pt idx="2">
                  <c:v>2014</c:v>
                </c:pt>
                <c:pt idx="3">
                  <c:v>2015</c:v>
                </c:pt>
                <c:pt idx="4">
                  <c:v>2016</c:v>
                </c:pt>
              </c:numCache>
            </c:numRef>
          </c:cat>
          <c:val>
            <c:numRef>
              <c:f>'G3'!$B$39:$H$39</c:f>
              <c:numCache>
                <c:formatCode>0.0%</c:formatCode>
                <c:ptCount val="5"/>
                <c:pt idx="0">
                  <c:v>0.54504504504504503</c:v>
                </c:pt>
                <c:pt idx="1">
                  <c:v>0.52976021230215165</c:v>
                </c:pt>
                <c:pt idx="2">
                  <c:v>0.54527488321954765</c:v>
                </c:pt>
                <c:pt idx="3">
                  <c:v>0.54149139579349903</c:v>
                </c:pt>
                <c:pt idx="4">
                  <c:v>0.55047486490912068</c:v>
                </c:pt>
              </c:numCache>
            </c:numRef>
          </c:val>
        </c:ser>
        <c:ser>
          <c:idx val="1"/>
          <c:order val="1"/>
          <c:tx>
            <c:strRef>
              <c:f>'G3'!$A$40</c:f>
              <c:strCache>
                <c:ptCount val="1"/>
                <c:pt idx="0">
                  <c:v>Léky na předpis</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'G3'!$B$38:$H$38</c:f>
              <c:numCache>
                <c:formatCode>General</c:formatCode>
                <c:ptCount val="5"/>
                <c:pt idx="0">
                  <c:v>2012</c:v>
                </c:pt>
                <c:pt idx="1">
                  <c:v>2013</c:v>
                </c:pt>
                <c:pt idx="2">
                  <c:v>2014</c:v>
                </c:pt>
                <c:pt idx="3">
                  <c:v>2015</c:v>
                </c:pt>
                <c:pt idx="4">
                  <c:v>2016</c:v>
                </c:pt>
              </c:numCache>
            </c:numRef>
          </c:cat>
          <c:val>
            <c:numRef>
              <c:f>'G3'!$B$40:$H$40</c:f>
              <c:numCache>
                <c:formatCode>0.0%</c:formatCode>
                <c:ptCount val="5"/>
                <c:pt idx="0">
                  <c:v>0.42342342342342348</c:v>
                </c:pt>
                <c:pt idx="1">
                  <c:v>0.44085868638043813</c:v>
                </c:pt>
                <c:pt idx="2">
                  <c:v>0.42651814588573511</c:v>
                </c:pt>
                <c:pt idx="3">
                  <c:v>0.43004036541321455</c:v>
                </c:pt>
                <c:pt idx="4">
                  <c:v>0.42144260684460494</c:v>
                </c:pt>
              </c:numCache>
            </c:numRef>
          </c:val>
        </c:ser>
        <c:ser>
          <c:idx val="2"/>
          <c:order val="2"/>
          <c:tx>
            <c:strRef>
              <c:f>'G3'!$A$41</c:f>
              <c:strCache>
                <c:ptCount val="1"/>
                <c:pt idx="0">
                  <c:v>Ostatní zdravotnický materiál a výrobky</c:v>
                </c:pt>
              </c:strCache>
            </c:strRef>
          </c:tx>
          <c:spPr>
            <a:solidFill>
              <a:srgbClr val="92D050"/>
            </a:solidFill>
          </c:spPr>
          <c:invertIfNegative val="0"/>
          <c:cat>
            <c:numRef>
              <c:f>'G3'!$B$38:$H$38</c:f>
              <c:numCache>
                <c:formatCode>General</c:formatCode>
                <c:ptCount val="5"/>
                <c:pt idx="0">
                  <c:v>2012</c:v>
                </c:pt>
                <c:pt idx="1">
                  <c:v>2013</c:v>
                </c:pt>
                <c:pt idx="2">
                  <c:v>2014</c:v>
                </c:pt>
                <c:pt idx="3">
                  <c:v>2015</c:v>
                </c:pt>
                <c:pt idx="4">
                  <c:v>2016</c:v>
                </c:pt>
              </c:numCache>
            </c:numRef>
          </c:cat>
          <c:val>
            <c:numRef>
              <c:f>'G3'!$B$41:$H$41</c:f>
              <c:numCache>
                <c:formatCode>0.0%</c:formatCode>
                <c:ptCount val="5"/>
                <c:pt idx="0">
                  <c:v>3.1531531531531536E-2</c:v>
                </c:pt>
                <c:pt idx="1">
                  <c:v>2.9381101317410681E-2</c:v>
                </c:pt>
                <c:pt idx="2">
                  <c:v>2.8206970894717947E-2</c:v>
                </c:pt>
                <c:pt idx="3">
                  <c:v>2.8468238793286589E-2</c:v>
                </c:pt>
                <c:pt idx="4">
                  <c:v>2.8082528246274781E-2</c:v>
                </c:pt>
              </c:numCache>
            </c:numRef>
          </c:val>
        </c:ser>
        <c:dLbls>
          <c:showLegendKey val="0"/>
          <c:showVal val="0"/>
          <c:showCatName val="0"/>
          <c:showSerName val="0"/>
          <c:showPercent val="0"/>
          <c:showBubbleSize val="0"/>
        </c:dLbls>
        <c:gapWidth val="50"/>
        <c:overlap val="100"/>
        <c:axId val="221181440"/>
        <c:axId val="220116032"/>
      </c:barChart>
      <c:catAx>
        <c:axId val="221181440"/>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0116032"/>
        <c:crosses val="autoZero"/>
        <c:auto val="1"/>
        <c:lblAlgn val="ctr"/>
        <c:lblOffset val="100"/>
        <c:noMultiLvlLbl val="0"/>
      </c:catAx>
      <c:valAx>
        <c:axId val="220116032"/>
        <c:scaling>
          <c:orientation val="minMax"/>
          <c:max val="1"/>
        </c:scaling>
        <c:delete val="1"/>
        <c:axPos val="l"/>
        <c:majorGridlines>
          <c:spPr>
            <a:ln>
              <a:solidFill>
                <a:schemeClr val="bg1">
                  <a:lumMod val="75000"/>
                </a:schemeClr>
              </a:solidFill>
              <a:prstDash val="dash"/>
            </a:ln>
          </c:spPr>
        </c:majorGridlines>
        <c:numFmt formatCode="0.0%" sourceLinked="1"/>
        <c:majorTickMark val="out"/>
        <c:minorTickMark val="none"/>
        <c:tickLblPos val="none"/>
        <c:crossAx val="221181440"/>
        <c:crosses val="autoZero"/>
        <c:crossBetween val="between"/>
        <c:majorUnit val="0.2"/>
      </c:valAx>
      <c:spPr>
        <a:ln>
          <a:solidFill>
            <a:sysClr val="window" lastClr="FFFFFF">
              <a:lumMod val="75000"/>
            </a:sysClr>
          </a:solidFill>
        </a:ln>
      </c:spPr>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289675343905009E-2"/>
          <c:y val="5.0925836368924865E-2"/>
          <c:w val="0.8995695538057743"/>
          <c:h val="0.73642882189973102"/>
        </c:manualLayout>
      </c:layout>
      <c:barChart>
        <c:barDir val="col"/>
        <c:grouping val="stacked"/>
        <c:varyColors val="0"/>
        <c:ser>
          <c:idx val="0"/>
          <c:order val="0"/>
          <c:tx>
            <c:strRef>
              <c:f>'G4+G5'!$A$6</c:f>
              <c:strCache>
                <c:ptCount val="1"/>
                <c:pt idx="0">
                  <c:v>Poplatky za pohotovost</c:v>
                </c:pt>
              </c:strCache>
            </c:strRef>
          </c:tx>
          <c:spPr>
            <a:solidFill>
              <a:srgbClr val="FFC000"/>
            </a:solidFill>
            <a:ln>
              <a:solidFill>
                <a:srgbClr val="7F7F7F"/>
              </a:solidFill>
            </a:ln>
          </c:spPr>
          <c:invertIfNegative val="0"/>
          <c:dLbls>
            <c:dLbl>
              <c:idx val="7"/>
              <c:layout>
                <c:manualLayout>
                  <c:x val="7.6171596130418159E-6"/>
                  <c:y val="-4.0201527160255247E-2"/>
                </c:manualLayout>
              </c:layout>
              <c:showLegendKey val="0"/>
              <c:showVal val="1"/>
              <c:showCatName val="0"/>
              <c:showSerName val="0"/>
              <c:showPercent val="0"/>
              <c:showBubbleSize val="0"/>
            </c:dLbl>
            <c:dLbl>
              <c:idx val="8"/>
              <c:layout>
                <c:manualLayout>
                  <c:x val="-3.1974416438576218E-3"/>
                  <c:y val="-3.5734220404872966E-2"/>
                </c:manualLayout>
              </c:layout>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showLegendKey val="0"/>
            <c:showVal val="0"/>
            <c:showCatName val="0"/>
            <c:showSerName val="0"/>
            <c:showPercent val="0"/>
            <c:showBubbleSize val="0"/>
          </c:dLbls>
          <c:cat>
            <c:numRef>
              <c:f>'G4+G5'!$B$2:$J$2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'G4+G5'!$B$6:$J$6</c:f>
              <c:numCache>
                <c:formatCode>General</c:formatCode>
                <c:ptCount val="9"/>
                <c:pt idx="0">
                  <c:v>178</c:v>
                </c:pt>
                <c:pt idx="1">
                  <c:v>208</c:v>
                </c:pt>
                <c:pt idx="2">
                  <c:v>191</c:v>
                </c:pt>
                <c:pt idx="3">
                  <c:v>180</c:v>
                </c:pt>
                <c:pt idx="4">
                  <c:v>179</c:v>
                </c:pt>
                <c:pt idx="5">
                  <c:v>182</c:v>
                </c:pt>
                <c:pt idx="6">
                  <c:v>187</c:v>
                </c:pt>
                <c:pt idx="7">
                  <c:v>192</c:v>
                </c:pt>
                <c:pt idx="8">
                  <c:v>198</c:v>
                </c:pt>
              </c:numCache>
            </c:numRef>
          </c:val>
        </c:ser>
        <c:ser>
          <c:idx val="2"/>
          <c:order val="1"/>
          <c:tx>
            <c:strRef>
              <c:f>'G4+G5'!$A$4</c:f>
              <c:strCache>
                <c:ptCount val="1"/>
                <c:pt idx="0">
                  <c:v>Poplatky za návštěvu lékaře</c:v>
                </c:pt>
              </c:strCache>
            </c:strRef>
          </c:tx>
          <c:spPr>
            <a:solidFill>
              <a:srgbClr val="92D050"/>
            </a:solidFill>
            <a:ln>
              <a:solidFill>
                <a:srgbClr val="77933C"/>
              </a:solidFill>
            </a:ln>
          </c:spPr>
          <c:invertIfNegative val="0"/>
          <c:dLbls>
            <c:dLbl>
              <c:idx val="7"/>
              <c:delete val="1"/>
            </c:dLbl>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'G4+G5'!$B$2:$J$2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'G4+G5'!$B$4:$I$4</c:f>
              <c:numCache>
                <c:formatCode>#,##0</c:formatCode>
                <c:ptCount val="8"/>
                <c:pt idx="0">
                  <c:v>1806</c:v>
                </c:pt>
                <c:pt idx="1">
                  <c:v>1650</c:v>
                </c:pt>
                <c:pt idx="2">
                  <c:v>1530</c:v>
                </c:pt>
                <c:pt idx="3">
                  <c:v>1374</c:v>
                </c:pt>
                <c:pt idx="4">
                  <c:v>1474</c:v>
                </c:pt>
                <c:pt idx="5">
                  <c:v>1505</c:v>
                </c:pt>
                <c:pt idx="6">
                  <c:v>1502</c:v>
                </c:pt>
                <c:pt idx="7">
                  <c:v>0</c:v>
                </c:pt>
              </c:numCache>
            </c:numRef>
          </c:val>
        </c:ser>
        <c:ser>
          <c:idx val="3"/>
          <c:order val="2"/>
          <c:tx>
            <c:strRef>
              <c:f>'G4+G5'!$A$3</c:f>
              <c:strCache>
                <c:ptCount val="1"/>
                <c:pt idx="0">
                  <c:v>Poplatky za recept</c:v>
                </c:pt>
              </c:strCache>
            </c:strRef>
          </c:tx>
          <c:spPr>
            <a:solidFill>
              <a:srgbClr val="D96D75"/>
            </a:solidFill>
            <a:ln>
              <a:solidFill>
                <a:srgbClr val="953735"/>
              </a:solidFill>
            </a:ln>
          </c:spPr>
          <c:invertIfNegative val="0"/>
          <c:dLbls>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'G4+G5'!$B$2:$J$2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'G4+G5'!$B$3:$H$3</c:f>
              <c:numCache>
                <c:formatCode>#,##0</c:formatCode>
                <c:ptCount val="7"/>
                <c:pt idx="0">
                  <c:v>2411</c:v>
                </c:pt>
                <c:pt idx="1">
                  <c:v>2659</c:v>
                </c:pt>
                <c:pt idx="2">
                  <c:v>2657</c:v>
                </c:pt>
                <c:pt idx="3">
                  <c:v>2458</c:v>
                </c:pt>
                <c:pt idx="4">
                  <c:v>1858</c:v>
                </c:pt>
                <c:pt idx="5">
                  <c:v>2058</c:v>
                </c:pt>
                <c:pt idx="6">
                  <c:v>2256</c:v>
                </c:pt>
              </c:numCache>
            </c:numRef>
          </c:val>
        </c:ser>
        <c:ser>
          <c:idx val="1"/>
          <c:order val="3"/>
          <c:tx>
            <c:strRef>
              <c:f>'G4+G5'!$A$5</c:f>
              <c:strCache>
                <c:ptCount val="1"/>
                <c:pt idx="0">
                  <c:v>Poplatky za hospitalizaci</c:v>
                </c:pt>
              </c:strCache>
            </c:strRef>
          </c:tx>
          <c:spPr>
            <a:solidFill>
              <a:srgbClr val="0071BC"/>
            </a:solidFill>
            <a:ln>
              <a:solidFill>
                <a:srgbClr val="376092"/>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'G4+G5'!$B$2:$J$2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'G4+G5'!$B$5:$G$5</c:f>
              <c:numCache>
                <c:formatCode>#,##0</c:formatCode>
                <c:ptCount val="6"/>
                <c:pt idx="0">
                  <c:v>1176</c:v>
                </c:pt>
                <c:pt idx="1">
                  <c:v>1263</c:v>
                </c:pt>
                <c:pt idx="2">
                  <c:v>1243</c:v>
                </c:pt>
                <c:pt idx="3">
                  <c:v>1242</c:v>
                </c:pt>
                <c:pt idx="4">
                  <c:v>1824</c:v>
                </c:pt>
                <c:pt idx="5">
                  <c:v>1744</c:v>
                </c:pt>
              </c:numCache>
            </c:numRef>
          </c:val>
        </c:ser>
        <c:dLbls>
          <c:showLegendKey val="0"/>
          <c:showVal val="0"/>
          <c:showCatName val="0"/>
          <c:showSerName val="0"/>
          <c:showPercent val="0"/>
          <c:showBubbleSize val="0"/>
        </c:dLbls>
        <c:gapWidth val="90"/>
        <c:overlap val="100"/>
        <c:axId val="221635072"/>
        <c:axId val="221045888"/>
      </c:barChart>
      <c:lineChart>
        <c:grouping val="standard"/>
        <c:varyColors val="0"/>
        <c:ser>
          <c:idx val="4"/>
          <c:order val="4"/>
          <c:tx>
            <c:v>celkem</c:v>
          </c:tx>
          <c:spPr>
            <a:ln>
              <a:noFill/>
            </a:ln>
          </c:spPr>
          <c:marker>
            <c:symbol val="none"/>
          </c:marker>
          <c:dLbls>
            <c:dLbl>
              <c:idx val="0"/>
              <c:layout>
                <c:manualLayout>
                  <c:x val="-3.6045209625042943E-2"/>
                  <c:y val="-2.8923531523570196E-2"/>
                </c:manualLayout>
              </c:layout>
              <c:dLblPos val="r"/>
              <c:showLegendKey val="0"/>
              <c:showVal val="1"/>
              <c:showCatName val="0"/>
              <c:showSerName val="0"/>
              <c:showPercent val="0"/>
              <c:showBubbleSize val="0"/>
            </c:dLbl>
            <c:dLbl>
              <c:idx val="1"/>
              <c:layout>
                <c:manualLayout>
                  <c:x val="-3.8103463392822307E-2"/>
                  <c:y val="-2.4539504570434401E-2"/>
                </c:manualLayout>
              </c:layout>
              <c:dLblPos val="r"/>
              <c:showLegendKey val="0"/>
              <c:showVal val="1"/>
              <c:showCatName val="0"/>
              <c:showSerName val="0"/>
              <c:showPercent val="0"/>
              <c:showBubbleSize val="0"/>
            </c:dLbl>
            <c:dLbl>
              <c:idx val="2"/>
              <c:layout>
                <c:manualLayout>
                  <c:x val="-3.8103463392822265E-2"/>
                  <c:y val="-2.0155477617298599E-2"/>
                </c:manualLayout>
              </c:layout>
              <c:dLblPos val="r"/>
              <c:showLegendKey val="0"/>
              <c:showVal val="1"/>
              <c:showCatName val="0"/>
              <c:showSerName val="0"/>
              <c:showPercent val="0"/>
              <c:showBubbleSize val="0"/>
            </c:dLbl>
            <c:dLbl>
              <c:idx val="3"/>
              <c:layout>
                <c:manualLayout>
                  <c:x val="-3.8103463392822265E-2"/>
                  <c:y val="-2.4539504570434401E-2"/>
                </c:manualLayout>
              </c:layout>
              <c:dLblPos val="r"/>
              <c:showLegendKey val="0"/>
              <c:showVal val="1"/>
              <c:showCatName val="0"/>
              <c:showSerName val="0"/>
              <c:showPercent val="0"/>
              <c:showBubbleSize val="0"/>
            </c:dLbl>
            <c:dLbl>
              <c:idx val="4"/>
              <c:layout>
                <c:manualLayout>
                  <c:x val="-3.8103463392822265E-2"/>
                  <c:y val="-1.5771450664162846E-2"/>
                </c:manualLayout>
              </c:layout>
              <c:dLblPos val="r"/>
              <c:showLegendKey val="0"/>
              <c:showVal val="1"/>
              <c:showCatName val="0"/>
              <c:showSerName val="0"/>
              <c:showPercent val="0"/>
              <c:showBubbleSize val="0"/>
            </c:dLbl>
            <c:dLbl>
              <c:idx val="5"/>
              <c:layout>
                <c:manualLayout>
                  <c:x val="-3.6045209625042915E-2"/>
                  <c:y val="-1.5771450664162846E-2"/>
                </c:manualLayout>
              </c:layout>
              <c:dLblPos val="r"/>
              <c:showLegendKey val="0"/>
              <c:showVal val="1"/>
              <c:showCatName val="0"/>
              <c:showSerName val="0"/>
              <c:showPercent val="0"/>
              <c:showBubbleSize val="0"/>
            </c:dLbl>
            <c:dLbl>
              <c:idx val="6"/>
              <c:layout>
                <c:manualLayout>
                  <c:x val="-3.8103463392822265E-2"/>
                  <c:y val="-2.015547761729861E-2"/>
                </c:manualLayout>
              </c:layout>
              <c:dLblPos val="r"/>
              <c:showLegendKey val="0"/>
              <c:showVal val="1"/>
              <c:showCatName val="0"/>
              <c:showSerName val="0"/>
              <c:showPercent val="0"/>
              <c:showBubbleSize val="0"/>
            </c:dLbl>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val>
            <c:numRef>
              <c:f>'G4+G5'!$B$7:$H$7</c:f>
              <c:numCache>
                <c:formatCode>#,##0</c:formatCode>
                <c:ptCount val="7"/>
                <c:pt idx="0">
                  <c:v>5571</c:v>
                </c:pt>
                <c:pt idx="1">
                  <c:v>5780</c:v>
                </c:pt>
                <c:pt idx="2">
                  <c:v>5621</c:v>
                </c:pt>
                <c:pt idx="3">
                  <c:v>5254</c:v>
                </c:pt>
                <c:pt idx="4">
                  <c:v>5335</c:v>
                </c:pt>
                <c:pt idx="5">
                  <c:v>5489</c:v>
                </c:pt>
                <c:pt idx="6">
                  <c:v>3945</c:v>
                </c:pt>
              </c:numCache>
            </c:numRef>
          </c:val>
          <c:smooth val="0"/>
        </c:ser>
        <c:dLbls>
          <c:showLegendKey val="0"/>
          <c:showVal val="0"/>
          <c:showCatName val="0"/>
          <c:showSerName val="0"/>
          <c:showPercent val="0"/>
          <c:showBubbleSize val="0"/>
        </c:dLbls>
        <c:marker val="1"/>
        <c:smooth val="0"/>
        <c:axId val="221635072"/>
        <c:axId val="221045888"/>
      </c:lineChart>
      <c:catAx>
        <c:axId val="221635072"/>
        <c:scaling>
          <c:orientation val="minMax"/>
        </c:scaling>
        <c:delete val="0"/>
        <c:axPos val="b"/>
        <c:numFmt formatCode="General" sourceLinked="1"/>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1045888"/>
        <c:crosses val="autoZero"/>
        <c:auto val="1"/>
        <c:lblAlgn val="ctr"/>
        <c:lblOffset val="100"/>
        <c:noMultiLvlLbl val="0"/>
      </c:catAx>
      <c:valAx>
        <c:axId val="221045888"/>
        <c:scaling>
          <c:orientation val="minMax"/>
          <c:max val="6000"/>
        </c:scaling>
        <c:delete val="0"/>
        <c:axPos val="l"/>
        <c:majorGridlines>
          <c:spPr>
            <a:ln>
              <a:solidFill>
                <a:schemeClr val="bg1">
                  <a:lumMod val="75000"/>
                </a:schemeClr>
              </a:solidFill>
              <a:prstDash val="sysDash"/>
            </a:ln>
          </c:spPr>
        </c:majorGridlines>
        <c:numFmt formatCode="#,##0" sourceLinked="0"/>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1635072"/>
        <c:crosses val="autoZero"/>
        <c:crossBetween val="between"/>
        <c:majorUnit val="1000"/>
      </c:valAx>
      <c:spPr>
        <a:ln>
          <a:solidFill>
            <a:schemeClr val="bg1"/>
          </a:solidFill>
        </a:ln>
      </c:spPr>
    </c:plotArea>
    <c:legend>
      <c:legendPos val="b"/>
      <c:legendEntry>
        <c:idx val="4"/>
        <c:delete val="1"/>
      </c:legendEntry>
      <c:layout>
        <c:manualLayout>
          <c:xMode val="edge"/>
          <c:yMode val="edge"/>
          <c:x val="5.0000045020101483E-2"/>
          <c:y val="0.90688738409679459"/>
          <c:w val="0.92973118497409091"/>
          <c:h val="6.631195059955057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9951881014868E-2"/>
          <c:y val="2.0123785202525359E-2"/>
          <c:w val="0.88901159230096238"/>
          <c:h val="0.73791947996672402"/>
        </c:manualLayout>
      </c:layout>
      <c:barChart>
        <c:barDir val="col"/>
        <c:grouping val="stacked"/>
        <c:varyColors val="0"/>
        <c:ser>
          <c:idx val="0"/>
          <c:order val="0"/>
          <c:tx>
            <c:strRef>
              <c:f>'Graf č.1 až 2'!$A$53</c:f>
              <c:strCache>
                <c:ptCount val="1"/>
                <c:pt idx="0">
                  <c:v>Dlouhodobá zdravotní (dlouhodobá lůžková, denní a domácí)</c:v>
                </c:pt>
              </c:strCache>
            </c:strRef>
          </c:tx>
          <c:spPr>
            <a:solidFill>
              <a:srgbClr val="D96D75"/>
            </a:solidFill>
            <a:ln>
              <a:solidFill>
                <a:srgbClr val="953735"/>
              </a:solidFill>
            </a:ln>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0"/>
            <c:showSerName val="0"/>
            <c:showPercent val="0"/>
            <c:showBubbleSize val="0"/>
          </c:dLbls>
          <c:cat>
            <c:strRef>
              <c:f>'Graf č.1 až 2'!$B$52:$H$52</c:f>
              <c:strCache>
                <c:ptCount val="7"/>
                <c:pt idx="0">
                  <c:v>2010</c:v>
                </c:pt>
                <c:pt idx="1">
                  <c:v>2011</c:v>
                </c:pt>
                <c:pt idx="2">
                  <c:v>2012</c:v>
                </c:pt>
                <c:pt idx="3">
                  <c:v>2013</c:v>
                </c:pt>
                <c:pt idx="4">
                  <c:v>2014</c:v>
                </c:pt>
                <c:pt idx="5">
                  <c:v>2015</c:v>
                </c:pt>
                <c:pt idx="6">
                  <c:v>2016</c:v>
                </c:pt>
              </c:strCache>
            </c:strRef>
          </c:cat>
          <c:val>
            <c:numRef>
              <c:f>'Graf č.1 až 2'!$B$53:$H$53</c:f>
              <c:numCache>
                <c:formatCode>0.0</c:formatCode>
                <c:ptCount val="7"/>
                <c:pt idx="0">
                  <c:v>35.762216090000038</c:v>
                </c:pt>
                <c:pt idx="1">
                  <c:v>37.004883799999995</c:v>
                </c:pt>
                <c:pt idx="2">
                  <c:v>37.080899699999996</c:v>
                </c:pt>
                <c:pt idx="3">
                  <c:v>38.596042090000012</c:v>
                </c:pt>
                <c:pt idx="4">
                  <c:v>44.035018330000057</c:v>
                </c:pt>
                <c:pt idx="5">
                  <c:v>42.406320920000013</c:v>
                </c:pt>
                <c:pt idx="6">
                  <c:v>45.116249259999996</c:v>
                </c:pt>
              </c:numCache>
            </c:numRef>
          </c:val>
        </c:ser>
        <c:ser>
          <c:idx val="1"/>
          <c:order val="1"/>
          <c:tx>
            <c:strRef>
              <c:f>'Graf č.1 až 2'!$A$54</c:f>
              <c:strCache>
                <c:ptCount val="1"/>
                <c:pt idx="0">
                  <c:v>Dlouhodobá sociální ( peněžité dávky a sociální služby)</c:v>
                </c:pt>
              </c:strCache>
            </c:strRef>
          </c:tx>
          <c:spPr>
            <a:solidFill>
              <a:srgbClr val="0071BC"/>
            </a:solidFill>
            <a:ln>
              <a:solidFill>
                <a:srgbClr val="376092"/>
              </a:solidFill>
            </a:ln>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'Graf č.1 až 2'!$B$52:$H$52</c:f>
              <c:strCache>
                <c:ptCount val="7"/>
                <c:pt idx="0">
                  <c:v>2010</c:v>
                </c:pt>
                <c:pt idx="1">
                  <c:v>2011</c:v>
                </c:pt>
                <c:pt idx="2">
                  <c:v>2012</c:v>
                </c:pt>
                <c:pt idx="3">
                  <c:v>2013</c:v>
                </c:pt>
                <c:pt idx="4">
                  <c:v>2014</c:v>
                </c:pt>
                <c:pt idx="5">
                  <c:v>2015</c:v>
                </c:pt>
                <c:pt idx="6">
                  <c:v>2016</c:v>
                </c:pt>
              </c:strCache>
            </c:strRef>
          </c:cat>
          <c:val>
            <c:numRef>
              <c:f>'Graf č.1 až 2'!$B$54:$H$54</c:f>
              <c:numCache>
                <c:formatCode>0.0</c:formatCode>
                <c:ptCount val="7"/>
                <c:pt idx="0">
                  <c:v>16.998922360000002</c:v>
                </c:pt>
                <c:pt idx="1">
                  <c:v>16.049514069999987</c:v>
                </c:pt>
                <c:pt idx="2">
                  <c:v>15.926341600000001</c:v>
                </c:pt>
                <c:pt idx="3">
                  <c:v>17.24097411172</c:v>
                </c:pt>
                <c:pt idx="4">
                  <c:v>18.077604577219986</c:v>
                </c:pt>
                <c:pt idx="5">
                  <c:v>18.611297441670015</c:v>
                </c:pt>
                <c:pt idx="6">
                  <c:v>20.148</c:v>
                </c:pt>
              </c:numCache>
            </c:numRef>
          </c:val>
        </c:ser>
        <c:dLbls>
          <c:showLegendKey val="0"/>
          <c:showVal val="0"/>
          <c:showCatName val="0"/>
          <c:showSerName val="0"/>
          <c:showPercent val="0"/>
          <c:showBubbleSize val="0"/>
        </c:dLbls>
        <c:gapWidth val="30"/>
        <c:overlap val="100"/>
        <c:axId val="221637120"/>
        <c:axId val="221047616"/>
      </c:barChart>
      <c:lineChart>
        <c:grouping val="standard"/>
        <c:varyColors val="0"/>
        <c:ser>
          <c:idx val="3"/>
          <c:order val="3"/>
          <c:tx>
            <c:strRef>
              <c:f>'Graf č.1 až 2'!$A$56</c:f>
              <c:strCache>
                <c:ptCount val="1"/>
                <c:pt idx="0">
                  <c:v>Celkem</c:v>
                </c:pt>
              </c:strCache>
            </c:strRef>
          </c:tx>
          <c:spPr>
            <a:ln>
              <a:noFill/>
            </a:ln>
          </c:spPr>
          <c:marker>
            <c:symbol val="none"/>
          </c:marker>
          <c:cat>
            <c:strRef>
              <c:f>'Graf č.1 až 2'!$B$52:$G$52</c:f>
              <c:strCache>
                <c:ptCount val="6"/>
                <c:pt idx="0">
                  <c:v>2010</c:v>
                </c:pt>
                <c:pt idx="1">
                  <c:v>2011</c:v>
                </c:pt>
                <c:pt idx="2">
                  <c:v>2012</c:v>
                </c:pt>
                <c:pt idx="3">
                  <c:v>2013</c:v>
                </c:pt>
                <c:pt idx="4">
                  <c:v>2014</c:v>
                </c:pt>
                <c:pt idx="5">
                  <c:v>2015</c:v>
                </c:pt>
              </c:strCache>
            </c:strRef>
          </c:cat>
          <c:val>
            <c:numRef>
              <c:f>'Graf č.1 až 2'!$B$56:$G$56</c:f>
              <c:numCache>
                <c:formatCode>0.0</c:formatCode>
                <c:ptCount val="6"/>
                <c:pt idx="0">
                  <c:v>52.786000000000001</c:v>
                </c:pt>
                <c:pt idx="1">
                  <c:v>53.055</c:v>
                </c:pt>
                <c:pt idx="2">
                  <c:v>53.003</c:v>
                </c:pt>
                <c:pt idx="3">
                  <c:v>55.831000000000003</c:v>
                </c:pt>
                <c:pt idx="4">
                  <c:v>62.107000000000006</c:v>
                </c:pt>
                <c:pt idx="5">
                  <c:v>61.017618359930005</c:v>
                </c:pt>
              </c:numCache>
            </c:numRef>
          </c:val>
          <c:smooth val="0"/>
        </c:ser>
        <c:dLbls>
          <c:showLegendKey val="0"/>
          <c:showVal val="0"/>
          <c:showCatName val="0"/>
          <c:showSerName val="0"/>
          <c:showPercent val="0"/>
          <c:showBubbleSize val="0"/>
        </c:dLbls>
        <c:marker val="1"/>
        <c:smooth val="0"/>
        <c:axId val="221637120"/>
        <c:axId val="221047616"/>
      </c:lineChart>
      <c:lineChart>
        <c:grouping val="standard"/>
        <c:varyColors val="0"/>
        <c:ser>
          <c:idx val="2"/>
          <c:order val="2"/>
          <c:tx>
            <c:strRef>
              <c:f>'Graf č.1 až 2'!$A$55</c:f>
              <c:strCache>
                <c:ptCount val="1"/>
                <c:pt idx="0">
                  <c:v>% z běžných výdajů na zdravotní péči</c:v>
                </c:pt>
              </c:strCache>
            </c:strRef>
          </c:tx>
          <c:spPr>
            <a:ln>
              <a:solidFill>
                <a:srgbClr val="FFC000"/>
              </a:solidFill>
            </a:ln>
          </c:spPr>
          <c:marker>
            <c:spPr>
              <a:solidFill>
                <a:srgbClr val="FFC000"/>
              </a:solidFill>
              <a:ln>
                <a:solidFill>
                  <a:srgbClr val="E46C0A"/>
                </a:solidFill>
              </a:ln>
            </c:spPr>
          </c:marker>
          <c:dLbls>
            <c:dLbl>
              <c:idx val="0"/>
              <c:layout>
                <c:manualLayout>
                  <c:x val="-5.0976409013962019E-2"/>
                  <c:y val="-2.6737517407404213E-2"/>
                </c:manualLayout>
              </c:layout>
              <c:dLblPos val="r"/>
              <c:showLegendKey val="0"/>
              <c:showVal val="1"/>
              <c:showCatName val="0"/>
              <c:showSerName val="0"/>
              <c:showPercent val="0"/>
              <c:showBubbleSize val="0"/>
            </c:dLbl>
            <c:dLbl>
              <c:idx val="1"/>
              <c:layout>
                <c:manualLayout>
                  <c:x val="-3.7169702899563617E-2"/>
                  <c:y val="-3.8895575998396874E-2"/>
                </c:manualLayout>
              </c:layout>
              <c:dLblPos val="r"/>
              <c:showLegendKey val="0"/>
              <c:showVal val="1"/>
              <c:showCatName val="0"/>
              <c:showSerName val="0"/>
              <c:showPercent val="0"/>
              <c:showBubbleSize val="0"/>
            </c:dLbl>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 č.1 až 2'!$B$52:$G$52</c:f>
              <c:strCache>
                <c:ptCount val="6"/>
                <c:pt idx="0">
                  <c:v>2010</c:v>
                </c:pt>
                <c:pt idx="1">
                  <c:v>2011</c:v>
                </c:pt>
                <c:pt idx="2">
                  <c:v>2012</c:v>
                </c:pt>
                <c:pt idx="3">
                  <c:v>2013</c:v>
                </c:pt>
                <c:pt idx="4">
                  <c:v>2014</c:v>
                </c:pt>
                <c:pt idx="5">
                  <c:v>2015</c:v>
                </c:pt>
              </c:strCache>
            </c:strRef>
          </c:cat>
          <c:val>
            <c:numRef>
              <c:f>'Graf č.1 až 2'!$B$55:$H$55</c:f>
              <c:numCache>
                <c:formatCode>0.0%</c:formatCode>
                <c:ptCount val="7"/>
                <c:pt idx="0">
                  <c:v>0.15800034750617886</c:v>
                </c:pt>
                <c:pt idx="1">
                  <c:v>0.15693019913844208</c:v>
                </c:pt>
                <c:pt idx="2">
                  <c:v>0.15501902820184219</c:v>
                </c:pt>
                <c:pt idx="3">
                  <c:v>0.16196028873195698</c:v>
                </c:pt>
                <c:pt idx="4">
                  <c:v>0.17809472984250199</c:v>
                </c:pt>
                <c:pt idx="5">
                  <c:v>0.17332600245731514</c:v>
                </c:pt>
                <c:pt idx="6">
                  <c:v>0.18074057665061635</c:v>
                </c:pt>
              </c:numCache>
            </c:numRef>
          </c:val>
          <c:smooth val="0"/>
        </c:ser>
        <c:dLbls>
          <c:showLegendKey val="0"/>
          <c:showVal val="0"/>
          <c:showCatName val="0"/>
          <c:showSerName val="0"/>
          <c:showPercent val="0"/>
          <c:showBubbleSize val="0"/>
        </c:dLbls>
        <c:marker val="1"/>
        <c:smooth val="0"/>
        <c:axId val="221637632"/>
        <c:axId val="221048192"/>
      </c:lineChart>
      <c:catAx>
        <c:axId val="221637120"/>
        <c:scaling>
          <c:orientation val="minMax"/>
        </c:scaling>
        <c:delete val="0"/>
        <c:axPos val="b"/>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1047616"/>
        <c:crosses val="autoZero"/>
        <c:auto val="1"/>
        <c:lblAlgn val="ctr"/>
        <c:lblOffset val="100"/>
        <c:noMultiLvlLbl val="0"/>
      </c:catAx>
      <c:valAx>
        <c:axId val="221047616"/>
        <c:scaling>
          <c:orientation val="minMax"/>
          <c:max val="100"/>
        </c:scaling>
        <c:delete val="0"/>
        <c:axPos val="l"/>
        <c:majorGridlines>
          <c:spPr>
            <a:ln>
              <a:solidFill>
                <a:schemeClr val="bg1">
                  <a:lumMod val="75000"/>
                </a:schemeClr>
              </a:solidFill>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1637120"/>
        <c:crosses val="autoZero"/>
        <c:crossBetween val="between"/>
        <c:majorUnit val="10"/>
      </c:valAx>
      <c:valAx>
        <c:axId val="221048192"/>
        <c:scaling>
          <c:orientation val="minMax"/>
          <c:max val="0.2"/>
          <c:min val="0"/>
        </c:scaling>
        <c:delete val="0"/>
        <c:axPos val="r"/>
        <c:numFmt formatCode="0%" sourceLinked="0"/>
        <c:majorTickMark val="out"/>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cs-CZ"/>
          </a:p>
        </c:txPr>
        <c:crossAx val="221637632"/>
        <c:crosses val="max"/>
        <c:crossBetween val="between"/>
      </c:valAx>
      <c:catAx>
        <c:axId val="221637632"/>
        <c:scaling>
          <c:orientation val="minMax"/>
        </c:scaling>
        <c:delete val="1"/>
        <c:axPos val="b"/>
        <c:majorTickMark val="out"/>
        <c:minorTickMark val="none"/>
        <c:tickLblPos val="none"/>
        <c:crossAx val="221048192"/>
        <c:crosses val="autoZero"/>
        <c:auto val="1"/>
        <c:lblAlgn val="ctr"/>
        <c:lblOffset val="100"/>
        <c:noMultiLvlLbl val="0"/>
      </c:catAx>
      <c:spPr>
        <a:ln>
          <a:solidFill>
            <a:schemeClr val="bg1">
              <a:lumMod val="75000"/>
            </a:schemeClr>
          </a:solidFill>
        </a:ln>
      </c:spPr>
    </c:plotArea>
    <c:legend>
      <c:legendPos val="b"/>
      <c:legendEntry>
        <c:idx val="2"/>
        <c:delete val="1"/>
      </c:legendEntry>
      <c:layout>
        <c:manualLayout>
          <c:xMode val="edge"/>
          <c:yMode val="edge"/>
          <c:x val="0"/>
          <c:y val="0.84469332394903163"/>
          <c:w val="1"/>
          <c:h val="0.15530667605096846"/>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66603882951355708"/>
          <c:h val="0.88809077326872643"/>
        </c:manualLayout>
      </c:layout>
      <c:barChart>
        <c:barDir val="col"/>
        <c:grouping val="stacked"/>
        <c:varyColors val="0"/>
        <c:ser>
          <c:idx val="0"/>
          <c:order val="0"/>
          <c:tx>
            <c:strRef>
              <c:f>List1!$A$12</c:f>
              <c:strCache>
                <c:ptCount val="1"/>
                <c:pt idx="0">
                  <c:v>Lůžková</c:v>
                </c:pt>
              </c:strCache>
            </c:strRef>
          </c:tx>
          <c:spPr>
            <a:solidFill>
              <a:schemeClr val="accent2">
                <a:lumMod val="75000"/>
              </a:schemeClr>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List1!$B$11:$H$11</c:f>
              <c:numCache>
                <c:formatCode>General</c:formatCode>
                <c:ptCount val="5"/>
                <c:pt idx="0">
                  <c:v>2012</c:v>
                </c:pt>
                <c:pt idx="1">
                  <c:v>2013</c:v>
                </c:pt>
                <c:pt idx="2">
                  <c:v>2014</c:v>
                </c:pt>
                <c:pt idx="3">
                  <c:v>2015</c:v>
                </c:pt>
                <c:pt idx="4" formatCode="0">
                  <c:v>2016</c:v>
                </c:pt>
              </c:numCache>
            </c:numRef>
          </c:cat>
          <c:val>
            <c:numRef>
              <c:f>List1!$B$12:$H$12</c:f>
              <c:numCache>
                <c:formatCode>#,##0.0</c:formatCode>
                <c:ptCount val="5"/>
                <c:pt idx="0">
                  <c:v>30.863514233239982</c:v>
                </c:pt>
                <c:pt idx="1">
                  <c:v>31.914431858650001</c:v>
                </c:pt>
                <c:pt idx="2">
                  <c:v>37.056305335500028</c:v>
                </c:pt>
                <c:pt idx="3">
                  <c:v>34.828506714260001</c:v>
                </c:pt>
                <c:pt idx="4" formatCode="0.0">
                  <c:v>37.132161770000003</c:v>
                </c:pt>
              </c:numCache>
            </c:numRef>
          </c:val>
        </c:ser>
        <c:ser>
          <c:idx val="1"/>
          <c:order val="1"/>
          <c:tx>
            <c:strRef>
              <c:f>List1!$A$13</c:f>
              <c:strCache>
                <c:ptCount val="1"/>
                <c:pt idx="0">
                  <c:v>Peněžité dávky</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List1!$B$11:$H$11</c:f>
              <c:numCache>
                <c:formatCode>General</c:formatCode>
                <c:ptCount val="5"/>
                <c:pt idx="0">
                  <c:v>2012</c:v>
                </c:pt>
                <c:pt idx="1">
                  <c:v>2013</c:v>
                </c:pt>
                <c:pt idx="2">
                  <c:v>2014</c:v>
                </c:pt>
                <c:pt idx="3">
                  <c:v>2015</c:v>
                </c:pt>
                <c:pt idx="4" formatCode="0">
                  <c:v>2016</c:v>
                </c:pt>
              </c:numCache>
            </c:numRef>
          </c:cat>
          <c:val>
            <c:numRef>
              <c:f>List1!$B$13:$H$13</c:f>
              <c:numCache>
                <c:formatCode>#,##0.0</c:formatCode>
                <c:ptCount val="5"/>
                <c:pt idx="0">
                  <c:v>14.491</c:v>
                </c:pt>
                <c:pt idx="1">
                  <c:v>15.654</c:v>
                </c:pt>
                <c:pt idx="2">
                  <c:v>16.268999999999977</c:v>
                </c:pt>
                <c:pt idx="3">
                  <c:v>16.82</c:v>
                </c:pt>
                <c:pt idx="4" formatCode="0.0">
                  <c:v>18.207000000000001</c:v>
                </c:pt>
              </c:numCache>
            </c:numRef>
          </c:val>
        </c:ser>
        <c:ser>
          <c:idx val="2"/>
          <c:order val="2"/>
          <c:tx>
            <c:strRef>
              <c:f>List1!$A$14</c:f>
              <c:strCache>
                <c:ptCount val="1"/>
                <c:pt idx="0">
                  <c:v>Domácí</c:v>
                </c:pt>
              </c:strCache>
            </c:strRef>
          </c:tx>
          <c:spPr>
            <a:solidFill>
              <a:srgbClr val="92D05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List1!$B$11:$H$11</c:f>
              <c:numCache>
                <c:formatCode>General</c:formatCode>
                <c:ptCount val="5"/>
                <c:pt idx="0">
                  <c:v>2012</c:v>
                </c:pt>
                <c:pt idx="1">
                  <c:v>2013</c:v>
                </c:pt>
                <c:pt idx="2">
                  <c:v>2014</c:v>
                </c:pt>
                <c:pt idx="3">
                  <c:v>2015</c:v>
                </c:pt>
                <c:pt idx="4" formatCode="0">
                  <c:v>2016</c:v>
                </c:pt>
              </c:numCache>
            </c:numRef>
          </c:cat>
          <c:val>
            <c:numRef>
              <c:f>List1!$B$14:$H$14</c:f>
              <c:numCache>
                <c:formatCode>#,##0.0</c:formatCode>
                <c:ptCount val="5"/>
                <c:pt idx="0">
                  <c:v>4.7696054649999997</c:v>
                </c:pt>
                <c:pt idx="1">
                  <c:v>5.1799602303799963</c:v>
                </c:pt>
                <c:pt idx="2">
                  <c:v>5.3325129923199963</c:v>
                </c:pt>
                <c:pt idx="3">
                  <c:v>5.8586091339999999</c:v>
                </c:pt>
                <c:pt idx="4" formatCode="0.0">
                  <c:v>6.2192247580000002</c:v>
                </c:pt>
              </c:numCache>
            </c:numRef>
          </c:val>
        </c:ser>
        <c:ser>
          <c:idx val="3"/>
          <c:order val="3"/>
          <c:tx>
            <c:strRef>
              <c:f>List1!$A$15</c:f>
              <c:strCache>
                <c:ptCount val="1"/>
                <c:pt idx="0">
                  <c:v>Ostatní (1)</c:v>
                </c:pt>
              </c:strCache>
            </c:strRef>
          </c:tx>
          <c:spPr>
            <a:solidFill>
              <a:srgbClr val="FFFF0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List1!$B$11:$H$11</c:f>
              <c:numCache>
                <c:formatCode>General</c:formatCode>
                <c:ptCount val="5"/>
                <c:pt idx="0">
                  <c:v>2012</c:v>
                </c:pt>
                <c:pt idx="1">
                  <c:v>2013</c:v>
                </c:pt>
                <c:pt idx="2">
                  <c:v>2014</c:v>
                </c:pt>
                <c:pt idx="3">
                  <c:v>2015</c:v>
                </c:pt>
                <c:pt idx="4" formatCode="0">
                  <c:v>2016</c:v>
                </c:pt>
              </c:numCache>
            </c:numRef>
          </c:cat>
          <c:val>
            <c:numRef>
              <c:f>List1!$B$15:$H$15</c:f>
              <c:numCache>
                <c:formatCode>#,##0.0</c:formatCode>
                <c:ptCount val="5"/>
                <c:pt idx="0">
                  <c:v>2.8793415999999987</c:v>
                </c:pt>
                <c:pt idx="1">
                  <c:v>3.08297411172</c:v>
                </c:pt>
                <c:pt idx="2">
                  <c:v>3.4488139962199997</c:v>
                </c:pt>
                <c:pt idx="3">
                  <c:v>3.49750251167</c:v>
                </c:pt>
                <c:pt idx="4" formatCode="0.0">
                  <c:v>3.7056634309999987</c:v>
                </c:pt>
              </c:numCache>
            </c:numRef>
          </c:val>
        </c:ser>
        <c:dLbls>
          <c:showLegendKey val="0"/>
          <c:showVal val="0"/>
          <c:showCatName val="0"/>
          <c:showSerName val="0"/>
          <c:showPercent val="0"/>
          <c:showBubbleSize val="0"/>
        </c:dLbls>
        <c:gapWidth val="50"/>
        <c:overlap val="100"/>
        <c:axId val="221905920"/>
        <c:axId val="221049920"/>
      </c:barChart>
      <c:catAx>
        <c:axId val="221905920"/>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1049920"/>
        <c:crosses val="autoZero"/>
        <c:auto val="1"/>
        <c:lblAlgn val="ctr"/>
        <c:lblOffset val="100"/>
        <c:noMultiLvlLbl val="0"/>
      </c:catAx>
      <c:valAx>
        <c:axId val="221049920"/>
        <c:scaling>
          <c:orientation val="minMax"/>
        </c:scaling>
        <c:delete val="1"/>
        <c:axPos val="l"/>
        <c:majorGridlines>
          <c:spPr>
            <a:ln>
              <a:prstDash val="dash"/>
            </a:ln>
          </c:spPr>
        </c:majorGridlines>
        <c:numFmt formatCode="#,##0.0" sourceLinked="1"/>
        <c:majorTickMark val="out"/>
        <c:minorTickMark val="none"/>
        <c:tickLblPos val="none"/>
        <c:crossAx val="221905920"/>
        <c:crosses val="autoZero"/>
        <c:crossBetween val="between"/>
      </c:valAx>
      <c:spPr>
        <a:ln>
          <a:solidFill>
            <a:schemeClr val="bg1">
              <a:lumMod val="75000"/>
            </a:schemeClr>
          </a:solidFill>
        </a:ln>
      </c:spPr>
    </c:plotArea>
    <c:legend>
      <c:legendPos val="r"/>
      <c:layout>
        <c:manualLayout>
          <c:xMode val="edge"/>
          <c:yMode val="edge"/>
          <c:x val="0.70704128485180062"/>
          <c:y val="0.21912371177245021"/>
          <c:w val="0.24002240414737258"/>
          <c:h val="0.51082677165354362"/>
        </c:manualLayout>
      </c:layout>
      <c:overlay val="0"/>
      <c:spPr>
        <a:ln>
          <a:solidFill>
            <a:schemeClr val="bg1">
              <a:lumMod val="75000"/>
            </a:schemeClr>
          </a:solidFill>
        </a:ln>
      </c:spPr>
      <c:txPr>
        <a:bodyPr/>
        <a:lstStyle/>
        <a:p>
          <a:pPr algn="just">
            <a:defRPr sz="800"/>
          </a:pPr>
          <a:endParaRPr lang="cs-CZ"/>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2.3150496018506171E-3"/>
          <c:w val="1"/>
          <c:h val="0.88372543371103052"/>
        </c:manualLayout>
      </c:layout>
      <c:barChart>
        <c:barDir val="col"/>
        <c:grouping val="stacked"/>
        <c:varyColors val="0"/>
        <c:ser>
          <c:idx val="0"/>
          <c:order val="0"/>
          <c:tx>
            <c:strRef>
              <c:f>List1!$A$5</c:f>
              <c:strCache>
                <c:ptCount val="1"/>
                <c:pt idx="0">
                  <c:v>Lůžková</c:v>
                </c:pt>
              </c:strCache>
            </c:strRef>
          </c:tx>
          <c:spPr>
            <a:solidFill>
              <a:schemeClr val="accent2">
                <a:lumMod val="75000"/>
              </a:schemeClr>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List1!$B$4:$H$4</c:f>
              <c:numCache>
                <c:formatCode>General</c:formatCode>
                <c:ptCount val="5"/>
                <c:pt idx="0">
                  <c:v>2012</c:v>
                </c:pt>
                <c:pt idx="1">
                  <c:v>2013</c:v>
                </c:pt>
                <c:pt idx="2">
                  <c:v>2014</c:v>
                </c:pt>
                <c:pt idx="3">
                  <c:v>2015</c:v>
                </c:pt>
                <c:pt idx="4">
                  <c:v>2016</c:v>
                </c:pt>
              </c:numCache>
            </c:numRef>
          </c:cat>
          <c:val>
            <c:numRef>
              <c:f>List1!$B$5:$H$5</c:f>
              <c:numCache>
                <c:formatCode>0%</c:formatCode>
                <c:ptCount val="5"/>
                <c:pt idx="0">
                  <c:v>0.58000000000000007</c:v>
                </c:pt>
                <c:pt idx="1">
                  <c:v>0.56999999999999995</c:v>
                </c:pt>
                <c:pt idx="2">
                  <c:v>0.60000000000000042</c:v>
                </c:pt>
                <c:pt idx="3">
                  <c:v>0.56999999999999995</c:v>
                </c:pt>
                <c:pt idx="4">
                  <c:v>0.56999999999999995</c:v>
                </c:pt>
              </c:numCache>
            </c:numRef>
          </c:val>
        </c:ser>
        <c:ser>
          <c:idx val="1"/>
          <c:order val="1"/>
          <c:tx>
            <c:strRef>
              <c:f>List1!$A$6</c:f>
              <c:strCache>
                <c:ptCount val="1"/>
                <c:pt idx="0">
                  <c:v>Peněžité dávky</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List1!$B$4:$H$4</c:f>
              <c:numCache>
                <c:formatCode>General</c:formatCode>
                <c:ptCount val="5"/>
                <c:pt idx="0">
                  <c:v>2012</c:v>
                </c:pt>
                <c:pt idx="1">
                  <c:v>2013</c:v>
                </c:pt>
                <c:pt idx="2">
                  <c:v>2014</c:v>
                </c:pt>
                <c:pt idx="3">
                  <c:v>2015</c:v>
                </c:pt>
                <c:pt idx="4">
                  <c:v>2016</c:v>
                </c:pt>
              </c:numCache>
            </c:numRef>
          </c:cat>
          <c:val>
            <c:numRef>
              <c:f>List1!$B$6:$H$6</c:f>
              <c:numCache>
                <c:formatCode>0%</c:formatCode>
                <c:ptCount val="5"/>
                <c:pt idx="0">
                  <c:v>0.27</c:v>
                </c:pt>
                <c:pt idx="1">
                  <c:v>0.28000000000000008</c:v>
                </c:pt>
                <c:pt idx="2">
                  <c:v>0.26</c:v>
                </c:pt>
                <c:pt idx="3">
                  <c:v>0.28000000000000008</c:v>
                </c:pt>
                <c:pt idx="4">
                  <c:v>0.28000000000000008</c:v>
                </c:pt>
              </c:numCache>
            </c:numRef>
          </c:val>
        </c:ser>
        <c:ser>
          <c:idx val="2"/>
          <c:order val="2"/>
          <c:tx>
            <c:strRef>
              <c:f>List1!$A$7</c:f>
              <c:strCache>
                <c:ptCount val="1"/>
                <c:pt idx="0">
                  <c:v>Domácí</c:v>
                </c:pt>
              </c:strCache>
            </c:strRef>
          </c:tx>
          <c:spPr>
            <a:solidFill>
              <a:srgbClr val="92D05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List1!$B$4:$H$4</c:f>
              <c:numCache>
                <c:formatCode>General</c:formatCode>
                <c:ptCount val="5"/>
                <c:pt idx="0">
                  <c:v>2012</c:v>
                </c:pt>
                <c:pt idx="1">
                  <c:v>2013</c:v>
                </c:pt>
                <c:pt idx="2">
                  <c:v>2014</c:v>
                </c:pt>
                <c:pt idx="3">
                  <c:v>2015</c:v>
                </c:pt>
                <c:pt idx="4">
                  <c:v>2016</c:v>
                </c:pt>
              </c:numCache>
            </c:numRef>
          </c:cat>
          <c:val>
            <c:numRef>
              <c:f>List1!$B$7:$H$7</c:f>
              <c:numCache>
                <c:formatCode>0%</c:formatCode>
                <c:ptCount val="5"/>
                <c:pt idx="0">
                  <c:v>9.0000000000000024E-2</c:v>
                </c:pt>
                <c:pt idx="1">
                  <c:v>9.0000000000000024E-2</c:v>
                </c:pt>
                <c:pt idx="2">
                  <c:v>9.0000000000000024E-2</c:v>
                </c:pt>
                <c:pt idx="3">
                  <c:v>0.1</c:v>
                </c:pt>
                <c:pt idx="4">
                  <c:v>0.1</c:v>
                </c:pt>
              </c:numCache>
            </c:numRef>
          </c:val>
        </c:ser>
        <c:ser>
          <c:idx val="3"/>
          <c:order val="3"/>
          <c:tx>
            <c:strRef>
              <c:f>List1!$A$8</c:f>
              <c:strCache>
                <c:ptCount val="1"/>
                <c:pt idx="0">
                  <c:v>Ostatní (1)</c:v>
                </c:pt>
              </c:strCache>
            </c:strRef>
          </c:tx>
          <c:spPr>
            <a:solidFill>
              <a:srgbClr val="FFFF0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List1!$B$4:$H$4</c:f>
              <c:numCache>
                <c:formatCode>General</c:formatCode>
                <c:ptCount val="5"/>
                <c:pt idx="0">
                  <c:v>2012</c:v>
                </c:pt>
                <c:pt idx="1">
                  <c:v>2013</c:v>
                </c:pt>
                <c:pt idx="2">
                  <c:v>2014</c:v>
                </c:pt>
                <c:pt idx="3">
                  <c:v>2015</c:v>
                </c:pt>
                <c:pt idx="4">
                  <c:v>2016</c:v>
                </c:pt>
              </c:numCache>
            </c:numRef>
          </c:cat>
          <c:val>
            <c:numRef>
              <c:f>List1!$B$8:$H$8</c:f>
              <c:numCache>
                <c:formatCode>0%</c:formatCode>
                <c:ptCount val="5"/>
                <c:pt idx="0">
                  <c:v>6.0000000000000032E-2</c:v>
                </c:pt>
                <c:pt idx="1">
                  <c:v>6.0000000000000032E-2</c:v>
                </c:pt>
                <c:pt idx="2">
                  <c:v>0.05</c:v>
                </c:pt>
                <c:pt idx="3">
                  <c:v>0.05</c:v>
                </c:pt>
                <c:pt idx="4">
                  <c:v>0.05</c:v>
                </c:pt>
              </c:numCache>
            </c:numRef>
          </c:val>
        </c:ser>
        <c:dLbls>
          <c:showLegendKey val="0"/>
          <c:showVal val="0"/>
          <c:showCatName val="0"/>
          <c:showSerName val="0"/>
          <c:showPercent val="0"/>
          <c:showBubbleSize val="0"/>
        </c:dLbls>
        <c:gapWidth val="50"/>
        <c:overlap val="100"/>
        <c:axId val="221907968"/>
        <c:axId val="221048768"/>
      </c:barChart>
      <c:catAx>
        <c:axId val="221907968"/>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1048768"/>
        <c:crosses val="autoZero"/>
        <c:auto val="1"/>
        <c:lblAlgn val="ctr"/>
        <c:lblOffset val="100"/>
        <c:noMultiLvlLbl val="0"/>
      </c:catAx>
      <c:valAx>
        <c:axId val="221048768"/>
        <c:scaling>
          <c:orientation val="minMax"/>
          <c:max val="1"/>
        </c:scaling>
        <c:delete val="1"/>
        <c:axPos val="l"/>
        <c:majorGridlines>
          <c:spPr>
            <a:ln>
              <a:prstDash val="dash"/>
            </a:ln>
          </c:spPr>
        </c:majorGridlines>
        <c:numFmt formatCode="0%" sourceLinked="1"/>
        <c:majorTickMark val="out"/>
        <c:minorTickMark val="none"/>
        <c:tickLblPos val="none"/>
        <c:crossAx val="221907968"/>
        <c:crosses val="autoZero"/>
        <c:crossBetween val="between"/>
        <c:majorUnit val="0.2"/>
      </c:valAx>
      <c:spPr>
        <a:noFill/>
        <a:ln w="25400">
          <a:noFill/>
        </a:ln>
      </c:spPr>
    </c:plotArea>
    <c:plotVisOnly val="1"/>
    <c:dispBlanksAs val="gap"/>
    <c:showDLblsOverMax val="0"/>
  </c:chart>
  <c:spPr>
    <a:noFill/>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9083152240379"/>
          <c:y val="4.9801441486480864E-2"/>
          <c:w val="0.52023612639817873"/>
          <c:h val="0.92156113819105856"/>
        </c:manualLayout>
      </c:layout>
      <c:pieChart>
        <c:varyColors val="1"/>
        <c:ser>
          <c:idx val="0"/>
          <c:order val="0"/>
          <c:spPr>
            <a:ln>
              <a:noFill/>
            </a:ln>
          </c:spPr>
          <c:dPt>
            <c:idx val="0"/>
            <c:bubble3D val="0"/>
            <c:spPr>
              <a:solidFill>
                <a:srgbClr val="D96D7F"/>
              </a:solidFill>
              <a:ln>
                <a:solidFill>
                  <a:srgbClr val="C0504D">
                    <a:lumMod val="75000"/>
                  </a:srgbClr>
                </a:solidFill>
              </a:ln>
            </c:spPr>
          </c:dPt>
          <c:dPt>
            <c:idx val="1"/>
            <c:bubble3D val="0"/>
            <c:spPr>
              <a:solidFill>
                <a:srgbClr val="CCC1DA"/>
              </a:solidFill>
              <a:ln>
                <a:solidFill>
                  <a:sysClr val="window" lastClr="FFFFFF">
                    <a:lumMod val="50000"/>
                  </a:sysClr>
                </a:solidFill>
              </a:ln>
            </c:spPr>
          </c:dPt>
          <c:dPt>
            <c:idx val="2"/>
            <c:bubble3D val="0"/>
            <c:spPr>
              <a:solidFill>
                <a:srgbClr val="C0504D">
                  <a:lumMod val="60000"/>
                  <a:lumOff val="40000"/>
                </a:srgbClr>
              </a:solidFill>
              <a:ln>
                <a:solidFill>
                  <a:srgbClr val="C0504D">
                    <a:lumMod val="75000"/>
                  </a:srgbClr>
                </a:solidFill>
              </a:ln>
            </c:spPr>
          </c:dPt>
          <c:dLbls>
            <c:dLbl>
              <c:idx val="0"/>
              <c:layout>
                <c:manualLayout>
                  <c:x val="3.8067902802472291E-2"/>
                  <c:y val="3.458101070699502E-2"/>
                </c:manualLayout>
              </c:layout>
              <c:showLegendKey val="0"/>
              <c:showVal val="0"/>
              <c:showCatName val="1"/>
              <c:showSerName val="0"/>
              <c:showPercent val="1"/>
              <c:showBubbleSize val="0"/>
            </c:dLbl>
            <c:dLbl>
              <c:idx val="1"/>
              <c:layout>
                <c:manualLayout>
                  <c:x val="-5.8184931184677192E-2"/>
                  <c:y val="5.0789651293588409E-2"/>
                </c:manualLayout>
              </c:layout>
              <c:showLegendKey val="0"/>
              <c:showVal val="0"/>
              <c:showCatName val="1"/>
              <c:showSerName val="0"/>
              <c:showPercent val="1"/>
              <c:showBubbleSize val="0"/>
            </c:dLbl>
            <c:dLbl>
              <c:idx val="2"/>
              <c:layout>
                <c:manualLayout>
                  <c:x val="-3.7131111299259702E-2"/>
                  <c:y val="-2.9270341207349129E-2"/>
                </c:manualLayout>
              </c:layout>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'Graf č.4'!$A$21:$A$23</c:f>
              <c:strCache>
                <c:ptCount val="3"/>
                <c:pt idx="0">
                  <c:v>Lůžková</c:v>
                </c:pt>
                <c:pt idx="1">
                  <c:v>Denní</c:v>
                </c:pt>
                <c:pt idx="2">
                  <c:v>Domácí</c:v>
                </c:pt>
              </c:strCache>
            </c:strRef>
          </c:cat>
          <c:val>
            <c:numRef>
              <c:f>'Graf č.4'!$B$21:$B$23</c:f>
              <c:numCache>
                <c:formatCode>#,##0</c:formatCode>
                <c:ptCount val="3"/>
                <c:pt idx="0">
                  <c:v>34829</c:v>
                </c:pt>
                <c:pt idx="1">
                  <c:v>1706</c:v>
                </c:pt>
                <c:pt idx="2">
                  <c:v>5859</c:v>
                </c:pt>
              </c:numCache>
            </c:numRef>
          </c:val>
        </c:ser>
        <c:dLbls>
          <c:showLegendKey val="0"/>
          <c:showVal val="0"/>
          <c:showCatName val="0"/>
          <c:showSerName val="0"/>
          <c:showPercent val="0"/>
          <c:showBubbleSize val="0"/>
          <c:showLeaderLines val="1"/>
        </c:dLbls>
        <c:firstSliceAng val="320"/>
      </c:pieChart>
    </c:plotArea>
    <c:plotVisOnly val="1"/>
    <c:dispBlanksAs val="zero"/>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61932852855925"/>
          <c:y val="5.3785188616128854E-2"/>
          <c:w val="0.46430531688425014"/>
          <c:h val="0.93164530904225207"/>
        </c:manualLayout>
      </c:layout>
      <c:pieChart>
        <c:varyColors val="1"/>
        <c:ser>
          <c:idx val="0"/>
          <c:order val="0"/>
          <c:spPr>
            <a:solidFill>
              <a:srgbClr val="0071BC"/>
            </a:solidFill>
            <a:ln>
              <a:solidFill>
                <a:srgbClr val="4F81BD">
                  <a:lumMod val="75000"/>
                </a:srgbClr>
              </a:solidFill>
            </a:ln>
          </c:spPr>
          <c:dPt>
            <c:idx val="0"/>
            <c:bubble3D val="0"/>
            <c:spPr>
              <a:solidFill>
                <a:srgbClr val="8EB4E3"/>
              </a:solidFill>
              <a:ln>
                <a:solidFill>
                  <a:srgbClr val="4F81BD">
                    <a:lumMod val="75000"/>
                  </a:srgbClr>
                </a:solidFill>
              </a:ln>
            </c:spPr>
          </c:dPt>
          <c:dLbls>
            <c:dLbl>
              <c:idx val="0"/>
              <c:layout>
                <c:manualLayout>
                  <c:x val="3.4116631186574001E-2"/>
                  <c:y val="-6.6038803973032714E-3"/>
                </c:manualLayout>
              </c:layout>
              <c:showLegendKey val="0"/>
              <c:showVal val="0"/>
              <c:showCatName val="1"/>
              <c:showSerName val="0"/>
              <c:showPercent val="1"/>
              <c:showBubbleSize val="0"/>
            </c:dLbl>
            <c:dLbl>
              <c:idx val="1"/>
              <c:layout>
                <c:manualLayout>
                  <c:x val="-4.8672702557131513E-2"/>
                  <c:y val="1.2246410375173692E-2"/>
                </c:manualLayout>
              </c:layout>
              <c:showLegendKey val="0"/>
              <c:showVal val="0"/>
              <c:showCatName val="1"/>
              <c:showSerName val="0"/>
              <c:showPercent val="1"/>
              <c:showBubbleSize val="0"/>
            </c:dLbl>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dLbls>
          <c:cat>
            <c:strRef>
              <c:f>'Graf č.5'!$A$4:$A$5</c:f>
              <c:strCache>
                <c:ptCount val="2"/>
                <c:pt idx="0">
                  <c:v>Sociální služby</c:v>
                </c:pt>
                <c:pt idx="1">
                  <c:v> Peněžité dávky</c:v>
                </c:pt>
              </c:strCache>
            </c:strRef>
          </c:cat>
          <c:val>
            <c:numRef>
              <c:f>'Graf č.5'!$B$4:$B$5</c:f>
              <c:numCache>
                <c:formatCode>#,##0</c:formatCode>
                <c:ptCount val="2"/>
                <c:pt idx="0">
                  <c:v>1809</c:v>
                </c:pt>
                <c:pt idx="1">
                  <c:v>16269</c:v>
                </c:pt>
              </c:numCache>
            </c:numRef>
          </c:val>
        </c:ser>
        <c:dLbls>
          <c:showLegendKey val="0"/>
          <c:showVal val="0"/>
          <c:showCatName val="0"/>
          <c:showSerName val="0"/>
          <c:showPercent val="0"/>
          <c:showBubbleSize val="0"/>
          <c:showLeaderLines val="1"/>
        </c:dLbls>
        <c:firstSliceAng val="20"/>
      </c:pieChart>
    </c:plotArea>
    <c:plotVisOnly val="1"/>
    <c:dispBlanksAs val="zero"/>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666666666666664E-2"/>
          <c:y val="5.0925925925925923E-2"/>
          <c:w val="0.66467102123598276"/>
          <c:h val="0.85527012248469003"/>
        </c:manualLayout>
      </c:layout>
      <c:barChart>
        <c:barDir val="col"/>
        <c:grouping val="stacked"/>
        <c:varyColors val="0"/>
        <c:ser>
          <c:idx val="0"/>
          <c:order val="0"/>
          <c:tx>
            <c:strRef>
              <c:f>List2!$A$3</c:f>
              <c:strCache>
                <c:ptCount val="1"/>
                <c:pt idx="0">
                  <c:v>Chráněné bydlení</c:v>
                </c:pt>
              </c:strCache>
            </c:strRef>
          </c:tx>
          <c:spPr>
            <a:solidFill>
              <a:schemeClr val="accent2">
                <a:lumMod val="75000"/>
              </a:schemeClr>
            </a:solidFill>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List2!$B$2:$H$2</c:f>
              <c:numCache>
                <c:formatCode>General</c:formatCode>
                <c:ptCount val="5"/>
                <c:pt idx="0">
                  <c:v>2012</c:v>
                </c:pt>
                <c:pt idx="1">
                  <c:v>2013</c:v>
                </c:pt>
                <c:pt idx="2">
                  <c:v>2014</c:v>
                </c:pt>
                <c:pt idx="3">
                  <c:v>2015</c:v>
                </c:pt>
                <c:pt idx="4">
                  <c:v>2016</c:v>
                </c:pt>
              </c:numCache>
            </c:numRef>
          </c:cat>
          <c:val>
            <c:numRef>
              <c:f>List2!$B$3:$H$3</c:f>
              <c:numCache>
                <c:formatCode>#,##0</c:formatCode>
                <c:ptCount val="5"/>
                <c:pt idx="0" formatCode="General">
                  <c:v>466</c:v>
                </c:pt>
                <c:pt idx="1">
                  <c:v>572</c:v>
                </c:pt>
                <c:pt idx="2">
                  <c:v>708</c:v>
                </c:pt>
                <c:pt idx="3">
                  <c:v>836</c:v>
                </c:pt>
                <c:pt idx="4" formatCode="General">
                  <c:v>909</c:v>
                </c:pt>
              </c:numCache>
            </c:numRef>
          </c:val>
        </c:ser>
        <c:ser>
          <c:idx val="1"/>
          <c:order val="1"/>
          <c:tx>
            <c:strRef>
              <c:f>List2!$A$4</c:f>
              <c:strCache>
                <c:ptCount val="1"/>
                <c:pt idx="0">
                  <c:v>Sociální rehabilitace</c:v>
                </c:pt>
              </c:strCache>
            </c:strRef>
          </c:tx>
          <c:spPr>
            <a:solidFill>
              <a:schemeClr val="accent6">
                <a:lumMod val="75000"/>
              </a:schemeClr>
            </a:solidFill>
          </c:spPr>
          <c:invertIfNegative val="0"/>
          <c:dLbls>
            <c:showLegendKey val="0"/>
            <c:showVal val="1"/>
            <c:showCatName val="0"/>
            <c:showSerName val="0"/>
            <c:showPercent val="0"/>
            <c:showBubbleSize val="0"/>
            <c:showLeaderLines val="0"/>
          </c:dLbls>
          <c:cat>
            <c:numRef>
              <c:f>List2!$B$2:$H$2</c:f>
              <c:numCache>
                <c:formatCode>General</c:formatCode>
                <c:ptCount val="5"/>
                <c:pt idx="0">
                  <c:v>2012</c:v>
                </c:pt>
                <c:pt idx="1">
                  <c:v>2013</c:v>
                </c:pt>
                <c:pt idx="2">
                  <c:v>2014</c:v>
                </c:pt>
                <c:pt idx="3">
                  <c:v>2015</c:v>
                </c:pt>
                <c:pt idx="4">
                  <c:v>2016</c:v>
                </c:pt>
              </c:numCache>
            </c:numRef>
          </c:cat>
          <c:val>
            <c:numRef>
              <c:f>List2!$B$4:$H$4</c:f>
              <c:numCache>
                <c:formatCode>#,##0</c:formatCode>
                <c:ptCount val="5"/>
                <c:pt idx="0" formatCode="General">
                  <c:v>567</c:v>
                </c:pt>
                <c:pt idx="1">
                  <c:v>592</c:v>
                </c:pt>
                <c:pt idx="2">
                  <c:v>650</c:v>
                </c:pt>
                <c:pt idx="3">
                  <c:v>485</c:v>
                </c:pt>
                <c:pt idx="4" formatCode="General">
                  <c:v>541</c:v>
                </c:pt>
              </c:numCache>
            </c:numRef>
          </c:val>
        </c:ser>
        <c:ser>
          <c:idx val="2"/>
          <c:order val="2"/>
          <c:tx>
            <c:strRef>
              <c:f>List2!$A$5</c:f>
              <c:strCache>
                <c:ptCount val="1"/>
                <c:pt idx="0">
                  <c:v>Sociálně aktivizační služby </c:v>
                </c:pt>
              </c:strCache>
            </c:strRef>
          </c:tx>
          <c:spPr>
            <a:solidFill>
              <a:srgbClr val="92D050"/>
            </a:solidFill>
          </c:spPr>
          <c:invertIfNegative val="0"/>
          <c:dLbls>
            <c:spPr>
              <a:solidFill>
                <a:srgbClr val="92D050"/>
              </a:solidFill>
            </c:spPr>
            <c:showLegendKey val="0"/>
            <c:showVal val="1"/>
            <c:showCatName val="0"/>
            <c:showSerName val="0"/>
            <c:showPercent val="0"/>
            <c:showBubbleSize val="0"/>
            <c:showLeaderLines val="0"/>
          </c:dLbls>
          <c:cat>
            <c:numRef>
              <c:f>List2!$B$2:$H$2</c:f>
              <c:numCache>
                <c:formatCode>General</c:formatCode>
                <c:ptCount val="5"/>
                <c:pt idx="0">
                  <c:v>2012</c:v>
                </c:pt>
                <c:pt idx="1">
                  <c:v>2013</c:v>
                </c:pt>
                <c:pt idx="2">
                  <c:v>2014</c:v>
                </c:pt>
                <c:pt idx="3">
                  <c:v>2015</c:v>
                </c:pt>
                <c:pt idx="4">
                  <c:v>2016</c:v>
                </c:pt>
              </c:numCache>
            </c:numRef>
          </c:cat>
          <c:val>
            <c:numRef>
              <c:f>List2!$B$5:$H$5</c:f>
              <c:numCache>
                <c:formatCode>#,##0</c:formatCode>
                <c:ptCount val="5"/>
                <c:pt idx="0" formatCode="General">
                  <c:v>125</c:v>
                </c:pt>
                <c:pt idx="1">
                  <c:v>125</c:v>
                </c:pt>
                <c:pt idx="2">
                  <c:v>131</c:v>
                </c:pt>
                <c:pt idx="3">
                  <c:v>127</c:v>
                </c:pt>
                <c:pt idx="4">
                  <c:v>131</c:v>
                </c:pt>
              </c:numCache>
            </c:numRef>
          </c:val>
        </c:ser>
        <c:ser>
          <c:idx val="3"/>
          <c:order val="3"/>
          <c:tx>
            <c:strRef>
              <c:f>List2!$A$6</c:f>
              <c:strCache>
                <c:ptCount val="1"/>
                <c:pt idx="0">
                  <c:v>Terapeutické komunity</c:v>
                </c:pt>
              </c:strCache>
            </c:strRef>
          </c:tx>
          <c:spPr>
            <a:solidFill>
              <a:srgbClr val="FFFF00"/>
            </a:solidFill>
          </c:spPr>
          <c:invertIfNegative val="0"/>
          <c:dLbls>
            <c:showLegendKey val="0"/>
            <c:showVal val="1"/>
            <c:showCatName val="0"/>
            <c:showSerName val="0"/>
            <c:showPercent val="0"/>
            <c:showBubbleSize val="0"/>
            <c:showLeaderLines val="0"/>
          </c:dLbls>
          <c:cat>
            <c:numRef>
              <c:f>List2!$B$2:$H$2</c:f>
              <c:numCache>
                <c:formatCode>General</c:formatCode>
                <c:ptCount val="5"/>
                <c:pt idx="0">
                  <c:v>2012</c:v>
                </c:pt>
                <c:pt idx="1">
                  <c:v>2013</c:v>
                </c:pt>
                <c:pt idx="2">
                  <c:v>2014</c:v>
                </c:pt>
                <c:pt idx="3">
                  <c:v>2015</c:v>
                </c:pt>
                <c:pt idx="4">
                  <c:v>2016</c:v>
                </c:pt>
              </c:numCache>
            </c:numRef>
          </c:cat>
          <c:val>
            <c:numRef>
              <c:f>List2!$B$6:$H$6</c:f>
              <c:numCache>
                <c:formatCode>#,##0</c:formatCode>
                <c:ptCount val="5"/>
                <c:pt idx="0" formatCode="General">
                  <c:v>79</c:v>
                </c:pt>
                <c:pt idx="1">
                  <c:v>80</c:v>
                </c:pt>
                <c:pt idx="2">
                  <c:v>81</c:v>
                </c:pt>
                <c:pt idx="3">
                  <c:v>83</c:v>
                </c:pt>
                <c:pt idx="4" formatCode="General">
                  <c:v>83</c:v>
                </c:pt>
              </c:numCache>
            </c:numRef>
          </c:val>
        </c:ser>
        <c:ser>
          <c:idx val="4"/>
          <c:order val="4"/>
          <c:tx>
            <c:strRef>
              <c:f>List2!#ODKAZ!</c:f>
              <c:strCache>
                <c:ptCount val="1"/>
                <c:pt idx="0">
                  <c:v>#REF!</c:v>
                </c:pt>
              </c:strCache>
            </c:strRef>
          </c:tx>
          <c:invertIfNegative val="0"/>
          <c:cat>
            <c:numRef>
              <c:f>List2!$B$2:$H$2</c:f>
              <c:numCache>
                <c:formatCode>General</c:formatCode>
                <c:ptCount val="5"/>
                <c:pt idx="0">
                  <c:v>2012</c:v>
                </c:pt>
                <c:pt idx="1">
                  <c:v>2013</c:v>
                </c:pt>
                <c:pt idx="2">
                  <c:v>2014</c:v>
                </c:pt>
                <c:pt idx="3">
                  <c:v>2015</c:v>
                </c:pt>
                <c:pt idx="4">
                  <c:v>2016</c:v>
                </c:pt>
              </c:numCache>
            </c:numRef>
          </c:cat>
          <c:val>
            <c:numRef>
              <c:f>List2!#ODKAZ!</c:f>
              <c:numCache>
                <c:formatCode>General</c:formatCode>
                <c:ptCount val="1"/>
                <c:pt idx="0">
                  <c:v>1</c:v>
                </c:pt>
              </c:numCache>
            </c:numRef>
          </c:val>
        </c:ser>
        <c:ser>
          <c:idx val="5"/>
          <c:order val="5"/>
          <c:tx>
            <c:strRef>
              <c:f>List2!$A$7</c:f>
              <c:strCache>
                <c:ptCount val="1"/>
                <c:pt idx="0">
                  <c:v>Ostatní (1)</c:v>
                </c:pt>
              </c:strCache>
            </c:strRef>
          </c:tx>
          <c:spPr>
            <a:solidFill>
              <a:srgbClr val="00B0F0"/>
            </a:solidFill>
          </c:spPr>
          <c:invertIfNegative val="0"/>
          <c:dLbls>
            <c:showLegendKey val="0"/>
            <c:showVal val="1"/>
            <c:showCatName val="0"/>
            <c:showSerName val="0"/>
            <c:showPercent val="0"/>
            <c:showBubbleSize val="0"/>
            <c:showLeaderLines val="0"/>
          </c:dLbls>
          <c:cat>
            <c:numRef>
              <c:f>List2!$B$2:$H$2</c:f>
              <c:numCache>
                <c:formatCode>General</c:formatCode>
                <c:ptCount val="5"/>
                <c:pt idx="0">
                  <c:v>2012</c:v>
                </c:pt>
                <c:pt idx="1">
                  <c:v>2013</c:v>
                </c:pt>
                <c:pt idx="2">
                  <c:v>2014</c:v>
                </c:pt>
                <c:pt idx="3">
                  <c:v>2015</c:v>
                </c:pt>
                <c:pt idx="4">
                  <c:v>2016</c:v>
                </c:pt>
              </c:numCache>
            </c:numRef>
          </c:cat>
          <c:val>
            <c:numRef>
              <c:f>List2!$B$7:$H$7</c:f>
              <c:numCache>
                <c:formatCode>General</c:formatCode>
                <c:ptCount val="5"/>
                <c:pt idx="0">
                  <c:v>198</c:v>
                </c:pt>
                <c:pt idx="1">
                  <c:v>218</c:v>
                </c:pt>
                <c:pt idx="2">
                  <c:v>239</c:v>
                </c:pt>
                <c:pt idx="3">
                  <c:v>260</c:v>
                </c:pt>
                <c:pt idx="4">
                  <c:v>277</c:v>
                </c:pt>
              </c:numCache>
            </c:numRef>
          </c:val>
        </c:ser>
        <c:dLbls>
          <c:showLegendKey val="0"/>
          <c:showVal val="0"/>
          <c:showCatName val="0"/>
          <c:showSerName val="0"/>
          <c:showPercent val="0"/>
          <c:showBubbleSize val="0"/>
        </c:dLbls>
        <c:gapWidth val="50"/>
        <c:overlap val="100"/>
        <c:axId val="222416384"/>
        <c:axId val="221051072"/>
      </c:barChart>
      <c:catAx>
        <c:axId val="222416384"/>
        <c:scaling>
          <c:orientation val="minMax"/>
        </c:scaling>
        <c:delete val="0"/>
        <c:axPos val="b"/>
        <c:numFmt formatCode="General" sourceLinked="1"/>
        <c:majorTickMark val="out"/>
        <c:minorTickMark val="none"/>
        <c:tickLblPos val="nextTo"/>
        <c:crossAx val="221051072"/>
        <c:crosses val="autoZero"/>
        <c:auto val="1"/>
        <c:lblAlgn val="ctr"/>
        <c:lblOffset val="100"/>
        <c:noMultiLvlLbl val="0"/>
      </c:catAx>
      <c:valAx>
        <c:axId val="221051072"/>
        <c:scaling>
          <c:orientation val="minMax"/>
          <c:max val="2000"/>
        </c:scaling>
        <c:delete val="1"/>
        <c:axPos val="l"/>
        <c:majorGridlines>
          <c:spPr>
            <a:ln>
              <a:prstDash val="dash"/>
            </a:ln>
          </c:spPr>
        </c:majorGridlines>
        <c:numFmt formatCode="General" sourceLinked="1"/>
        <c:majorTickMark val="out"/>
        <c:minorTickMark val="none"/>
        <c:tickLblPos val="none"/>
        <c:crossAx val="222416384"/>
        <c:crosses val="autoZero"/>
        <c:crossBetween val="between"/>
        <c:majorUnit val="500"/>
      </c:valAx>
      <c:spPr>
        <a:ln>
          <a:solidFill>
            <a:schemeClr val="bg1">
              <a:lumMod val="75000"/>
            </a:schemeClr>
          </a:solidFill>
        </a:ln>
      </c:spPr>
    </c:plotArea>
    <c:legend>
      <c:legendPos val="r"/>
      <c:legendEntry>
        <c:idx val="1"/>
        <c:delete val="1"/>
      </c:legendEntry>
      <c:layout>
        <c:manualLayout>
          <c:xMode val="edge"/>
          <c:yMode val="edge"/>
          <c:x val="0.7470463493199716"/>
          <c:y val="0.18928696412948393"/>
          <c:w val="0.24941809830589384"/>
          <c:h val="0.70475904053660032"/>
        </c:manualLayout>
      </c:layout>
      <c:overlay val="0"/>
      <c:spPr>
        <a:ln>
          <a:solidFill>
            <a:schemeClr val="bg1">
              <a:lumMod val="75000"/>
            </a:schemeClr>
          </a:solidFill>
        </a:ln>
      </c:sp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4391638888888891"/>
          <c:h val="0.85527012248469003"/>
        </c:manualLayout>
      </c:layout>
      <c:barChart>
        <c:barDir val="col"/>
        <c:grouping val="stacked"/>
        <c:varyColors val="0"/>
        <c:ser>
          <c:idx val="0"/>
          <c:order val="0"/>
          <c:tx>
            <c:strRef>
              <c:f>'2_3'!$A$12</c:f>
              <c:strCache>
                <c:ptCount val="1"/>
                <c:pt idx="0">
                  <c:v>  veřejné 
  zdravotní 
  pojišťění </c:v>
                </c:pt>
              </c:strCache>
            </c:strRef>
          </c:tx>
          <c:spPr>
            <a:solidFill>
              <a:schemeClr val="accent2">
                <a:lumMod val="75000"/>
              </a:schemeClr>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'2_3'!$D$12:$H$12</c:f>
              <c:numCache>
                <c:formatCode>#,##0.0</c:formatCode>
                <c:ptCount val="5"/>
                <c:pt idx="0">
                  <c:v>237.92727992194759</c:v>
                </c:pt>
                <c:pt idx="1">
                  <c:v>238.35404853439701</c:v>
                </c:pt>
                <c:pt idx="2">
                  <c:v>234.60161366699958</c:v>
                </c:pt>
                <c:pt idx="3">
                  <c:v>234.46049145812947</c:v>
                </c:pt>
                <c:pt idx="4">
                  <c:v>237.70046427490109</c:v>
                </c:pt>
              </c:numCache>
            </c:numRef>
          </c:val>
        </c:ser>
        <c:ser>
          <c:idx val="1"/>
          <c:order val="1"/>
          <c:tx>
            <c:strRef>
              <c:f>'2_3'!$A$13</c:f>
              <c:strCache>
                <c:ptCount val="1"/>
                <c:pt idx="0">
                  <c:v>  státní 
  rozpočet</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'2_3'!$D$13:$H$13</c:f>
              <c:numCache>
                <c:formatCode>#,##0.0</c:formatCode>
                <c:ptCount val="5"/>
                <c:pt idx="0">
                  <c:v>44.637930154000003</c:v>
                </c:pt>
                <c:pt idx="1">
                  <c:v>47.49874844202003</c:v>
                </c:pt>
                <c:pt idx="2">
                  <c:v>50.721203057719997</c:v>
                </c:pt>
                <c:pt idx="3">
                  <c:v>52.621897336650001</c:v>
                </c:pt>
                <c:pt idx="4">
                  <c:v>55.895413700000013</c:v>
                </c:pt>
              </c:numCache>
            </c:numRef>
          </c:val>
        </c:ser>
        <c:ser>
          <c:idx val="2"/>
          <c:order val="2"/>
          <c:tx>
            <c:strRef>
              <c:f>'2_3'!$A$14</c:f>
              <c:strCache>
                <c:ptCount val="1"/>
                <c:pt idx="0">
                  <c:v>  místní 
  rozpočty</c:v>
                </c:pt>
              </c:strCache>
            </c:strRef>
          </c:tx>
          <c:spPr>
            <a:solidFill>
              <a:schemeClr val="accent2">
                <a:lumMod val="20000"/>
                <a:lumOff val="80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'2_3'!$D$14:$H$14</c:f>
              <c:numCache>
                <c:formatCode>#,##0.0</c:formatCode>
                <c:ptCount val="5"/>
                <c:pt idx="0">
                  <c:v>5.9984434799999997</c:v>
                </c:pt>
                <c:pt idx="1">
                  <c:v>6.200497136960001</c:v>
                </c:pt>
                <c:pt idx="2">
                  <c:v>6.2496366333800024</c:v>
                </c:pt>
                <c:pt idx="3">
                  <c:v>6.2768076526799996</c:v>
                </c:pt>
                <c:pt idx="4">
                  <c:v>6.6139817229999958</c:v>
                </c:pt>
              </c:numCache>
            </c:numRef>
          </c:val>
        </c:ser>
        <c:ser>
          <c:idx val="3"/>
          <c:order val="3"/>
          <c:tx>
            <c:strRef>
              <c:f>'2_3'!$A$15</c:f>
              <c:strCache>
                <c:ptCount val="1"/>
                <c:pt idx="0">
                  <c:v>  veřejné zdroje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'2_3'!$D$11:$H$11</c:f>
              <c:strCache>
                <c:ptCount val="5"/>
                <c:pt idx="0">
                  <c:v>2012</c:v>
                </c:pt>
                <c:pt idx="1">
                  <c:v>2013</c:v>
                </c:pt>
                <c:pt idx="2">
                  <c:v>2014</c:v>
                </c:pt>
                <c:pt idx="3">
                  <c:v>2015</c:v>
                </c:pt>
                <c:pt idx="4">
                  <c:v>2016</c:v>
                </c:pt>
              </c:strCache>
            </c:strRef>
          </c:cat>
          <c:val>
            <c:numRef>
              <c:f>'2_3'!$D$15:$H$15</c:f>
              <c:numCache>
                <c:formatCode>#,##0.0</c:formatCode>
                <c:ptCount val="5"/>
                <c:pt idx="0">
                  <c:v>288.56365355594755</c:v>
                </c:pt>
                <c:pt idx="1">
                  <c:v>292.05329411337709</c:v>
                </c:pt>
                <c:pt idx="2">
                  <c:v>291.57245335809938</c:v>
                </c:pt>
                <c:pt idx="3">
                  <c:v>293.35919644745923</c:v>
                </c:pt>
                <c:pt idx="4">
                  <c:v>300.20985969790132</c:v>
                </c:pt>
              </c:numCache>
            </c:numRef>
          </c:val>
        </c:ser>
        <c:dLbls>
          <c:showLegendKey val="0"/>
          <c:showVal val="0"/>
          <c:showCatName val="0"/>
          <c:showSerName val="0"/>
          <c:showPercent val="0"/>
          <c:showBubbleSize val="0"/>
        </c:dLbls>
        <c:gapWidth val="30"/>
        <c:overlap val="100"/>
        <c:axId val="194100224"/>
        <c:axId val="165925376"/>
      </c:barChart>
      <c:catAx>
        <c:axId val="194100224"/>
        <c:scaling>
          <c:orientation val="minMax"/>
        </c:scaling>
        <c:delete val="0"/>
        <c:axPos val="b"/>
        <c:numFmt formatCode="General" sourceLinked="1"/>
        <c:majorTickMark val="out"/>
        <c:minorTickMark val="none"/>
        <c:tickLblPos val="nextTo"/>
        <c:crossAx val="165925376"/>
        <c:crosses val="autoZero"/>
        <c:auto val="1"/>
        <c:lblAlgn val="ctr"/>
        <c:lblOffset val="100"/>
        <c:noMultiLvlLbl val="0"/>
      </c:catAx>
      <c:valAx>
        <c:axId val="165925376"/>
        <c:scaling>
          <c:orientation val="minMax"/>
          <c:max val="350"/>
        </c:scaling>
        <c:delete val="0"/>
        <c:axPos val="l"/>
        <c:majorGridlines>
          <c:spPr>
            <a:ln>
              <a:prstDash val="dash"/>
            </a:ln>
          </c:spPr>
        </c:majorGridlines>
        <c:numFmt formatCode="#,##0" sourceLinked="0"/>
        <c:majorTickMark val="none"/>
        <c:minorTickMark val="none"/>
        <c:tickLblPos val="none"/>
        <c:crossAx val="194100224"/>
        <c:crosses val="autoZero"/>
        <c:crossBetween val="between"/>
      </c:valAx>
      <c:spPr>
        <a:ln>
          <a:solidFill>
            <a:schemeClr val="bg1">
              <a:lumMod val="75000"/>
            </a:schemeClr>
          </a:solidFill>
        </a:ln>
      </c:spPr>
    </c:plotArea>
    <c:legend>
      <c:legendPos val="r"/>
      <c:legendEntry>
        <c:idx val="0"/>
        <c:delete val="1"/>
      </c:legendEntry>
      <c:layout>
        <c:manualLayout>
          <c:xMode val="edge"/>
          <c:yMode val="edge"/>
          <c:x val="0.69453222222222177"/>
          <c:y val="0.19124453193350832"/>
          <c:w val="0.26934305555555554"/>
          <c:h val="0.6053922426363376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087315349119282E-2"/>
          <c:y val="5.0925925925925923E-2"/>
          <c:w val="0.93491268465088062"/>
          <c:h val="0.85527012248469003"/>
        </c:manualLayout>
      </c:layout>
      <c:barChart>
        <c:barDir val="col"/>
        <c:grouping val="stacked"/>
        <c:varyColors val="0"/>
        <c:ser>
          <c:idx val="0"/>
          <c:order val="0"/>
          <c:tx>
            <c:strRef>
              <c:f>List2!$J$3:$K$3</c:f>
              <c:strCache>
                <c:ptCount val="1"/>
                <c:pt idx="0">
                  <c:v>chráněné bydlení Chráněné bydlení</c:v>
                </c:pt>
              </c:strCache>
            </c:strRef>
          </c:tx>
          <c:spPr>
            <a:solidFill>
              <a:schemeClr val="accent2">
                <a:lumMod val="75000"/>
              </a:schemeClr>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List2!$L$2:$Q$2</c:f>
              <c:numCache>
                <c:formatCode>General</c:formatCode>
                <c:ptCount val="5"/>
                <c:pt idx="0">
                  <c:v>2012</c:v>
                </c:pt>
                <c:pt idx="1">
                  <c:v>2013</c:v>
                </c:pt>
                <c:pt idx="2">
                  <c:v>2014</c:v>
                </c:pt>
                <c:pt idx="3">
                  <c:v>2015</c:v>
                </c:pt>
                <c:pt idx="4">
                  <c:v>2016</c:v>
                </c:pt>
              </c:numCache>
            </c:numRef>
          </c:cat>
          <c:val>
            <c:numRef>
              <c:f>List2!$L$3:$Q$3</c:f>
              <c:numCache>
                <c:formatCode>0.0%</c:formatCode>
                <c:ptCount val="5"/>
                <c:pt idx="0">
                  <c:v>0.32473867595818845</c:v>
                </c:pt>
                <c:pt idx="1">
                  <c:v>0.36042848141146866</c:v>
                </c:pt>
                <c:pt idx="2">
                  <c:v>0.39137645107794428</c:v>
                </c:pt>
                <c:pt idx="3">
                  <c:v>0.4667783361250698</c:v>
                </c:pt>
                <c:pt idx="4">
                  <c:v>0.46831530139103578</c:v>
                </c:pt>
              </c:numCache>
            </c:numRef>
          </c:val>
        </c:ser>
        <c:ser>
          <c:idx val="1"/>
          <c:order val="1"/>
          <c:tx>
            <c:strRef>
              <c:f>List2!$J$4:$K$4</c:f>
              <c:strCache>
                <c:ptCount val="1"/>
                <c:pt idx="0">
                  <c:v>Sociální rehabilitace Sociální rehabilitace</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List2!$L$2:$Q$2</c:f>
              <c:numCache>
                <c:formatCode>General</c:formatCode>
                <c:ptCount val="5"/>
                <c:pt idx="0">
                  <c:v>2012</c:v>
                </c:pt>
                <c:pt idx="1">
                  <c:v>2013</c:v>
                </c:pt>
                <c:pt idx="2">
                  <c:v>2014</c:v>
                </c:pt>
                <c:pt idx="3">
                  <c:v>2015</c:v>
                </c:pt>
                <c:pt idx="4">
                  <c:v>2016</c:v>
                </c:pt>
              </c:numCache>
            </c:numRef>
          </c:cat>
          <c:val>
            <c:numRef>
              <c:f>List2!$L$4:$Q$4</c:f>
              <c:numCache>
                <c:formatCode>0.0%</c:formatCode>
                <c:ptCount val="5"/>
                <c:pt idx="0">
                  <c:v>0.39512195121951255</c:v>
                </c:pt>
                <c:pt idx="1">
                  <c:v>0.37303087586641492</c:v>
                </c:pt>
                <c:pt idx="2">
                  <c:v>0.35931453841901623</c:v>
                </c:pt>
                <c:pt idx="3">
                  <c:v>0.27079843662758224</c:v>
                </c:pt>
                <c:pt idx="4">
                  <c:v>0.27872230808861431</c:v>
                </c:pt>
              </c:numCache>
            </c:numRef>
          </c:val>
        </c:ser>
        <c:ser>
          <c:idx val="2"/>
          <c:order val="2"/>
          <c:tx>
            <c:strRef>
              <c:f>List2!$J$5:$K$5</c:f>
              <c:strCache>
                <c:ptCount val="1"/>
                <c:pt idx="0">
                  <c:v>Sociálně aktivizační služby  Sociálně aktivizační služby </c:v>
                </c:pt>
              </c:strCache>
            </c:strRef>
          </c:tx>
          <c:spPr>
            <a:solidFill>
              <a:srgbClr val="92D05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List2!$L$2:$Q$2</c:f>
              <c:numCache>
                <c:formatCode>General</c:formatCode>
                <c:ptCount val="5"/>
                <c:pt idx="0">
                  <c:v>2012</c:v>
                </c:pt>
                <c:pt idx="1">
                  <c:v>2013</c:v>
                </c:pt>
                <c:pt idx="2">
                  <c:v>2014</c:v>
                </c:pt>
                <c:pt idx="3">
                  <c:v>2015</c:v>
                </c:pt>
                <c:pt idx="4">
                  <c:v>2016</c:v>
                </c:pt>
              </c:numCache>
            </c:numRef>
          </c:cat>
          <c:val>
            <c:numRef>
              <c:f>List2!$L$5:$Q$5</c:f>
              <c:numCache>
                <c:formatCode>0.0%</c:formatCode>
                <c:ptCount val="5"/>
                <c:pt idx="0">
                  <c:v>8.7108013937282264E-2</c:v>
                </c:pt>
                <c:pt idx="1">
                  <c:v>7.876496534341533E-2</c:v>
                </c:pt>
                <c:pt idx="2">
                  <c:v>7.2415699281370954E-2</c:v>
                </c:pt>
                <c:pt idx="3">
                  <c:v>7.0910106085985483E-2</c:v>
                </c:pt>
                <c:pt idx="4">
                  <c:v>6.7490984028851203E-2</c:v>
                </c:pt>
              </c:numCache>
            </c:numRef>
          </c:val>
        </c:ser>
        <c:ser>
          <c:idx val="3"/>
          <c:order val="3"/>
          <c:tx>
            <c:strRef>
              <c:f>List2!$J$6:$K$6</c:f>
              <c:strCache>
                <c:ptCount val="1"/>
                <c:pt idx="0">
                  <c:v>Terapeutické komunity Terapeutické komunity</c:v>
                </c:pt>
              </c:strCache>
            </c:strRef>
          </c:tx>
          <c:spPr>
            <a:solidFill>
              <a:srgbClr val="FFFF0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List2!$L$2:$Q$2</c:f>
              <c:numCache>
                <c:formatCode>General</c:formatCode>
                <c:ptCount val="5"/>
                <c:pt idx="0">
                  <c:v>2012</c:v>
                </c:pt>
                <c:pt idx="1">
                  <c:v>2013</c:v>
                </c:pt>
                <c:pt idx="2">
                  <c:v>2014</c:v>
                </c:pt>
                <c:pt idx="3">
                  <c:v>2015</c:v>
                </c:pt>
                <c:pt idx="4">
                  <c:v>2016</c:v>
                </c:pt>
              </c:numCache>
            </c:numRef>
          </c:cat>
          <c:val>
            <c:numRef>
              <c:f>List2!$L$6:$Q$6</c:f>
              <c:numCache>
                <c:formatCode>0.0%</c:formatCode>
                <c:ptCount val="5"/>
                <c:pt idx="0">
                  <c:v>5.5052264808362422E-2</c:v>
                </c:pt>
                <c:pt idx="1">
                  <c:v>5.0409577819785799E-2</c:v>
                </c:pt>
                <c:pt idx="2">
                  <c:v>4.4776119402985093E-2</c:v>
                </c:pt>
                <c:pt idx="3">
                  <c:v>4.6342825237297595E-2</c:v>
                </c:pt>
                <c:pt idx="4">
                  <c:v>4.2761463163317893E-2</c:v>
                </c:pt>
              </c:numCache>
            </c:numRef>
          </c:val>
        </c:ser>
        <c:ser>
          <c:idx val="4"/>
          <c:order val="4"/>
          <c:tx>
            <c:strRef>
              <c:f>List2!$J$7:$K$7</c:f>
              <c:strCache>
                <c:ptCount val="1"/>
                <c:pt idx="0">
                  <c:v>Ostatní (1) Ostatní (1)</c:v>
                </c:pt>
              </c:strCache>
            </c:strRef>
          </c:tx>
          <c:spPr>
            <a:solidFill>
              <a:srgbClr val="00B0F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List2!$L$2:$Q$2</c:f>
              <c:numCache>
                <c:formatCode>General</c:formatCode>
                <c:ptCount val="5"/>
                <c:pt idx="0">
                  <c:v>2012</c:v>
                </c:pt>
                <c:pt idx="1">
                  <c:v>2013</c:v>
                </c:pt>
                <c:pt idx="2">
                  <c:v>2014</c:v>
                </c:pt>
                <c:pt idx="3">
                  <c:v>2015</c:v>
                </c:pt>
                <c:pt idx="4">
                  <c:v>2016</c:v>
                </c:pt>
              </c:numCache>
            </c:numRef>
          </c:cat>
          <c:val>
            <c:numRef>
              <c:f>List2!$L$7:$Q$7</c:f>
              <c:numCache>
                <c:formatCode>0.0%</c:formatCode>
                <c:ptCount val="5"/>
                <c:pt idx="0">
                  <c:v>0.13797909407665518</c:v>
                </c:pt>
                <c:pt idx="1">
                  <c:v>0.13736609955891621</c:v>
                </c:pt>
                <c:pt idx="2">
                  <c:v>0.13211719181868439</c:v>
                </c:pt>
                <c:pt idx="3">
                  <c:v>0.14517029592406477</c:v>
                </c:pt>
                <c:pt idx="4">
                  <c:v>0.1427099433281814</c:v>
                </c:pt>
              </c:numCache>
            </c:numRef>
          </c:val>
        </c:ser>
        <c:dLbls>
          <c:showLegendKey val="0"/>
          <c:showVal val="0"/>
          <c:showCatName val="0"/>
          <c:showSerName val="0"/>
          <c:showPercent val="0"/>
          <c:showBubbleSize val="0"/>
        </c:dLbls>
        <c:gapWidth val="50"/>
        <c:overlap val="100"/>
        <c:axId val="222575616"/>
        <c:axId val="222761472"/>
      </c:barChart>
      <c:catAx>
        <c:axId val="222575616"/>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2761472"/>
        <c:crosses val="autoZero"/>
        <c:auto val="1"/>
        <c:lblAlgn val="ctr"/>
        <c:lblOffset val="100"/>
        <c:noMultiLvlLbl val="0"/>
      </c:catAx>
      <c:valAx>
        <c:axId val="222761472"/>
        <c:scaling>
          <c:orientation val="minMax"/>
          <c:max val="1"/>
        </c:scaling>
        <c:delete val="1"/>
        <c:axPos val="l"/>
        <c:majorGridlines>
          <c:spPr>
            <a:ln>
              <a:prstDash val="dash"/>
            </a:ln>
          </c:spPr>
        </c:majorGridlines>
        <c:numFmt formatCode="0.0%" sourceLinked="1"/>
        <c:majorTickMark val="out"/>
        <c:minorTickMark val="none"/>
        <c:tickLblPos val="none"/>
        <c:crossAx val="222575616"/>
        <c:crosses val="autoZero"/>
        <c:crossBetween val="between"/>
        <c:majorUnit val="0.2"/>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77104586076E-2"/>
          <c:y val="2.3148148148148147E-2"/>
          <c:w val="0.66209565773190326"/>
          <c:h val="0.87841827063283762"/>
        </c:manualLayout>
      </c:layout>
      <c:barChart>
        <c:barDir val="col"/>
        <c:grouping val="stacked"/>
        <c:varyColors val="0"/>
        <c:ser>
          <c:idx val="0"/>
          <c:order val="0"/>
          <c:tx>
            <c:strRef>
              <c:f>'Graf č.6'!$A$4</c:f>
              <c:strCache>
                <c:ptCount val="1"/>
                <c:pt idx="0">
                  <c:v>Příspěvek na péči</c:v>
                </c:pt>
              </c:strCache>
            </c:strRef>
          </c:tx>
          <c:spPr>
            <a:solidFill>
              <a:schemeClr val="accent2">
                <a:lumMod val="75000"/>
              </a:schemeClr>
            </a:solidFill>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'Graf č.6'!$B$3:$H$3</c:f>
              <c:numCache>
                <c:formatCode>General</c:formatCode>
                <c:ptCount val="5"/>
                <c:pt idx="0">
                  <c:v>2012</c:v>
                </c:pt>
                <c:pt idx="1">
                  <c:v>2013</c:v>
                </c:pt>
                <c:pt idx="2">
                  <c:v>2014</c:v>
                </c:pt>
                <c:pt idx="3">
                  <c:v>2015</c:v>
                </c:pt>
                <c:pt idx="4">
                  <c:v>2016</c:v>
                </c:pt>
              </c:numCache>
            </c:numRef>
          </c:cat>
          <c:val>
            <c:numRef>
              <c:f>'Graf č.6'!$B$4:$H$4</c:f>
              <c:numCache>
                <c:formatCode>0.0</c:formatCode>
                <c:ptCount val="5"/>
                <c:pt idx="0">
                  <c:v>12.938000000000001</c:v>
                </c:pt>
                <c:pt idx="1">
                  <c:v>13.75</c:v>
                </c:pt>
                <c:pt idx="2">
                  <c:v>14.353000000000007</c:v>
                </c:pt>
                <c:pt idx="3">
                  <c:v>14.891</c:v>
                </c:pt>
                <c:pt idx="4">
                  <c:v>16.213000000000001</c:v>
                </c:pt>
              </c:numCache>
            </c:numRef>
          </c:val>
        </c:ser>
        <c:ser>
          <c:idx val="1"/>
          <c:order val="1"/>
          <c:tx>
            <c:strRef>
              <c:f>'Graf č.6'!$A$5</c:f>
              <c:strCache>
                <c:ptCount val="1"/>
                <c:pt idx="0">
                  <c:v>Příspěvek na mobilitu</c:v>
                </c:pt>
              </c:strCache>
            </c:strRef>
          </c:tx>
          <c:spPr>
            <a:solidFill>
              <a:schemeClr val="accent6">
                <a:lumMod val="75000"/>
              </a:schemeClr>
            </a:solidFill>
          </c:spPr>
          <c:invertIfNegative val="0"/>
          <c:dLbls>
            <c:showLegendKey val="0"/>
            <c:showVal val="1"/>
            <c:showCatName val="0"/>
            <c:showSerName val="0"/>
            <c:showPercent val="0"/>
            <c:showBubbleSize val="0"/>
            <c:showLeaderLines val="0"/>
          </c:dLbls>
          <c:cat>
            <c:numRef>
              <c:f>'Graf č.6'!$B$3:$H$3</c:f>
              <c:numCache>
                <c:formatCode>General</c:formatCode>
                <c:ptCount val="5"/>
                <c:pt idx="0">
                  <c:v>2012</c:v>
                </c:pt>
                <c:pt idx="1">
                  <c:v>2013</c:v>
                </c:pt>
                <c:pt idx="2">
                  <c:v>2014</c:v>
                </c:pt>
                <c:pt idx="3">
                  <c:v>2015</c:v>
                </c:pt>
                <c:pt idx="4">
                  <c:v>2016</c:v>
                </c:pt>
              </c:numCache>
            </c:numRef>
          </c:cat>
          <c:val>
            <c:numRef>
              <c:f>'Graf č.6'!$B$5:$H$5</c:f>
              <c:numCache>
                <c:formatCode>0.0</c:formatCode>
                <c:ptCount val="5"/>
                <c:pt idx="0">
                  <c:v>1.008</c:v>
                </c:pt>
                <c:pt idx="1">
                  <c:v>1.1160000000000001</c:v>
                </c:pt>
                <c:pt idx="2">
                  <c:v>1.111</c:v>
                </c:pt>
                <c:pt idx="3">
                  <c:v>1.145999999999999</c:v>
                </c:pt>
                <c:pt idx="4">
                  <c:v>1.167</c:v>
                </c:pt>
              </c:numCache>
            </c:numRef>
          </c:val>
        </c:ser>
        <c:ser>
          <c:idx val="2"/>
          <c:order val="2"/>
          <c:tx>
            <c:strRef>
              <c:f>'Graf č.6'!$A$6</c:f>
              <c:strCache>
                <c:ptCount val="1"/>
                <c:pt idx="0">
                  <c:v>Příspěvek na zvláštní pomůcky</c:v>
                </c:pt>
              </c:strCache>
            </c:strRef>
          </c:tx>
          <c:spPr>
            <a:solidFill>
              <a:srgbClr val="92D050"/>
            </a:solidFill>
          </c:spPr>
          <c:invertIfNegative val="0"/>
          <c:dLbls>
            <c:showLegendKey val="0"/>
            <c:showVal val="1"/>
            <c:showCatName val="0"/>
            <c:showSerName val="0"/>
            <c:showPercent val="0"/>
            <c:showBubbleSize val="0"/>
            <c:showLeaderLines val="0"/>
          </c:dLbls>
          <c:cat>
            <c:numRef>
              <c:f>'Graf č.6'!$B$3:$H$3</c:f>
              <c:numCache>
                <c:formatCode>General</c:formatCode>
                <c:ptCount val="5"/>
                <c:pt idx="0">
                  <c:v>2012</c:v>
                </c:pt>
                <c:pt idx="1">
                  <c:v>2013</c:v>
                </c:pt>
                <c:pt idx="2">
                  <c:v>2014</c:v>
                </c:pt>
                <c:pt idx="3">
                  <c:v>2015</c:v>
                </c:pt>
                <c:pt idx="4">
                  <c:v>2016</c:v>
                </c:pt>
              </c:numCache>
            </c:numRef>
          </c:cat>
          <c:val>
            <c:numRef>
              <c:f>'Graf č.6'!$B$6:$H$6</c:f>
              <c:numCache>
                <c:formatCode>0.0</c:formatCode>
                <c:ptCount val="5"/>
                <c:pt idx="0">
                  <c:v>0.54500000000000004</c:v>
                </c:pt>
                <c:pt idx="1">
                  <c:v>0.78800000000000003</c:v>
                </c:pt>
                <c:pt idx="2">
                  <c:v>0.80500000000000005</c:v>
                </c:pt>
                <c:pt idx="3">
                  <c:v>0.78300000000000003</c:v>
                </c:pt>
                <c:pt idx="4">
                  <c:v>0.8270000000000004</c:v>
                </c:pt>
              </c:numCache>
            </c:numRef>
          </c:val>
        </c:ser>
        <c:dLbls>
          <c:showLegendKey val="0"/>
          <c:showVal val="0"/>
          <c:showCatName val="0"/>
          <c:showSerName val="0"/>
          <c:showPercent val="0"/>
          <c:showBubbleSize val="0"/>
        </c:dLbls>
        <c:gapWidth val="50"/>
        <c:overlap val="100"/>
        <c:axId val="223273472"/>
        <c:axId val="222763200"/>
      </c:barChart>
      <c:catAx>
        <c:axId val="223273472"/>
        <c:scaling>
          <c:orientation val="minMax"/>
        </c:scaling>
        <c:delete val="0"/>
        <c:axPos val="b"/>
        <c:numFmt formatCode="General" sourceLinked="1"/>
        <c:majorTickMark val="out"/>
        <c:minorTickMark val="none"/>
        <c:tickLblPos val="nextTo"/>
        <c:crossAx val="222763200"/>
        <c:crosses val="autoZero"/>
        <c:auto val="1"/>
        <c:lblAlgn val="ctr"/>
        <c:lblOffset val="100"/>
        <c:noMultiLvlLbl val="0"/>
      </c:catAx>
      <c:valAx>
        <c:axId val="222763200"/>
        <c:scaling>
          <c:orientation val="minMax"/>
        </c:scaling>
        <c:delete val="1"/>
        <c:axPos val="l"/>
        <c:majorGridlines>
          <c:spPr>
            <a:ln>
              <a:prstDash val="dash"/>
            </a:ln>
          </c:spPr>
        </c:majorGridlines>
        <c:numFmt formatCode="0.0" sourceLinked="1"/>
        <c:majorTickMark val="out"/>
        <c:minorTickMark val="none"/>
        <c:tickLblPos val="none"/>
        <c:crossAx val="223273472"/>
        <c:crosses val="autoZero"/>
        <c:crossBetween val="between"/>
        <c:majorUnit val="5"/>
      </c:valAx>
      <c:spPr>
        <a:ln>
          <a:solidFill>
            <a:schemeClr val="bg1">
              <a:lumMod val="75000"/>
            </a:schemeClr>
          </a:solidFill>
        </a:ln>
      </c:spPr>
    </c:plotArea>
    <c:legend>
      <c:legendPos val="r"/>
      <c:layout>
        <c:manualLayout>
          <c:xMode val="edge"/>
          <c:yMode val="edge"/>
          <c:x val="0.72735125725864624"/>
          <c:y val="0.2209795129775444"/>
          <c:w val="0.25683652237770821"/>
          <c:h val="0.43767023913677477"/>
        </c:manualLayout>
      </c:layout>
      <c:overlay val="0"/>
      <c:spPr>
        <a:ln>
          <a:solidFill>
            <a:schemeClr val="bg1">
              <a:lumMod val="75000"/>
            </a:schemeClr>
          </a:solidFill>
        </a:ln>
      </c:sp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64480874316916E-4"/>
          <c:y val="5.0925925925925923E-2"/>
          <c:w val="0.97613484789811134"/>
          <c:h val="0.85527012248469003"/>
        </c:manualLayout>
      </c:layout>
      <c:barChart>
        <c:barDir val="col"/>
        <c:grouping val="stacked"/>
        <c:varyColors val="0"/>
        <c:ser>
          <c:idx val="0"/>
          <c:order val="0"/>
          <c:tx>
            <c:strRef>
              <c:f>'Graf č.6'!$A$10</c:f>
              <c:strCache>
                <c:ptCount val="1"/>
                <c:pt idx="0">
                  <c:v>Příspěvek na péči</c:v>
                </c:pt>
              </c:strCache>
            </c:strRef>
          </c:tx>
          <c:spPr>
            <a:solidFill>
              <a:schemeClr val="accent2">
                <a:lumMod val="75000"/>
              </a:schemeClr>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0"/>
            <c:showCatName val="0"/>
            <c:showSerName val="0"/>
            <c:showPercent val="0"/>
            <c:showBubbleSize val="0"/>
          </c:dLbls>
          <c:cat>
            <c:numRef>
              <c:f>'Graf č.6'!$B$9:$H$9</c:f>
              <c:numCache>
                <c:formatCode>General</c:formatCode>
                <c:ptCount val="5"/>
                <c:pt idx="0">
                  <c:v>2012</c:v>
                </c:pt>
                <c:pt idx="1">
                  <c:v>2013</c:v>
                </c:pt>
                <c:pt idx="2">
                  <c:v>2014</c:v>
                </c:pt>
                <c:pt idx="3">
                  <c:v>2015</c:v>
                </c:pt>
                <c:pt idx="4">
                  <c:v>2016</c:v>
                </c:pt>
              </c:numCache>
            </c:numRef>
          </c:cat>
          <c:val>
            <c:numRef>
              <c:f>'Graf č.6'!$B$10:$H$10</c:f>
              <c:numCache>
                <c:formatCode>0.0%</c:formatCode>
                <c:ptCount val="5"/>
                <c:pt idx="0">
                  <c:v>0.892830032433925</c:v>
                </c:pt>
                <c:pt idx="1">
                  <c:v>0.87836974575188453</c:v>
                </c:pt>
                <c:pt idx="2">
                  <c:v>0.88223000799065643</c:v>
                </c:pt>
                <c:pt idx="3">
                  <c:v>0.8853151010701541</c:v>
                </c:pt>
                <c:pt idx="4">
                  <c:v>0.89048168286922569</c:v>
                </c:pt>
              </c:numCache>
            </c:numRef>
          </c:val>
        </c:ser>
        <c:ser>
          <c:idx val="1"/>
          <c:order val="1"/>
          <c:tx>
            <c:strRef>
              <c:f>'Graf č.6'!$A$11</c:f>
              <c:strCache>
                <c:ptCount val="1"/>
                <c:pt idx="0">
                  <c:v>Příspěvek na mobilitu</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č.6'!$B$9:$H$9</c:f>
              <c:numCache>
                <c:formatCode>General</c:formatCode>
                <c:ptCount val="5"/>
                <c:pt idx="0">
                  <c:v>2012</c:v>
                </c:pt>
                <c:pt idx="1">
                  <c:v>2013</c:v>
                </c:pt>
                <c:pt idx="2">
                  <c:v>2014</c:v>
                </c:pt>
                <c:pt idx="3">
                  <c:v>2015</c:v>
                </c:pt>
                <c:pt idx="4">
                  <c:v>2016</c:v>
                </c:pt>
              </c:numCache>
            </c:numRef>
          </c:cat>
          <c:val>
            <c:numRef>
              <c:f>'Graf č.6'!$B$11:$H$11</c:f>
              <c:numCache>
                <c:formatCode>0.0%</c:formatCode>
                <c:ptCount val="5"/>
                <c:pt idx="0">
                  <c:v>6.9560416810434136E-2</c:v>
                </c:pt>
                <c:pt idx="1">
                  <c:v>7.1291682637025719E-2</c:v>
                </c:pt>
                <c:pt idx="2">
                  <c:v>6.8289384719404975E-2</c:v>
                </c:pt>
                <c:pt idx="3">
                  <c:v>6.8133174791914386E-2</c:v>
                </c:pt>
                <c:pt idx="4">
                  <c:v>6.409622672598457E-2</c:v>
                </c:pt>
              </c:numCache>
            </c:numRef>
          </c:val>
        </c:ser>
        <c:ser>
          <c:idx val="2"/>
          <c:order val="2"/>
          <c:tx>
            <c:strRef>
              <c:f>'Graf č.6'!$A$12</c:f>
              <c:strCache>
                <c:ptCount val="1"/>
                <c:pt idx="0">
                  <c:v>Příspěvek na zvláštní pomůcky</c:v>
                </c:pt>
              </c:strCache>
            </c:strRef>
          </c:tx>
          <c:spPr>
            <a:solidFill>
              <a:srgbClr val="92D05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numRef>
              <c:f>'Graf č.6'!$B$9:$H$9</c:f>
              <c:numCache>
                <c:formatCode>General</c:formatCode>
                <c:ptCount val="5"/>
                <c:pt idx="0">
                  <c:v>2012</c:v>
                </c:pt>
                <c:pt idx="1">
                  <c:v>2013</c:v>
                </c:pt>
                <c:pt idx="2">
                  <c:v>2014</c:v>
                </c:pt>
                <c:pt idx="3">
                  <c:v>2015</c:v>
                </c:pt>
                <c:pt idx="4">
                  <c:v>2016</c:v>
                </c:pt>
              </c:numCache>
            </c:numRef>
          </c:cat>
          <c:val>
            <c:numRef>
              <c:f>'Graf č.6'!$B$12:$H$12</c:f>
              <c:numCache>
                <c:formatCode>0.0%</c:formatCode>
                <c:ptCount val="5"/>
                <c:pt idx="0">
                  <c:v>3.7609550755641451E-2</c:v>
                </c:pt>
                <c:pt idx="1">
                  <c:v>5.0338571611089823E-2</c:v>
                </c:pt>
                <c:pt idx="2">
                  <c:v>4.9480607289937965E-2</c:v>
                </c:pt>
                <c:pt idx="3">
                  <c:v>4.6551724137931072E-2</c:v>
                </c:pt>
                <c:pt idx="4">
                  <c:v>4.5422090404789388E-2</c:v>
                </c:pt>
              </c:numCache>
            </c:numRef>
          </c:val>
        </c:ser>
        <c:ser>
          <c:idx val="3"/>
          <c:order val="3"/>
          <c:tx>
            <c:strRef>
              <c:f>'Graf č.6'!$A$4</c:f>
              <c:strCache>
                <c:ptCount val="1"/>
                <c:pt idx="0">
                  <c:v>Příspěvek na péči</c:v>
                </c:pt>
              </c:strCache>
            </c:strRef>
          </c:tx>
          <c:invertIfNegative val="0"/>
          <c:cat>
            <c:numRef>
              <c:f>'Graf č.6'!$B$3:$H$3</c:f>
              <c:numCache>
                <c:formatCode>General</c:formatCode>
                <c:ptCount val="5"/>
                <c:pt idx="0">
                  <c:v>2012</c:v>
                </c:pt>
                <c:pt idx="1">
                  <c:v>2013</c:v>
                </c:pt>
                <c:pt idx="2">
                  <c:v>2014</c:v>
                </c:pt>
                <c:pt idx="3">
                  <c:v>2015</c:v>
                </c:pt>
                <c:pt idx="4">
                  <c:v>2016</c:v>
                </c:pt>
              </c:numCache>
            </c:numRef>
          </c:cat>
          <c:val>
            <c:numRef>
              <c:f>'Graf č.6'!$B$4:$H$4</c:f>
              <c:numCache>
                <c:formatCode>0.0</c:formatCode>
                <c:ptCount val="5"/>
                <c:pt idx="0">
                  <c:v>12.938000000000001</c:v>
                </c:pt>
                <c:pt idx="1">
                  <c:v>13.75</c:v>
                </c:pt>
                <c:pt idx="2">
                  <c:v>14.353000000000007</c:v>
                </c:pt>
                <c:pt idx="3">
                  <c:v>14.891</c:v>
                </c:pt>
                <c:pt idx="4">
                  <c:v>16.213000000000001</c:v>
                </c:pt>
              </c:numCache>
            </c:numRef>
          </c:val>
        </c:ser>
        <c:ser>
          <c:idx val="4"/>
          <c:order val="4"/>
          <c:tx>
            <c:strRef>
              <c:f>'Graf č.6'!$A$5</c:f>
              <c:strCache>
                <c:ptCount val="1"/>
                <c:pt idx="0">
                  <c:v>Příspěvek na mobilitu</c:v>
                </c:pt>
              </c:strCache>
            </c:strRef>
          </c:tx>
          <c:invertIfNegative val="0"/>
          <c:cat>
            <c:numRef>
              <c:f>'Graf č.6'!$B$3:$H$3</c:f>
              <c:numCache>
                <c:formatCode>General</c:formatCode>
                <c:ptCount val="5"/>
                <c:pt idx="0">
                  <c:v>2012</c:v>
                </c:pt>
                <c:pt idx="1">
                  <c:v>2013</c:v>
                </c:pt>
                <c:pt idx="2">
                  <c:v>2014</c:v>
                </c:pt>
                <c:pt idx="3">
                  <c:v>2015</c:v>
                </c:pt>
                <c:pt idx="4">
                  <c:v>2016</c:v>
                </c:pt>
              </c:numCache>
            </c:numRef>
          </c:cat>
          <c:val>
            <c:numRef>
              <c:f>'Graf č.6'!$B$5:$H$5</c:f>
              <c:numCache>
                <c:formatCode>0.0</c:formatCode>
                <c:ptCount val="5"/>
                <c:pt idx="0">
                  <c:v>1.008</c:v>
                </c:pt>
                <c:pt idx="1">
                  <c:v>1.1160000000000001</c:v>
                </c:pt>
                <c:pt idx="2">
                  <c:v>1.111</c:v>
                </c:pt>
                <c:pt idx="3">
                  <c:v>1.145999999999999</c:v>
                </c:pt>
                <c:pt idx="4">
                  <c:v>1.167</c:v>
                </c:pt>
              </c:numCache>
            </c:numRef>
          </c:val>
        </c:ser>
        <c:ser>
          <c:idx val="5"/>
          <c:order val="5"/>
          <c:tx>
            <c:strRef>
              <c:f>'Graf č.6'!$A$6</c:f>
              <c:strCache>
                <c:ptCount val="1"/>
                <c:pt idx="0">
                  <c:v>Příspěvek na zvláštní pomůcky</c:v>
                </c:pt>
              </c:strCache>
            </c:strRef>
          </c:tx>
          <c:invertIfNegative val="0"/>
          <c:cat>
            <c:numRef>
              <c:f>'Graf č.6'!$B$3:$H$3</c:f>
              <c:numCache>
                <c:formatCode>General</c:formatCode>
                <c:ptCount val="5"/>
                <c:pt idx="0">
                  <c:v>2012</c:v>
                </c:pt>
                <c:pt idx="1">
                  <c:v>2013</c:v>
                </c:pt>
                <c:pt idx="2">
                  <c:v>2014</c:v>
                </c:pt>
                <c:pt idx="3">
                  <c:v>2015</c:v>
                </c:pt>
                <c:pt idx="4">
                  <c:v>2016</c:v>
                </c:pt>
              </c:numCache>
            </c:numRef>
          </c:cat>
          <c:val>
            <c:numRef>
              <c:f>'Graf č.6'!$B$6:$H$6</c:f>
              <c:numCache>
                <c:formatCode>0.0</c:formatCode>
                <c:ptCount val="5"/>
                <c:pt idx="0">
                  <c:v>0.54500000000000004</c:v>
                </c:pt>
                <c:pt idx="1">
                  <c:v>0.78800000000000003</c:v>
                </c:pt>
                <c:pt idx="2">
                  <c:v>0.80500000000000005</c:v>
                </c:pt>
                <c:pt idx="3">
                  <c:v>0.78300000000000003</c:v>
                </c:pt>
                <c:pt idx="4">
                  <c:v>0.8270000000000004</c:v>
                </c:pt>
              </c:numCache>
            </c:numRef>
          </c:val>
        </c:ser>
        <c:dLbls>
          <c:showLegendKey val="0"/>
          <c:showVal val="0"/>
          <c:showCatName val="0"/>
          <c:showSerName val="0"/>
          <c:showPercent val="0"/>
          <c:showBubbleSize val="0"/>
        </c:dLbls>
        <c:gapWidth val="50"/>
        <c:overlap val="100"/>
        <c:axId val="223276544"/>
        <c:axId val="222762048"/>
      </c:barChart>
      <c:catAx>
        <c:axId val="223276544"/>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2762048"/>
        <c:crossesAt val="0"/>
        <c:auto val="1"/>
        <c:lblAlgn val="ctr"/>
        <c:lblOffset val="100"/>
        <c:noMultiLvlLbl val="0"/>
      </c:catAx>
      <c:valAx>
        <c:axId val="222762048"/>
        <c:scaling>
          <c:orientation val="minMax"/>
          <c:max val="1"/>
          <c:min val="0"/>
        </c:scaling>
        <c:delete val="1"/>
        <c:axPos val="l"/>
        <c:majorGridlines>
          <c:spPr>
            <a:ln>
              <a:prstDash val="dash"/>
            </a:ln>
          </c:spPr>
        </c:majorGridlines>
        <c:numFmt formatCode="0.0%" sourceLinked="1"/>
        <c:majorTickMark val="out"/>
        <c:minorTickMark val="none"/>
        <c:tickLblPos val="none"/>
        <c:crossAx val="223276544"/>
        <c:crosses val="autoZero"/>
        <c:crossBetween val="between"/>
        <c:majorUnit val="0.2"/>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92424939773613E-2"/>
          <c:y val="2.0682779235928837E-2"/>
          <c:w val="0.88700177880608522"/>
          <c:h val="0.79371609798775156"/>
        </c:manualLayout>
      </c:layout>
      <c:barChart>
        <c:barDir val="col"/>
        <c:grouping val="clustered"/>
        <c:varyColors val="0"/>
        <c:ser>
          <c:idx val="0"/>
          <c:order val="0"/>
          <c:tx>
            <c:strRef>
              <c:f>'Graf1+3'!$M$3</c:f>
              <c:strCache>
                <c:ptCount val="1"/>
                <c:pt idx="0">
                  <c:v> absolutně - mld. Kč</c:v>
                </c:pt>
              </c:strCache>
            </c:strRef>
          </c:tx>
          <c:spPr>
            <a:solidFill>
              <a:srgbClr val="D96D75"/>
            </a:solidFill>
            <a:ln>
              <a:solidFill>
                <a:srgbClr val="953735"/>
              </a:solidFill>
            </a:ln>
          </c:spPr>
          <c:invertIfNegative val="0"/>
          <c:dLbls>
            <c:txPr>
              <a:bodyPr/>
              <a:lstStyle/>
              <a:p>
                <a:pPr>
                  <a:defRPr sz="800" b="1">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showLeaderLines val="0"/>
          </c:dLbls>
          <c:cat>
            <c:strRef>
              <c:f>'Graf1+3'!$N$2:$T$2</c:f>
              <c:strCache>
                <c:ptCount val="7"/>
                <c:pt idx="0">
                  <c:v>2010</c:v>
                </c:pt>
                <c:pt idx="1">
                  <c:v>2011</c:v>
                </c:pt>
                <c:pt idx="2">
                  <c:v>2012</c:v>
                </c:pt>
                <c:pt idx="3">
                  <c:v>2013</c:v>
                </c:pt>
                <c:pt idx="4">
                  <c:v>2014</c:v>
                </c:pt>
                <c:pt idx="5">
                  <c:v>2015</c:v>
                </c:pt>
                <c:pt idx="6">
                  <c:v>2016</c:v>
                </c:pt>
              </c:strCache>
            </c:strRef>
          </c:cat>
          <c:val>
            <c:numRef>
              <c:f>'Graf1+3'!$N$3:$T$3</c:f>
              <c:numCache>
                <c:formatCode>#,##0.0</c:formatCode>
                <c:ptCount val="7"/>
                <c:pt idx="0">
                  <c:v>70.629276354889882</c:v>
                </c:pt>
                <c:pt idx="1">
                  <c:v>71.875416293359905</c:v>
                </c:pt>
                <c:pt idx="2">
                  <c:v>75.883399076430024</c:v>
                </c:pt>
                <c:pt idx="3">
                  <c:v>71.853069785000059</c:v>
                </c:pt>
                <c:pt idx="4">
                  <c:v>73.806533764999983</c:v>
                </c:pt>
                <c:pt idx="5" formatCode="0.0">
                  <c:v>76.759529849999993</c:v>
                </c:pt>
                <c:pt idx="6" formatCode="0.0">
                  <c:v>79.099809820000004</c:v>
                </c:pt>
              </c:numCache>
            </c:numRef>
          </c:val>
        </c:ser>
        <c:dLbls>
          <c:showLegendKey val="0"/>
          <c:showVal val="0"/>
          <c:showCatName val="0"/>
          <c:showSerName val="0"/>
          <c:showPercent val="0"/>
          <c:showBubbleSize val="0"/>
        </c:dLbls>
        <c:gapWidth val="30"/>
        <c:axId val="223835648"/>
        <c:axId val="222764352"/>
      </c:barChart>
      <c:lineChart>
        <c:grouping val="stacked"/>
        <c:varyColors val="0"/>
        <c:ser>
          <c:idx val="1"/>
          <c:order val="1"/>
          <c:tx>
            <c:strRef>
              <c:f>'Graf1+3'!$M$4</c:f>
              <c:strCache>
                <c:ptCount val="1"/>
                <c:pt idx="0">
                  <c:v> připadající na 1 obyv. (tis. Kč)</c:v>
                </c:pt>
              </c:strCache>
            </c:strRef>
          </c:tx>
          <c:spPr>
            <a:ln>
              <a:solidFill>
                <a:srgbClr val="FFC000"/>
              </a:solidFill>
            </a:ln>
          </c:spPr>
          <c:marker>
            <c:spPr>
              <a:solidFill>
                <a:srgbClr val="FFC000"/>
              </a:solidFill>
            </c:spPr>
          </c:marker>
          <c:dLbls>
            <c:txPr>
              <a:bodyPr/>
              <a:lstStyle/>
              <a:p>
                <a:pPr>
                  <a:defRPr sz="800">
                    <a:solidFill>
                      <a:schemeClr val="bg1"/>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'Graf1+3'!$N$2:$S$2</c:f>
              <c:strCache>
                <c:ptCount val="6"/>
                <c:pt idx="0">
                  <c:v>2010</c:v>
                </c:pt>
                <c:pt idx="1">
                  <c:v>2011</c:v>
                </c:pt>
                <c:pt idx="2">
                  <c:v>2012</c:v>
                </c:pt>
                <c:pt idx="3">
                  <c:v>2013</c:v>
                </c:pt>
                <c:pt idx="4">
                  <c:v>2014</c:v>
                </c:pt>
                <c:pt idx="5">
                  <c:v>2015</c:v>
                </c:pt>
              </c:strCache>
            </c:strRef>
          </c:cat>
          <c:val>
            <c:numRef>
              <c:f>'Graf1+3'!$N$4:$T$4</c:f>
              <c:numCache>
                <c:formatCode>#,##0.0</c:formatCode>
                <c:ptCount val="7"/>
                <c:pt idx="0">
                  <c:v>6.715724670047539</c:v>
                </c:pt>
                <c:pt idx="1">
                  <c:v>6.8472340948232837</c:v>
                </c:pt>
                <c:pt idx="2">
                  <c:v>7.2208011301199075</c:v>
                </c:pt>
                <c:pt idx="3">
                  <c:v>6.8359879921035107</c:v>
                </c:pt>
                <c:pt idx="4">
                  <c:v>7.0124972698337276</c:v>
                </c:pt>
                <c:pt idx="5">
                  <c:v>7.2806155600872566</c:v>
                </c:pt>
                <c:pt idx="6" formatCode="0.0">
                  <c:v>7.4869673279697118</c:v>
                </c:pt>
              </c:numCache>
            </c:numRef>
          </c:val>
          <c:smooth val="0"/>
        </c:ser>
        <c:dLbls>
          <c:showLegendKey val="0"/>
          <c:showVal val="0"/>
          <c:showCatName val="0"/>
          <c:showSerName val="0"/>
          <c:showPercent val="0"/>
          <c:showBubbleSize val="0"/>
        </c:dLbls>
        <c:marker val="1"/>
        <c:smooth val="0"/>
        <c:axId val="223835648"/>
        <c:axId val="222764352"/>
      </c:lineChart>
      <c:lineChart>
        <c:grouping val="stacked"/>
        <c:varyColors val="0"/>
        <c:ser>
          <c:idx val="2"/>
          <c:order val="2"/>
          <c:tx>
            <c:strRef>
              <c:f>'Graf1+3'!$M$5</c:f>
              <c:strCache>
                <c:ptCount val="1"/>
                <c:pt idx="0">
                  <c:v> % z  běžných výdajů na zdravotní péči</c:v>
                </c:pt>
              </c:strCache>
            </c:strRef>
          </c:tx>
          <c:spPr>
            <a:ln>
              <a:solidFill>
                <a:srgbClr val="0071BC"/>
              </a:solidFill>
            </a:ln>
          </c:spPr>
          <c:marker>
            <c:spPr>
              <a:solidFill>
                <a:srgbClr val="0071BC"/>
              </a:solidFill>
              <a:ln>
                <a:solidFill>
                  <a:srgbClr val="376092"/>
                </a:solidFill>
              </a:ln>
            </c:spPr>
          </c:marker>
          <c:dLbls>
            <c:txPr>
              <a:bodyPr/>
              <a:lstStyle/>
              <a:p>
                <a:pPr>
                  <a:defRPr sz="800" b="1">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dLbls>
          <c:cat>
            <c:strRef>
              <c:f>'Graf1+3'!$N$2:$S$2</c:f>
              <c:strCache>
                <c:ptCount val="6"/>
                <c:pt idx="0">
                  <c:v>2010</c:v>
                </c:pt>
                <c:pt idx="1">
                  <c:v>2011</c:v>
                </c:pt>
                <c:pt idx="2">
                  <c:v>2012</c:v>
                </c:pt>
                <c:pt idx="3">
                  <c:v>2013</c:v>
                </c:pt>
                <c:pt idx="4">
                  <c:v>2014</c:v>
                </c:pt>
                <c:pt idx="5">
                  <c:v>2015</c:v>
                </c:pt>
              </c:strCache>
            </c:strRef>
          </c:cat>
          <c:val>
            <c:numRef>
              <c:f>'Graf1+3'!$N$5:$T$5</c:f>
              <c:numCache>
                <c:formatCode>0.0%</c:formatCode>
                <c:ptCount val="7"/>
                <c:pt idx="0">
                  <c:v>0.2114092791304997</c:v>
                </c:pt>
                <c:pt idx="1">
                  <c:v>0.21259868800443696</c:v>
                </c:pt>
                <c:pt idx="2">
                  <c:v>0.22193782958475469</c:v>
                </c:pt>
                <c:pt idx="3">
                  <c:v>0.20843875138643511</c:v>
                </c:pt>
                <c:pt idx="4">
                  <c:v>0.21164369059025848</c:v>
                </c:pt>
                <c:pt idx="5">
                  <c:v>0.21804231002467972</c:v>
                </c:pt>
                <c:pt idx="6">
                  <c:v>0.21872117253199674</c:v>
                </c:pt>
              </c:numCache>
            </c:numRef>
          </c:val>
          <c:smooth val="0"/>
        </c:ser>
        <c:dLbls>
          <c:showLegendKey val="0"/>
          <c:showVal val="0"/>
          <c:showCatName val="0"/>
          <c:showSerName val="0"/>
          <c:showPercent val="0"/>
          <c:showBubbleSize val="0"/>
        </c:dLbls>
        <c:marker val="1"/>
        <c:smooth val="0"/>
        <c:axId val="223836160"/>
        <c:axId val="223182848"/>
      </c:lineChart>
      <c:catAx>
        <c:axId val="223835648"/>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2764352"/>
        <c:crosses val="autoZero"/>
        <c:auto val="1"/>
        <c:lblAlgn val="ctr"/>
        <c:lblOffset val="100"/>
        <c:noMultiLvlLbl val="0"/>
      </c:catAx>
      <c:valAx>
        <c:axId val="222764352"/>
        <c:scaling>
          <c:orientation val="minMax"/>
          <c:max val="100"/>
        </c:scaling>
        <c:delete val="0"/>
        <c:axPos val="l"/>
        <c:majorGridlines>
          <c:spPr>
            <a:ln>
              <a:solidFill>
                <a:sysClr val="window" lastClr="FFFFFF">
                  <a:lumMod val="75000"/>
                </a:sysClr>
              </a:solidFill>
              <a:prstDash val="dash"/>
            </a:ln>
          </c:spPr>
        </c:majorGridlines>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3835648"/>
        <c:crosses val="autoZero"/>
        <c:crossBetween val="between"/>
        <c:majorUnit val="10"/>
      </c:valAx>
      <c:valAx>
        <c:axId val="223182848"/>
        <c:scaling>
          <c:orientation val="minMax"/>
          <c:max val="0.25"/>
          <c:min val="0"/>
        </c:scaling>
        <c:delete val="0"/>
        <c:axPos val="r"/>
        <c:numFmt formatCode="0%" sourceLinked="0"/>
        <c:majorTickMark val="out"/>
        <c:minorTickMark val="none"/>
        <c:tickLblPos val="nextTo"/>
        <c:spPr>
          <a:ln w="3175">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3836160"/>
        <c:crosses val="max"/>
        <c:crossBetween val="between"/>
        <c:majorUnit val="5.0000000000000024E-2"/>
        <c:minorUnit val="1.0000000000000005E-2"/>
      </c:valAx>
      <c:catAx>
        <c:axId val="223836160"/>
        <c:scaling>
          <c:orientation val="minMax"/>
        </c:scaling>
        <c:delete val="1"/>
        <c:axPos val="b"/>
        <c:majorTickMark val="out"/>
        <c:minorTickMark val="none"/>
        <c:tickLblPos val="none"/>
        <c:crossAx val="223182848"/>
        <c:crosses val="autoZero"/>
        <c:auto val="1"/>
        <c:lblAlgn val="ctr"/>
        <c:lblOffset val="100"/>
        <c:noMultiLvlLbl val="0"/>
      </c:catAx>
      <c:spPr>
        <a:ln>
          <a:noFill/>
        </a:ln>
      </c:spPr>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'G2'!$M$18</c:f>
              <c:strCache>
                <c:ptCount val="1"/>
                <c:pt idx="0">
                  <c:v>Úhrady za léky na předpis z veřejného pojištění</c:v>
                </c:pt>
              </c:strCache>
            </c:strRef>
          </c:tx>
          <c:spPr>
            <a:ln>
              <a:solidFill>
                <a:srgbClr val="FFC000"/>
              </a:solidFill>
            </a:ln>
          </c:spPr>
          <c:marker>
            <c:symbol val="circle"/>
            <c:size val="7"/>
            <c:spPr>
              <a:solidFill>
                <a:srgbClr val="FFC000"/>
              </a:solidFill>
              <a:ln>
                <a:solidFill>
                  <a:srgbClr val="E46C0A"/>
                </a:solidFill>
              </a:ln>
            </c:spPr>
          </c:marker>
          <c:cat>
            <c:numRef>
              <c:f>'G2'!$N$17:$T$17</c:f>
              <c:numCache>
                <c:formatCode>General</c:formatCode>
                <c:ptCount val="7"/>
                <c:pt idx="0">
                  <c:v>2010</c:v>
                </c:pt>
                <c:pt idx="1">
                  <c:v>2011</c:v>
                </c:pt>
                <c:pt idx="2">
                  <c:v>2012</c:v>
                </c:pt>
                <c:pt idx="3">
                  <c:v>2013</c:v>
                </c:pt>
                <c:pt idx="4">
                  <c:v>2014</c:v>
                </c:pt>
                <c:pt idx="5">
                  <c:v>2015</c:v>
                </c:pt>
                <c:pt idx="6">
                  <c:v>2016</c:v>
                </c:pt>
              </c:numCache>
            </c:numRef>
          </c:cat>
          <c:val>
            <c:numRef>
              <c:f>'G2'!$N$18:$T$18</c:f>
              <c:numCache>
                <c:formatCode>0.0</c:formatCode>
                <c:ptCount val="7"/>
                <c:pt idx="0">
                  <c:v>100</c:v>
                </c:pt>
                <c:pt idx="1">
                  <c:v>100.35713441865693</c:v>
                </c:pt>
                <c:pt idx="2">
                  <c:v>109.80966903528039</c:v>
                </c:pt>
                <c:pt idx="3">
                  <c:v>97.701547813221666</c:v>
                </c:pt>
                <c:pt idx="4">
                  <c:v>95.533438234802688</c:v>
                </c:pt>
                <c:pt idx="5">
                  <c:v>94.313233603214726</c:v>
                </c:pt>
                <c:pt idx="6">
                  <c:v>95.299666831517527</c:v>
                </c:pt>
              </c:numCache>
            </c:numRef>
          </c:val>
          <c:smooth val="0"/>
        </c:ser>
        <c:ser>
          <c:idx val="1"/>
          <c:order val="1"/>
          <c:tx>
            <c:strRef>
              <c:f>'G2'!$M$19</c:f>
              <c:strCache>
                <c:ptCount val="1"/>
                <c:pt idx="0">
                  <c:v>Doplatky za léky na předpis</c:v>
                </c:pt>
              </c:strCache>
            </c:strRef>
          </c:tx>
          <c:spPr>
            <a:ln>
              <a:solidFill>
                <a:srgbClr val="92D050"/>
              </a:solidFill>
            </a:ln>
          </c:spPr>
          <c:marker>
            <c:spPr>
              <a:solidFill>
                <a:srgbClr val="92D050"/>
              </a:solidFill>
              <a:ln>
                <a:solidFill>
                  <a:srgbClr val="77933C"/>
                </a:solidFill>
              </a:ln>
            </c:spPr>
          </c:marker>
          <c:cat>
            <c:numRef>
              <c:f>'G2'!$N$17:$T$17</c:f>
              <c:numCache>
                <c:formatCode>General</c:formatCode>
                <c:ptCount val="7"/>
                <c:pt idx="0">
                  <c:v>2010</c:v>
                </c:pt>
                <c:pt idx="1">
                  <c:v>2011</c:v>
                </c:pt>
                <c:pt idx="2">
                  <c:v>2012</c:v>
                </c:pt>
                <c:pt idx="3">
                  <c:v>2013</c:v>
                </c:pt>
                <c:pt idx="4">
                  <c:v>2014</c:v>
                </c:pt>
                <c:pt idx="5">
                  <c:v>2015</c:v>
                </c:pt>
                <c:pt idx="6">
                  <c:v>2016</c:v>
                </c:pt>
              </c:numCache>
            </c:numRef>
          </c:cat>
          <c:val>
            <c:numRef>
              <c:f>'G2'!$N$19:$T$19</c:f>
              <c:numCache>
                <c:formatCode>0.0</c:formatCode>
                <c:ptCount val="7"/>
                <c:pt idx="0">
                  <c:v>100</c:v>
                </c:pt>
                <c:pt idx="1">
                  <c:v>105.61797752808982</c:v>
                </c:pt>
                <c:pt idx="2">
                  <c:v>105.61797752808982</c:v>
                </c:pt>
                <c:pt idx="3">
                  <c:v>104.494382022472</c:v>
                </c:pt>
                <c:pt idx="4">
                  <c:v>106.74157303370789</c:v>
                </c:pt>
                <c:pt idx="5">
                  <c:v>113.48314606741572</c:v>
                </c:pt>
                <c:pt idx="6">
                  <c:v>113.55026711996115</c:v>
                </c:pt>
              </c:numCache>
            </c:numRef>
          </c:val>
          <c:smooth val="0"/>
        </c:ser>
        <c:ser>
          <c:idx val="2"/>
          <c:order val="2"/>
          <c:tx>
            <c:strRef>
              <c:f>'G2'!$M$20</c:f>
              <c:strCache>
                <c:ptCount val="1"/>
                <c:pt idx="0">
                  <c:v>Volně prodejné léky</c:v>
                </c:pt>
              </c:strCache>
            </c:strRef>
          </c:tx>
          <c:spPr>
            <a:ln>
              <a:solidFill>
                <a:srgbClr val="D96D75"/>
              </a:solidFill>
            </a:ln>
          </c:spPr>
          <c:marker>
            <c:symbol val="diamond"/>
            <c:size val="7"/>
            <c:spPr>
              <a:solidFill>
                <a:srgbClr val="D96D75"/>
              </a:solidFill>
              <a:ln>
                <a:solidFill>
                  <a:srgbClr val="953735"/>
                </a:solidFill>
              </a:ln>
            </c:spPr>
          </c:marker>
          <c:cat>
            <c:numRef>
              <c:f>'G2'!$N$17:$T$17</c:f>
              <c:numCache>
                <c:formatCode>General</c:formatCode>
                <c:ptCount val="7"/>
                <c:pt idx="0">
                  <c:v>2010</c:v>
                </c:pt>
                <c:pt idx="1">
                  <c:v>2011</c:v>
                </c:pt>
                <c:pt idx="2">
                  <c:v>2012</c:v>
                </c:pt>
                <c:pt idx="3">
                  <c:v>2013</c:v>
                </c:pt>
                <c:pt idx="4">
                  <c:v>2014</c:v>
                </c:pt>
                <c:pt idx="5">
                  <c:v>2015</c:v>
                </c:pt>
                <c:pt idx="6">
                  <c:v>2016</c:v>
                </c:pt>
              </c:numCache>
            </c:numRef>
          </c:cat>
          <c:val>
            <c:numRef>
              <c:f>'G2'!$N$20:$T$20</c:f>
              <c:numCache>
                <c:formatCode>0.0</c:formatCode>
                <c:ptCount val="7"/>
                <c:pt idx="0">
                  <c:v>100</c:v>
                </c:pt>
                <c:pt idx="1">
                  <c:v>104.23728813559318</c:v>
                </c:pt>
                <c:pt idx="2">
                  <c:v>102.54237288135587</c:v>
                </c:pt>
                <c:pt idx="3">
                  <c:v>94.915254237288124</c:v>
                </c:pt>
                <c:pt idx="4">
                  <c:v>102.54237288135587</c:v>
                </c:pt>
                <c:pt idx="5">
                  <c:v>107.62711864406779</c:v>
                </c:pt>
                <c:pt idx="6">
                  <c:v>112.24808507473784</c:v>
                </c:pt>
              </c:numCache>
            </c:numRef>
          </c:val>
          <c:smooth val="0"/>
        </c:ser>
        <c:ser>
          <c:idx val="3"/>
          <c:order val="3"/>
          <c:tx>
            <c:strRef>
              <c:f>'G2'!$M$21</c:f>
              <c:strCache>
                <c:ptCount val="1"/>
                <c:pt idx="0">
                  <c:v>Léky spotřebované ve zdravotnických zařízeních</c:v>
                </c:pt>
              </c:strCache>
            </c:strRef>
          </c:tx>
          <c:spPr>
            <a:ln>
              <a:solidFill>
                <a:srgbClr val="0071BC"/>
              </a:solidFill>
            </a:ln>
          </c:spPr>
          <c:marker>
            <c:symbol val="triangle"/>
            <c:size val="7"/>
            <c:spPr>
              <a:solidFill>
                <a:srgbClr val="0071BC"/>
              </a:solidFill>
              <a:ln>
                <a:solidFill>
                  <a:srgbClr val="376092"/>
                </a:solidFill>
              </a:ln>
            </c:spPr>
          </c:marker>
          <c:cat>
            <c:numRef>
              <c:f>'G2'!$N$17:$T$17</c:f>
              <c:numCache>
                <c:formatCode>General</c:formatCode>
                <c:ptCount val="7"/>
                <c:pt idx="0">
                  <c:v>2010</c:v>
                </c:pt>
                <c:pt idx="1">
                  <c:v>2011</c:v>
                </c:pt>
                <c:pt idx="2">
                  <c:v>2012</c:v>
                </c:pt>
                <c:pt idx="3">
                  <c:v>2013</c:v>
                </c:pt>
                <c:pt idx="4">
                  <c:v>2014</c:v>
                </c:pt>
                <c:pt idx="5">
                  <c:v>2015</c:v>
                </c:pt>
                <c:pt idx="6">
                  <c:v>2016</c:v>
                </c:pt>
              </c:numCache>
            </c:numRef>
          </c:cat>
          <c:val>
            <c:numRef>
              <c:f>'G2'!$N$21:$T$21</c:f>
              <c:numCache>
                <c:formatCode>0.0</c:formatCode>
                <c:ptCount val="7"/>
                <c:pt idx="0">
                  <c:v>100</c:v>
                </c:pt>
                <c:pt idx="1">
                  <c:v>100.76896206484982</c:v>
                </c:pt>
                <c:pt idx="2">
                  <c:v>107.11512292870455</c:v>
                </c:pt>
                <c:pt idx="3">
                  <c:v>113.31476307221246</c:v>
                </c:pt>
                <c:pt idx="4">
                  <c:v>122.90173931042656</c:v>
                </c:pt>
                <c:pt idx="5">
                  <c:v>135.40309410035348</c:v>
                </c:pt>
                <c:pt idx="6">
                  <c:v>129.6181923076924</c:v>
                </c:pt>
              </c:numCache>
            </c:numRef>
          </c:val>
          <c:smooth val="0"/>
        </c:ser>
        <c:dLbls>
          <c:showLegendKey val="0"/>
          <c:showVal val="0"/>
          <c:showCatName val="0"/>
          <c:showSerName val="0"/>
          <c:showPercent val="0"/>
          <c:showBubbleSize val="0"/>
        </c:dLbls>
        <c:marker val="1"/>
        <c:smooth val="0"/>
        <c:axId val="223837696"/>
        <c:axId val="223184576"/>
      </c:lineChart>
      <c:catAx>
        <c:axId val="223837696"/>
        <c:scaling>
          <c:orientation val="minMax"/>
        </c:scaling>
        <c:delete val="0"/>
        <c:axPos val="b"/>
        <c:numFmt formatCode="General" sourceLinked="1"/>
        <c:majorTickMark val="out"/>
        <c:minorTickMark val="none"/>
        <c:tickLblPos val="nextTo"/>
        <c:spPr>
          <a:ln>
            <a:solidFill>
              <a:schemeClr val="bg1">
                <a:lumMod val="75000"/>
              </a:schemeClr>
            </a:solidFill>
          </a:ln>
        </c:spPr>
        <c:crossAx val="223184576"/>
        <c:crosses val="autoZero"/>
        <c:auto val="1"/>
        <c:lblAlgn val="ctr"/>
        <c:lblOffset val="100"/>
        <c:noMultiLvlLbl val="0"/>
      </c:catAx>
      <c:valAx>
        <c:axId val="223184576"/>
        <c:scaling>
          <c:orientation val="minMax"/>
          <c:max val="140"/>
          <c:min val="90"/>
        </c:scaling>
        <c:delete val="0"/>
        <c:axPos val="l"/>
        <c:majorGridlines>
          <c:spPr>
            <a:ln>
              <a:solidFill>
                <a:sysClr val="window" lastClr="FFFFFF">
                  <a:lumMod val="75000"/>
                </a:sysClr>
              </a:solidFill>
              <a:prstDash val="dash"/>
            </a:ln>
          </c:spPr>
        </c:majorGridlines>
        <c:numFmt formatCode="0" sourceLinked="0"/>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23837696"/>
        <c:crosses val="autoZero"/>
        <c:crossBetween val="between"/>
        <c:majorUnit val="10"/>
      </c:valAx>
      <c:spPr>
        <a:ln>
          <a:solidFill>
            <a:sysClr val="window" lastClr="FFFFFF">
              <a:lumMod val="75000"/>
            </a:sysClr>
          </a:solidFill>
        </a:ln>
      </c:spPr>
    </c:plotArea>
    <c:legend>
      <c:legendPos val="b"/>
      <c:layout>
        <c:manualLayout>
          <c:xMode val="edge"/>
          <c:yMode val="edge"/>
          <c:x val="4.2206236287127422E-3"/>
          <c:y val="0.81927420530766959"/>
          <c:w val="0.99214399039691759"/>
          <c:h val="0.14831838728492294"/>
        </c:manualLayout>
      </c:layout>
      <c:overlay val="0"/>
      <c:txPr>
        <a:bodyPr/>
        <a:lstStyle/>
        <a:p>
          <a:pPr>
            <a:defRPr sz="800" baseline="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587051618547673E-2"/>
          <c:y val="1.1429966603011845E-3"/>
          <c:w val="0.62456081878654068"/>
          <c:h val="0.87436140249910621"/>
        </c:manualLayout>
      </c:layout>
      <c:barChart>
        <c:barDir val="col"/>
        <c:grouping val="stacked"/>
        <c:varyColors val="0"/>
        <c:ser>
          <c:idx val="0"/>
          <c:order val="0"/>
          <c:tx>
            <c:strRef>
              <c:f>'3_4-1, 3_4_3'!$M$19</c:f>
              <c:strCache>
                <c:ptCount val="1"/>
                <c:pt idx="0">
                  <c:v> Léky na předpis hrazené 
z veřejného pojištění</c:v>
                </c:pt>
              </c:strCache>
            </c:strRef>
          </c:tx>
          <c:spPr>
            <a:solidFill>
              <a:srgbClr val="953735"/>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'3_4-1, 3_4_3'!$N$18:$T$18</c:f>
              <c:strCache>
                <c:ptCount val="5"/>
                <c:pt idx="0">
                  <c:v>2012</c:v>
                </c:pt>
                <c:pt idx="1">
                  <c:v>2013</c:v>
                </c:pt>
                <c:pt idx="2">
                  <c:v>2014</c:v>
                </c:pt>
                <c:pt idx="3">
                  <c:v>2015</c:v>
                </c:pt>
                <c:pt idx="4">
                  <c:v>2016</c:v>
                </c:pt>
              </c:strCache>
            </c:strRef>
          </c:cat>
          <c:val>
            <c:numRef>
              <c:f>'3_4-1, 3_4_3'!$N$19:$T$19</c:f>
              <c:numCache>
                <c:formatCode>#,##0.0</c:formatCode>
                <c:ptCount val="5"/>
                <c:pt idx="0">
                  <c:v>36.742242076430109</c:v>
                </c:pt>
                <c:pt idx="1">
                  <c:v>32.690872784999996</c:v>
                </c:pt>
                <c:pt idx="2">
                  <c:v>31.965424764999987</c:v>
                </c:pt>
                <c:pt idx="3" formatCode="0.0">
                  <c:v>31.659529849999998</c:v>
                </c:pt>
                <c:pt idx="4">
                  <c:v>31.957809819999998</c:v>
                </c:pt>
              </c:numCache>
            </c:numRef>
          </c:val>
        </c:ser>
        <c:ser>
          <c:idx val="1"/>
          <c:order val="1"/>
          <c:tx>
            <c:strRef>
              <c:f>'3_4-1, 3_4_3'!$M$20</c:f>
              <c:strCache>
                <c:ptCount val="1"/>
                <c:pt idx="0">
                  <c:v> Léky spotřebované přímo
ve zdravotnických zařízeních</c:v>
                </c:pt>
              </c:strCache>
            </c:strRef>
          </c:tx>
          <c:spPr>
            <a:solidFill>
              <a:srgbClr val="E46C0A"/>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'3_4-1, 3_4_3'!$N$18:$T$18</c:f>
              <c:strCache>
                <c:ptCount val="5"/>
                <c:pt idx="0">
                  <c:v>2012</c:v>
                </c:pt>
                <c:pt idx="1">
                  <c:v>2013</c:v>
                </c:pt>
                <c:pt idx="2">
                  <c:v>2014</c:v>
                </c:pt>
                <c:pt idx="3">
                  <c:v>2015</c:v>
                </c:pt>
                <c:pt idx="4">
                  <c:v>2016</c:v>
                </c:pt>
              </c:strCache>
            </c:strRef>
          </c:cat>
          <c:val>
            <c:numRef>
              <c:f>'3_4-1, 3_4_3'!$N$20:$T$20</c:f>
              <c:numCache>
                <c:formatCode>#,##0.0</c:formatCode>
                <c:ptCount val="5"/>
                <c:pt idx="0">
                  <c:v>17.641157</c:v>
                </c:pt>
                <c:pt idx="1">
                  <c:v>18.662196999999999</c:v>
                </c:pt>
                <c:pt idx="2">
                  <c:v>20.241109000000002</c:v>
                </c:pt>
                <c:pt idx="3" formatCode="0.0">
                  <c:v>22.3</c:v>
                </c:pt>
                <c:pt idx="4">
                  <c:v>23.4</c:v>
                </c:pt>
              </c:numCache>
            </c:numRef>
          </c:val>
        </c:ser>
        <c:ser>
          <c:idx val="2"/>
          <c:order val="2"/>
          <c:tx>
            <c:strRef>
              <c:f>'3_4-1, 3_4_3'!$M$21</c:f>
              <c:strCache>
                <c:ptCount val="1"/>
                <c:pt idx="0">
                  <c:v> Volně prodejné léky 
hrazené domácnostmi</c:v>
                </c:pt>
              </c:strCache>
            </c:strRef>
          </c:tx>
          <c:spPr>
            <a:solidFill>
              <a:srgbClr val="92D050"/>
            </a:solidFill>
          </c:spPr>
          <c:invertIfNegative val="0"/>
          <c:dLbls>
            <c:spPr>
              <a:solidFill>
                <a:srgbClr val="92D050"/>
              </a:solidFill>
            </c:spPr>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'3_4-1, 3_4_3'!$N$18:$T$18</c:f>
              <c:strCache>
                <c:ptCount val="5"/>
                <c:pt idx="0">
                  <c:v>2012</c:v>
                </c:pt>
                <c:pt idx="1">
                  <c:v>2013</c:v>
                </c:pt>
                <c:pt idx="2">
                  <c:v>2014</c:v>
                </c:pt>
                <c:pt idx="3">
                  <c:v>2015</c:v>
                </c:pt>
                <c:pt idx="4">
                  <c:v>2016</c:v>
                </c:pt>
              </c:strCache>
            </c:strRef>
          </c:cat>
          <c:val>
            <c:numRef>
              <c:f>'3_4-1, 3_4_3'!$N$21:$T$21</c:f>
              <c:numCache>
                <c:formatCode>#,##0.0</c:formatCode>
                <c:ptCount val="5"/>
                <c:pt idx="0">
                  <c:v>12.1</c:v>
                </c:pt>
                <c:pt idx="1">
                  <c:v>11.2</c:v>
                </c:pt>
                <c:pt idx="2">
                  <c:v>12.1</c:v>
                </c:pt>
                <c:pt idx="3" formatCode="0.0">
                  <c:v>12.7</c:v>
                </c:pt>
                <c:pt idx="4">
                  <c:v>13.446999999999999</c:v>
                </c:pt>
              </c:numCache>
            </c:numRef>
          </c:val>
        </c:ser>
        <c:ser>
          <c:idx val="3"/>
          <c:order val="3"/>
          <c:tx>
            <c:strRef>
              <c:f>'3_4-1, 3_4_3'!$M$22</c:f>
              <c:strCache>
                <c:ptCount val="1"/>
                <c:pt idx="0">
                  <c:v> Léky na předpis hrazené 
domácnostmi (doplatky)</c:v>
                </c:pt>
              </c:strCache>
            </c:strRef>
          </c:tx>
          <c:spPr>
            <a:solidFill>
              <a:srgbClr val="FFFF0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'3_4-1, 3_4_3'!$N$18:$T$18</c:f>
              <c:strCache>
                <c:ptCount val="5"/>
                <c:pt idx="0">
                  <c:v>2012</c:v>
                </c:pt>
                <c:pt idx="1">
                  <c:v>2013</c:v>
                </c:pt>
                <c:pt idx="2">
                  <c:v>2014</c:v>
                </c:pt>
                <c:pt idx="3">
                  <c:v>2015</c:v>
                </c:pt>
                <c:pt idx="4">
                  <c:v>2016</c:v>
                </c:pt>
              </c:strCache>
            </c:strRef>
          </c:cat>
          <c:val>
            <c:numRef>
              <c:f>'3_4-1, 3_4_3'!$N$22:$T$22</c:f>
              <c:numCache>
                <c:formatCode>#,##0.0</c:formatCode>
                <c:ptCount val="5"/>
                <c:pt idx="0">
                  <c:v>9.4</c:v>
                </c:pt>
                <c:pt idx="1">
                  <c:v>9.3000000000000007</c:v>
                </c:pt>
                <c:pt idx="2">
                  <c:v>9.5</c:v>
                </c:pt>
                <c:pt idx="3" formatCode="0.0">
                  <c:v>10.1</c:v>
                </c:pt>
                <c:pt idx="4">
                  <c:v>10.295</c:v>
                </c:pt>
              </c:numCache>
            </c:numRef>
          </c:val>
        </c:ser>
        <c:dLbls>
          <c:showLegendKey val="0"/>
          <c:showVal val="0"/>
          <c:showCatName val="0"/>
          <c:showSerName val="0"/>
          <c:showPercent val="0"/>
          <c:showBubbleSize val="0"/>
        </c:dLbls>
        <c:gapWidth val="50"/>
        <c:overlap val="100"/>
        <c:axId val="223966720"/>
        <c:axId val="223188608"/>
      </c:barChart>
      <c:catAx>
        <c:axId val="223966720"/>
        <c:scaling>
          <c:orientation val="minMax"/>
        </c:scaling>
        <c:delete val="0"/>
        <c:axPos val="b"/>
        <c:majorTickMark val="out"/>
        <c:minorTickMark val="none"/>
        <c:tickLblPos val="nextTo"/>
        <c:txPr>
          <a:bodyPr/>
          <a:lstStyle/>
          <a:p>
            <a:pPr>
              <a:defRPr sz="800" baseline="0">
                <a:latin typeface="Arial" panose="020B0604020202020204" pitchFamily="34" charset="0"/>
                <a:cs typeface="Arial" panose="020B0604020202020204" pitchFamily="34" charset="0"/>
              </a:defRPr>
            </a:pPr>
            <a:endParaRPr lang="cs-CZ"/>
          </a:p>
        </c:txPr>
        <c:crossAx val="223188608"/>
        <c:crosses val="autoZero"/>
        <c:auto val="1"/>
        <c:lblAlgn val="ctr"/>
        <c:lblOffset val="100"/>
        <c:noMultiLvlLbl val="0"/>
      </c:catAx>
      <c:valAx>
        <c:axId val="223188608"/>
        <c:scaling>
          <c:orientation val="minMax"/>
          <c:max val="80"/>
        </c:scaling>
        <c:delete val="1"/>
        <c:axPos val="l"/>
        <c:majorGridlines>
          <c:spPr>
            <a:ln>
              <a:solidFill>
                <a:schemeClr val="bg1">
                  <a:lumMod val="75000"/>
                </a:schemeClr>
              </a:solidFill>
              <a:prstDash val="dash"/>
            </a:ln>
          </c:spPr>
        </c:majorGridlines>
        <c:numFmt formatCode="#,##0" sourceLinked="0"/>
        <c:majorTickMark val="out"/>
        <c:minorTickMark val="none"/>
        <c:tickLblPos val="nextTo"/>
        <c:crossAx val="223966720"/>
        <c:crosses val="autoZero"/>
        <c:crossBetween val="between"/>
      </c:valAx>
      <c:spPr>
        <a:ln>
          <a:solidFill>
            <a:sysClr val="window" lastClr="FFFFFF">
              <a:lumMod val="75000"/>
            </a:sysClr>
          </a:solidFill>
        </a:ln>
      </c:spPr>
    </c:plotArea>
    <c:legend>
      <c:legendPos val="r"/>
      <c:layout>
        <c:manualLayout>
          <c:xMode val="edge"/>
          <c:yMode val="edge"/>
          <c:x val="0.68719076782068911"/>
          <c:y val="5.0770935001946065E-2"/>
          <c:w val="0.30850782541071248"/>
          <c:h val="0.8015390011732404"/>
        </c:manualLayout>
      </c:layout>
      <c:overlay val="0"/>
      <c:spPr>
        <a:ln>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80692257217847E-2"/>
          <c:y val="0"/>
          <c:w val="0.95381921259842517"/>
          <c:h val="0.868952659987269"/>
        </c:manualLayout>
      </c:layout>
      <c:barChart>
        <c:barDir val="col"/>
        <c:grouping val="stacked"/>
        <c:varyColors val="0"/>
        <c:ser>
          <c:idx val="0"/>
          <c:order val="0"/>
          <c:tx>
            <c:strRef>
              <c:f>'3_4-1, 3_4_3'!$M$29</c:f>
              <c:strCache>
                <c:ptCount val="1"/>
                <c:pt idx="0">
                  <c:v> Léky na předpis hrazené 
z veřejného pojištění</c:v>
                </c:pt>
              </c:strCache>
            </c:strRef>
          </c:tx>
          <c:spPr>
            <a:solidFill>
              <a:schemeClr val="accent2">
                <a:lumMod val="75000"/>
              </a:schemeClr>
            </a:solidFill>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strRef>
              <c:f>'3_4-1, 3_4_3'!$N$28:$T$28</c:f>
              <c:strCache>
                <c:ptCount val="5"/>
                <c:pt idx="0">
                  <c:v>2012</c:v>
                </c:pt>
                <c:pt idx="1">
                  <c:v>2013</c:v>
                </c:pt>
                <c:pt idx="2">
                  <c:v>2014</c:v>
                </c:pt>
                <c:pt idx="3">
                  <c:v>2015</c:v>
                </c:pt>
                <c:pt idx="4">
                  <c:v>2016</c:v>
                </c:pt>
              </c:strCache>
            </c:strRef>
          </c:cat>
          <c:val>
            <c:numRef>
              <c:f>'3_4-1, 3_4_3'!$N$29:$T$29</c:f>
              <c:numCache>
                <c:formatCode>0.0%</c:formatCode>
                <c:ptCount val="5"/>
                <c:pt idx="0">
                  <c:v>0.48419341415403855</c:v>
                </c:pt>
                <c:pt idx="1">
                  <c:v>0.45496835253967854</c:v>
                </c:pt>
                <c:pt idx="2">
                  <c:v>0.43309749333003372</c:v>
                </c:pt>
                <c:pt idx="3">
                  <c:v>0.41245080463452061</c:v>
                </c:pt>
                <c:pt idx="4">
                  <c:v>0.40401879464341794</c:v>
                </c:pt>
              </c:numCache>
            </c:numRef>
          </c:val>
        </c:ser>
        <c:ser>
          <c:idx val="1"/>
          <c:order val="1"/>
          <c:tx>
            <c:strRef>
              <c:f>'3_4-1, 3_4_3'!$M$30</c:f>
              <c:strCache>
                <c:ptCount val="1"/>
                <c:pt idx="0">
                  <c:v> Léky spotřebované přímo
ve zdravotnických zařízeních</c:v>
                </c:pt>
              </c:strCache>
            </c:strRef>
          </c:tx>
          <c:spPr>
            <a:solidFill>
              <a:srgbClr val="E46C0A"/>
            </a:solidFill>
          </c:spPr>
          <c:invertIfNegative val="0"/>
          <c:dLbls>
            <c:showLegendKey val="0"/>
            <c:showVal val="1"/>
            <c:showCatName val="0"/>
            <c:showSerName val="0"/>
            <c:showPercent val="0"/>
            <c:showBubbleSize val="0"/>
            <c:showLeaderLines val="0"/>
          </c:dLbls>
          <c:cat>
            <c:strRef>
              <c:f>'3_4-1, 3_4_3'!$N$28:$T$28</c:f>
              <c:strCache>
                <c:ptCount val="5"/>
                <c:pt idx="0">
                  <c:v>2012</c:v>
                </c:pt>
                <c:pt idx="1">
                  <c:v>2013</c:v>
                </c:pt>
                <c:pt idx="2">
                  <c:v>2014</c:v>
                </c:pt>
                <c:pt idx="3">
                  <c:v>2015</c:v>
                </c:pt>
                <c:pt idx="4">
                  <c:v>2016</c:v>
                </c:pt>
              </c:strCache>
            </c:strRef>
          </c:cat>
          <c:val>
            <c:numRef>
              <c:f>'3_4-1, 3_4_3'!$N$30:$T$30</c:f>
              <c:numCache>
                <c:formatCode>0.0%</c:formatCode>
                <c:ptCount val="5"/>
                <c:pt idx="0">
                  <c:v>0.2324771585710301</c:v>
                </c:pt>
                <c:pt idx="1">
                  <c:v>0.25972720519584408</c:v>
                </c:pt>
                <c:pt idx="2">
                  <c:v>0.274245489761756</c:v>
                </c:pt>
                <c:pt idx="3">
                  <c:v>0.2905176730964566</c:v>
                </c:pt>
                <c:pt idx="4">
                  <c:v>0.29582877700021248</c:v>
                </c:pt>
              </c:numCache>
            </c:numRef>
          </c:val>
        </c:ser>
        <c:ser>
          <c:idx val="2"/>
          <c:order val="2"/>
          <c:tx>
            <c:strRef>
              <c:f>'3_4-1, 3_4_3'!$M$31</c:f>
              <c:strCache>
                <c:ptCount val="1"/>
                <c:pt idx="0">
                  <c:v> Volně prodejné léky 
hrazené domácnostmi</c:v>
                </c:pt>
              </c:strCache>
            </c:strRef>
          </c:tx>
          <c:spPr>
            <a:solidFill>
              <a:srgbClr val="92D050"/>
            </a:solidFill>
          </c:spPr>
          <c:invertIfNegative val="0"/>
          <c:dLbls>
            <c:showLegendKey val="0"/>
            <c:showVal val="1"/>
            <c:showCatName val="0"/>
            <c:showSerName val="0"/>
            <c:showPercent val="0"/>
            <c:showBubbleSize val="0"/>
            <c:showLeaderLines val="0"/>
          </c:dLbls>
          <c:cat>
            <c:strRef>
              <c:f>'3_4-1, 3_4_3'!$N$28:$T$28</c:f>
              <c:strCache>
                <c:ptCount val="5"/>
                <c:pt idx="0">
                  <c:v>2012</c:v>
                </c:pt>
                <c:pt idx="1">
                  <c:v>2013</c:v>
                </c:pt>
                <c:pt idx="2">
                  <c:v>2014</c:v>
                </c:pt>
                <c:pt idx="3">
                  <c:v>2015</c:v>
                </c:pt>
                <c:pt idx="4">
                  <c:v>2016</c:v>
                </c:pt>
              </c:strCache>
            </c:strRef>
          </c:cat>
          <c:val>
            <c:numRef>
              <c:f>'3_4-1, 3_4_3'!$N$31:$T$31</c:f>
              <c:numCache>
                <c:formatCode>0.0%</c:formatCode>
                <c:ptCount val="5"/>
                <c:pt idx="0">
                  <c:v>0.15945516604775206</c:v>
                </c:pt>
                <c:pt idx="1">
                  <c:v>0.15587364650547061</c:v>
                </c:pt>
                <c:pt idx="2">
                  <c:v>0.1639421252124697</c:v>
                </c:pt>
                <c:pt idx="3">
                  <c:v>0.16545176898318381</c:v>
                </c:pt>
                <c:pt idx="4">
                  <c:v>0.17000040873170327</c:v>
                </c:pt>
              </c:numCache>
            </c:numRef>
          </c:val>
        </c:ser>
        <c:ser>
          <c:idx val="3"/>
          <c:order val="3"/>
          <c:tx>
            <c:strRef>
              <c:f>'3_4-1, 3_4_3'!$M$32</c:f>
              <c:strCache>
                <c:ptCount val="1"/>
                <c:pt idx="0">
                  <c:v> Léky na předpis hrazené 
domácnostmi (doplatky)</c:v>
                </c:pt>
              </c:strCache>
            </c:strRef>
          </c:tx>
          <c:spPr>
            <a:solidFill>
              <a:srgbClr val="FFFF00"/>
            </a:solidFill>
          </c:spPr>
          <c:invertIfNegative val="0"/>
          <c:dLbls>
            <c:showLegendKey val="0"/>
            <c:showVal val="1"/>
            <c:showCatName val="0"/>
            <c:showSerName val="0"/>
            <c:showPercent val="0"/>
            <c:showBubbleSize val="0"/>
            <c:showLeaderLines val="0"/>
          </c:dLbls>
          <c:cat>
            <c:strRef>
              <c:f>'3_4-1, 3_4_3'!$N$28:$T$28</c:f>
              <c:strCache>
                <c:ptCount val="5"/>
                <c:pt idx="0">
                  <c:v>2012</c:v>
                </c:pt>
                <c:pt idx="1">
                  <c:v>2013</c:v>
                </c:pt>
                <c:pt idx="2">
                  <c:v>2014</c:v>
                </c:pt>
                <c:pt idx="3">
                  <c:v>2015</c:v>
                </c:pt>
                <c:pt idx="4">
                  <c:v>2016</c:v>
                </c:pt>
              </c:strCache>
            </c:strRef>
          </c:cat>
          <c:val>
            <c:numRef>
              <c:f>'3_4-1, 3_4_3'!$N$32:$T$32</c:f>
              <c:numCache>
                <c:formatCode>0.0%</c:formatCode>
                <c:ptCount val="5"/>
                <c:pt idx="0">
                  <c:v>0.1238742612271793</c:v>
                </c:pt>
                <c:pt idx="1">
                  <c:v>0.12943079575900687</c:v>
                </c:pt>
                <c:pt idx="2">
                  <c:v>0.12871489169574069</c:v>
                </c:pt>
                <c:pt idx="3">
                  <c:v>0.1315797532858391</c:v>
                </c:pt>
                <c:pt idx="4">
                  <c:v>0.13015201962466613</c:v>
                </c:pt>
              </c:numCache>
            </c:numRef>
          </c:val>
        </c:ser>
        <c:dLbls>
          <c:showLegendKey val="0"/>
          <c:showVal val="0"/>
          <c:showCatName val="0"/>
          <c:showSerName val="0"/>
          <c:showPercent val="0"/>
          <c:showBubbleSize val="0"/>
        </c:dLbls>
        <c:gapWidth val="50"/>
        <c:overlap val="100"/>
        <c:axId val="223836672"/>
        <c:axId val="223189184"/>
      </c:barChart>
      <c:catAx>
        <c:axId val="223836672"/>
        <c:scaling>
          <c:orientation val="minMax"/>
        </c:scaling>
        <c:delete val="0"/>
        <c:axPos val="b"/>
        <c:majorTickMark val="out"/>
        <c:minorTickMark val="none"/>
        <c:tickLblPos val="nextTo"/>
        <c:crossAx val="223189184"/>
        <c:crosses val="autoZero"/>
        <c:auto val="1"/>
        <c:lblAlgn val="ctr"/>
        <c:lblOffset val="100"/>
        <c:noMultiLvlLbl val="0"/>
      </c:catAx>
      <c:valAx>
        <c:axId val="223189184"/>
        <c:scaling>
          <c:orientation val="minMax"/>
          <c:max val="1"/>
        </c:scaling>
        <c:delete val="1"/>
        <c:axPos val="l"/>
        <c:majorGridlines>
          <c:spPr>
            <a:ln>
              <a:prstDash val="dash"/>
            </a:ln>
          </c:spPr>
        </c:majorGridlines>
        <c:numFmt formatCode="0.0%" sourceLinked="1"/>
        <c:majorTickMark val="out"/>
        <c:minorTickMark val="none"/>
        <c:tickLblPos val="nextTo"/>
        <c:crossAx val="223836672"/>
        <c:crosses val="autoZero"/>
        <c:crossBetween val="between"/>
        <c:majorUnit val="0.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225042301184452E-2"/>
          <c:y val="4.5267489711934172E-2"/>
          <c:w val="0.56426990929931231"/>
          <c:h val="0.87135121998639065"/>
        </c:manualLayout>
      </c:layout>
      <c:barChart>
        <c:barDir val="col"/>
        <c:grouping val="stacked"/>
        <c:varyColors val="0"/>
        <c:ser>
          <c:idx val="0"/>
          <c:order val="0"/>
          <c:tx>
            <c:strRef>
              <c:f>List3!$A$6</c:f>
              <c:strCache>
                <c:ptCount val="1"/>
                <c:pt idx="0">
                  <c:v> Léky na předpis hrazené 
z veřejného pojištění</c:v>
                </c:pt>
              </c:strCache>
            </c:strRef>
          </c:tx>
          <c:spPr>
            <a:solidFill>
              <a:schemeClr val="accent2">
                <a:lumMod val="75000"/>
              </a:schemeClr>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List3!$B$5:$H$5</c:f>
              <c:strCache>
                <c:ptCount val="5"/>
                <c:pt idx="0">
                  <c:v>2012</c:v>
                </c:pt>
                <c:pt idx="1">
                  <c:v>2013</c:v>
                </c:pt>
                <c:pt idx="2">
                  <c:v>2014</c:v>
                </c:pt>
                <c:pt idx="3">
                  <c:v>2015</c:v>
                </c:pt>
                <c:pt idx="4">
                  <c:v>2016</c:v>
                </c:pt>
              </c:strCache>
            </c:strRef>
          </c:cat>
          <c:val>
            <c:numRef>
              <c:f>List3!$B$6:$H$6</c:f>
              <c:numCache>
                <c:formatCode>0.0</c:formatCode>
                <c:ptCount val="5"/>
                <c:pt idx="0">
                  <c:v>36.742242076430109</c:v>
                </c:pt>
                <c:pt idx="1">
                  <c:v>32.69087278500001</c:v>
                </c:pt>
                <c:pt idx="2">
                  <c:v>31.965424764999973</c:v>
                </c:pt>
                <c:pt idx="3">
                  <c:v>31.659529849999977</c:v>
                </c:pt>
                <c:pt idx="4">
                  <c:v>31.957809819999987</c:v>
                </c:pt>
              </c:numCache>
            </c:numRef>
          </c:val>
        </c:ser>
        <c:ser>
          <c:idx val="1"/>
          <c:order val="1"/>
          <c:tx>
            <c:strRef>
              <c:f>List3!$A$7</c:f>
              <c:strCache>
                <c:ptCount val="1"/>
                <c:pt idx="0">
                  <c:v> Léky na předpis hrazené 
domácnostmi (doplatky)</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List3!$B$5:$H$5</c:f>
              <c:strCache>
                <c:ptCount val="5"/>
                <c:pt idx="0">
                  <c:v>2012</c:v>
                </c:pt>
                <c:pt idx="1">
                  <c:v>2013</c:v>
                </c:pt>
                <c:pt idx="2">
                  <c:v>2014</c:v>
                </c:pt>
                <c:pt idx="3">
                  <c:v>2015</c:v>
                </c:pt>
                <c:pt idx="4">
                  <c:v>2016</c:v>
                </c:pt>
              </c:strCache>
            </c:strRef>
          </c:cat>
          <c:val>
            <c:numRef>
              <c:f>List3!$B$7:$H$7</c:f>
              <c:numCache>
                <c:formatCode>0.0</c:formatCode>
                <c:ptCount val="5"/>
                <c:pt idx="0">
                  <c:v>9.4</c:v>
                </c:pt>
                <c:pt idx="1">
                  <c:v>9.3000000000000007</c:v>
                </c:pt>
                <c:pt idx="2">
                  <c:v>9.5</c:v>
                </c:pt>
                <c:pt idx="3">
                  <c:v>10.1</c:v>
                </c:pt>
                <c:pt idx="4">
                  <c:v>10.295</c:v>
                </c:pt>
              </c:numCache>
            </c:numRef>
          </c:val>
        </c:ser>
        <c:ser>
          <c:idx val="2"/>
          <c:order val="2"/>
          <c:tx>
            <c:strRef>
              <c:f>List3!$A$8</c:f>
              <c:strCache>
                <c:ptCount val="1"/>
                <c:pt idx="0">
                  <c:v> Volně prodejné léky 
hrazené domácnostmi</c:v>
                </c:pt>
              </c:strCache>
            </c:strRef>
          </c:tx>
          <c:spPr>
            <a:solidFill>
              <a:srgbClr val="92D050"/>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List3!$B$5:$H$5</c:f>
              <c:strCache>
                <c:ptCount val="5"/>
                <c:pt idx="0">
                  <c:v>2012</c:v>
                </c:pt>
                <c:pt idx="1">
                  <c:v>2013</c:v>
                </c:pt>
                <c:pt idx="2">
                  <c:v>2014</c:v>
                </c:pt>
                <c:pt idx="3">
                  <c:v>2015</c:v>
                </c:pt>
                <c:pt idx="4">
                  <c:v>2016</c:v>
                </c:pt>
              </c:strCache>
            </c:strRef>
          </c:cat>
          <c:val>
            <c:numRef>
              <c:f>List3!$B$8:$H$8</c:f>
              <c:numCache>
                <c:formatCode>0.0</c:formatCode>
                <c:ptCount val="5"/>
                <c:pt idx="0">
                  <c:v>12.1</c:v>
                </c:pt>
                <c:pt idx="1">
                  <c:v>11.2</c:v>
                </c:pt>
                <c:pt idx="2">
                  <c:v>12.1</c:v>
                </c:pt>
                <c:pt idx="3">
                  <c:v>12.7</c:v>
                </c:pt>
                <c:pt idx="4">
                  <c:v>13.447000000000001</c:v>
                </c:pt>
              </c:numCache>
            </c:numRef>
          </c:val>
        </c:ser>
        <c:dLbls>
          <c:showLegendKey val="0"/>
          <c:showVal val="0"/>
          <c:showCatName val="0"/>
          <c:showSerName val="0"/>
          <c:showPercent val="0"/>
          <c:showBubbleSize val="0"/>
        </c:dLbls>
        <c:gapWidth val="50"/>
        <c:overlap val="100"/>
        <c:axId val="224969728"/>
        <c:axId val="224437376"/>
      </c:barChart>
      <c:catAx>
        <c:axId val="224969728"/>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4437376"/>
        <c:crosses val="autoZero"/>
        <c:auto val="1"/>
        <c:lblAlgn val="ctr"/>
        <c:lblOffset val="100"/>
        <c:noMultiLvlLbl val="0"/>
      </c:catAx>
      <c:valAx>
        <c:axId val="224437376"/>
        <c:scaling>
          <c:orientation val="minMax"/>
          <c:max val="60"/>
        </c:scaling>
        <c:delete val="1"/>
        <c:axPos val="l"/>
        <c:majorGridlines>
          <c:spPr>
            <a:ln>
              <a:prstDash val="dash"/>
            </a:ln>
          </c:spPr>
        </c:majorGridlines>
        <c:numFmt formatCode="0.0" sourceLinked="1"/>
        <c:majorTickMark val="out"/>
        <c:minorTickMark val="none"/>
        <c:tickLblPos val="none"/>
        <c:crossAx val="224969728"/>
        <c:crosses val="autoZero"/>
        <c:crossBetween val="between"/>
      </c:valAx>
      <c:spPr>
        <a:ln>
          <a:solidFill>
            <a:schemeClr val="bg1">
              <a:lumMod val="75000"/>
            </a:schemeClr>
          </a:solidFill>
        </a:ln>
      </c:spPr>
    </c:plotArea>
    <c:legend>
      <c:legendPos val="r"/>
      <c:layout>
        <c:manualLayout>
          <c:xMode val="edge"/>
          <c:yMode val="edge"/>
          <c:x val="0.61592611050201052"/>
          <c:y val="0.16983989501312341"/>
          <c:w val="0.3509674075550685"/>
          <c:h val="0.65774788568095699"/>
        </c:manualLayout>
      </c:layout>
      <c:overlay val="0"/>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020534197930836E-4"/>
          <c:y val="0"/>
          <c:w val="0.9992897946580207"/>
          <c:h val="0.90258199983066545"/>
        </c:manualLayout>
      </c:layout>
      <c:barChart>
        <c:barDir val="col"/>
        <c:grouping val="stacked"/>
        <c:varyColors val="0"/>
        <c:ser>
          <c:idx val="0"/>
          <c:order val="0"/>
          <c:tx>
            <c:strRef>
              <c:f>List3!$A$13</c:f>
              <c:strCache>
                <c:ptCount val="1"/>
                <c:pt idx="0">
                  <c:v>Úhrady za léky na předpis z veřejného pojištění</c:v>
                </c:pt>
              </c:strCache>
            </c:strRef>
          </c:tx>
          <c:spPr>
            <a:solidFill>
              <a:schemeClr val="accent2">
                <a:lumMod val="75000"/>
              </a:schemeClr>
            </a:solidFill>
          </c:spPr>
          <c:invertIfNegative val="0"/>
          <c:dLbls>
            <c:txPr>
              <a:bodyPr/>
              <a:lstStyle/>
              <a:p>
                <a:pPr>
                  <a:defRPr sz="800">
                    <a:solidFill>
                      <a:schemeClr val="bg1"/>
                    </a:solidFill>
                  </a:defRPr>
                </a:pPr>
                <a:endParaRPr lang="cs-CZ"/>
              </a:p>
            </c:txPr>
            <c:showLegendKey val="0"/>
            <c:showVal val="1"/>
            <c:showCatName val="0"/>
            <c:showSerName val="0"/>
            <c:showPercent val="0"/>
            <c:showBubbleSize val="0"/>
            <c:showLeaderLines val="0"/>
          </c:dLbls>
          <c:cat>
            <c:strRef>
              <c:f>List3!$B$12:$H$12</c:f>
              <c:strCache>
                <c:ptCount val="5"/>
                <c:pt idx="0">
                  <c:v>2012</c:v>
                </c:pt>
                <c:pt idx="1">
                  <c:v>2013</c:v>
                </c:pt>
                <c:pt idx="2">
                  <c:v>2014</c:v>
                </c:pt>
                <c:pt idx="3">
                  <c:v>2015</c:v>
                </c:pt>
                <c:pt idx="4">
                  <c:v>2016</c:v>
                </c:pt>
              </c:strCache>
            </c:strRef>
          </c:cat>
          <c:val>
            <c:numRef>
              <c:f>List3!$B$13:$H$13</c:f>
              <c:numCache>
                <c:formatCode>0.0%</c:formatCode>
                <c:ptCount val="5"/>
                <c:pt idx="0">
                  <c:v>0.63085212324439777</c:v>
                </c:pt>
                <c:pt idx="1">
                  <c:v>0.6145955325293887</c:v>
                </c:pt>
                <c:pt idx="2">
                  <c:v>0.59675480788656832</c:v>
                </c:pt>
                <c:pt idx="3">
                  <c:v>0.58134049150260858</c:v>
                </c:pt>
                <c:pt idx="4">
                  <c:v>0.57375078879578123</c:v>
                </c:pt>
              </c:numCache>
            </c:numRef>
          </c:val>
        </c:ser>
        <c:ser>
          <c:idx val="1"/>
          <c:order val="1"/>
          <c:tx>
            <c:strRef>
              <c:f>List3!$A$14</c:f>
              <c:strCache>
                <c:ptCount val="1"/>
                <c:pt idx="0">
                  <c:v>Doplatky za léky na předpis</c:v>
                </c:pt>
              </c:strCache>
            </c:strRef>
          </c:tx>
          <c:spPr>
            <a:solidFill>
              <a:schemeClr val="accent6">
                <a:lumMod val="75000"/>
              </a:schemeClr>
            </a:solidFill>
          </c:spPr>
          <c:invertIfNegative val="0"/>
          <c:dLbls>
            <c:txPr>
              <a:bodyPr/>
              <a:lstStyle/>
              <a:p>
                <a:pPr>
                  <a:defRPr sz="800"/>
                </a:pPr>
                <a:endParaRPr lang="cs-CZ"/>
              </a:p>
            </c:txPr>
            <c:showLegendKey val="0"/>
            <c:showVal val="1"/>
            <c:showCatName val="0"/>
            <c:showSerName val="0"/>
            <c:showPercent val="0"/>
            <c:showBubbleSize val="0"/>
            <c:showLeaderLines val="0"/>
          </c:dLbls>
          <c:cat>
            <c:strRef>
              <c:f>List3!$B$12:$H$12</c:f>
              <c:strCache>
                <c:ptCount val="5"/>
                <c:pt idx="0">
                  <c:v>2012</c:v>
                </c:pt>
                <c:pt idx="1">
                  <c:v>2013</c:v>
                </c:pt>
                <c:pt idx="2">
                  <c:v>2014</c:v>
                </c:pt>
                <c:pt idx="3">
                  <c:v>2015</c:v>
                </c:pt>
                <c:pt idx="4">
                  <c:v>2016</c:v>
                </c:pt>
              </c:strCache>
            </c:strRef>
          </c:cat>
          <c:val>
            <c:numRef>
              <c:f>List3!$B$14:$H$14</c:f>
              <c:numCache>
                <c:formatCode>0.0%</c:formatCode>
                <c:ptCount val="5"/>
                <c:pt idx="0">
                  <c:v>0.16139488565128676</c:v>
                </c:pt>
                <c:pt idx="1">
                  <c:v>0.17484202670618021</c:v>
                </c:pt>
                <c:pt idx="2">
                  <c:v>0.17735320949433359</c:v>
                </c:pt>
                <c:pt idx="3">
                  <c:v>0.18545881736068645</c:v>
                </c:pt>
                <c:pt idx="4">
                  <c:v>0.18483007452394218</c:v>
                </c:pt>
              </c:numCache>
            </c:numRef>
          </c:val>
        </c:ser>
        <c:ser>
          <c:idx val="2"/>
          <c:order val="2"/>
          <c:tx>
            <c:strRef>
              <c:f>List3!$A$15</c:f>
              <c:strCache>
                <c:ptCount val="1"/>
                <c:pt idx="0">
                  <c:v>Volně prodejné léky</c:v>
                </c:pt>
              </c:strCache>
            </c:strRef>
          </c:tx>
          <c:spPr>
            <a:solidFill>
              <a:srgbClr val="92D050"/>
            </a:solidFill>
          </c:spPr>
          <c:invertIfNegative val="0"/>
          <c:dLbls>
            <c:txPr>
              <a:bodyPr/>
              <a:lstStyle/>
              <a:p>
                <a:pPr>
                  <a:defRPr sz="800"/>
                </a:pPr>
                <a:endParaRPr lang="cs-CZ"/>
              </a:p>
            </c:txPr>
            <c:showLegendKey val="0"/>
            <c:showVal val="1"/>
            <c:showCatName val="0"/>
            <c:showSerName val="0"/>
            <c:showPercent val="0"/>
            <c:showBubbleSize val="0"/>
            <c:showLeaderLines val="0"/>
          </c:dLbls>
          <c:cat>
            <c:strRef>
              <c:f>List3!$B$12:$H$12</c:f>
              <c:strCache>
                <c:ptCount val="5"/>
                <c:pt idx="0">
                  <c:v>2012</c:v>
                </c:pt>
                <c:pt idx="1">
                  <c:v>2013</c:v>
                </c:pt>
                <c:pt idx="2">
                  <c:v>2014</c:v>
                </c:pt>
                <c:pt idx="3">
                  <c:v>2015</c:v>
                </c:pt>
                <c:pt idx="4">
                  <c:v>2016</c:v>
                </c:pt>
              </c:strCache>
            </c:strRef>
          </c:cat>
          <c:val>
            <c:numRef>
              <c:f>List3!$B$15:$H$15</c:f>
              <c:numCache>
                <c:formatCode>0.0%</c:formatCode>
                <c:ptCount val="5"/>
                <c:pt idx="0">
                  <c:v>0.20775299110431594</c:v>
                </c:pt>
                <c:pt idx="1">
                  <c:v>0.2105624407644322</c:v>
                </c:pt>
                <c:pt idx="2">
                  <c:v>0.22589198261909843</c:v>
                </c:pt>
                <c:pt idx="3">
                  <c:v>0.23320069113670483</c:v>
                </c:pt>
                <c:pt idx="4">
                  <c:v>0.24141913668027695</c:v>
                </c:pt>
              </c:numCache>
            </c:numRef>
          </c:val>
        </c:ser>
        <c:dLbls>
          <c:showLegendKey val="0"/>
          <c:showVal val="0"/>
          <c:showCatName val="0"/>
          <c:showSerName val="0"/>
          <c:showPercent val="0"/>
          <c:showBubbleSize val="0"/>
        </c:dLbls>
        <c:gapWidth val="50"/>
        <c:overlap val="100"/>
        <c:axId val="224971264"/>
        <c:axId val="224436224"/>
      </c:barChart>
      <c:catAx>
        <c:axId val="224971264"/>
        <c:scaling>
          <c:orientation val="minMax"/>
        </c:scaling>
        <c:delete val="0"/>
        <c:axPos val="b"/>
        <c:majorTickMark val="out"/>
        <c:minorTickMark val="none"/>
        <c:tickLblPos val="nextTo"/>
        <c:txPr>
          <a:bodyPr/>
          <a:lstStyle/>
          <a:p>
            <a:pPr>
              <a:defRPr sz="800"/>
            </a:pPr>
            <a:endParaRPr lang="cs-CZ"/>
          </a:p>
        </c:txPr>
        <c:crossAx val="224436224"/>
        <c:crosses val="autoZero"/>
        <c:auto val="1"/>
        <c:lblAlgn val="ctr"/>
        <c:lblOffset val="100"/>
        <c:noMultiLvlLbl val="0"/>
      </c:catAx>
      <c:valAx>
        <c:axId val="224436224"/>
        <c:scaling>
          <c:orientation val="minMax"/>
          <c:max val="1"/>
        </c:scaling>
        <c:delete val="1"/>
        <c:axPos val="l"/>
        <c:majorGridlines>
          <c:spPr>
            <a:ln>
              <a:prstDash val="dash"/>
            </a:ln>
          </c:spPr>
        </c:majorGridlines>
        <c:numFmt formatCode="0.0%" sourceLinked="1"/>
        <c:majorTickMark val="out"/>
        <c:minorTickMark val="none"/>
        <c:tickLblPos val="none"/>
        <c:crossAx val="224971264"/>
        <c:crosses val="autoZero"/>
        <c:crossBetween val="between"/>
        <c:majorUnit val="0.2"/>
      </c:valAx>
      <c:spPr>
        <a:ln>
          <a:solidFill>
            <a:schemeClr val="bg1">
              <a:lumMod val="75000"/>
            </a:schemeClr>
          </a:solidFill>
        </a:ln>
      </c:spPr>
    </c:plotArea>
    <c:plotVisOnly val="1"/>
    <c:dispBlanksAs val="gap"/>
    <c:showDLblsOverMax val="0"/>
  </c:chart>
  <c:spPr>
    <a:ln>
      <a:noFill/>
    </a:ln>
  </c:spPr>
  <c:txPr>
    <a:bodyPr/>
    <a:lstStyle/>
    <a:p>
      <a:pPr algn="just">
        <a:defRPr sz="9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18785096324492E-2"/>
          <c:y val="1.7995892507394279E-2"/>
          <c:w val="0.87460779736091043"/>
          <c:h val="0.79535488577522917"/>
        </c:manualLayout>
      </c:layout>
      <c:barChart>
        <c:barDir val="col"/>
        <c:grouping val="stacked"/>
        <c:varyColors val="0"/>
        <c:ser>
          <c:idx val="1"/>
          <c:order val="0"/>
          <c:tx>
            <c:strRef>
              <c:f>'3_4_5'!$A$26</c:f>
              <c:strCache>
                <c:ptCount val="1"/>
                <c:pt idx="0">
                  <c:v>Volně prodejné léky</c:v>
                </c:pt>
              </c:strCache>
            </c:strRef>
          </c:tx>
          <c:spPr>
            <a:solidFill>
              <a:srgbClr val="D96D75"/>
            </a:solidFill>
            <a:effectLst/>
          </c:spPr>
          <c:invertIfNegative val="0"/>
          <c:dLbls>
            <c:txPr>
              <a:bodyPr/>
              <a:lstStyle/>
              <a:p>
                <a:pPr>
                  <a:defRPr b="1"/>
                </a:pPr>
                <a:endParaRPr lang="cs-CZ"/>
              </a:p>
            </c:txPr>
            <c:dLblPos val="ctr"/>
            <c:showLegendKey val="0"/>
            <c:showVal val="1"/>
            <c:showCatName val="0"/>
            <c:showSerName val="0"/>
            <c:showPercent val="0"/>
            <c:showBubbleSize val="0"/>
            <c:showLeaderLines val="0"/>
          </c:dLbls>
          <c:cat>
            <c:strRef>
              <c:f>'3_4_5'!$B$24:$H$24</c:f>
              <c:strCache>
                <c:ptCount val="5"/>
                <c:pt idx="0">
                  <c:v>2012</c:v>
                </c:pt>
                <c:pt idx="1">
                  <c:v>2013</c:v>
                </c:pt>
                <c:pt idx="2">
                  <c:v>2014</c:v>
                </c:pt>
                <c:pt idx="3">
                  <c:v>2015</c:v>
                </c:pt>
                <c:pt idx="4">
                  <c:v>2016</c:v>
                </c:pt>
              </c:strCache>
            </c:strRef>
          </c:cat>
          <c:val>
            <c:numRef>
              <c:f>'3_4_5'!$B$26:$H$26</c:f>
              <c:numCache>
                <c:formatCode>#,##0</c:formatCode>
                <c:ptCount val="5"/>
                <c:pt idx="0">
                  <c:v>1151.394043201065</c:v>
                </c:pt>
                <c:pt idx="1">
                  <c:v>1065.5503757967851</c:v>
                </c:pt>
                <c:pt idx="2">
                  <c:v>1149.6437054631831</c:v>
                </c:pt>
                <c:pt idx="3" formatCode="0">
                  <c:v>1204.590723702931</c:v>
                </c:pt>
                <c:pt idx="4" formatCode="0">
                  <c:v>1268.3388547089451</c:v>
                </c:pt>
              </c:numCache>
            </c:numRef>
          </c:val>
          <c:extLst xmlns:c16r2="http://schemas.microsoft.com/office/drawing/2015/06/chart">
            <c:ext xmlns:c16="http://schemas.microsoft.com/office/drawing/2014/chart" uri="{C3380CC4-5D6E-409C-BE32-E72D297353CC}">
              <c16:uniqueId val="{00000001-612E-4746-9258-04575EFE46FC}"/>
            </c:ext>
          </c:extLst>
        </c:ser>
        <c:ser>
          <c:idx val="0"/>
          <c:order val="1"/>
          <c:tx>
            <c:strRef>
              <c:f>'3_4_5'!$A$25</c:f>
              <c:strCache>
                <c:ptCount val="1"/>
                <c:pt idx="0">
                  <c:v>Doplatky za léky na předpis</c:v>
                </c:pt>
              </c:strCache>
            </c:strRef>
          </c:tx>
          <c:spPr>
            <a:solidFill>
              <a:srgbClr val="0071BC"/>
            </a:solidFill>
            <a:ln w="9525" cap="rnd">
              <a:solidFill>
                <a:srgbClr val="376092"/>
              </a:solidFill>
              <a:round/>
            </a:ln>
            <a:effectLst/>
          </c:spPr>
          <c:invertIfNegative val="0"/>
          <c:dLbls>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strRef>
              <c:f>'3_4_5'!$B$24:$H$24</c:f>
              <c:strCache>
                <c:ptCount val="5"/>
                <c:pt idx="0">
                  <c:v>2012</c:v>
                </c:pt>
                <c:pt idx="1">
                  <c:v>2013</c:v>
                </c:pt>
                <c:pt idx="2">
                  <c:v>2014</c:v>
                </c:pt>
                <c:pt idx="3">
                  <c:v>2015</c:v>
                </c:pt>
                <c:pt idx="4">
                  <c:v>2016</c:v>
                </c:pt>
              </c:strCache>
            </c:strRef>
          </c:cat>
          <c:val>
            <c:numRef>
              <c:f>'3_4_5'!$B$25:$H$25</c:f>
              <c:numCache>
                <c:formatCode>#,##0</c:formatCode>
                <c:ptCount val="5"/>
                <c:pt idx="0">
                  <c:v>894.471405461985</c:v>
                </c:pt>
                <c:pt idx="1">
                  <c:v>884.78736561697303</c:v>
                </c:pt>
                <c:pt idx="2">
                  <c:v>902.6128266033254</c:v>
                </c:pt>
                <c:pt idx="3" formatCode="0">
                  <c:v>957.9815991653229</c:v>
                </c:pt>
                <c:pt idx="4" formatCode="0">
                  <c:v>974.91717936583041</c:v>
                </c:pt>
              </c:numCache>
            </c:numRef>
          </c:val>
          <c:extLst xmlns:c16r2="http://schemas.microsoft.com/office/drawing/2015/06/chart">
            <c:ext xmlns:c16="http://schemas.microsoft.com/office/drawing/2014/chart" uri="{C3380CC4-5D6E-409C-BE32-E72D297353CC}">
              <c16:uniqueId val="{00000000-612E-4746-9258-04575EFE46FC}"/>
            </c:ext>
          </c:extLst>
        </c:ser>
        <c:dLbls>
          <c:showLegendKey val="0"/>
          <c:showVal val="0"/>
          <c:showCatName val="0"/>
          <c:showSerName val="0"/>
          <c:showPercent val="0"/>
          <c:showBubbleSize val="0"/>
        </c:dLbls>
        <c:gapWidth val="100"/>
        <c:overlap val="100"/>
        <c:axId val="225830400"/>
        <c:axId val="224440832"/>
      </c:barChart>
      <c:lineChart>
        <c:grouping val="standard"/>
        <c:varyColors val="0"/>
        <c:ser>
          <c:idx val="2"/>
          <c:order val="2"/>
          <c:tx>
            <c:strRef>
              <c:f>'3_4_5'!$A$28</c:f>
              <c:strCache>
                <c:ptCount val="1"/>
                <c:pt idx="0">
                  <c:v>Podíl výdajů za léky na výdajích 
domácností na zdravotní péči</c:v>
                </c:pt>
              </c:strCache>
            </c:strRef>
          </c:tx>
          <c:spPr>
            <a:ln w="28575" cap="rnd">
              <a:solidFill>
                <a:srgbClr val="FFC000"/>
              </a:solidFill>
              <a:round/>
            </a:ln>
            <a:effectLst/>
          </c:spPr>
          <c:marker>
            <c:symbol val="diamond"/>
            <c:size val="7"/>
            <c:spPr>
              <a:solidFill>
                <a:srgbClr val="FFC000"/>
              </a:solidFill>
              <a:ln>
                <a:solidFill>
                  <a:srgbClr val="E46C0A"/>
                </a:solidFill>
              </a:ln>
            </c:spPr>
          </c:marker>
          <c:dLbls>
            <c:txPr>
              <a:bodyPr/>
              <a:lstStyle/>
              <a:p>
                <a:pPr>
                  <a:defRPr b="1">
                    <a:solidFill>
                      <a:sysClr val="windowText" lastClr="000000"/>
                    </a:solidFill>
                  </a:defRPr>
                </a:pPr>
                <a:endParaRPr lang="cs-CZ"/>
              </a:p>
            </c:txPr>
            <c:dLblPos val="t"/>
            <c:showLegendKey val="0"/>
            <c:showVal val="1"/>
            <c:showCatName val="0"/>
            <c:showSerName val="0"/>
            <c:showPercent val="0"/>
            <c:showBubbleSize val="0"/>
            <c:showLeaderLines val="0"/>
          </c:dLbls>
          <c:cat>
            <c:strRef>
              <c:f>'3_4_5'!$B$24:$G$24</c:f>
              <c:strCache>
                <c:ptCount val="4"/>
                <c:pt idx="0">
                  <c:v>2012</c:v>
                </c:pt>
                <c:pt idx="1">
                  <c:v>2013</c:v>
                </c:pt>
                <c:pt idx="2">
                  <c:v>2014</c:v>
                </c:pt>
                <c:pt idx="3">
                  <c:v>2015</c:v>
                </c:pt>
              </c:strCache>
            </c:strRef>
          </c:cat>
          <c:val>
            <c:numRef>
              <c:f>'3_4_5'!$B$28:$H$28</c:f>
              <c:numCache>
                <c:formatCode>0%</c:formatCode>
                <c:ptCount val="5"/>
                <c:pt idx="0">
                  <c:v>0.48596356403417601</c:v>
                </c:pt>
                <c:pt idx="1">
                  <c:v>0.47163300050614249</c:v>
                </c:pt>
                <c:pt idx="2">
                  <c:v>0.46460605278440986</c:v>
                </c:pt>
                <c:pt idx="3">
                  <c:v>0.46193119656388026</c:v>
                </c:pt>
                <c:pt idx="4">
                  <c:v>0.46275505223079155</c:v>
                </c:pt>
              </c:numCache>
            </c:numRef>
          </c:val>
          <c:smooth val="0"/>
          <c:extLst xmlns:c16r2="http://schemas.microsoft.com/office/drawing/2015/06/chart">
            <c:ext xmlns:c16="http://schemas.microsoft.com/office/drawing/2014/chart" uri="{C3380CC4-5D6E-409C-BE32-E72D297353CC}">
              <c16:uniqueId val="{00000002-612E-4746-9258-04575EFE46FC}"/>
            </c:ext>
          </c:extLst>
        </c:ser>
        <c:dLbls>
          <c:showLegendKey val="0"/>
          <c:showVal val="0"/>
          <c:showCatName val="0"/>
          <c:showSerName val="0"/>
          <c:showPercent val="0"/>
          <c:showBubbleSize val="0"/>
        </c:dLbls>
        <c:marker val="1"/>
        <c:smooth val="0"/>
        <c:axId val="225831424"/>
        <c:axId val="224441408"/>
      </c:lineChart>
      <c:catAx>
        <c:axId val="225830400"/>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vert="horz"/>
          <a:lstStyle/>
          <a:p>
            <a:pPr>
              <a:defRPr/>
            </a:pPr>
            <a:endParaRPr lang="cs-CZ"/>
          </a:p>
        </c:txPr>
        <c:crossAx val="224440832"/>
        <c:crosses val="autoZero"/>
        <c:auto val="1"/>
        <c:lblAlgn val="ctr"/>
        <c:lblOffset val="100"/>
        <c:noMultiLvlLbl val="0"/>
      </c:catAx>
      <c:valAx>
        <c:axId val="224440832"/>
        <c:scaling>
          <c:orientation val="minMax"/>
          <c:max val="2500"/>
          <c:min val="0"/>
        </c:scaling>
        <c:delete val="0"/>
        <c:axPos val="l"/>
        <c:majorGridlines>
          <c:spPr>
            <a:ln w="9525" cap="flat" cmpd="sng" algn="ctr">
              <a:solidFill>
                <a:schemeClr val="bg1">
                  <a:lumMod val="75000"/>
                </a:schemeClr>
              </a:solidFill>
              <a:prstDash val="sysDash"/>
              <a:round/>
            </a:ln>
            <a:effectLst/>
          </c:spPr>
        </c:majorGridlines>
        <c:numFmt formatCode="#\ ##0" sourceLinked="0"/>
        <c:majorTickMark val="none"/>
        <c:minorTickMark val="none"/>
        <c:tickLblPos val="nextTo"/>
        <c:spPr>
          <a:noFill/>
          <a:ln>
            <a:solidFill>
              <a:schemeClr val="bg1">
                <a:lumMod val="75000"/>
              </a:schemeClr>
            </a:solidFill>
          </a:ln>
          <a:effectLst/>
        </c:spPr>
        <c:txPr>
          <a:bodyPr rot="-60000000" vert="horz"/>
          <a:lstStyle/>
          <a:p>
            <a:pPr>
              <a:defRPr/>
            </a:pPr>
            <a:endParaRPr lang="cs-CZ"/>
          </a:p>
        </c:txPr>
        <c:crossAx val="225830400"/>
        <c:crosses val="autoZero"/>
        <c:crossBetween val="between"/>
        <c:majorUnit val="250"/>
        <c:minorUnit val="10"/>
      </c:valAx>
      <c:valAx>
        <c:axId val="224441408"/>
        <c:scaling>
          <c:orientation val="minMax"/>
          <c:max val="0.5"/>
          <c:min val="0"/>
        </c:scaling>
        <c:delete val="0"/>
        <c:axPos val="r"/>
        <c:numFmt formatCode="0%" sourceLinked="1"/>
        <c:majorTickMark val="out"/>
        <c:minorTickMark val="none"/>
        <c:tickLblPos val="nextTo"/>
        <c:crossAx val="225831424"/>
        <c:crosses val="max"/>
        <c:crossBetween val="between"/>
        <c:majorUnit val="5.0000000000000024E-2"/>
        <c:minorUnit val="1.0000000000000005E-2"/>
      </c:valAx>
      <c:catAx>
        <c:axId val="225831424"/>
        <c:scaling>
          <c:orientation val="minMax"/>
        </c:scaling>
        <c:delete val="1"/>
        <c:axPos val="b"/>
        <c:majorTickMark val="out"/>
        <c:minorTickMark val="none"/>
        <c:tickLblPos val="none"/>
        <c:crossAx val="224441408"/>
        <c:crosses val="autoZero"/>
        <c:auto val="1"/>
        <c:lblAlgn val="ctr"/>
        <c:lblOffset val="100"/>
        <c:noMultiLvlLbl val="0"/>
      </c:catAx>
      <c:spPr>
        <a:noFill/>
        <a:ln>
          <a:noFill/>
        </a:ln>
        <a:effectLst/>
      </c:spPr>
    </c:plotArea>
    <c:legend>
      <c:legendPos val="b"/>
      <c:legendEntry>
        <c:idx val="1"/>
        <c:txPr>
          <a:bodyPr rot="0" vert="horz"/>
          <a:lstStyle/>
          <a:p>
            <a:pPr>
              <a:defRPr/>
            </a:pPr>
            <a:endParaRPr lang="cs-CZ"/>
          </a:p>
        </c:txPr>
      </c:legendEntry>
      <c:layout>
        <c:manualLayout>
          <c:xMode val="edge"/>
          <c:yMode val="edge"/>
          <c:x val="3.3448890058352068E-2"/>
          <c:y val="0.87102746028961964"/>
          <c:w val="0.96474455443788698"/>
          <c:h val="0.12843103452418433"/>
        </c:manualLayout>
      </c:layout>
      <c:overlay val="0"/>
      <c:spPr>
        <a:solidFill>
          <a:schemeClr val="bg1"/>
        </a:solidFill>
        <a:ln>
          <a:noFill/>
        </a:ln>
        <a:effectLst/>
      </c:spPr>
      <c:txPr>
        <a:bodyPr rot="0" vert="horz"/>
        <a:lstStyle/>
        <a:p>
          <a:pPr>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'2_3'!$A$4</c:f>
              <c:strCache>
                <c:ptCount val="1"/>
                <c:pt idx="0">
                  <c:v>  veřejné 
  zdravotní 
  pojišťění </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'2_3'!$D$3:$H$3</c:f>
              <c:strCache>
                <c:ptCount val="5"/>
                <c:pt idx="0">
                  <c:v>2012</c:v>
                </c:pt>
                <c:pt idx="1">
                  <c:v>2013</c:v>
                </c:pt>
                <c:pt idx="2">
                  <c:v>2014</c:v>
                </c:pt>
                <c:pt idx="3">
                  <c:v>2015</c:v>
                </c:pt>
                <c:pt idx="4">
                  <c:v>2016</c:v>
                </c:pt>
              </c:strCache>
            </c:strRef>
          </c:cat>
          <c:val>
            <c:numRef>
              <c:f>'2_3'!$D$4:$H$4</c:f>
              <c:numCache>
                <c:formatCode>0.0%</c:formatCode>
                <c:ptCount val="5"/>
                <c:pt idx="0">
                  <c:v>0.82452269019326641</c:v>
                </c:pt>
                <c:pt idx="1">
                  <c:v>0.81613203253878253</c:v>
                </c:pt>
                <c:pt idx="2">
                  <c:v>0.80460829191868077</c:v>
                </c:pt>
                <c:pt idx="3">
                  <c:v>0.7992266623900478</c:v>
                </c:pt>
                <c:pt idx="4">
                  <c:v>0.79178100450830446</c:v>
                </c:pt>
              </c:numCache>
            </c:numRef>
          </c:val>
        </c:ser>
        <c:ser>
          <c:idx val="1"/>
          <c:order val="1"/>
          <c:tx>
            <c:strRef>
              <c:f>'2_3'!$A$5</c:f>
              <c:strCache>
                <c:ptCount val="1"/>
                <c:pt idx="0">
                  <c:v>  státní 
  rozpočtu</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'2_3'!$D$3:$H$3</c:f>
              <c:strCache>
                <c:ptCount val="5"/>
                <c:pt idx="0">
                  <c:v>2012</c:v>
                </c:pt>
                <c:pt idx="1">
                  <c:v>2013</c:v>
                </c:pt>
                <c:pt idx="2">
                  <c:v>2014</c:v>
                </c:pt>
                <c:pt idx="3">
                  <c:v>2015</c:v>
                </c:pt>
                <c:pt idx="4">
                  <c:v>2016</c:v>
                </c:pt>
              </c:strCache>
            </c:strRef>
          </c:cat>
          <c:val>
            <c:numRef>
              <c:f>'2_3'!$D$5:$H$5</c:f>
              <c:numCache>
                <c:formatCode>0.0%</c:formatCode>
                <c:ptCount val="5"/>
                <c:pt idx="0">
                  <c:v>0.15469006440669253</c:v>
                </c:pt>
                <c:pt idx="1">
                  <c:v>0.16263726312766974</c:v>
                </c:pt>
                <c:pt idx="2">
                  <c:v>0.17395745885303482</c:v>
                </c:pt>
                <c:pt idx="3">
                  <c:v>0.17937701621048238</c:v>
                </c:pt>
                <c:pt idx="4">
                  <c:v>0.18618780128090096</c:v>
                </c:pt>
              </c:numCache>
            </c:numRef>
          </c:val>
        </c:ser>
        <c:ser>
          <c:idx val="2"/>
          <c:order val="2"/>
          <c:tx>
            <c:strRef>
              <c:f>'2_3'!$A$6</c:f>
              <c:strCache>
                <c:ptCount val="1"/>
                <c:pt idx="0">
                  <c:v>  místní 
  rozpočty</c:v>
                </c:pt>
              </c:strCache>
            </c:strRef>
          </c:tx>
          <c:spPr>
            <a:solidFill>
              <a:schemeClr val="accent2">
                <a:lumMod val="20000"/>
                <a:lumOff val="80000"/>
              </a:schemeClr>
            </a:solidFill>
          </c:spPr>
          <c:invertIfNegative val="0"/>
          <c:cat>
            <c:strRef>
              <c:f>'2_3'!$D$3:$H$3</c:f>
              <c:strCache>
                <c:ptCount val="5"/>
                <c:pt idx="0">
                  <c:v>2012</c:v>
                </c:pt>
                <c:pt idx="1">
                  <c:v>2013</c:v>
                </c:pt>
                <c:pt idx="2">
                  <c:v>2014</c:v>
                </c:pt>
                <c:pt idx="3">
                  <c:v>2015</c:v>
                </c:pt>
                <c:pt idx="4">
                  <c:v>2016</c:v>
                </c:pt>
              </c:strCache>
            </c:strRef>
          </c:cat>
          <c:val>
            <c:numRef>
              <c:f>'2_3'!$D$6:$H$6</c:f>
              <c:numCache>
                <c:formatCode>0.0%</c:formatCode>
                <c:ptCount val="5"/>
                <c:pt idx="0">
                  <c:v>2.0787245400041395E-2</c:v>
                </c:pt>
                <c:pt idx="1">
                  <c:v>2.1230704333548553E-2</c:v>
                </c:pt>
                <c:pt idx="2">
                  <c:v>2.1434249228285004E-2</c:v>
                </c:pt>
                <c:pt idx="3">
                  <c:v>2.1396321399469665E-2</c:v>
                </c:pt>
                <c:pt idx="4">
                  <c:v>2.2031194210795083E-2</c:v>
                </c:pt>
              </c:numCache>
            </c:numRef>
          </c:val>
        </c:ser>
        <c:dLbls>
          <c:showLegendKey val="0"/>
          <c:showVal val="0"/>
          <c:showCatName val="0"/>
          <c:showSerName val="0"/>
          <c:showPercent val="0"/>
          <c:showBubbleSize val="0"/>
        </c:dLbls>
        <c:gapWidth val="50"/>
        <c:overlap val="100"/>
        <c:axId val="185046528"/>
        <c:axId val="185222272"/>
      </c:barChart>
      <c:catAx>
        <c:axId val="185046528"/>
        <c:scaling>
          <c:orientation val="minMax"/>
        </c:scaling>
        <c:delete val="0"/>
        <c:axPos val="b"/>
        <c:numFmt formatCode="General" sourceLinked="1"/>
        <c:majorTickMark val="out"/>
        <c:minorTickMark val="none"/>
        <c:tickLblPos val="nextTo"/>
        <c:crossAx val="185222272"/>
        <c:crosses val="autoZero"/>
        <c:auto val="1"/>
        <c:lblAlgn val="ctr"/>
        <c:lblOffset val="100"/>
        <c:noMultiLvlLbl val="0"/>
      </c:catAx>
      <c:valAx>
        <c:axId val="185222272"/>
        <c:scaling>
          <c:orientation val="minMax"/>
          <c:max val="1"/>
        </c:scaling>
        <c:delete val="0"/>
        <c:axPos val="l"/>
        <c:majorGridlines>
          <c:spPr>
            <a:ln>
              <a:prstDash val="dash"/>
            </a:ln>
          </c:spPr>
        </c:majorGridlines>
        <c:numFmt formatCode="0%" sourceLinked="0"/>
        <c:majorTickMark val="none"/>
        <c:minorTickMark val="none"/>
        <c:tickLblPos val="none"/>
        <c:crossAx val="185046528"/>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
          <c:w val="0.6721641612980197"/>
          <c:h val="0.85527012248469003"/>
        </c:manualLayout>
      </c:layout>
      <c:barChart>
        <c:barDir val="col"/>
        <c:grouping val="stacked"/>
        <c:varyColors val="0"/>
        <c:ser>
          <c:idx val="0"/>
          <c:order val="0"/>
          <c:tx>
            <c:strRef>
              <c:f>'G6'!$A$17</c:f>
              <c:strCache>
                <c:ptCount val="1"/>
                <c:pt idx="0">
                  <c:v>Výdaje zdravotních pojišťoven na léky</c:v>
                </c:pt>
              </c:strCache>
            </c:strRef>
          </c:tx>
          <c:spPr>
            <a:solidFill>
              <a:schemeClr val="accent2">
                <a:lumMod val="75000"/>
              </a:schemeClr>
            </a:solidFill>
          </c:spPr>
          <c:invertIfNegative val="0"/>
          <c:dLbls>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'G6'!$B$16:$H$16</c:f>
              <c:strCache>
                <c:ptCount val="5"/>
                <c:pt idx="0">
                  <c:v>2012</c:v>
                </c:pt>
                <c:pt idx="1">
                  <c:v>2013</c:v>
                </c:pt>
                <c:pt idx="2">
                  <c:v>2014</c:v>
                </c:pt>
                <c:pt idx="3">
                  <c:v>2015</c:v>
                </c:pt>
                <c:pt idx="4">
                  <c:v>2016</c:v>
                </c:pt>
              </c:strCache>
            </c:strRef>
          </c:cat>
          <c:val>
            <c:numRef>
              <c:f>'G6'!$B$17:$H$17</c:f>
              <c:numCache>
                <c:formatCode>#,##0.0</c:formatCode>
                <c:ptCount val="5"/>
                <c:pt idx="0">
                  <c:v>54.383399076430095</c:v>
                </c:pt>
                <c:pt idx="1">
                  <c:v>51.353069784999995</c:v>
                </c:pt>
                <c:pt idx="2">
                  <c:v>52.20653376500001</c:v>
                </c:pt>
                <c:pt idx="3" formatCode="0.0">
                  <c:v>53.959529849999996</c:v>
                </c:pt>
                <c:pt idx="4" formatCode="0.0">
                  <c:v>55.357809819999972</c:v>
                </c:pt>
              </c:numCache>
            </c:numRef>
          </c:val>
        </c:ser>
        <c:ser>
          <c:idx val="1"/>
          <c:order val="1"/>
          <c:tx>
            <c:strRef>
              <c:f>'G6'!$A$18</c:f>
              <c:strCache>
                <c:ptCount val="1"/>
                <c:pt idx="0">
                  <c:v>Výdaje domácností na léky</c:v>
                </c:pt>
              </c:strCache>
            </c:strRef>
          </c:tx>
          <c:spPr>
            <a:solidFill>
              <a:schemeClr val="accent6">
                <a:lumMod val="75000"/>
              </a:schemeClr>
            </a:solidFill>
          </c:spPr>
          <c:invertIfNegative val="0"/>
          <c:dLbls>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'G6'!$B$16:$H$16</c:f>
              <c:strCache>
                <c:ptCount val="5"/>
                <c:pt idx="0">
                  <c:v>2012</c:v>
                </c:pt>
                <c:pt idx="1">
                  <c:v>2013</c:v>
                </c:pt>
                <c:pt idx="2">
                  <c:v>2014</c:v>
                </c:pt>
                <c:pt idx="3">
                  <c:v>2015</c:v>
                </c:pt>
                <c:pt idx="4">
                  <c:v>2016</c:v>
                </c:pt>
              </c:strCache>
            </c:strRef>
          </c:cat>
          <c:val>
            <c:numRef>
              <c:f>'G6'!$B$18:$H$18</c:f>
              <c:numCache>
                <c:formatCode>#,##0.0</c:formatCode>
                <c:ptCount val="5"/>
                <c:pt idx="0">
                  <c:v>21.5</c:v>
                </c:pt>
                <c:pt idx="1">
                  <c:v>20.5</c:v>
                </c:pt>
                <c:pt idx="2">
                  <c:v>21.6</c:v>
                </c:pt>
                <c:pt idx="3" formatCode="0.0">
                  <c:v>22.799999999999986</c:v>
                </c:pt>
                <c:pt idx="4" formatCode="0.0">
                  <c:v>23.741999999999987</c:v>
                </c:pt>
              </c:numCache>
            </c:numRef>
          </c:val>
        </c:ser>
        <c:dLbls>
          <c:showLegendKey val="0"/>
          <c:showVal val="0"/>
          <c:showCatName val="0"/>
          <c:showSerName val="0"/>
          <c:showPercent val="0"/>
          <c:showBubbleSize val="0"/>
        </c:dLbls>
        <c:gapWidth val="50"/>
        <c:overlap val="100"/>
        <c:axId val="225738752"/>
        <c:axId val="224443136"/>
      </c:barChart>
      <c:catAx>
        <c:axId val="225738752"/>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4443136"/>
        <c:crosses val="autoZero"/>
        <c:auto val="1"/>
        <c:lblAlgn val="ctr"/>
        <c:lblOffset val="100"/>
        <c:noMultiLvlLbl val="0"/>
      </c:catAx>
      <c:valAx>
        <c:axId val="224443136"/>
        <c:scaling>
          <c:orientation val="minMax"/>
          <c:max val="80"/>
        </c:scaling>
        <c:delete val="1"/>
        <c:axPos val="l"/>
        <c:majorGridlines>
          <c:spPr>
            <a:ln>
              <a:prstDash val="dash"/>
            </a:ln>
          </c:spPr>
        </c:majorGridlines>
        <c:numFmt formatCode="#,##0.0" sourceLinked="1"/>
        <c:majorTickMark val="out"/>
        <c:minorTickMark val="none"/>
        <c:tickLblPos val="none"/>
        <c:crossAx val="225738752"/>
        <c:crosses val="autoZero"/>
        <c:crossBetween val="between"/>
        <c:majorUnit val="20"/>
      </c:valAx>
      <c:spPr>
        <a:ln>
          <a:solidFill>
            <a:schemeClr val="bg1">
              <a:lumMod val="75000"/>
            </a:schemeClr>
          </a:solidFill>
        </a:ln>
      </c:spPr>
    </c:plotArea>
    <c:legend>
      <c:legendPos val="r"/>
      <c:layout>
        <c:manualLayout>
          <c:xMode val="edge"/>
          <c:yMode val="edge"/>
          <c:x val="0.717951801479361"/>
          <c:y val="0.22365180730361439"/>
          <c:w val="0.26065361684510979"/>
          <c:h val="0.47862204724409474"/>
        </c:manualLayout>
      </c:layout>
      <c:overlay val="0"/>
      <c:spPr>
        <a:ln>
          <a:solidFill>
            <a:schemeClr val="bg1">
              <a:lumMod val="75000"/>
            </a:schemeClr>
          </a:solidFill>
        </a:ln>
      </c:spPr>
      <c:txPr>
        <a:bodyPr/>
        <a:lstStyle/>
        <a:p>
          <a:pPr>
            <a:defRPr>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txPr>
    <a:bodyPr/>
    <a:lstStyle/>
    <a:p>
      <a:pPr>
        <a:defRPr sz="800"/>
      </a:pPr>
      <a:endParaRPr lang="cs-CZ"/>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962052820320545E-2"/>
          <c:y val="0"/>
          <c:w val="0.96103794717967961"/>
          <c:h val="0.85527012248469003"/>
        </c:manualLayout>
      </c:layout>
      <c:barChart>
        <c:barDir val="col"/>
        <c:grouping val="stacked"/>
        <c:varyColors val="0"/>
        <c:ser>
          <c:idx val="0"/>
          <c:order val="0"/>
          <c:tx>
            <c:strRef>
              <c:f>'G6'!$A$23</c:f>
              <c:strCache>
                <c:ptCount val="1"/>
                <c:pt idx="0">
                  <c:v>Výdaje zdravotních pojišťoven na léky</c:v>
                </c:pt>
              </c:strCache>
            </c:strRef>
          </c:tx>
          <c:spPr>
            <a:solidFill>
              <a:schemeClr val="accent2">
                <a:lumMod val="75000"/>
              </a:schemeClr>
            </a:solidFill>
          </c:spPr>
          <c:invertIfNegative val="0"/>
          <c:dLbls>
            <c:txPr>
              <a:bodyPr/>
              <a:lstStyle/>
              <a:p>
                <a:pPr>
                  <a:defRPr>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'G6'!$B$22:$H$22</c:f>
              <c:strCache>
                <c:ptCount val="5"/>
                <c:pt idx="0">
                  <c:v>2012</c:v>
                </c:pt>
                <c:pt idx="1">
                  <c:v>2013</c:v>
                </c:pt>
                <c:pt idx="2">
                  <c:v>2014</c:v>
                </c:pt>
                <c:pt idx="3">
                  <c:v>2015</c:v>
                </c:pt>
                <c:pt idx="4">
                  <c:v>2016</c:v>
                </c:pt>
              </c:strCache>
            </c:strRef>
          </c:cat>
          <c:val>
            <c:numRef>
              <c:f>'G6'!$B$23:$H$23</c:f>
              <c:numCache>
                <c:formatCode>0.0%</c:formatCode>
                <c:ptCount val="5"/>
                <c:pt idx="0">
                  <c:v>0.71667057272506862</c:v>
                </c:pt>
                <c:pt idx="1">
                  <c:v>0.71469555773552318</c:v>
                </c:pt>
                <c:pt idx="2">
                  <c:v>0.70734298309178967</c:v>
                </c:pt>
                <c:pt idx="3">
                  <c:v>0.7029684777309777</c:v>
                </c:pt>
                <c:pt idx="4">
                  <c:v>0.69984757164363065</c:v>
                </c:pt>
              </c:numCache>
            </c:numRef>
          </c:val>
        </c:ser>
        <c:ser>
          <c:idx val="1"/>
          <c:order val="1"/>
          <c:tx>
            <c:strRef>
              <c:f>'G6'!$A$24</c:f>
              <c:strCache>
                <c:ptCount val="1"/>
                <c:pt idx="0">
                  <c:v>Výdaje domácností na léky</c:v>
                </c:pt>
              </c:strCache>
            </c:strRef>
          </c:tx>
          <c:spPr>
            <a:solidFill>
              <a:schemeClr val="accent6">
                <a:lumMod val="75000"/>
              </a:schemeClr>
            </a:solidFill>
          </c:spPr>
          <c:invertIfNegative val="0"/>
          <c:dLbls>
            <c:txPr>
              <a:bodyPr/>
              <a:lstStyle/>
              <a:p>
                <a:pPr>
                  <a:defRPr>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dLbls>
          <c:cat>
            <c:strRef>
              <c:f>'G6'!$B$22:$H$22</c:f>
              <c:strCache>
                <c:ptCount val="5"/>
                <c:pt idx="0">
                  <c:v>2012</c:v>
                </c:pt>
                <c:pt idx="1">
                  <c:v>2013</c:v>
                </c:pt>
                <c:pt idx="2">
                  <c:v>2014</c:v>
                </c:pt>
                <c:pt idx="3">
                  <c:v>2015</c:v>
                </c:pt>
                <c:pt idx="4">
                  <c:v>2016</c:v>
                </c:pt>
              </c:strCache>
            </c:strRef>
          </c:cat>
          <c:val>
            <c:numRef>
              <c:f>'G6'!$B$24:$H$24</c:f>
              <c:numCache>
                <c:formatCode>0.0%</c:formatCode>
                <c:ptCount val="5"/>
                <c:pt idx="0">
                  <c:v>0.28332942727493177</c:v>
                </c:pt>
                <c:pt idx="1">
                  <c:v>0.28530444226447788</c:v>
                </c:pt>
                <c:pt idx="2">
                  <c:v>0.29265701690821033</c:v>
                </c:pt>
                <c:pt idx="3">
                  <c:v>0.29703152226902285</c:v>
                </c:pt>
                <c:pt idx="4">
                  <c:v>0.30015242835636946</c:v>
                </c:pt>
              </c:numCache>
            </c:numRef>
          </c:val>
        </c:ser>
        <c:dLbls>
          <c:showLegendKey val="0"/>
          <c:showVal val="0"/>
          <c:showCatName val="0"/>
          <c:showSerName val="0"/>
          <c:showPercent val="0"/>
          <c:showBubbleSize val="0"/>
        </c:dLbls>
        <c:gapWidth val="50"/>
        <c:overlap val="100"/>
        <c:axId val="225740800"/>
        <c:axId val="225108544"/>
      </c:barChart>
      <c:catAx>
        <c:axId val="225740800"/>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5108544"/>
        <c:crosses val="autoZero"/>
        <c:auto val="1"/>
        <c:lblAlgn val="ctr"/>
        <c:lblOffset val="100"/>
        <c:noMultiLvlLbl val="0"/>
      </c:catAx>
      <c:valAx>
        <c:axId val="225108544"/>
        <c:scaling>
          <c:orientation val="minMax"/>
          <c:max val="1"/>
        </c:scaling>
        <c:delete val="1"/>
        <c:axPos val="l"/>
        <c:majorGridlines>
          <c:spPr>
            <a:ln>
              <a:prstDash val="dash"/>
            </a:ln>
          </c:spPr>
        </c:majorGridlines>
        <c:numFmt formatCode="0.0%" sourceLinked="1"/>
        <c:majorTickMark val="out"/>
        <c:minorTickMark val="none"/>
        <c:tickLblPos val="none"/>
        <c:crossAx val="225740800"/>
        <c:crosses val="autoZero"/>
        <c:crossBetween val="between"/>
        <c:majorUnit val="0.2"/>
      </c:valAx>
      <c:spPr>
        <a:ln>
          <a:solidFill>
            <a:schemeClr val="bg1">
              <a:lumMod val="75000"/>
            </a:schemeClr>
          </a:solidFill>
        </a:ln>
      </c:spPr>
    </c:plotArea>
    <c:plotVisOnly val="1"/>
    <c:dispBlanksAs val="gap"/>
    <c:showDLblsOverMax val="0"/>
  </c:chart>
  <c:spPr>
    <a:ln>
      <a:noFill/>
    </a:ln>
  </c:spPr>
  <c:txPr>
    <a:bodyPr/>
    <a:lstStyle/>
    <a:p>
      <a:pPr>
        <a:defRPr sz="800"/>
      </a:pPr>
      <a:endParaRPr lang="cs-CZ"/>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44649514352052E-2"/>
          <c:y val="1.6546223388743085E-2"/>
          <c:w val="0.92835535048564788"/>
          <c:h val="0.71305043245433308"/>
        </c:manualLayout>
      </c:layout>
      <c:barChart>
        <c:barDir val="col"/>
        <c:grouping val="stacked"/>
        <c:varyColors val="0"/>
        <c:ser>
          <c:idx val="0"/>
          <c:order val="0"/>
          <c:tx>
            <c:strRef>
              <c:f>'3_4_7'!$A$30</c:f>
              <c:strCache>
                <c:ptCount val="1"/>
                <c:pt idx="0">
                  <c:v>Úhrady z veřejného pojištění za léky na předpis</c:v>
                </c:pt>
              </c:strCache>
            </c:strRef>
          </c:tx>
          <c:spPr>
            <a:solidFill>
              <a:srgbClr val="D96D75"/>
            </a:solidFill>
          </c:spPr>
          <c:invertIfNegative val="0"/>
          <c:dLbls>
            <c:numFmt formatCode="#,##0" sourceLinked="0"/>
            <c:txPr>
              <a:bodyPr/>
              <a:lstStyle/>
              <a:p>
                <a:pPr>
                  <a:defRPr b="1"/>
                </a:pPr>
                <a:endParaRPr lang="cs-CZ"/>
              </a:p>
            </c:txPr>
            <c:dLblPos val="ctr"/>
            <c:showLegendKey val="0"/>
            <c:showVal val="1"/>
            <c:showCatName val="0"/>
            <c:showSerName val="0"/>
            <c:showPercent val="0"/>
            <c:showBubbleSize val="0"/>
            <c:showLeaderLines val="0"/>
          </c:dLbls>
          <c:cat>
            <c:numRef>
              <c:f>'3_4_7'!$B$29:$H$29</c:f>
              <c:numCache>
                <c:formatCode>General</c:formatCode>
                <c:ptCount val="5"/>
                <c:pt idx="0">
                  <c:v>2012</c:v>
                </c:pt>
                <c:pt idx="1">
                  <c:v>2013</c:v>
                </c:pt>
                <c:pt idx="2">
                  <c:v>2014</c:v>
                </c:pt>
                <c:pt idx="3">
                  <c:v>2015</c:v>
                </c:pt>
                <c:pt idx="4">
                  <c:v>2016</c:v>
                </c:pt>
              </c:numCache>
            </c:numRef>
          </c:cat>
          <c:val>
            <c:numRef>
              <c:f>'3_4_7'!$B$30:$H$30</c:f>
              <c:numCache>
                <c:formatCode>0</c:formatCode>
                <c:ptCount val="5"/>
                <c:pt idx="0">
                  <c:v>3493.6337380018372</c:v>
                </c:pt>
                <c:pt idx="1">
                  <c:v>3144.9383222774436</c:v>
                </c:pt>
                <c:pt idx="2">
                  <c:v>3070.248421722139</c:v>
                </c:pt>
                <c:pt idx="3">
                  <c:v>3036.9407068330279</c:v>
                </c:pt>
                <c:pt idx="4">
                  <c:v>3059.1882276360498</c:v>
                </c:pt>
              </c:numCache>
            </c:numRef>
          </c:val>
        </c:ser>
        <c:ser>
          <c:idx val="1"/>
          <c:order val="1"/>
          <c:tx>
            <c:strRef>
              <c:f>'3_4_7'!$A$31</c:f>
              <c:strCache>
                <c:ptCount val="1"/>
                <c:pt idx="0">
                  <c:v>Léky spotřebované ve zdravotnických zařízeních </c:v>
                </c:pt>
              </c:strCache>
            </c:strRef>
          </c:tx>
          <c:spPr>
            <a:solidFill>
              <a:srgbClr val="0071BC"/>
            </a:solidFill>
          </c:spPr>
          <c:invertIfNegative val="0"/>
          <c:dLbls>
            <c:numFmt formatCode="#,##0" sourceLinked="0"/>
            <c:txPr>
              <a:bodyPr/>
              <a:lstStyle/>
              <a:p>
                <a:pPr>
                  <a:defRPr b="1">
                    <a:solidFill>
                      <a:schemeClr val="bg1"/>
                    </a:solidFill>
                  </a:defRPr>
                </a:pPr>
                <a:endParaRPr lang="cs-CZ"/>
              </a:p>
            </c:txPr>
            <c:dLblPos val="ctr"/>
            <c:showLegendKey val="0"/>
            <c:showVal val="1"/>
            <c:showCatName val="0"/>
            <c:showSerName val="0"/>
            <c:showPercent val="0"/>
            <c:showBubbleSize val="0"/>
            <c:showLeaderLines val="0"/>
          </c:dLbls>
          <c:cat>
            <c:numRef>
              <c:f>'3_4_7'!$B$29:$H$29</c:f>
              <c:numCache>
                <c:formatCode>General</c:formatCode>
                <c:ptCount val="5"/>
                <c:pt idx="0">
                  <c:v>2012</c:v>
                </c:pt>
                <c:pt idx="1">
                  <c:v>2013</c:v>
                </c:pt>
                <c:pt idx="2">
                  <c:v>2014</c:v>
                </c:pt>
                <c:pt idx="3">
                  <c:v>2015</c:v>
                </c:pt>
                <c:pt idx="4">
                  <c:v>2016</c:v>
                </c:pt>
              </c:numCache>
            </c:numRef>
          </c:cat>
          <c:val>
            <c:numRef>
              <c:f>'3_4_7'!$B$31:$H$31</c:f>
              <c:numCache>
                <c:formatCode>0</c:formatCode>
                <c:ptCount val="5"/>
                <c:pt idx="0">
                  <c:v>1677.4082851118003</c:v>
                </c:pt>
                <c:pt idx="1">
                  <c:v>1795.3469431419185</c:v>
                </c:pt>
                <c:pt idx="2">
                  <c:v>1944.1391258845636</c:v>
                </c:pt>
                <c:pt idx="3">
                  <c:v>2139.7849936833377</c:v>
                </c:pt>
                <c:pt idx="4">
                  <c:v>2239.9846838654098</c:v>
                </c:pt>
              </c:numCache>
            </c:numRef>
          </c:val>
        </c:ser>
        <c:dLbls>
          <c:showLegendKey val="0"/>
          <c:showVal val="0"/>
          <c:showCatName val="0"/>
          <c:showSerName val="0"/>
          <c:showPercent val="0"/>
          <c:showBubbleSize val="0"/>
        </c:dLbls>
        <c:gapWidth val="70"/>
        <c:overlap val="100"/>
        <c:axId val="225831936"/>
        <c:axId val="224443712"/>
      </c:barChart>
      <c:lineChart>
        <c:grouping val="standard"/>
        <c:varyColors val="0"/>
        <c:ser>
          <c:idx val="2"/>
          <c:order val="2"/>
          <c:tx>
            <c:strRef>
              <c:f>'3_4_7'!$A$32</c:f>
              <c:strCache>
                <c:ptCount val="1"/>
                <c:pt idx="0">
                  <c:v>Podíl výdajů za uvedené léky na výdajích zdravotních pojišťoven na zdravotní péči</c:v>
                </c:pt>
              </c:strCache>
            </c:strRef>
          </c:tx>
          <c:spPr>
            <a:ln>
              <a:solidFill>
                <a:srgbClr val="FFC000"/>
              </a:solidFill>
            </a:ln>
          </c:spPr>
          <c:marker>
            <c:spPr>
              <a:solidFill>
                <a:srgbClr val="FFC000"/>
              </a:solidFill>
            </c:spPr>
          </c:marker>
          <c:dLbls>
            <c:dLbl>
              <c:idx val="0"/>
              <c:layout>
                <c:manualLayout>
                  <c:x val="-2.9397282786460224E-2"/>
                  <c:y val="-7.7732415109553407E-2"/>
                </c:manualLayout>
              </c:layout>
              <c:dLblPos val="r"/>
              <c:showLegendKey val="0"/>
              <c:showVal val="1"/>
              <c:showCatName val="0"/>
              <c:showSerName val="0"/>
              <c:showPercent val="0"/>
              <c:showBubbleSize val="0"/>
            </c:dLbl>
            <c:dLbl>
              <c:idx val="2"/>
              <c:layout>
                <c:manualLayout>
                  <c:x val="-4.9660707305203979E-2"/>
                  <c:y val="-2.3395946979981697E-2"/>
                </c:manualLayout>
              </c:layout>
              <c:dLblPos val="r"/>
              <c:showLegendKey val="0"/>
              <c:showVal val="1"/>
              <c:showCatName val="0"/>
              <c:showSerName val="0"/>
              <c:showPercent val="0"/>
              <c:showBubbleSize val="0"/>
            </c:dLbl>
            <c:dLbl>
              <c:idx val="4"/>
              <c:layout>
                <c:manualLayout>
                  <c:x val="-9.1338582677165329E-3"/>
                  <c:y val="-1.5036490344663042E-2"/>
                </c:manualLayout>
              </c:layout>
              <c:dLblPos val="r"/>
              <c:showLegendKey val="0"/>
              <c:showVal val="1"/>
              <c:showCatName val="0"/>
              <c:showSerName val="0"/>
              <c:showPercent val="0"/>
              <c:showBubbleSize val="0"/>
            </c:dLbl>
            <c:numFmt formatCode="0.0%" sourceLinked="0"/>
            <c:txPr>
              <a:bodyPr/>
              <a:lstStyle/>
              <a:p>
                <a:pPr>
                  <a:defRPr b="1">
                    <a:solidFill>
                      <a:sysClr val="windowText" lastClr="000000"/>
                    </a:solidFill>
                  </a:defRPr>
                </a:pPr>
                <a:endParaRPr lang="cs-CZ"/>
              </a:p>
            </c:txPr>
            <c:dLblPos val="t"/>
            <c:showLegendKey val="0"/>
            <c:showVal val="1"/>
            <c:showCatName val="0"/>
            <c:showSerName val="0"/>
            <c:showPercent val="0"/>
            <c:showBubbleSize val="0"/>
            <c:showLeaderLines val="0"/>
          </c:dLbls>
          <c:cat>
            <c:numRef>
              <c:f>'3_4_7'!$B$29:$L$29</c:f>
              <c:numCache>
                <c:formatCode>General</c:formatCode>
                <c:ptCount val="9"/>
                <c:pt idx="0">
                  <c:v>2012</c:v>
                </c:pt>
                <c:pt idx="1">
                  <c:v>2013</c:v>
                </c:pt>
                <c:pt idx="2">
                  <c:v>2014</c:v>
                </c:pt>
                <c:pt idx="3">
                  <c:v>2015</c:v>
                </c:pt>
                <c:pt idx="4">
                  <c:v>2016</c:v>
                </c:pt>
              </c:numCache>
            </c:numRef>
          </c:cat>
          <c:val>
            <c:numRef>
              <c:f>'3_4_7'!$B$32:$H$32</c:f>
              <c:numCache>
                <c:formatCode>0%</c:formatCode>
                <c:ptCount val="5"/>
                <c:pt idx="0">
                  <c:v>0.22857151605014453</c:v>
                </c:pt>
                <c:pt idx="1">
                  <c:v>0.21544869956341461</c:v>
                </c:pt>
                <c:pt idx="2">
                  <c:v>0.22253271382762024</c:v>
                </c:pt>
                <c:pt idx="3">
                  <c:v>0.22993138135905875</c:v>
                </c:pt>
                <c:pt idx="4">
                  <c:v>0.23288894274153929</c:v>
                </c:pt>
              </c:numCache>
            </c:numRef>
          </c:val>
          <c:smooth val="0"/>
        </c:ser>
        <c:dLbls>
          <c:showLegendKey val="0"/>
          <c:showVal val="0"/>
          <c:showCatName val="0"/>
          <c:showSerName val="0"/>
          <c:showPercent val="0"/>
          <c:showBubbleSize val="0"/>
        </c:dLbls>
        <c:marker val="1"/>
        <c:smooth val="0"/>
        <c:axId val="230662144"/>
        <c:axId val="225110848"/>
      </c:lineChart>
      <c:catAx>
        <c:axId val="225831936"/>
        <c:scaling>
          <c:orientation val="minMax"/>
        </c:scaling>
        <c:delete val="0"/>
        <c:axPos val="b"/>
        <c:numFmt formatCode="General" sourceLinked="1"/>
        <c:majorTickMark val="out"/>
        <c:minorTickMark val="none"/>
        <c:tickLblPos val="nextTo"/>
        <c:spPr>
          <a:ln>
            <a:solidFill>
              <a:schemeClr val="bg1">
                <a:lumMod val="75000"/>
              </a:schemeClr>
            </a:solidFill>
          </a:ln>
        </c:spPr>
        <c:crossAx val="224443712"/>
        <c:crosses val="autoZero"/>
        <c:auto val="1"/>
        <c:lblAlgn val="ctr"/>
        <c:lblOffset val="100"/>
        <c:noMultiLvlLbl val="0"/>
      </c:catAx>
      <c:valAx>
        <c:axId val="224443712"/>
        <c:scaling>
          <c:orientation val="minMax"/>
          <c:max val="6500"/>
        </c:scaling>
        <c:delete val="0"/>
        <c:axPos val="l"/>
        <c:majorGridlines>
          <c:spPr>
            <a:ln>
              <a:solidFill>
                <a:sysClr val="window" lastClr="FFFFFF">
                  <a:lumMod val="75000"/>
                </a:sysClr>
              </a:solidFill>
              <a:prstDash val="dash"/>
            </a:ln>
          </c:spPr>
        </c:majorGridlines>
        <c:numFmt formatCode="0" sourceLinked="1"/>
        <c:majorTickMark val="out"/>
        <c:minorTickMark val="none"/>
        <c:tickLblPos val="nextTo"/>
        <c:spPr>
          <a:ln>
            <a:solidFill>
              <a:schemeClr val="bg1">
                <a:lumMod val="75000"/>
              </a:schemeClr>
            </a:solidFill>
          </a:ln>
        </c:spPr>
        <c:crossAx val="225831936"/>
        <c:crosses val="autoZero"/>
        <c:crossBetween val="between"/>
        <c:majorUnit val="500"/>
        <c:minorUnit val="100"/>
      </c:valAx>
      <c:valAx>
        <c:axId val="225110848"/>
        <c:scaling>
          <c:orientation val="minMax"/>
          <c:max val="0.26"/>
          <c:min val="0"/>
        </c:scaling>
        <c:delete val="0"/>
        <c:axPos val="r"/>
        <c:numFmt formatCode="0%" sourceLinked="1"/>
        <c:majorTickMark val="out"/>
        <c:minorTickMark val="none"/>
        <c:tickLblPos val="nextTo"/>
        <c:crossAx val="230662144"/>
        <c:crosses val="max"/>
        <c:crossBetween val="between"/>
        <c:majorUnit val="2.0000000000000011E-2"/>
      </c:valAx>
      <c:catAx>
        <c:axId val="230662144"/>
        <c:scaling>
          <c:orientation val="minMax"/>
        </c:scaling>
        <c:delete val="1"/>
        <c:axPos val="b"/>
        <c:numFmt formatCode="General" sourceLinked="1"/>
        <c:majorTickMark val="out"/>
        <c:minorTickMark val="none"/>
        <c:tickLblPos val="none"/>
        <c:crossAx val="225110848"/>
        <c:crosses val="autoZero"/>
        <c:auto val="1"/>
        <c:lblAlgn val="ctr"/>
        <c:lblOffset val="100"/>
        <c:noMultiLvlLbl val="0"/>
      </c:catAx>
      <c:spPr>
        <a:ln>
          <a:solidFill>
            <a:sysClr val="window" lastClr="FFFFFF">
              <a:lumMod val="75000"/>
            </a:sysClr>
          </a:solidFill>
        </a:ln>
      </c:spPr>
    </c:plotArea>
    <c:legend>
      <c:legendPos val="b"/>
      <c:layout>
        <c:manualLayout>
          <c:xMode val="edge"/>
          <c:yMode val="edge"/>
          <c:x val="9.8472073156460602E-2"/>
          <c:y val="0.8184815656432205"/>
          <c:w val="0.84551856495645006"/>
          <c:h val="0.18151843435677945"/>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87300307934008E-2"/>
          <c:y val="2.0682779235928837E-2"/>
          <c:w val="0.9089235571125337"/>
          <c:h val="0.79419244292576641"/>
        </c:manualLayout>
      </c:layout>
      <c:barChart>
        <c:barDir val="col"/>
        <c:grouping val="stacked"/>
        <c:varyColors val="0"/>
        <c:ser>
          <c:idx val="0"/>
          <c:order val="0"/>
          <c:tx>
            <c:strRef>
              <c:f>'3_4_8'!$A$16</c:f>
              <c:strCache>
                <c:ptCount val="1"/>
                <c:pt idx="0">
                  <c:v>Lůžková péče</c:v>
                </c:pt>
              </c:strCache>
            </c:strRef>
          </c:tx>
          <c:spPr>
            <a:solidFill>
              <a:srgbClr val="D96D75"/>
            </a:solidFill>
          </c:spPr>
          <c:invertIfNegative val="0"/>
          <c:dLbls>
            <c:showLegendKey val="0"/>
            <c:showVal val="1"/>
            <c:showCatName val="0"/>
            <c:showSerName val="0"/>
            <c:showPercent val="0"/>
            <c:showBubbleSize val="0"/>
            <c:showLeaderLines val="0"/>
          </c:dLbls>
          <c:cat>
            <c:numRef>
              <c:f>'3_4_8'!$B$15:$H$15</c:f>
              <c:numCache>
                <c:formatCode>General</c:formatCode>
                <c:ptCount val="5"/>
                <c:pt idx="0">
                  <c:v>2012</c:v>
                </c:pt>
                <c:pt idx="1">
                  <c:v>2013</c:v>
                </c:pt>
                <c:pt idx="2">
                  <c:v>2014</c:v>
                </c:pt>
                <c:pt idx="3">
                  <c:v>2015</c:v>
                </c:pt>
                <c:pt idx="4">
                  <c:v>2016</c:v>
                </c:pt>
              </c:numCache>
            </c:numRef>
          </c:cat>
          <c:val>
            <c:numRef>
              <c:f>'3_4_8'!$B$16:$H$16</c:f>
              <c:numCache>
                <c:formatCode>#,##0</c:formatCode>
                <c:ptCount val="5"/>
                <c:pt idx="0">
                  <c:v>7866.3610000000044</c:v>
                </c:pt>
                <c:pt idx="1">
                  <c:v>9411.6919999999918</c:v>
                </c:pt>
                <c:pt idx="2">
                  <c:v>11120.424999999992</c:v>
                </c:pt>
                <c:pt idx="3">
                  <c:v>11836.036</c:v>
                </c:pt>
                <c:pt idx="4">
                  <c:v>14188.12</c:v>
                </c:pt>
              </c:numCache>
            </c:numRef>
          </c:val>
        </c:ser>
        <c:ser>
          <c:idx val="1"/>
          <c:order val="1"/>
          <c:tx>
            <c:strRef>
              <c:f>'3_4_8'!$A$17</c:f>
              <c:strCache>
                <c:ptCount val="1"/>
                <c:pt idx="0">
                  <c:v>Ambulantní péče</c:v>
                </c:pt>
              </c:strCache>
            </c:strRef>
          </c:tx>
          <c:spPr>
            <a:solidFill>
              <a:srgbClr val="0071BC"/>
            </a:solidFill>
          </c:spPr>
          <c:invertIfNegative val="0"/>
          <c:dLbls>
            <c:txPr>
              <a:bodyPr/>
              <a:lstStyle/>
              <a:p>
                <a:pPr>
                  <a:defRPr>
                    <a:solidFill>
                      <a:schemeClr val="bg1"/>
                    </a:solidFill>
                  </a:defRPr>
                </a:pPr>
                <a:endParaRPr lang="cs-CZ"/>
              </a:p>
            </c:txPr>
            <c:showLegendKey val="0"/>
            <c:showVal val="1"/>
            <c:showCatName val="0"/>
            <c:showSerName val="0"/>
            <c:showPercent val="0"/>
            <c:showBubbleSize val="0"/>
            <c:showLeaderLines val="0"/>
          </c:dLbls>
          <c:cat>
            <c:numRef>
              <c:f>'3_4_8'!$B$15:$H$15</c:f>
              <c:numCache>
                <c:formatCode>General</c:formatCode>
                <c:ptCount val="5"/>
                <c:pt idx="0">
                  <c:v>2012</c:v>
                </c:pt>
                <c:pt idx="1">
                  <c:v>2013</c:v>
                </c:pt>
                <c:pt idx="2">
                  <c:v>2014</c:v>
                </c:pt>
                <c:pt idx="3">
                  <c:v>2015</c:v>
                </c:pt>
                <c:pt idx="4">
                  <c:v>2016</c:v>
                </c:pt>
              </c:numCache>
            </c:numRef>
          </c:cat>
          <c:val>
            <c:numRef>
              <c:f>'3_4_8'!$B$17:$H$17</c:f>
              <c:numCache>
                <c:formatCode>0</c:formatCode>
                <c:ptCount val="5"/>
                <c:pt idx="0">
                  <c:v>652.31399999999996</c:v>
                </c:pt>
                <c:pt idx="1">
                  <c:v>782.34999999999957</c:v>
                </c:pt>
                <c:pt idx="2">
                  <c:v>862.45199999999954</c:v>
                </c:pt>
                <c:pt idx="3">
                  <c:v>945.25</c:v>
                </c:pt>
                <c:pt idx="4" formatCode="#,##0">
                  <c:v>1087.855</c:v>
                </c:pt>
              </c:numCache>
            </c:numRef>
          </c:val>
        </c:ser>
        <c:dLbls>
          <c:showLegendKey val="0"/>
          <c:showVal val="0"/>
          <c:showCatName val="0"/>
          <c:showSerName val="0"/>
          <c:showPercent val="0"/>
          <c:showBubbleSize val="0"/>
        </c:dLbls>
        <c:gapWidth val="70"/>
        <c:overlap val="100"/>
        <c:axId val="230663680"/>
        <c:axId val="225109696"/>
      </c:barChart>
      <c:catAx>
        <c:axId val="230663680"/>
        <c:scaling>
          <c:orientation val="minMax"/>
        </c:scaling>
        <c:delete val="0"/>
        <c:axPos val="b"/>
        <c:numFmt formatCode="General" sourceLinked="1"/>
        <c:majorTickMark val="out"/>
        <c:minorTickMark val="none"/>
        <c:tickLblPos val="nextTo"/>
        <c:spPr>
          <a:ln>
            <a:solidFill>
              <a:schemeClr val="bg1">
                <a:lumMod val="75000"/>
              </a:schemeClr>
            </a:solidFill>
          </a:ln>
        </c:spPr>
        <c:crossAx val="225109696"/>
        <c:crosses val="autoZero"/>
        <c:auto val="1"/>
        <c:lblAlgn val="ctr"/>
        <c:lblOffset val="100"/>
        <c:noMultiLvlLbl val="0"/>
      </c:catAx>
      <c:valAx>
        <c:axId val="225109696"/>
        <c:scaling>
          <c:orientation val="minMax"/>
          <c:max val="16000"/>
        </c:scaling>
        <c:delete val="0"/>
        <c:axPos val="l"/>
        <c:majorGridlines>
          <c:spPr>
            <a:ln>
              <a:solidFill>
                <a:sysClr val="window" lastClr="FFFFFF">
                  <a:lumMod val="75000"/>
                </a:sysClr>
              </a:solidFill>
              <a:prstDash val="dash"/>
            </a:ln>
          </c:spPr>
        </c:majorGridlines>
        <c:numFmt formatCode="#,##0" sourceLinked="1"/>
        <c:majorTickMark val="out"/>
        <c:minorTickMark val="none"/>
        <c:tickLblPos val="nextTo"/>
        <c:spPr>
          <a:ln>
            <a:solidFill>
              <a:schemeClr val="bg1">
                <a:lumMod val="75000"/>
              </a:schemeClr>
            </a:solidFill>
          </a:ln>
        </c:spPr>
        <c:crossAx val="230663680"/>
        <c:crosses val="autoZero"/>
        <c:crossBetween val="between"/>
        <c:majorUnit val="4000"/>
      </c:valAx>
      <c:spPr>
        <a:ln>
          <a:solidFill>
            <a:sysClr val="window" lastClr="FFFFFF">
              <a:lumMod val="75000"/>
            </a:sys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212688224410729E-2"/>
          <c:y val="3.5392535392535389E-2"/>
          <c:w val="0.91009949914690769"/>
          <c:h val="0.76958063061500614"/>
        </c:manualLayout>
      </c:layout>
      <c:barChart>
        <c:barDir val="col"/>
        <c:grouping val="clustered"/>
        <c:varyColors val="0"/>
        <c:ser>
          <c:idx val="1"/>
          <c:order val="1"/>
          <c:tx>
            <c:strRef>
              <c:f>graf4.1!$C$3</c:f>
              <c:strCache>
                <c:ptCount val="1"/>
                <c:pt idx="0">
                  <c:v>2016</c:v>
                </c:pt>
              </c:strCache>
            </c:strRef>
          </c:tx>
          <c:spPr>
            <a:solidFill>
              <a:srgbClr val="D96D75"/>
            </a:solidFill>
            <a:ln>
              <a:solidFill>
                <a:srgbClr val="953735"/>
              </a:solidFill>
            </a:ln>
          </c:spPr>
          <c:invertIfNegative val="0"/>
          <c:dPt>
            <c:idx val="15"/>
            <c:invertIfNegative val="0"/>
            <c:bubble3D val="0"/>
            <c:spPr>
              <a:solidFill>
                <a:srgbClr val="9E2A3D"/>
              </a:solidFill>
              <a:ln>
                <a:solidFill>
                  <a:srgbClr val="953735"/>
                </a:solidFill>
              </a:ln>
            </c:spPr>
          </c:dPt>
          <c:cat>
            <c:strRef>
              <c:f>graf4.1!$A$4:$A$36</c:f>
              <c:strCache>
                <c:ptCount val="33"/>
                <c:pt idx="0">
                  <c:v>Spojené státy</c:v>
                </c:pt>
                <c:pt idx="1">
                  <c:v>Švýcarsko</c:v>
                </c:pt>
                <c:pt idx="2">
                  <c:v>Lucembursko</c:v>
                </c:pt>
                <c:pt idx="3">
                  <c:v>Norsko</c:v>
                </c:pt>
                <c:pt idx="4">
                  <c:v>Německo</c:v>
                </c:pt>
                <c:pt idx="5">
                  <c:v>Švédsko</c:v>
                </c:pt>
                <c:pt idx="6">
                  <c:v>Nizozemsko</c:v>
                </c:pt>
                <c:pt idx="7">
                  <c:v>Rakousko</c:v>
                </c:pt>
                <c:pt idx="8">
                  <c:v>Dánsko</c:v>
                </c:pt>
                <c:pt idx="9">
                  <c:v>Belgie</c:v>
                </c:pt>
                <c:pt idx="10">
                  <c:v>Francie</c:v>
                </c:pt>
                <c:pt idx="11">
                  <c:v>Japonsko</c:v>
                </c:pt>
                <c:pt idx="12">
                  <c:v>Island</c:v>
                </c:pt>
                <c:pt idx="13">
                  <c:v>Velká Británie</c:v>
                </c:pt>
                <c:pt idx="14">
                  <c:v>Finsko</c:v>
                </c:pt>
                <c:pt idx="15">
                  <c:v>OECD</c:v>
                </c:pt>
                <c:pt idx="16">
                  <c:v>Itálie</c:v>
                </c:pt>
                <c:pt idx="17">
                  <c:v>Španělsko</c:v>
                </c:pt>
                <c:pt idx="18">
                  <c:v>Slovinsko</c:v>
                </c:pt>
                <c:pt idx="19">
                  <c:v>Izrael</c:v>
                </c:pt>
                <c:pt idx="20">
                  <c:v>Portugalsko</c:v>
                </c:pt>
                <c:pt idx="21">
                  <c:v>Korea</c:v>
                </c:pt>
                <c:pt idx="22">
                  <c:v>Česko</c:v>
                </c:pt>
                <c:pt idx="23">
                  <c:v>Řecko</c:v>
                </c:pt>
                <c:pt idx="24">
                  <c:v>Slovensko</c:v>
                </c:pt>
                <c:pt idx="25">
                  <c:v>Maďarsko</c:v>
                </c:pt>
                <c:pt idx="26">
                  <c:v>Estonsko</c:v>
                </c:pt>
                <c:pt idx="27">
                  <c:v>Polsko</c:v>
                </c:pt>
                <c:pt idx="28">
                  <c:v>Litva</c:v>
                </c:pt>
                <c:pt idx="29">
                  <c:v>Lotyšsko</c:v>
                </c:pt>
                <c:pt idx="30">
                  <c:v>Chorvatsko</c:v>
                </c:pt>
                <c:pt idx="31">
                  <c:v>Turecko</c:v>
                </c:pt>
                <c:pt idx="32">
                  <c:v>Mexiko</c:v>
                </c:pt>
              </c:strCache>
            </c:strRef>
          </c:cat>
          <c:val>
            <c:numRef>
              <c:f>graf4.1!$C$4:$C$36</c:f>
              <c:numCache>
                <c:formatCode>#,##0</c:formatCode>
                <c:ptCount val="33"/>
                <c:pt idx="0">
                  <c:v>9892</c:v>
                </c:pt>
                <c:pt idx="1">
                  <c:v>7919</c:v>
                </c:pt>
                <c:pt idx="2">
                  <c:v>7462.8</c:v>
                </c:pt>
                <c:pt idx="3">
                  <c:v>6647.5</c:v>
                </c:pt>
                <c:pt idx="4">
                  <c:v>5552</c:v>
                </c:pt>
                <c:pt idx="5">
                  <c:v>5488</c:v>
                </c:pt>
                <c:pt idx="6">
                  <c:v>5385.4</c:v>
                </c:pt>
                <c:pt idx="7">
                  <c:v>5227.3</c:v>
                </c:pt>
                <c:pt idx="8">
                  <c:v>5205</c:v>
                </c:pt>
                <c:pt idx="9">
                  <c:v>4839.8</c:v>
                </c:pt>
                <c:pt idx="10">
                  <c:v>4600</c:v>
                </c:pt>
                <c:pt idx="11">
                  <c:v>4519.3</c:v>
                </c:pt>
                <c:pt idx="12">
                  <c:v>4376</c:v>
                </c:pt>
                <c:pt idx="13">
                  <c:v>4192.5</c:v>
                </c:pt>
                <c:pt idx="14">
                  <c:v>4033.4</c:v>
                </c:pt>
                <c:pt idx="15">
                  <c:v>4003</c:v>
                </c:pt>
                <c:pt idx="16">
                  <c:v>3391.2</c:v>
                </c:pt>
                <c:pt idx="17">
                  <c:v>3248.4</c:v>
                </c:pt>
                <c:pt idx="18">
                  <c:v>2834.8</c:v>
                </c:pt>
                <c:pt idx="19">
                  <c:v>2822.3</c:v>
                </c:pt>
                <c:pt idx="20">
                  <c:v>2734.4</c:v>
                </c:pt>
                <c:pt idx="21">
                  <c:v>2728.8</c:v>
                </c:pt>
                <c:pt idx="22">
                  <c:v>2544.3000000000002</c:v>
                </c:pt>
                <c:pt idx="23">
                  <c:v>2223</c:v>
                </c:pt>
                <c:pt idx="24">
                  <c:v>2149.5</c:v>
                </c:pt>
                <c:pt idx="25">
                  <c:v>2101.1</c:v>
                </c:pt>
                <c:pt idx="26">
                  <c:v>1989</c:v>
                </c:pt>
                <c:pt idx="27">
                  <c:v>1797.8</c:v>
                </c:pt>
                <c:pt idx="28">
                  <c:v>1466.3</c:v>
                </c:pt>
                <c:pt idx="29">
                  <c:v>1466</c:v>
                </c:pt>
                <c:pt idx="30">
                  <c:v>1108.6032297361658</c:v>
                </c:pt>
                <c:pt idx="31">
                  <c:v>1087.5</c:v>
                </c:pt>
                <c:pt idx="32">
                  <c:v>1080.3</c:v>
                </c:pt>
              </c:numCache>
            </c:numRef>
          </c:val>
        </c:ser>
        <c:dLbls>
          <c:showLegendKey val="0"/>
          <c:showVal val="0"/>
          <c:showCatName val="0"/>
          <c:showSerName val="0"/>
          <c:showPercent val="0"/>
          <c:showBubbleSize val="0"/>
        </c:dLbls>
        <c:gapWidth val="50"/>
        <c:axId val="231268352"/>
        <c:axId val="225115456"/>
      </c:barChart>
      <c:barChart>
        <c:barDir val="col"/>
        <c:grouping val="clustered"/>
        <c:varyColors val="0"/>
        <c:ser>
          <c:idx val="0"/>
          <c:order val="0"/>
          <c:tx>
            <c:strRef>
              <c:f>graf4.1!$B$3</c:f>
              <c:strCache>
                <c:ptCount val="1"/>
                <c:pt idx="0">
                  <c:v> 2010</c:v>
                </c:pt>
              </c:strCache>
            </c:strRef>
          </c:tx>
          <c:spPr>
            <a:solidFill>
              <a:srgbClr val="0071BC"/>
            </a:solidFill>
            <a:ln>
              <a:solidFill>
                <a:srgbClr val="376092"/>
              </a:solidFill>
            </a:ln>
          </c:spPr>
          <c:invertIfNegative val="0"/>
          <c:cat>
            <c:strRef>
              <c:f>graf4.1!$A$4:$A$36</c:f>
              <c:strCache>
                <c:ptCount val="33"/>
                <c:pt idx="0">
                  <c:v>Spojené státy</c:v>
                </c:pt>
                <c:pt idx="1">
                  <c:v>Švýcarsko</c:v>
                </c:pt>
                <c:pt idx="2">
                  <c:v>Lucembursko</c:v>
                </c:pt>
                <c:pt idx="3">
                  <c:v>Norsko</c:v>
                </c:pt>
                <c:pt idx="4">
                  <c:v>Německo</c:v>
                </c:pt>
                <c:pt idx="5">
                  <c:v>Švédsko</c:v>
                </c:pt>
                <c:pt idx="6">
                  <c:v>Nizozemsko</c:v>
                </c:pt>
                <c:pt idx="7">
                  <c:v>Rakousko</c:v>
                </c:pt>
                <c:pt idx="8">
                  <c:v>Dánsko</c:v>
                </c:pt>
                <c:pt idx="9">
                  <c:v>Belgie</c:v>
                </c:pt>
                <c:pt idx="10">
                  <c:v>Francie</c:v>
                </c:pt>
                <c:pt idx="11">
                  <c:v>Japonsko</c:v>
                </c:pt>
                <c:pt idx="12">
                  <c:v>Island</c:v>
                </c:pt>
                <c:pt idx="13">
                  <c:v>Velká Británie</c:v>
                </c:pt>
                <c:pt idx="14">
                  <c:v>Finsko</c:v>
                </c:pt>
                <c:pt idx="15">
                  <c:v>OECD</c:v>
                </c:pt>
                <c:pt idx="16">
                  <c:v>Itálie</c:v>
                </c:pt>
                <c:pt idx="17">
                  <c:v>Španělsko</c:v>
                </c:pt>
                <c:pt idx="18">
                  <c:v>Slovinsko</c:v>
                </c:pt>
                <c:pt idx="19">
                  <c:v>Izrael</c:v>
                </c:pt>
                <c:pt idx="20">
                  <c:v>Portugalsko</c:v>
                </c:pt>
                <c:pt idx="21">
                  <c:v>Korea</c:v>
                </c:pt>
                <c:pt idx="22">
                  <c:v>Česko</c:v>
                </c:pt>
                <c:pt idx="23">
                  <c:v>Řecko</c:v>
                </c:pt>
                <c:pt idx="24">
                  <c:v>Slovensko</c:v>
                </c:pt>
                <c:pt idx="25">
                  <c:v>Maďarsko</c:v>
                </c:pt>
                <c:pt idx="26">
                  <c:v>Estonsko</c:v>
                </c:pt>
                <c:pt idx="27">
                  <c:v>Polsko</c:v>
                </c:pt>
                <c:pt idx="28">
                  <c:v>Litva</c:v>
                </c:pt>
                <c:pt idx="29">
                  <c:v>Lotyšsko</c:v>
                </c:pt>
                <c:pt idx="30">
                  <c:v>Chorvatsko</c:v>
                </c:pt>
                <c:pt idx="31">
                  <c:v>Turecko</c:v>
                </c:pt>
                <c:pt idx="32">
                  <c:v>Mexiko</c:v>
                </c:pt>
              </c:strCache>
            </c:strRef>
          </c:cat>
          <c:val>
            <c:numRef>
              <c:f>graf4.1!$B$4:$B$36</c:f>
              <c:numCache>
                <c:formatCode>#,##0</c:formatCode>
                <c:ptCount val="33"/>
                <c:pt idx="0">
                  <c:v>7932</c:v>
                </c:pt>
                <c:pt idx="1">
                  <c:v>5686.3</c:v>
                </c:pt>
                <c:pt idx="2">
                  <c:v>6386.5</c:v>
                </c:pt>
                <c:pt idx="3">
                  <c:v>5167.6000000000004</c:v>
                </c:pt>
                <c:pt idx="4">
                  <c:v>4413</c:v>
                </c:pt>
                <c:pt idx="5">
                  <c:v>2894.0274379502462</c:v>
                </c:pt>
                <c:pt idx="6">
                  <c:v>4638.2</c:v>
                </c:pt>
                <c:pt idx="7">
                  <c:v>4237.7</c:v>
                </c:pt>
                <c:pt idx="8">
                  <c:v>4470.1000000000004</c:v>
                </c:pt>
                <c:pt idx="9">
                  <c:v>3980</c:v>
                </c:pt>
                <c:pt idx="10">
                  <c:v>3872</c:v>
                </c:pt>
                <c:pt idx="11">
                  <c:v>3204.9</c:v>
                </c:pt>
                <c:pt idx="12">
                  <c:v>2524.4431275543434</c:v>
                </c:pt>
                <c:pt idx="13">
                  <c:v>3040.7</c:v>
                </c:pt>
                <c:pt idx="14">
                  <c:v>3442.1</c:v>
                </c:pt>
                <c:pt idx="16">
                  <c:v>3140.5</c:v>
                </c:pt>
                <c:pt idx="17">
                  <c:v>2885.7</c:v>
                </c:pt>
                <c:pt idx="18">
                  <c:v>2379.5</c:v>
                </c:pt>
                <c:pt idx="19">
                  <c:v>2033.6</c:v>
                </c:pt>
                <c:pt idx="20">
                  <c:v>2686.7</c:v>
                </c:pt>
                <c:pt idx="21">
                  <c:v>1976</c:v>
                </c:pt>
                <c:pt idx="22">
                  <c:v>1920.5</c:v>
                </c:pt>
                <c:pt idx="23">
                  <c:v>2696.2</c:v>
                </c:pt>
                <c:pt idx="24">
                  <c:v>1951.1</c:v>
                </c:pt>
                <c:pt idx="25">
                  <c:v>1622.5</c:v>
                </c:pt>
                <c:pt idx="26">
                  <c:v>1369.6</c:v>
                </c:pt>
                <c:pt idx="27">
                  <c:v>1353.7</c:v>
                </c:pt>
                <c:pt idx="28">
                  <c:v>1081.7</c:v>
                </c:pt>
                <c:pt idx="29">
                  <c:v>821.22208321551386</c:v>
                </c:pt>
                <c:pt idx="30">
                  <c:v>1152.3237085070627</c:v>
                </c:pt>
                <c:pt idx="31">
                  <c:v>872.5</c:v>
                </c:pt>
                <c:pt idx="32">
                  <c:v>911.4</c:v>
                </c:pt>
              </c:numCache>
            </c:numRef>
          </c:val>
        </c:ser>
        <c:dLbls>
          <c:showLegendKey val="0"/>
          <c:showVal val="0"/>
          <c:showCatName val="0"/>
          <c:showSerName val="0"/>
          <c:showPercent val="0"/>
          <c:showBubbleSize val="0"/>
        </c:dLbls>
        <c:gapWidth val="250"/>
        <c:axId val="231269376"/>
        <c:axId val="231407616"/>
      </c:barChart>
      <c:catAx>
        <c:axId val="231268352"/>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25115456"/>
        <c:crosses val="autoZero"/>
        <c:auto val="1"/>
        <c:lblAlgn val="ctr"/>
        <c:lblOffset val="100"/>
        <c:noMultiLvlLbl val="0"/>
      </c:catAx>
      <c:valAx>
        <c:axId val="225115456"/>
        <c:scaling>
          <c:orientation val="minMax"/>
          <c:max val="10000"/>
        </c:scaling>
        <c:delete val="0"/>
        <c:axPos val="l"/>
        <c:majorGridlines>
          <c:spPr>
            <a:ln>
              <a:solidFill>
                <a:sysClr val="window" lastClr="FFFFFF">
                  <a:lumMod val="75000"/>
                </a:sysClr>
              </a:solidFill>
            </a:ln>
          </c:spPr>
        </c:majorGridlines>
        <c:numFmt formatCode="#,##0" sourceLinked="1"/>
        <c:majorTickMark val="out"/>
        <c:minorTickMark val="none"/>
        <c:tickLblPos val="nextTo"/>
        <c:spPr>
          <a:ln>
            <a:solidFill>
              <a:sysClr val="window" lastClr="FFFFFF">
                <a:lumMod val="75000"/>
              </a:sysClr>
            </a:solidFill>
          </a:ln>
        </c:spPr>
        <c:txPr>
          <a:bodyPr/>
          <a:lstStyle/>
          <a:p>
            <a:pPr>
              <a:defRPr sz="800">
                <a:latin typeface="Arial" panose="020B0604020202020204" pitchFamily="34" charset="0"/>
                <a:cs typeface="Arial" panose="020B0604020202020204" pitchFamily="34" charset="0"/>
              </a:defRPr>
            </a:pPr>
            <a:endParaRPr lang="cs-CZ"/>
          </a:p>
        </c:txPr>
        <c:crossAx val="231268352"/>
        <c:crosses val="autoZero"/>
        <c:crossBetween val="between"/>
        <c:majorUnit val="1000"/>
        <c:minorUnit val="500"/>
      </c:valAx>
      <c:valAx>
        <c:axId val="231407616"/>
        <c:scaling>
          <c:orientation val="minMax"/>
        </c:scaling>
        <c:delete val="1"/>
        <c:axPos val="r"/>
        <c:numFmt formatCode="#,##0" sourceLinked="1"/>
        <c:majorTickMark val="out"/>
        <c:minorTickMark val="none"/>
        <c:tickLblPos val="none"/>
        <c:crossAx val="231269376"/>
        <c:crosses val="max"/>
        <c:crossBetween val="between"/>
      </c:valAx>
      <c:catAx>
        <c:axId val="231269376"/>
        <c:scaling>
          <c:orientation val="minMax"/>
        </c:scaling>
        <c:delete val="1"/>
        <c:axPos val="b"/>
        <c:majorTickMark val="out"/>
        <c:minorTickMark val="none"/>
        <c:tickLblPos val="none"/>
        <c:crossAx val="231407616"/>
        <c:crosses val="autoZero"/>
        <c:auto val="1"/>
        <c:lblAlgn val="ctr"/>
        <c:lblOffset val="100"/>
        <c:noMultiLvlLbl val="0"/>
      </c:catAx>
    </c:plotArea>
    <c:legend>
      <c:legendPos val="b"/>
      <c:layout>
        <c:manualLayout>
          <c:xMode val="edge"/>
          <c:yMode val="edge"/>
          <c:x val="0.8331354355353473"/>
          <c:y val="5.8158686360000968E-2"/>
          <c:w val="0.13498092081212867"/>
          <c:h val="4.3599384878652281E-2"/>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08343192852201E-2"/>
          <c:y val="2.5931155157329504E-2"/>
          <c:w val="0.91663974370353463"/>
          <c:h val="0.72695809575527215"/>
        </c:manualLayout>
      </c:layout>
      <c:barChart>
        <c:barDir val="col"/>
        <c:grouping val="clustered"/>
        <c:varyColors val="0"/>
        <c:ser>
          <c:idx val="0"/>
          <c:order val="0"/>
          <c:tx>
            <c:strRef>
              <c:f>graf4.2!$B$3</c:f>
              <c:strCache>
                <c:ptCount val="1"/>
                <c:pt idx="0">
                  <c:v> 2005-09</c:v>
                </c:pt>
              </c:strCache>
            </c:strRef>
          </c:tx>
          <c:spPr>
            <a:solidFill>
              <a:srgbClr val="0071BC"/>
            </a:solidFill>
            <a:ln>
              <a:solidFill>
                <a:srgbClr val="376092"/>
              </a:solidFill>
            </a:ln>
          </c:spPr>
          <c:invertIfNegative val="0"/>
          <c:cat>
            <c:strRef>
              <c:f>graf4.2!$A$4:$A$33</c:f>
              <c:strCache>
                <c:ptCount val="30"/>
                <c:pt idx="0">
                  <c:v>Estonsko</c:v>
                </c:pt>
                <c:pt idx="1">
                  <c:v>Polsko</c:v>
                </c:pt>
                <c:pt idx="2">
                  <c:v>Švýcarsko</c:v>
                </c:pt>
                <c:pt idx="3">
                  <c:v>Rakousko</c:v>
                </c:pt>
                <c:pt idx="4">
                  <c:v>Maďarsko</c:v>
                </c:pt>
                <c:pt idx="5">
                  <c:v>Lotyšsko</c:v>
                </c:pt>
                <c:pt idx="6">
                  <c:v>Spojené státy</c:v>
                </c:pt>
                <c:pt idx="7">
                  <c:v>Slovensko</c:v>
                </c:pt>
                <c:pt idx="8">
                  <c:v>Norsko</c:v>
                </c:pt>
                <c:pt idx="9">
                  <c:v>Německo</c:v>
                </c:pt>
                <c:pt idx="10">
                  <c:v>Japonsko</c:v>
                </c:pt>
                <c:pt idx="11">
                  <c:v>Turecko</c:v>
                </c:pt>
                <c:pt idx="12">
                  <c:v>OECD</c:v>
                </c:pt>
                <c:pt idx="13">
                  <c:v>Kanada</c:v>
                </c:pt>
                <c:pt idx="14">
                  <c:v>Belgie</c:v>
                </c:pt>
                <c:pt idx="15">
                  <c:v>Nizozemsko</c:v>
                </c:pt>
                <c:pt idx="16">
                  <c:v>Finsko</c:v>
                </c:pt>
                <c:pt idx="17">
                  <c:v>Rakousko</c:v>
                </c:pt>
                <c:pt idx="18">
                  <c:v>Lucembursko</c:v>
                </c:pt>
                <c:pt idx="19">
                  <c:v>Švédsko</c:v>
                </c:pt>
                <c:pt idx="20">
                  <c:v>Velká Británie</c:v>
                </c:pt>
                <c:pt idx="21">
                  <c:v>Francie</c:v>
                </c:pt>
                <c:pt idx="22">
                  <c:v>Slovinsko</c:v>
                </c:pt>
                <c:pt idx="23">
                  <c:v>Nový Zéland</c:v>
                </c:pt>
                <c:pt idx="24">
                  <c:v>Dánsko</c:v>
                </c:pt>
                <c:pt idx="25">
                  <c:v>Španělsko</c:v>
                </c:pt>
                <c:pt idx="26">
                  <c:v>Česká republikace</c:v>
                </c:pt>
                <c:pt idx="27">
                  <c:v>Itálie</c:v>
                </c:pt>
                <c:pt idx="28">
                  <c:v>Portugalsko</c:v>
                </c:pt>
                <c:pt idx="29">
                  <c:v>Řecko</c:v>
                </c:pt>
              </c:strCache>
            </c:strRef>
          </c:cat>
          <c:val>
            <c:numRef>
              <c:f>graf4.2!$B$4:$B$33</c:f>
              <c:numCache>
                <c:formatCode>0%</c:formatCode>
                <c:ptCount val="30"/>
                <c:pt idx="0">
                  <c:v>6.0000000000000032E-2</c:v>
                </c:pt>
                <c:pt idx="1">
                  <c:v>7.0000000000000021E-2</c:v>
                </c:pt>
                <c:pt idx="2">
                  <c:v>1.0000000000000005E-2</c:v>
                </c:pt>
                <c:pt idx="3">
                  <c:v>3.0000000000000002E-2</c:v>
                </c:pt>
                <c:pt idx="4">
                  <c:v>-4.0000000000000036E-3</c:v>
                </c:pt>
                <c:pt idx="5">
                  <c:v>7.0000000000000021E-2</c:v>
                </c:pt>
                <c:pt idx="6">
                  <c:v>3.0000000000000002E-2</c:v>
                </c:pt>
                <c:pt idx="7">
                  <c:v>0.12000000000000002</c:v>
                </c:pt>
                <c:pt idx="8">
                  <c:v>2.0000000000000011E-2</c:v>
                </c:pt>
                <c:pt idx="9">
                  <c:v>2.0000000000000011E-2</c:v>
                </c:pt>
                <c:pt idx="10">
                  <c:v>3.0000000000000002E-2</c:v>
                </c:pt>
                <c:pt idx="11">
                  <c:v>0.05</c:v>
                </c:pt>
                <c:pt idx="12">
                  <c:v>4.0000000000000022E-2</c:v>
                </c:pt>
                <c:pt idx="13">
                  <c:v>3.0000000000000002E-2</c:v>
                </c:pt>
                <c:pt idx="14">
                  <c:v>3.0000000000000002E-2</c:v>
                </c:pt>
                <c:pt idx="15">
                  <c:v>3.0000000000000002E-2</c:v>
                </c:pt>
                <c:pt idx="16">
                  <c:v>3.0000000000000002E-2</c:v>
                </c:pt>
                <c:pt idx="17">
                  <c:v>2.0000000000000011E-2</c:v>
                </c:pt>
                <c:pt idx="18">
                  <c:v>2.0000000000000011E-2</c:v>
                </c:pt>
                <c:pt idx="19">
                  <c:v>2.0000000000000011E-2</c:v>
                </c:pt>
                <c:pt idx="20">
                  <c:v>4.0000000000000022E-2</c:v>
                </c:pt>
                <c:pt idx="21">
                  <c:v>2.0000000000000011E-2</c:v>
                </c:pt>
                <c:pt idx="22">
                  <c:v>3.0000000000000002E-2</c:v>
                </c:pt>
                <c:pt idx="23">
                  <c:v>0.05</c:v>
                </c:pt>
                <c:pt idx="24">
                  <c:v>3.0000000000000002E-2</c:v>
                </c:pt>
                <c:pt idx="25">
                  <c:v>3.0000000000000002E-2</c:v>
                </c:pt>
                <c:pt idx="26">
                  <c:v>0.05</c:v>
                </c:pt>
                <c:pt idx="27">
                  <c:v>2.0000000000000011E-2</c:v>
                </c:pt>
                <c:pt idx="28">
                  <c:v>2.0000000000000011E-2</c:v>
                </c:pt>
                <c:pt idx="29">
                  <c:v>4.5354580444510594E-2</c:v>
                </c:pt>
              </c:numCache>
            </c:numRef>
          </c:val>
        </c:ser>
        <c:ser>
          <c:idx val="1"/>
          <c:order val="1"/>
          <c:tx>
            <c:strRef>
              <c:f>graf4.2!$C$3</c:f>
              <c:strCache>
                <c:ptCount val="1"/>
                <c:pt idx="0">
                  <c:v> 2009-16</c:v>
                </c:pt>
              </c:strCache>
            </c:strRef>
          </c:tx>
          <c:spPr>
            <a:solidFill>
              <a:srgbClr val="D96D7F"/>
            </a:solidFill>
            <a:ln>
              <a:solidFill>
                <a:srgbClr val="953735"/>
              </a:solidFill>
            </a:ln>
          </c:spPr>
          <c:invertIfNegative val="0"/>
          <c:cat>
            <c:strRef>
              <c:f>graf4.2!$A$4:$A$33</c:f>
              <c:strCache>
                <c:ptCount val="30"/>
                <c:pt idx="0">
                  <c:v>Estonsko</c:v>
                </c:pt>
                <c:pt idx="1">
                  <c:v>Polsko</c:v>
                </c:pt>
                <c:pt idx="2">
                  <c:v>Švýcarsko</c:v>
                </c:pt>
                <c:pt idx="3">
                  <c:v>Rakousko</c:v>
                </c:pt>
                <c:pt idx="4">
                  <c:v>Maďarsko</c:v>
                </c:pt>
                <c:pt idx="5">
                  <c:v>Lotyšsko</c:v>
                </c:pt>
                <c:pt idx="6">
                  <c:v>Spojené státy</c:v>
                </c:pt>
                <c:pt idx="7">
                  <c:v>Slovensko</c:v>
                </c:pt>
                <c:pt idx="8">
                  <c:v>Norsko</c:v>
                </c:pt>
                <c:pt idx="9">
                  <c:v>Německo</c:v>
                </c:pt>
                <c:pt idx="10">
                  <c:v>Japonsko</c:v>
                </c:pt>
                <c:pt idx="11">
                  <c:v>Turecko</c:v>
                </c:pt>
                <c:pt idx="12">
                  <c:v>OECD</c:v>
                </c:pt>
                <c:pt idx="13">
                  <c:v>Kanada</c:v>
                </c:pt>
                <c:pt idx="14">
                  <c:v>Belgie</c:v>
                </c:pt>
                <c:pt idx="15">
                  <c:v>Nizozemsko</c:v>
                </c:pt>
                <c:pt idx="16">
                  <c:v>Finsko</c:v>
                </c:pt>
                <c:pt idx="17">
                  <c:v>Rakousko</c:v>
                </c:pt>
                <c:pt idx="18">
                  <c:v>Lucembursko</c:v>
                </c:pt>
                <c:pt idx="19">
                  <c:v>Švédsko</c:v>
                </c:pt>
                <c:pt idx="20">
                  <c:v>Velká Británie</c:v>
                </c:pt>
                <c:pt idx="21">
                  <c:v>Francie</c:v>
                </c:pt>
                <c:pt idx="22">
                  <c:v>Slovinsko</c:v>
                </c:pt>
                <c:pt idx="23">
                  <c:v>Nový Zéland</c:v>
                </c:pt>
                <c:pt idx="24">
                  <c:v>Dánsko</c:v>
                </c:pt>
                <c:pt idx="25">
                  <c:v>Španělsko</c:v>
                </c:pt>
                <c:pt idx="26">
                  <c:v>Česká republikace</c:v>
                </c:pt>
                <c:pt idx="27">
                  <c:v>Itálie</c:v>
                </c:pt>
                <c:pt idx="28">
                  <c:v>Portugalsko</c:v>
                </c:pt>
                <c:pt idx="29">
                  <c:v>Řecko</c:v>
                </c:pt>
              </c:strCache>
            </c:strRef>
          </c:cat>
          <c:val>
            <c:numRef>
              <c:f>graf4.2!$C$4:$C$33</c:f>
              <c:numCache>
                <c:formatCode>0%</c:formatCode>
                <c:ptCount val="30"/>
                <c:pt idx="0">
                  <c:v>4.0000000000000022E-2</c:v>
                </c:pt>
                <c:pt idx="1">
                  <c:v>3.0000000000000002E-2</c:v>
                </c:pt>
                <c:pt idx="2">
                  <c:v>3.0000000000000002E-2</c:v>
                </c:pt>
                <c:pt idx="3">
                  <c:v>3.0000000000000002E-2</c:v>
                </c:pt>
                <c:pt idx="4">
                  <c:v>3.0000000000000002E-2</c:v>
                </c:pt>
                <c:pt idx="5">
                  <c:v>2.0000000000000011E-2</c:v>
                </c:pt>
                <c:pt idx="6">
                  <c:v>2.0000000000000011E-2</c:v>
                </c:pt>
                <c:pt idx="7">
                  <c:v>2.0000000000000011E-2</c:v>
                </c:pt>
                <c:pt idx="8">
                  <c:v>1.0000000000000005E-2</c:v>
                </c:pt>
                <c:pt idx="9">
                  <c:v>2.0000000000000011E-2</c:v>
                </c:pt>
                <c:pt idx="10">
                  <c:v>2.0000000000000011E-2</c:v>
                </c:pt>
                <c:pt idx="11">
                  <c:v>2.0000000000000011E-2</c:v>
                </c:pt>
                <c:pt idx="12">
                  <c:v>1.0000000000000005E-2</c:v>
                </c:pt>
                <c:pt idx="13">
                  <c:v>1.0000000000000005E-2</c:v>
                </c:pt>
                <c:pt idx="14">
                  <c:v>1.0000000000000005E-2</c:v>
                </c:pt>
                <c:pt idx="15">
                  <c:v>1.0000000000000005E-2</c:v>
                </c:pt>
                <c:pt idx="16">
                  <c:v>1.0000000000000005E-2</c:v>
                </c:pt>
                <c:pt idx="17">
                  <c:v>1.0000000000000005E-2</c:v>
                </c:pt>
                <c:pt idx="18">
                  <c:v>1.0000000000000005E-2</c:v>
                </c:pt>
                <c:pt idx="19">
                  <c:v>1.0000000000000005E-2</c:v>
                </c:pt>
                <c:pt idx="20">
                  <c:v>1.0000000000000005E-2</c:v>
                </c:pt>
                <c:pt idx="21">
                  <c:v>1.0000000000000005E-2</c:v>
                </c:pt>
                <c:pt idx="22">
                  <c:v>1.0000000000000005E-2</c:v>
                </c:pt>
                <c:pt idx="23">
                  <c:v>1.0000000000000005E-2</c:v>
                </c:pt>
                <c:pt idx="24">
                  <c:v>3.0000000000000018E-3</c:v>
                </c:pt>
                <c:pt idx="25">
                  <c:v>3.0000000000000018E-3</c:v>
                </c:pt>
                <c:pt idx="26">
                  <c:v>1.0000000000000009E-3</c:v>
                </c:pt>
                <c:pt idx="27">
                  <c:v>-3.0000000000000018E-3</c:v>
                </c:pt>
                <c:pt idx="28">
                  <c:v>-1.0000000000000005E-2</c:v>
                </c:pt>
                <c:pt idx="29">
                  <c:v>-5.0391438062080803E-2</c:v>
                </c:pt>
              </c:numCache>
            </c:numRef>
          </c:val>
        </c:ser>
        <c:dLbls>
          <c:showLegendKey val="0"/>
          <c:showVal val="0"/>
          <c:showCatName val="0"/>
          <c:showSerName val="0"/>
          <c:showPercent val="0"/>
          <c:showBubbleSize val="0"/>
        </c:dLbls>
        <c:gapWidth val="70"/>
        <c:axId val="231271936"/>
        <c:axId val="225112000"/>
      </c:barChart>
      <c:catAx>
        <c:axId val="231271936"/>
        <c:scaling>
          <c:orientation val="minMax"/>
        </c:scaling>
        <c:delete val="0"/>
        <c:axPos val="b"/>
        <c:numFmt formatCode="0" sourceLinked="1"/>
        <c:majorTickMark val="out"/>
        <c:minorTickMark val="none"/>
        <c:tickLblPos val="low"/>
        <c:txPr>
          <a:bodyPr/>
          <a:lstStyle/>
          <a:p>
            <a:pPr>
              <a:defRPr sz="800"/>
            </a:pPr>
            <a:endParaRPr lang="cs-CZ"/>
          </a:p>
        </c:txPr>
        <c:crossAx val="225112000"/>
        <c:crossesAt val="0"/>
        <c:auto val="1"/>
        <c:lblAlgn val="ctr"/>
        <c:lblOffset val="100"/>
        <c:noMultiLvlLbl val="0"/>
      </c:catAx>
      <c:valAx>
        <c:axId val="225112000"/>
        <c:scaling>
          <c:orientation val="minMax"/>
          <c:max val="8.5000000000000048E-2"/>
          <c:min val="-6.0000000000000032E-2"/>
        </c:scaling>
        <c:delete val="0"/>
        <c:axPos val="l"/>
        <c:majorGridlines>
          <c:spPr>
            <a:ln>
              <a:solidFill>
                <a:schemeClr val="bg1">
                  <a:lumMod val="75000"/>
                </a:schemeClr>
              </a:solidFill>
            </a:ln>
          </c:spPr>
        </c:majorGridlines>
        <c:numFmt formatCode="0%" sourceLinked="0"/>
        <c:majorTickMark val="out"/>
        <c:minorTickMark val="none"/>
        <c:tickLblPos val="nextTo"/>
        <c:txPr>
          <a:bodyPr/>
          <a:lstStyle/>
          <a:p>
            <a:pPr>
              <a:defRPr sz="800"/>
            </a:pPr>
            <a:endParaRPr lang="cs-CZ"/>
          </a:p>
        </c:txPr>
        <c:crossAx val="231271936"/>
        <c:crosses val="autoZero"/>
        <c:crossBetween val="between"/>
        <c:majorUnit val="1.0000000000000005E-2"/>
        <c:minorUnit val="1.0000000000000011E-3"/>
      </c:valAx>
      <c:spPr>
        <a:ln>
          <a:noFill/>
        </a:ln>
      </c:spPr>
    </c:plotArea>
    <c:legend>
      <c:legendPos val="b"/>
      <c:layout>
        <c:manualLayout>
          <c:xMode val="edge"/>
          <c:yMode val="edge"/>
          <c:x val="0.39788961162463443"/>
          <c:y val="0.9463089214161714"/>
          <c:w val="0.20422060768973918"/>
          <c:h val="5.3691133435906722E-2"/>
        </c:manualLayout>
      </c:layout>
      <c:overlay val="0"/>
      <c:txPr>
        <a:bodyPr/>
        <a:lstStyle/>
        <a:p>
          <a:pPr>
            <a:defRPr sz="800"/>
          </a:pPr>
          <a:endParaRPr lang="cs-CZ"/>
        </a:p>
      </c:txPr>
    </c:legend>
    <c:plotVisOnly val="1"/>
    <c:dispBlanksAs val="gap"/>
    <c:showDLblsOverMax val="0"/>
  </c:chart>
  <c:spPr>
    <a:ln>
      <a:noFill/>
    </a:ln>
  </c:spPr>
  <c:txPr>
    <a:bodyPr/>
    <a:lstStyle/>
    <a:p>
      <a:pPr>
        <a:defRPr sz="900">
          <a:latin typeface="Arial" pitchFamily="34" charset="0"/>
          <a:cs typeface="Arial" pitchFamily="34" charset="0"/>
        </a:defRPr>
      </a:pPr>
      <a:endParaRPr lang="cs-CZ"/>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 4.3'!$B$4</c:f>
              <c:strCache>
                <c:ptCount val="1"/>
                <c:pt idx="0">
                  <c:v>2016</c:v>
                </c:pt>
              </c:strCache>
            </c:strRef>
          </c:tx>
          <c:spPr>
            <a:solidFill>
              <a:srgbClr val="83A5CF"/>
            </a:solidFill>
            <a:ln>
              <a:solidFill>
                <a:srgbClr val="4F81BD"/>
              </a:solidFill>
            </a:ln>
          </c:spPr>
          <c:invertIfNegative val="0"/>
          <c:dPt>
            <c:idx val="12"/>
            <c:invertIfNegative val="0"/>
            <c:bubble3D val="0"/>
            <c:spPr>
              <a:solidFill>
                <a:srgbClr val="0071BC"/>
              </a:solidFill>
              <a:ln>
                <a:solidFill>
                  <a:srgbClr val="4F81BD"/>
                </a:solidFill>
              </a:ln>
            </c:spPr>
          </c:dPt>
          <c:cat>
            <c:strRef>
              <c:f>'graf 4.3'!$A$5:$A$36</c:f>
              <c:strCache>
                <c:ptCount val="32"/>
                <c:pt idx="0">
                  <c:v>Spojené státy</c:v>
                </c:pt>
                <c:pt idx="1">
                  <c:v>Švýcarsko</c:v>
                </c:pt>
                <c:pt idx="2">
                  <c:v>Německo</c:v>
                </c:pt>
                <c:pt idx="3">
                  <c:v>Francie</c:v>
                </c:pt>
                <c:pt idx="4">
                  <c:v>Nizozemsko</c:v>
                </c:pt>
                <c:pt idx="5">
                  <c:v>Japonsko</c:v>
                </c:pt>
                <c:pt idx="6">
                  <c:v>Švédsko</c:v>
                </c:pt>
                <c:pt idx="7">
                  <c:v>Dánsko</c:v>
                </c:pt>
                <c:pt idx="8">
                  <c:v>Rakousko</c:v>
                </c:pt>
                <c:pt idx="9">
                  <c:v>Belgie</c:v>
                </c:pt>
                <c:pt idx="10">
                  <c:v>Velká Británie</c:v>
                </c:pt>
                <c:pt idx="11">
                  <c:v>Portugalsko</c:v>
                </c:pt>
                <c:pt idx="12">
                  <c:v>OECD</c:v>
                </c:pt>
                <c:pt idx="13">
                  <c:v>Itálie</c:v>
                </c:pt>
                <c:pt idx="14">
                  <c:v>Španělsko</c:v>
                </c:pt>
                <c:pt idx="15">
                  <c:v>Finsko</c:v>
                </c:pt>
                <c:pt idx="16">
                  <c:v>Slovinsko</c:v>
                </c:pt>
                <c:pt idx="17">
                  <c:v>Irsko</c:v>
                </c:pt>
                <c:pt idx="18">
                  <c:v>Řecko</c:v>
                </c:pt>
                <c:pt idx="19">
                  <c:v>Maďarsko</c:v>
                </c:pt>
                <c:pt idx="20">
                  <c:v>Korea</c:v>
                </c:pt>
                <c:pt idx="21">
                  <c:v>Česká republika</c:v>
                </c:pt>
                <c:pt idx="22">
                  <c:v>Slovensko</c:v>
                </c:pt>
                <c:pt idx="23">
                  <c:v>Izrael</c:v>
                </c:pt>
                <c:pt idx="24">
                  <c:v>Litva</c:v>
                </c:pt>
                <c:pt idx="25">
                  <c:v>Estonsko</c:v>
                </c:pt>
                <c:pt idx="26">
                  <c:v>Lucembursko</c:v>
                </c:pt>
                <c:pt idx="27">
                  <c:v>Rusko</c:v>
                </c:pt>
                <c:pt idx="28">
                  <c:v>Polsko</c:v>
                </c:pt>
                <c:pt idx="29">
                  <c:v>Mexiko</c:v>
                </c:pt>
                <c:pt idx="30">
                  <c:v>Čína</c:v>
                </c:pt>
                <c:pt idx="31">
                  <c:v>Turecko</c:v>
                </c:pt>
              </c:strCache>
            </c:strRef>
          </c:cat>
          <c:val>
            <c:numRef>
              <c:f>'graf 4.3'!$B$5:$B$36</c:f>
              <c:numCache>
                <c:formatCode>0%</c:formatCode>
                <c:ptCount val="32"/>
                <c:pt idx="0">
                  <c:v>0.17200000000000001</c:v>
                </c:pt>
                <c:pt idx="1">
                  <c:v>0.12400000000000005</c:v>
                </c:pt>
                <c:pt idx="2">
                  <c:v>0.113</c:v>
                </c:pt>
                <c:pt idx="3">
                  <c:v>0.11</c:v>
                </c:pt>
                <c:pt idx="4">
                  <c:v>0.11</c:v>
                </c:pt>
                <c:pt idx="5">
                  <c:v>0.11</c:v>
                </c:pt>
                <c:pt idx="6">
                  <c:v>0.11</c:v>
                </c:pt>
                <c:pt idx="7">
                  <c:v>0.10400000000000002</c:v>
                </c:pt>
                <c:pt idx="8">
                  <c:v>0.10400000000000002</c:v>
                </c:pt>
                <c:pt idx="9">
                  <c:v>0.10400000000000002</c:v>
                </c:pt>
                <c:pt idx="10">
                  <c:v>9.7000000000000003E-2</c:v>
                </c:pt>
                <c:pt idx="11">
                  <c:v>9.0000000000000024E-2</c:v>
                </c:pt>
                <c:pt idx="12">
                  <c:v>9.0000000000000024E-2</c:v>
                </c:pt>
                <c:pt idx="13">
                  <c:v>9.0000000000000024E-2</c:v>
                </c:pt>
                <c:pt idx="14">
                  <c:v>9.0000000000000024E-2</c:v>
                </c:pt>
                <c:pt idx="15">
                  <c:v>9.0000000000000024E-2</c:v>
                </c:pt>
                <c:pt idx="16">
                  <c:v>9.0000000000000024E-2</c:v>
                </c:pt>
                <c:pt idx="17">
                  <c:v>8.0000000000000043E-2</c:v>
                </c:pt>
                <c:pt idx="18">
                  <c:v>8.0000000000000043E-2</c:v>
                </c:pt>
                <c:pt idx="19">
                  <c:v>8.0000000000000043E-2</c:v>
                </c:pt>
                <c:pt idx="20">
                  <c:v>8.0000000000000043E-2</c:v>
                </c:pt>
                <c:pt idx="21">
                  <c:v>7.5999999999999998E-2</c:v>
                </c:pt>
                <c:pt idx="22">
                  <c:v>7.0000000000000021E-2</c:v>
                </c:pt>
                <c:pt idx="23">
                  <c:v>7.0000000000000021E-2</c:v>
                </c:pt>
                <c:pt idx="24">
                  <c:v>7.0000000000000021E-2</c:v>
                </c:pt>
                <c:pt idx="25">
                  <c:v>6.7000000000000004E-2</c:v>
                </c:pt>
                <c:pt idx="26">
                  <c:v>6.0000000000000032E-2</c:v>
                </c:pt>
                <c:pt idx="27">
                  <c:v>6.0000000000000032E-2</c:v>
                </c:pt>
                <c:pt idx="28">
                  <c:v>6.0000000000000032E-2</c:v>
                </c:pt>
                <c:pt idx="29">
                  <c:v>6.0000000000000032E-2</c:v>
                </c:pt>
                <c:pt idx="30">
                  <c:v>6.0000000000000032E-2</c:v>
                </c:pt>
                <c:pt idx="31">
                  <c:v>4.0000000000000022E-2</c:v>
                </c:pt>
              </c:numCache>
            </c:numRef>
          </c:val>
        </c:ser>
        <c:dLbls>
          <c:showLegendKey val="0"/>
          <c:showVal val="0"/>
          <c:showCatName val="0"/>
          <c:showSerName val="0"/>
          <c:showPercent val="0"/>
          <c:showBubbleSize val="0"/>
        </c:dLbls>
        <c:gapWidth val="60"/>
        <c:axId val="231506944"/>
        <c:axId val="231409920"/>
      </c:barChart>
      <c:lineChart>
        <c:grouping val="standard"/>
        <c:varyColors val="0"/>
        <c:ser>
          <c:idx val="1"/>
          <c:order val="1"/>
          <c:tx>
            <c:strRef>
              <c:f>'graf 4.3'!$C$4</c:f>
              <c:strCache>
                <c:ptCount val="1"/>
                <c:pt idx="0">
                  <c:v> 2010</c:v>
                </c:pt>
              </c:strCache>
            </c:strRef>
          </c:tx>
          <c:spPr>
            <a:ln>
              <a:noFill/>
            </a:ln>
          </c:spPr>
          <c:marker>
            <c:symbol val="diamond"/>
            <c:size val="7"/>
          </c:marker>
          <c:cat>
            <c:strRef>
              <c:f>'graf 4.3'!$A$5:$A$36</c:f>
              <c:strCache>
                <c:ptCount val="32"/>
                <c:pt idx="0">
                  <c:v>Spojené státy</c:v>
                </c:pt>
                <c:pt idx="1">
                  <c:v>Švýcarsko</c:v>
                </c:pt>
                <c:pt idx="2">
                  <c:v>Německo</c:v>
                </c:pt>
                <c:pt idx="3">
                  <c:v>Francie</c:v>
                </c:pt>
                <c:pt idx="4">
                  <c:v>Nizozemsko</c:v>
                </c:pt>
                <c:pt idx="5">
                  <c:v>Japonsko</c:v>
                </c:pt>
                <c:pt idx="6">
                  <c:v>Švédsko</c:v>
                </c:pt>
                <c:pt idx="7">
                  <c:v>Dánsko</c:v>
                </c:pt>
                <c:pt idx="8">
                  <c:v>Rakousko</c:v>
                </c:pt>
                <c:pt idx="9">
                  <c:v>Belgie</c:v>
                </c:pt>
                <c:pt idx="10">
                  <c:v>Velká Británie</c:v>
                </c:pt>
                <c:pt idx="11">
                  <c:v>Portugalsko</c:v>
                </c:pt>
                <c:pt idx="12">
                  <c:v>OECD</c:v>
                </c:pt>
                <c:pt idx="13">
                  <c:v>Itálie</c:v>
                </c:pt>
                <c:pt idx="14">
                  <c:v>Španělsko</c:v>
                </c:pt>
                <c:pt idx="15">
                  <c:v>Finsko</c:v>
                </c:pt>
                <c:pt idx="16">
                  <c:v>Slovinsko</c:v>
                </c:pt>
                <c:pt idx="17">
                  <c:v>Irsko</c:v>
                </c:pt>
                <c:pt idx="18">
                  <c:v>Řecko</c:v>
                </c:pt>
                <c:pt idx="19">
                  <c:v>Maďarsko</c:v>
                </c:pt>
                <c:pt idx="20">
                  <c:v>Korea</c:v>
                </c:pt>
                <c:pt idx="21">
                  <c:v>Česká republika</c:v>
                </c:pt>
                <c:pt idx="22">
                  <c:v>Slovensko</c:v>
                </c:pt>
                <c:pt idx="23">
                  <c:v>Izrael</c:v>
                </c:pt>
                <c:pt idx="24">
                  <c:v>Litva</c:v>
                </c:pt>
                <c:pt idx="25">
                  <c:v>Estonsko</c:v>
                </c:pt>
                <c:pt idx="26">
                  <c:v>Lucembursko</c:v>
                </c:pt>
                <c:pt idx="27">
                  <c:v>Rusko</c:v>
                </c:pt>
                <c:pt idx="28">
                  <c:v>Polsko</c:v>
                </c:pt>
                <c:pt idx="29">
                  <c:v>Mexiko</c:v>
                </c:pt>
                <c:pt idx="30">
                  <c:v>Čína</c:v>
                </c:pt>
                <c:pt idx="31">
                  <c:v>Turecko</c:v>
                </c:pt>
              </c:strCache>
            </c:strRef>
          </c:cat>
          <c:val>
            <c:numRef>
              <c:f>'graf 4.3'!$C$5:$C$36</c:f>
              <c:numCache>
                <c:formatCode>0%</c:formatCode>
                <c:ptCount val="32"/>
                <c:pt idx="0">
                  <c:v>0.16400000000000001</c:v>
                </c:pt>
                <c:pt idx="1">
                  <c:v>0.10700000000000005</c:v>
                </c:pt>
                <c:pt idx="2">
                  <c:v>0.11</c:v>
                </c:pt>
                <c:pt idx="3">
                  <c:v>0.10700000000000005</c:v>
                </c:pt>
                <c:pt idx="4">
                  <c:v>0.10400000000000002</c:v>
                </c:pt>
                <c:pt idx="5">
                  <c:v>9.5000000000000043E-2</c:v>
                </c:pt>
                <c:pt idx="6">
                  <c:v>8.5000000000000006E-2</c:v>
                </c:pt>
                <c:pt idx="7">
                  <c:v>0.10400000000000002</c:v>
                </c:pt>
                <c:pt idx="8">
                  <c:v>0.10100000000000002</c:v>
                </c:pt>
                <c:pt idx="9">
                  <c:v>9.9000000000000046E-2</c:v>
                </c:pt>
                <c:pt idx="10">
                  <c:v>8.5000000000000006E-2</c:v>
                </c:pt>
                <c:pt idx="11">
                  <c:v>9.8000000000000087E-2</c:v>
                </c:pt>
                <c:pt idx="12">
                  <c:v>9.0000000000000024E-2</c:v>
                </c:pt>
                <c:pt idx="13">
                  <c:v>9.0000000000000024E-2</c:v>
                </c:pt>
                <c:pt idx="14">
                  <c:v>9.0000000000000024E-2</c:v>
                </c:pt>
                <c:pt idx="15">
                  <c:v>8.9000000000000065E-2</c:v>
                </c:pt>
                <c:pt idx="16">
                  <c:v>8.6000000000000021E-2</c:v>
                </c:pt>
                <c:pt idx="17">
                  <c:v>0.10600000000000002</c:v>
                </c:pt>
                <c:pt idx="18">
                  <c:v>9.0000000000000024E-2</c:v>
                </c:pt>
                <c:pt idx="19">
                  <c:v>7.5999999999999998E-2</c:v>
                </c:pt>
                <c:pt idx="20">
                  <c:v>6.4000000000000057E-2</c:v>
                </c:pt>
                <c:pt idx="21">
                  <c:v>8.5000000000000006E-2</c:v>
                </c:pt>
                <c:pt idx="22">
                  <c:v>7.8000000000000014E-2</c:v>
                </c:pt>
                <c:pt idx="23">
                  <c:v>7.0000000000000021E-2</c:v>
                </c:pt>
                <c:pt idx="24">
                  <c:v>6.9000000000000034E-2</c:v>
                </c:pt>
                <c:pt idx="25">
                  <c:v>6.3E-2</c:v>
                </c:pt>
                <c:pt idx="26">
                  <c:v>7.0999999999999994E-2</c:v>
                </c:pt>
                <c:pt idx="27">
                  <c:v>6.8000000000000019E-2</c:v>
                </c:pt>
                <c:pt idx="28">
                  <c:v>6.4000000000000057E-2</c:v>
                </c:pt>
                <c:pt idx="29">
                  <c:v>6.0000000000000032E-2</c:v>
                </c:pt>
                <c:pt idx="30">
                  <c:v>4.9000000000000037E-2</c:v>
                </c:pt>
                <c:pt idx="31">
                  <c:v>5.1000000000000004E-2</c:v>
                </c:pt>
              </c:numCache>
            </c:numRef>
          </c:val>
          <c:smooth val="0"/>
        </c:ser>
        <c:dLbls>
          <c:showLegendKey val="0"/>
          <c:showVal val="0"/>
          <c:showCatName val="0"/>
          <c:showSerName val="0"/>
          <c:showPercent val="0"/>
          <c:showBubbleSize val="0"/>
        </c:dLbls>
        <c:marker val="1"/>
        <c:smooth val="0"/>
        <c:axId val="231506944"/>
        <c:axId val="231409920"/>
      </c:lineChart>
      <c:catAx>
        <c:axId val="231506944"/>
        <c:scaling>
          <c:orientation val="minMax"/>
        </c:scaling>
        <c:delete val="0"/>
        <c:axPos val="b"/>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31409920"/>
        <c:crosses val="autoZero"/>
        <c:auto val="1"/>
        <c:lblAlgn val="ctr"/>
        <c:lblOffset val="100"/>
        <c:noMultiLvlLbl val="0"/>
      </c:catAx>
      <c:valAx>
        <c:axId val="231409920"/>
        <c:scaling>
          <c:orientation val="minMax"/>
          <c:max val="0.13500000000000001"/>
          <c:min val="0"/>
        </c:scaling>
        <c:delete val="0"/>
        <c:axPos val="l"/>
        <c:majorGridlines>
          <c:spPr>
            <a:ln>
              <a:solidFill>
                <a:schemeClr val="bg1">
                  <a:lumMod val="75000"/>
                </a:schemeClr>
              </a:solidFill>
            </a:ln>
          </c:spPr>
        </c:majorGridlines>
        <c:numFmt formatCode="0%" sourceLinked="1"/>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231506944"/>
        <c:crosses val="autoZero"/>
        <c:crossBetween val="between"/>
        <c:majorUnit val="1.0000000000000005E-2"/>
        <c:minorUnit val="1.0000000000000011E-3"/>
      </c:valAx>
      <c:spPr>
        <a:ln>
          <a:noFill/>
        </a:ln>
      </c:spPr>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graf4.4!$B$3</c:f>
              <c:strCache>
                <c:ptCount val="1"/>
                <c:pt idx="0">
                  <c:v> Vládní rozpočty</c:v>
                </c:pt>
              </c:strCache>
            </c:strRef>
          </c:tx>
          <c:spPr>
            <a:solidFill>
              <a:srgbClr val="D96D75"/>
            </a:solidFill>
            <a:ln>
              <a:solidFill>
                <a:srgbClr val="953735"/>
              </a:solidFill>
            </a:ln>
          </c:spPr>
          <c:invertIfNegative val="0"/>
          <c:dPt>
            <c:idx val="19"/>
            <c:invertIfNegative val="0"/>
            <c:bubble3D val="0"/>
            <c:spPr>
              <a:solidFill>
                <a:srgbClr val="B02E44"/>
              </a:solidFill>
              <a:ln>
                <a:solidFill>
                  <a:srgbClr val="953735"/>
                </a:solidFill>
              </a:ln>
            </c:spPr>
          </c:dPt>
          <c:cat>
            <c:strRef>
              <c:f>graf4.4!$A$4:$A$36</c:f>
              <c:strCache>
                <c:ptCount val="33"/>
                <c:pt idx="0">
                  <c:v>Norsko</c:v>
                </c:pt>
                <c:pt idx="1">
                  <c:v>Německo</c:v>
                </c:pt>
                <c:pt idx="2">
                  <c:v>Dánsko</c:v>
                </c:pt>
                <c:pt idx="3">
                  <c:v>Japonsko</c:v>
                </c:pt>
                <c:pt idx="4">
                  <c:v>Švédsko</c:v>
                </c:pt>
                <c:pt idx="5">
                  <c:v>Česká republika</c:v>
                </c:pt>
                <c:pt idx="6">
                  <c:v>Lucembursko</c:v>
                </c:pt>
                <c:pt idx="7">
                  <c:v>Island</c:v>
                </c:pt>
                <c:pt idx="8">
                  <c:v>Nizozemí</c:v>
                </c:pt>
                <c:pt idx="9">
                  <c:v>Slovenská republika</c:v>
                </c:pt>
                <c:pt idx="10">
                  <c:v>Velká Británie</c:v>
                </c:pt>
                <c:pt idx="11">
                  <c:v>Nový Zéland</c:v>
                </c:pt>
                <c:pt idx="12">
                  <c:v>Francie</c:v>
                </c:pt>
                <c:pt idx="13">
                  <c:v>Turecko</c:v>
                </c:pt>
                <c:pt idx="14">
                  <c:v>Belgie</c:v>
                </c:pt>
                <c:pt idx="15">
                  <c:v>Estonsko</c:v>
                </c:pt>
                <c:pt idx="16">
                  <c:v>Rakousko</c:v>
                </c:pt>
                <c:pt idx="17">
                  <c:v>Itálie</c:v>
                </c:pt>
                <c:pt idx="18">
                  <c:v>Finsko</c:v>
                </c:pt>
                <c:pt idx="19">
                  <c:v>OECD35</c:v>
                </c:pt>
                <c:pt idx="20">
                  <c:v>Slovinsko</c:v>
                </c:pt>
                <c:pt idx="21">
                  <c:v>Španělsko</c:v>
                </c:pt>
                <c:pt idx="22">
                  <c:v>Kanada</c:v>
                </c:pt>
                <c:pt idx="23">
                  <c:v>Irsko</c:v>
                </c:pt>
                <c:pt idx="24">
                  <c:v>Polsko</c:v>
                </c:pt>
                <c:pt idx="25">
                  <c:v>Maďarsko</c:v>
                </c:pt>
                <c:pt idx="26">
                  <c:v>Portugalsko</c:v>
                </c:pt>
                <c:pt idx="27">
                  <c:v>Švýcarsko</c:v>
                </c:pt>
                <c:pt idx="28">
                  <c:v>Izrael</c:v>
                </c:pt>
                <c:pt idx="29">
                  <c:v>Řecko</c:v>
                </c:pt>
                <c:pt idx="30">
                  <c:v>Lotyšsko</c:v>
                </c:pt>
                <c:pt idx="31">
                  <c:v>Mexiko</c:v>
                </c:pt>
                <c:pt idx="32">
                  <c:v>Spojené státy</c:v>
                </c:pt>
              </c:strCache>
            </c:strRef>
          </c:cat>
          <c:val>
            <c:numRef>
              <c:f>graf4.4!$B$4:$B$36</c:f>
              <c:numCache>
                <c:formatCode>0%</c:formatCode>
                <c:ptCount val="33"/>
                <c:pt idx="0">
                  <c:v>0.74000000000000044</c:v>
                </c:pt>
                <c:pt idx="1">
                  <c:v>7.0000000000000021E-2</c:v>
                </c:pt>
                <c:pt idx="2">
                  <c:v>0.84000000000000041</c:v>
                </c:pt>
                <c:pt idx="3">
                  <c:v>9.0000000000000024E-2</c:v>
                </c:pt>
                <c:pt idx="4">
                  <c:v>0.84000000000000041</c:v>
                </c:pt>
                <c:pt idx="5">
                  <c:v>0.12000000000000002</c:v>
                </c:pt>
                <c:pt idx="6">
                  <c:v>9.0000000000000024E-2</c:v>
                </c:pt>
                <c:pt idx="7">
                  <c:v>0.52</c:v>
                </c:pt>
                <c:pt idx="8">
                  <c:v>9.0000000000000024E-2</c:v>
                </c:pt>
                <c:pt idx="9">
                  <c:v>4.0000000000000022E-2</c:v>
                </c:pt>
                <c:pt idx="10">
                  <c:v>0.8</c:v>
                </c:pt>
                <c:pt idx="11">
                  <c:v>0.71000000000000041</c:v>
                </c:pt>
                <c:pt idx="12">
                  <c:v>4.0000000000000022E-2</c:v>
                </c:pt>
                <c:pt idx="13">
                  <c:v>0.22</c:v>
                </c:pt>
                <c:pt idx="14">
                  <c:v>0.1800000000000001</c:v>
                </c:pt>
                <c:pt idx="15">
                  <c:v>0.11</c:v>
                </c:pt>
                <c:pt idx="16">
                  <c:v>0.31000000000000022</c:v>
                </c:pt>
                <c:pt idx="17">
                  <c:v>0.75000000000000044</c:v>
                </c:pt>
                <c:pt idx="18">
                  <c:v>0.61000000000000043</c:v>
                </c:pt>
                <c:pt idx="19">
                  <c:v>0.36000000000000021</c:v>
                </c:pt>
                <c:pt idx="20">
                  <c:v>3.0000000000000002E-2</c:v>
                </c:pt>
                <c:pt idx="21">
                  <c:v>0.66000000000000059</c:v>
                </c:pt>
                <c:pt idx="22">
                  <c:v>0.69000000000000039</c:v>
                </c:pt>
                <c:pt idx="23">
                  <c:v>0.7000000000000004</c:v>
                </c:pt>
                <c:pt idx="24">
                  <c:v>9.0000000000000024E-2</c:v>
                </c:pt>
                <c:pt idx="25">
                  <c:v>0.11</c:v>
                </c:pt>
                <c:pt idx="26">
                  <c:v>0.65000000000000058</c:v>
                </c:pt>
                <c:pt idx="27">
                  <c:v>0.22</c:v>
                </c:pt>
                <c:pt idx="28">
                  <c:v>0.17</c:v>
                </c:pt>
                <c:pt idx="29">
                  <c:v>0.30000000000000021</c:v>
                </c:pt>
                <c:pt idx="30">
                  <c:v>0.56999999999999995</c:v>
                </c:pt>
                <c:pt idx="31">
                  <c:v>0.2400000000000001</c:v>
                </c:pt>
                <c:pt idx="32">
                  <c:v>0.27</c:v>
                </c:pt>
              </c:numCache>
            </c:numRef>
          </c:val>
        </c:ser>
        <c:ser>
          <c:idx val="1"/>
          <c:order val="1"/>
          <c:tx>
            <c:strRef>
              <c:f>graf4.4!$C$3</c:f>
              <c:strCache>
                <c:ptCount val="1"/>
                <c:pt idx="0">
                  <c:v>Veřejné pojištění</c:v>
                </c:pt>
              </c:strCache>
            </c:strRef>
          </c:tx>
          <c:spPr>
            <a:solidFill>
              <a:srgbClr val="0071BC"/>
            </a:solidFill>
            <a:ln>
              <a:solidFill>
                <a:srgbClr val="376092"/>
              </a:solidFill>
            </a:ln>
          </c:spPr>
          <c:invertIfNegative val="0"/>
          <c:dPt>
            <c:idx val="19"/>
            <c:invertIfNegative val="0"/>
            <c:bubble3D val="0"/>
            <c:spPr>
              <a:solidFill>
                <a:srgbClr val="4F81BD">
                  <a:lumMod val="75000"/>
                </a:srgbClr>
              </a:solidFill>
              <a:ln>
                <a:solidFill>
                  <a:srgbClr val="376092"/>
                </a:solidFill>
              </a:ln>
            </c:spPr>
          </c:dPt>
          <c:cat>
            <c:strRef>
              <c:f>graf4.4!$A$4:$A$36</c:f>
              <c:strCache>
                <c:ptCount val="33"/>
                <c:pt idx="0">
                  <c:v>Norsko</c:v>
                </c:pt>
                <c:pt idx="1">
                  <c:v>Německo</c:v>
                </c:pt>
                <c:pt idx="2">
                  <c:v>Dánsko</c:v>
                </c:pt>
                <c:pt idx="3">
                  <c:v>Japonsko</c:v>
                </c:pt>
                <c:pt idx="4">
                  <c:v>Švédsko</c:v>
                </c:pt>
                <c:pt idx="5">
                  <c:v>Česká republika</c:v>
                </c:pt>
                <c:pt idx="6">
                  <c:v>Lucembursko</c:v>
                </c:pt>
                <c:pt idx="7">
                  <c:v>Island</c:v>
                </c:pt>
                <c:pt idx="8">
                  <c:v>Nizozemí</c:v>
                </c:pt>
                <c:pt idx="9">
                  <c:v>Slovenská republika</c:v>
                </c:pt>
                <c:pt idx="10">
                  <c:v>Velká Británie</c:v>
                </c:pt>
                <c:pt idx="11">
                  <c:v>Nový Zéland</c:v>
                </c:pt>
                <c:pt idx="12">
                  <c:v>Francie</c:v>
                </c:pt>
                <c:pt idx="13">
                  <c:v>Turecko</c:v>
                </c:pt>
                <c:pt idx="14">
                  <c:v>Belgie</c:v>
                </c:pt>
                <c:pt idx="15">
                  <c:v>Estonsko</c:v>
                </c:pt>
                <c:pt idx="16">
                  <c:v>Rakousko</c:v>
                </c:pt>
                <c:pt idx="17">
                  <c:v>Itálie</c:v>
                </c:pt>
                <c:pt idx="18">
                  <c:v>Finsko</c:v>
                </c:pt>
                <c:pt idx="19">
                  <c:v>OECD35</c:v>
                </c:pt>
                <c:pt idx="20">
                  <c:v>Slovinsko</c:v>
                </c:pt>
                <c:pt idx="21">
                  <c:v>Španělsko</c:v>
                </c:pt>
                <c:pt idx="22">
                  <c:v>Kanada</c:v>
                </c:pt>
                <c:pt idx="23">
                  <c:v>Irsko</c:v>
                </c:pt>
                <c:pt idx="24">
                  <c:v>Polsko</c:v>
                </c:pt>
                <c:pt idx="25">
                  <c:v>Maďarsko</c:v>
                </c:pt>
                <c:pt idx="26">
                  <c:v>Portugalsko</c:v>
                </c:pt>
                <c:pt idx="27">
                  <c:v>Švýcarsko</c:v>
                </c:pt>
                <c:pt idx="28">
                  <c:v>Izrael</c:v>
                </c:pt>
                <c:pt idx="29">
                  <c:v>Řecko</c:v>
                </c:pt>
                <c:pt idx="30">
                  <c:v>Lotyšsko</c:v>
                </c:pt>
                <c:pt idx="31">
                  <c:v>Mexiko</c:v>
                </c:pt>
                <c:pt idx="32">
                  <c:v>Spojené státy</c:v>
                </c:pt>
              </c:strCache>
            </c:strRef>
          </c:cat>
          <c:val>
            <c:numRef>
              <c:f>graf4.4!$C$4:$C$36</c:f>
              <c:numCache>
                <c:formatCode>0%</c:formatCode>
                <c:ptCount val="33"/>
                <c:pt idx="0">
                  <c:v>0.11</c:v>
                </c:pt>
                <c:pt idx="1">
                  <c:v>0.78</c:v>
                </c:pt>
                <c:pt idx="2">
                  <c:v>0</c:v>
                </c:pt>
                <c:pt idx="3">
                  <c:v>0.75000000000000044</c:v>
                </c:pt>
                <c:pt idx="4">
                  <c:v>0</c:v>
                </c:pt>
                <c:pt idx="5">
                  <c:v>0.7000000000000004</c:v>
                </c:pt>
                <c:pt idx="6">
                  <c:v>0.73000000000000043</c:v>
                </c:pt>
                <c:pt idx="7">
                  <c:v>0.2900000000000002</c:v>
                </c:pt>
                <c:pt idx="8">
                  <c:v>0.71000000000000041</c:v>
                </c:pt>
                <c:pt idx="9">
                  <c:v>0.75000000000000044</c:v>
                </c:pt>
                <c:pt idx="10">
                  <c:v>0</c:v>
                </c:pt>
                <c:pt idx="11">
                  <c:v>9.0000000000000024E-2</c:v>
                </c:pt>
                <c:pt idx="12">
                  <c:v>0.75000000000000044</c:v>
                </c:pt>
                <c:pt idx="13">
                  <c:v>0.56000000000000005</c:v>
                </c:pt>
                <c:pt idx="14">
                  <c:v>0.59</c:v>
                </c:pt>
                <c:pt idx="15">
                  <c:v>0.65000000000000058</c:v>
                </c:pt>
                <c:pt idx="16">
                  <c:v>0.45</c:v>
                </c:pt>
                <c:pt idx="17">
                  <c:v>0</c:v>
                </c:pt>
                <c:pt idx="18">
                  <c:v>0.13</c:v>
                </c:pt>
                <c:pt idx="19">
                  <c:v>0.36000000000000021</c:v>
                </c:pt>
                <c:pt idx="20">
                  <c:v>0.69000000000000039</c:v>
                </c:pt>
                <c:pt idx="21">
                  <c:v>0.05</c:v>
                </c:pt>
                <c:pt idx="22">
                  <c:v>1.0000000000000005E-2</c:v>
                </c:pt>
                <c:pt idx="23">
                  <c:v>0</c:v>
                </c:pt>
                <c:pt idx="24">
                  <c:v>0.61000000000000043</c:v>
                </c:pt>
                <c:pt idx="25">
                  <c:v>0.56000000000000005</c:v>
                </c:pt>
                <c:pt idx="26">
                  <c:v>1.0000000000000005E-2</c:v>
                </c:pt>
                <c:pt idx="27">
                  <c:v>0.42000000000000021</c:v>
                </c:pt>
                <c:pt idx="28">
                  <c:v>0.46</c:v>
                </c:pt>
                <c:pt idx="29">
                  <c:v>0.2900000000000002</c:v>
                </c:pt>
                <c:pt idx="30">
                  <c:v>0</c:v>
                </c:pt>
                <c:pt idx="31">
                  <c:v>0.28000000000000008</c:v>
                </c:pt>
                <c:pt idx="32">
                  <c:v>0.23</c:v>
                </c:pt>
              </c:numCache>
            </c:numRef>
          </c:val>
        </c:ser>
        <c:ser>
          <c:idx val="2"/>
          <c:order val="2"/>
          <c:tx>
            <c:strRef>
              <c:f>graf4.4!$D$3</c:f>
              <c:strCache>
                <c:ptCount val="1"/>
                <c:pt idx="0">
                  <c:v>Domácnosti</c:v>
                </c:pt>
              </c:strCache>
            </c:strRef>
          </c:tx>
          <c:spPr>
            <a:solidFill>
              <a:srgbClr val="92D050"/>
            </a:solidFill>
            <a:ln>
              <a:solidFill>
                <a:srgbClr val="77933C"/>
              </a:solidFill>
            </a:ln>
          </c:spPr>
          <c:invertIfNegative val="0"/>
          <c:dPt>
            <c:idx val="19"/>
            <c:invertIfNegative val="0"/>
            <c:bubble3D val="0"/>
            <c:spPr>
              <a:solidFill>
                <a:srgbClr val="679E2A"/>
              </a:solidFill>
              <a:ln>
                <a:solidFill>
                  <a:srgbClr val="77933C"/>
                </a:solidFill>
              </a:ln>
            </c:spPr>
          </c:dPt>
          <c:cat>
            <c:strRef>
              <c:f>graf4.4!$A$4:$A$36</c:f>
              <c:strCache>
                <c:ptCount val="33"/>
                <c:pt idx="0">
                  <c:v>Norsko</c:v>
                </c:pt>
                <c:pt idx="1">
                  <c:v>Německo</c:v>
                </c:pt>
                <c:pt idx="2">
                  <c:v>Dánsko</c:v>
                </c:pt>
                <c:pt idx="3">
                  <c:v>Japonsko</c:v>
                </c:pt>
                <c:pt idx="4">
                  <c:v>Švédsko</c:v>
                </c:pt>
                <c:pt idx="5">
                  <c:v>Česká republika</c:v>
                </c:pt>
                <c:pt idx="6">
                  <c:v>Lucembursko</c:v>
                </c:pt>
                <c:pt idx="7">
                  <c:v>Island</c:v>
                </c:pt>
                <c:pt idx="8">
                  <c:v>Nizozemí</c:v>
                </c:pt>
                <c:pt idx="9">
                  <c:v>Slovenská republika</c:v>
                </c:pt>
                <c:pt idx="10">
                  <c:v>Velká Británie</c:v>
                </c:pt>
                <c:pt idx="11">
                  <c:v>Nový Zéland</c:v>
                </c:pt>
                <c:pt idx="12">
                  <c:v>Francie</c:v>
                </c:pt>
                <c:pt idx="13">
                  <c:v>Turecko</c:v>
                </c:pt>
                <c:pt idx="14">
                  <c:v>Belgie</c:v>
                </c:pt>
                <c:pt idx="15">
                  <c:v>Estonsko</c:v>
                </c:pt>
                <c:pt idx="16">
                  <c:v>Rakousko</c:v>
                </c:pt>
                <c:pt idx="17">
                  <c:v>Itálie</c:v>
                </c:pt>
                <c:pt idx="18">
                  <c:v>Finsko</c:v>
                </c:pt>
                <c:pt idx="19">
                  <c:v>OECD35</c:v>
                </c:pt>
                <c:pt idx="20">
                  <c:v>Slovinsko</c:v>
                </c:pt>
                <c:pt idx="21">
                  <c:v>Španělsko</c:v>
                </c:pt>
                <c:pt idx="22">
                  <c:v>Kanada</c:v>
                </c:pt>
                <c:pt idx="23">
                  <c:v>Irsko</c:v>
                </c:pt>
                <c:pt idx="24">
                  <c:v>Polsko</c:v>
                </c:pt>
                <c:pt idx="25">
                  <c:v>Maďarsko</c:v>
                </c:pt>
                <c:pt idx="26">
                  <c:v>Portugalsko</c:v>
                </c:pt>
                <c:pt idx="27">
                  <c:v>Švýcarsko</c:v>
                </c:pt>
                <c:pt idx="28">
                  <c:v>Izrael</c:v>
                </c:pt>
                <c:pt idx="29">
                  <c:v>Řecko</c:v>
                </c:pt>
                <c:pt idx="30">
                  <c:v>Lotyšsko</c:v>
                </c:pt>
                <c:pt idx="31">
                  <c:v>Mexiko</c:v>
                </c:pt>
                <c:pt idx="32">
                  <c:v>Spojené státy</c:v>
                </c:pt>
              </c:strCache>
            </c:strRef>
          </c:cat>
          <c:val>
            <c:numRef>
              <c:f>graf4.4!$D$4:$D$36</c:f>
              <c:numCache>
                <c:formatCode>0%</c:formatCode>
                <c:ptCount val="33"/>
                <c:pt idx="0">
                  <c:v>0.14000000000000001</c:v>
                </c:pt>
                <c:pt idx="1">
                  <c:v>0.13</c:v>
                </c:pt>
                <c:pt idx="2">
                  <c:v>0.14000000000000001</c:v>
                </c:pt>
                <c:pt idx="3">
                  <c:v>0.13</c:v>
                </c:pt>
                <c:pt idx="4">
                  <c:v>0.15000000000000011</c:v>
                </c:pt>
                <c:pt idx="5">
                  <c:v>0.15000000000000011</c:v>
                </c:pt>
                <c:pt idx="6">
                  <c:v>0.11</c:v>
                </c:pt>
                <c:pt idx="7">
                  <c:v>0.17</c:v>
                </c:pt>
                <c:pt idx="8">
                  <c:v>0.12000000000000002</c:v>
                </c:pt>
                <c:pt idx="9">
                  <c:v>0.1800000000000001</c:v>
                </c:pt>
                <c:pt idx="10">
                  <c:v>0.15000000000000011</c:v>
                </c:pt>
                <c:pt idx="11">
                  <c:v>0.13</c:v>
                </c:pt>
                <c:pt idx="12">
                  <c:v>7.0000000000000021E-2</c:v>
                </c:pt>
                <c:pt idx="13">
                  <c:v>0.17</c:v>
                </c:pt>
                <c:pt idx="14">
                  <c:v>0.1800000000000001</c:v>
                </c:pt>
                <c:pt idx="15">
                  <c:v>0.23</c:v>
                </c:pt>
                <c:pt idx="16">
                  <c:v>0.1800000000000001</c:v>
                </c:pt>
                <c:pt idx="17">
                  <c:v>0.23</c:v>
                </c:pt>
                <c:pt idx="18">
                  <c:v>0.2</c:v>
                </c:pt>
                <c:pt idx="19">
                  <c:v>0.2</c:v>
                </c:pt>
                <c:pt idx="20">
                  <c:v>0.13</c:v>
                </c:pt>
                <c:pt idx="21">
                  <c:v>0.2400000000000001</c:v>
                </c:pt>
                <c:pt idx="22">
                  <c:v>0.15000000000000011</c:v>
                </c:pt>
                <c:pt idx="23">
                  <c:v>0.15000000000000011</c:v>
                </c:pt>
                <c:pt idx="24">
                  <c:v>0.23</c:v>
                </c:pt>
                <c:pt idx="25">
                  <c:v>0.2900000000000002</c:v>
                </c:pt>
                <c:pt idx="26">
                  <c:v>0.28000000000000008</c:v>
                </c:pt>
                <c:pt idx="27">
                  <c:v>0.28000000000000008</c:v>
                </c:pt>
                <c:pt idx="28">
                  <c:v>0.23</c:v>
                </c:pt>
                <c:pt idx="29">
                  <c:v>0.3500000000000002</c:v>
                </c:pt>
                <c:pt idx="30">
                  <c:v>0.42000000000000021</c:v>
                </c:pt>
                <c:pt idx="31">
                  <c:v>0.4100000000000002</c:v>
                </c:pt>
                <c:pt idx="32">
                  <c:v>0.11</c:v>
                </c:pt>
              </c:numCache>
            </c:numRef>
          </c:val>
        </c:ser>
        <c:ser>
          <c:idx val="3"/>
          <c:order val="3"/>
          <c:tx>
            <c:strRef>
              <c:f>graf4.4!$E$3</c:f>
              <c:strCache>
                <c:ptCount val="1"/>
                <c:pt idx="0">
                  <c:v> Soukromé pojištění</c:v>
                </c:pt>
              </c:strCache>
            </c:strRef>
          </c:tx>
          <c:spPr>
            <a:solidFill>
              <a:srgbClr val="FFC000"/>
            </a:solidFill>
            <a:ln>
              <a:solidFill>
                <a:srgbClr val="E46C0A"/>
              </a:solidFill>
            </a:ln>
          </c:spPr>
          <c:invertIfNegative val="0"/>
          <c:dPt>
            <c:idx val="19"/>
            <c:invertIfNegative val="0"/>
            <c:bubble3D val="0"/>
            <c:spPr>
              <a:solidFill>
                <a:srgbClr val="E46C0A"/>
              </a:solidFill>
              <a:ln>
                <a:solidFill>
                  <a:srgbClr val="E46C0A"/>
                </a:solidFill>
              </a:ln>
            </c:spPr>
          </c:dPt>
          <c:cat>
            <c:strRef>
              <c:f>graf4.4!$A$4:$A$36</c:f>
              <c:strCache>
                <c:ptCount val="33"/>
                <c:pt idx="0">
                  <c:v>Norsko</c:v>
                </c:pt>
                <c:pt idx="1">
                  <c:v>Německo</c:v>
                </c:pt>
                <c:pt idx="2">
                  <c:v>Dánsko</c:v>
                </c:pt>
                <c:pt idx="3">
                  <c:v>Japonsko</c:v>
                </c:pt>
                <c:pt idx="4">
                  <c:v>Švédsko</c:v>
                </c:pt>
                <c:pt idx="5">
                  <c:v>Česká republika</c:v>
                </c:pt>
                <c:pt idx="6">
                  <c:v>Lucembursko</c:v>
                </c:pt>
                <c:pt idx="7">
                  <c:v>Island</c:v>
                </c:pt>
                <c:pt idx="8">
                  <c:v>Nizozemí</c:v>
                </c:pt>
                <c:pt idx="9">
                  <c:v>Slovenská republika</c:v>
                </c:pt>
                <c:pt idx="10">
                  <c:v>Velká Británie</c:v>
                </c:pt>
                <c:pt idx="11">
                  <c:v>Nový Zéland</c:v>
                </c:pt>
                <c:pt idx="12">
                  <c:v>Francie</c:v>
                </c:pt>
                <c:pt idx="13">
                  <c:v>Turecko</c:v>
                </c:pt>
                <c:pt idx="14">
                  <c:v>Belgie</c:v>
                </c:pt>
                <c:pt idx="15">
                  <c:v>Estonsko</c:v>
                </c:pt>
                <c:pt idx="16">
                  <c:v>Rakousko</c:v>
                </c:pt>
                <c:pt idx="17">
                  <c:v>Itálie</c:v>
                </c:pt>
                <c:pt idx="18">
                  <c:v>Finsko</c:v>
                </c:pt>
                <c:pt idx="19">
                  <c:v>OECD35</c:v>
                </c:pt>
                <c:pt idx="20">
                  <c:v>Slovinsko</c:v>
                </c:pt>
                <c:pt idx="21">
                  <c:v>Španělsko</c:v>
                </c:pt>
                <c:pt idx="22">
                  <c:v>Kanada</c:v>
                </c:pt>
                <c:pt idx="23">
                  <c:v>Irsko</c:v>
                </c:pt>
                <c:pt idx="24">
                  <c:v>Polsko</c:v>
                </c:pt>
                <c:pt idx="25">
                  <c:v>Maďarsko</c:v>
                </c:pt>
                <c:pt idx="26">
                  <c:v>Portugalsko</c:v>
                </c:pt>
                <c:pt idx="27">
                  <c:v>Švýcarsko</c:v>
                </c:pt>
                <c:pt idx="28">
                  <c:v>Izrael</c:v>
                </c:pt>
                <c:pt idx="29">
                  <c:v>Řecko</c:v>
                </c:pt>
                <c:pt idx="30">
                  <c:v>Lotyšsko</c:v>
                </c:pt>
                <c:pt idx="31">
                  <c:v>Mexiko</c:v>
                </c:pt>
                <c:pt idx="32">
                  <c:v>Spojené státy</c:v>
                </c:pt>
              </c:strCache>
            </c:strRef>
          </c:cat>
          <c:val>
            <c:numRef>
              <c:f>graf4.4!$E$4:$E$36</c:f>
              <c:numCache>
                <c:formatCode>0%</c:formatCode>
                <c:ptCount val="33"/>
                <c:pt idx="0">
                  <c:v>0</c:v>
                </c:pt>
                <c:pt idx="1">
                  <c:v>1.0000000000000005E-2</c:v>
                </c:pt>
                <c:pt idx="2">
                  <c:v>2.0000000000000011E-2</c:v>
                </c:pt>
                <c:pt idx="3">
                  <c:v>2.0000000000000011E-2</c:v>
                </c:pt>
                <c:pt idx="4">
                  <c:v>1.0000000000000005E-2</c:v>
                </c:pt>
                <c:pt idx="5">
                  <c:v>0</c:v>
                </c:pt>
                <c:pt idx="6">
                  <c:v>6.0000000000000032E-2</c:v>
                </c:pt>
                <c:pt idx="7">
                  <c:v>0</c:v>
                </c:pt>
                <c:pt idx="8">
                  <c:v>6.0000000000000032E-2</c:v>
                </c:pt>
                <c:pt idx="9">
                  <c:v>0</c:v>
                </c:pt>
                <c:pt idx="10">
                  <c:v>3.0000000000000002E-2</c:v>
                </c:pt>
                <c:pt idx="11">
                  <c:v>0.05</c:v>
                </c:pt>
                <c:pt idx="12">
                  <c:v>0.14000000000000001</c:v>
                </c:pt>
                <c:pt idx="13">
                  <c:v>0</c:v>
                </c:pt>
                <c:pt idx="14">
                  <c:v>0.05</c:v>
                </c:pt>
                <c:pt idx="15">
                  <c:v>0</c:v>
                </c:pt>
                <c:pt idx="16">
                  <c:v>0.05</c:v>
                </c:pt>
                <c:pt idx="17">
                  <c:v>2.0000000000000011E-2</c:v>
                </c:pt>
                <c:pt idx="18">
                  <c:v>3.0000000000000002E-2</c:v>
                </c:pt>
                <c:pt idx="19">
                  <c:v>6.0000000000000032E-2</c:v>
                </c:pt>
                <c:pt idx="20">
                  <c:v>0.15000000000000011</c:v>
                </c:pt>
                <c:pt idx="21">
                  <c:v>4.0000000000000022E-2</c:v>
                </c:pt>
                <c:pt idx="22">
                  <c:v>0.13</c:v>
                </c:pt>
                <c:pt idx="23">
                  <c:v>0.12000000000000002</c:v>
                </c:pt>
                <c:pt idx="24">
                  <c:v>0.05</c:v>
                </c:pt>
                <c:pt idx="25">
                  <c:v>2.0000000000000011E-2</c:v>
                </c:pt>
                <c:pt idx="26">
                  <c:v>0.05</c:v>
                </c:pt>
                <c:pt idx="27">
                  <c:v>7.0000000000000021E-2</c:v>
                </c:pt>
                <c:pt idx="28">
                  <c:v>0.11</c:v>
                </c:pt>
                <c:pt idx="29">
                  <c:v>4.0000000000000022E-2</c:v>
                </c:pt>
                <c:pt idx="30">
                  <c:v>1.0000000000000005E-2</c:v>
                </c:pt>
                <c:pt idx="31">
                  <c:v>0.05</c:v>
                </c:pt>
                <c:pt idx="32">
                  <c:v>0.3500000000000002</c:v>
                </c:pt>
              </c:numCache>
            </c:numRef>
          </c:val>
        </c:ser>
        <c:ser>
          <c:idx val="4"/>
          <c:order val="4"/>
          <c:tx>
            <c:strRef>
              <c:f>graf4.4!$F$3</c:f>
              <c:strCache>
                <c:ptCount val="1"/>
                <c:pt idx="0">
                  <c:v>Ostatní</c:v>
                </c:pt>
              </c:strCache>
            </c:strRef>
          </c:tx>
          <c:spPr>
            <a:solidFill>
              <a:srgbClr val="83A5CF"/>
            </a:solidFill>
            <a:ln>
              <a:solidFill>
                <a:srgbClr val="376092"/>
              </a:solidFill>
            </a:ln>
          </c:spPr>
          <c:invertIfNegative val="0"/>
          <c:dPt>
            <c:idx val="19"/>
            <c:invertIfNegative val="0"/>
            <c:bubble3D val="0"/>
            <c:spPr>
              <a:solidFill>
                <a:srgbClr val="77CADB"/>
              </a:solidFill>
              <a:ln>
                <a:solidFill>
                  <a:srgbClr val="376092"/>
                </a:solidFill>
              </a:ln>
            </c:spPr>
          </c:dPt>
          <c:cat>
            <c:strRef>
              <c:f>graf4.4!$A$4:$A$36</c:f>
              <c:strCache>
                <c:ptCount val="33"/>
                <c:pt idx="0">
                  <c:v>Norsko</c:v>
                </c:pt>
                <c:pt idx="1">
                  <c:v>Německo</c:v>
                </c:pt>
                <c:pt idx="2">
                  <c:v>Dánsko</c:v>
                </c:pt>
                <c:pt idx="3">
                  <c:v>Japonsko</c:v>
                </c:pt>
                <c:pt idx="4">
                  <c:v>Švédsko</c:v>
                </c:pt>
                <c:pt idx="5">
                  <c:v>Česká republika</c:v>
                </c:pt>
                <c:pt idx="6">
                  <c:v>Lucembursko</c:v>
                </c:pt>
                <c:pt idx="7">
                  <c:v>Island</c:v>
                </c:pt>
                <c:pt idx="8">
                  <c:v>Nizozemí</c:v>
                </c:pt>
                <c:pt idx="9">
                  <c:v>Slovenská republika</c:v>
                </c:pt>
                <c:pt idx="10">
                  <c:v>Velká Británie</c:v>
                </c:pt>
                <c:pt idx="11">
                  <c:v>Nový Zéland</c:v>
                </c:pt>
                <c:pt idx="12">
                  <c:v>Francie</c:v>
                </c:pt>
                <c:pt idx="13">
                  <c:v>Turecko</c:v>
                </c:pt>
                <c:pt idx="14">
                  <c:v>Belgie</c:v>
                </c:pt>
                <c:pt idx="15">
                  <c:v>Estonsko</c:v>
                </c:pt>
                <c:pt idx="16">
                  <c:v>Rakousko</c:v>
                </c:pt>
                <c:pt idx="17">
                  <c:v>Itálie</c:v>
                </c:pt>
                <c:pt idx="18">
                  <c:v>Finsko</c:v>
                </c:pt>
                <c:pt idx="19">
                  <c:v>OECD35</c:v>
                </c:pt>
                <c:pt idx="20">
                  <c:v>Slovinsko</c:v>
                </c:pt>
                <c:pt idx="21">
                  <c:v>Španělsko</c:v>
                </c:pt>
                <c:pt idx="22">
                  <c:v>Kanada</c:v>
                </c:pt>
                <c:pt idx="23">
                  <c:v>Irsko</c:v>
                </c:pt>
                <c:pt idx="24">
                  <c:v>Polsko</c:v>
                </c:pt>
                <c:pt idx="25">
                  <c:v>Maďarsko</c:v>
                </c:pt>
                <c:pt idx="26">
                  <c:v>Portugalsko</c:v>
                </c:pt>
                <c:pt idx="27">
                  <c:v>Švýcarsko</c:v>
                </c:pt>
                <c:pt idx="28">
                  <c:v>Izrael</c:v>
                </c:pt>
                <c:pt idx="29">
                  <c:v>Řecko</c:v>
                </c:pt>
                <c:pt idx="30">
                  <c:v>Lotyšsko</c:v>
                </c:pt>
                <c:pt idx="31">
                  <c:v>Mexiko</c:v>
                </c:pt>
                <c:pt idx="32">
                  <c:v>Spojené státy</c:v>
                </c:pt>
              </c:strCache>
            </c:strRef>
          </c:cat>
          <c:val>
            <c:numRef>
              <c:f>graf4.4!$F$4:$F$36</c:f>
              <c:numCache>
                <c:formatCode>0%</c:formatCode>
                <c:ptCount val="33"/>
                <c:pt idx="0">
                  <c:v>0</c:v>
                </c:pt>
                <c:pt idx="1">
                  <c:v>1.0000000000000005E-2</c:v>
                </c:pt>
                <c:pt idx="2">
                  <c:v>0</c:v>
                </c:pt>
                <c:pt idx="3">
                  <c:v>1.0000000000000005E-2</c:v>
                </c:pt>
                <c:pt idx="4">
                  <c:v>0</c:v>
                </c:pt>
                <c:pt idx="5">
                  <c:v>3.0000000000000002E-2</c:v>
                </c:pt>
                <c:pt idx="6">
                  <c:v>1.0000000000000005E-2</c:v>
                </c:pt>
                <c:pt idx="7">
                  <c:v>2.0000000000000011E-2</c:v>
                </c:pt>
                <c:pt idx="8">
                  <c:v>1.0000000000000005E-2</c:v>
                </c:pt>
                <c:pt idx="9">
                  <c:v>2.0000000000000011E-2</c:v>
                </c:pt>
                <c:pt idx="10">
                  <c:v>2.0000000000000011E-2</c:v>
                </c:pt>
                <c:pt idx="11">
                  <c:v>2.0000000000000011E-2</c:v>
                </c:pt>
                <c:pt idx="12">
                  <c:v>0</c:v>
                </c:pt>
                <c:pt idx="13">
                  <c:v>0.05</c:v>
                </c:pt>
                <c:pt idx="14">
                  <c:v>0</c:v>
                </c:pt>
                <c:pt idx="15">
                  <c:v>1.0000000000000005E-2</c:v>
                </c:pt>
                <c:pt idx="16">
                  <c:v>1.0000000000000005E-2</c:v>
                </c:pt>
                <c:pt idx="17">
                  <c:v>0</c:v>
                </c:pt>
                <c:pt idx="18">
                  <c:v>3.0000000000000002E-2</c:v>
                </c:pt>
                <c:pt idx="19">
                  <c:v>2.0000000000000011E-2</c:v>
                </c:pt>
                <c:pt idx="20">
                  <c:v>0</c:v>
                </c:pt>
                <c:pt idx="21">
                  <c:v>0</c:v>
                </c:pt>
                <c:pt idx="22">
                  <c:v>2.0000000000000011E-2</c:v>
                </c:pt>
                <c:pt idx="23">
                  <c:v>3.0000000000000002E-2</c:v>
                </c:pt>
                <c:pt idx="24">
                  <c:v>2.0000000000000011E-2</c:v>
                </c:pt>
                <c:pt idx="25">
                  <c:v>2.0000000000000011E-2</c:v>
                </c:pt>
                <c:pt idx="26">
                  <c:v>1.0000000000000005E-2</c:v>
                </c:pt>
                <c:pt idx="27">
                  <c:v>1.0000000000000005E-2</c:v>
                </c:pt>
                <c:pt idx="28">
                  <c:v>3.0000000000000002E-2</c:v>
                </c:pt>
                <c:pt idx="29">
                  <c:v>2.0000000000000011E-2</c:v>
                </c:pt>
                <c:pt idx="30">
                  <c:v>0</c:v>
                </c:pt>
                <c:pt idx="31">
                  <c:v>2.0000000000000011E-2</c:v>
                </c:pt>
                <c:pt idx="32">
                  <c:v>4.0000000000000022E-2</c:v>
                </c:pt>
              </c:numCache>
            </c:numRef>
          </c:val>
        </c:ser>
        <c:dLbls>
          <c:showLegendKey val="0"/>
          <c:showVal val="0"/>
          <c:showCatName val="0"/>
          <c:showSerName val="0"/>
          <c:showPercent val="0"/>
          <c:showBubbleSize val="0"/>
        </c:dLbls>
        <c:gapWidth val="70"/>
        <c:overlap val="100"/>
        <c:axId val="231507968"/>
        <c:axId val="231414528"/>
      </c:barChart>
      <c:catAx>
        <c:axId val="231507968"/>
        <c:scaling>
          <c:orientation val="minMax"/>
        </c:scaling>
        <c:delete val="0"/>
        <c:axPos val="b"/>
        <c:majorTickMark val="out"/>
        <c:minorTickMark val="none"/>
        <c:tickLblPos val="nextTo"/>
        <c:crossAx val="231414528"/>
        <c:crosses val="autoZero"/>
        <c:auto val="1"/>
        <c:lblAlgn val="ctr"/>
        <c:lblOffset val="100"/>
        <c:noMultiLvlLbl val="0"/>
      </c:catAx>
      <c:valAx>
        <c:axId val="231414528"/>
        <c:scaling>
          <c:orientation val="minMax"/>
          <c:max val="1"/>
        </c:scaling>
        <c:delete val="0"/>
        <c:axPos val="l"/>
        <c:majorGridlines>
          <c:spPr>
            <a:ln>
              <a:solidFill>
                <a:schemeClr val="bg1">
                  <a:lumMod val="75000"/>
                </a:schemeClr>
              </a:solidFill>
            </a:ln>
          </c:spPr>
        </c:majorGridlines>
        <c:numFmt formatCode="0%" sourceLinked="1"/>
        <c:majorTickMark val="out"/>
        <c:minorTickMark val="none"/>
        <c:tickLblPos val="nextTo"/>
        <c:spPr>
          <a:ln>
            <a:solidFill>
              <a:schemeClr val="bg1">
                <a:lumMod val="75000"/>
              </a:schemeClr>
            </a:solidFill>
          </a:ln>
        </c:spPr>
        <c:crossAx val="231507968"/>
        <c:crosses val="autoZero"/>
        <c:crossBetween val="between"/>
        <c:majorUnit val="0.1"/>
        <c:minorUnit val="5.0000000000000024E-2"/>
      </c:valAx>
      <c:spPr>
        <a:ln>
          <a:noFill/>
        </a:ln>
      </c:spPr>
    </c:plotArea>
    <c:legend>
      <c:legendPos val="b"/>
      <c:layout>
        <c:manualLayout>
          <c:xMode val="edge"/>
          <c:yMode val="edge"/>
          <c:x val="0.12226764022708979"/>
          <c:y val="0.88595012017521957"/>
          <c:w val="0.75546455204098772"/>
          <c:h val="6.308254038874217E-2"/>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graf4.5!$B$3</c:f>
              <c:strCache>
                <c:ptCount val="1"/>
                <c:pt idx="0">
                  <c:v> Lůžková péče*</c:v>
                </c:pt>
              </c:strCache>
            </c:strRef>
          </c:tx>
          <c:spPr>
            <a:solidFill>
              <a:srgbClr val="D96D7F"/>
            </a:solidFill>
            <a:ln>
              <a:solidFill>
                <a:srgbClr val="943735"/>
              </a:solidFill>
            </a:ln>
          </c:spPr>
          <c:invertIfNegative val="0"/>
          <c:dPt>
            <c:idx val="13"/>
            <c:invertIfNegative val="0"/>
            <c:bubble3D val="0"/>
            <c:spPr>
              <a:solidFill>
                <a:srgbClr val="B02E44"/>
              </a:solidFill>
              <a:ln>
                <a:solidFill>
                  <a:srgbClr val="943735"/>
                </a:solidFill>
              </a:ln>
            </c:spPr>
          </c:dPt>
          <c:cat>
            <c:strRef>
              <c:f>graf4.5!$A$4:$A$34</c:f>
              <c:strCache>
                <c:ptCount val="31"/>
                <c:pt idx="0">
                  <c:v>Portugalsko</c:v>
                </c:pt>
                <c:pt idx="1">
                  <c:v>Izrael</c:v>
                </c:pt>
                <c:pt idx="2">
                  <c:v>Estonsko</c:v>
                </c:pt>
                <c:pt idx="3">
                  <c:v>Polsko</c:v>
                </c:pt>
                <c:pt idx="4">
                  <c:v>Řecko</c:v>
                </c:pt>
                <c:pt idx="5">
                  <c:v>Spojené státy</c:v>
                </c:pt>
                <c:pt idx="6">
                  <c:v>Španělsko</c:v>
                </c:pt>
                <c:pt idx="7">
                  <c:v>Itálie</c:v>
                </c:pt>
                <c:pt idx="8">
                  <c:v>Finsko</c:v>
                </c:pt>
                <c:pt idx="9">
                  <c:v>Rakousko</c:v>
                </c:pt>
                <c:pt idx="10">
                  <c:v>Slovinsko</c:v>
                </c:pt>
                <c:pt idx="11">
                  <c:v>Island</c:v>
                </c:pt>
                <c:pt idx="12">
                  <c:v>Francie</c:v>
                </c:pt>
                <c:pt idx="13">
                  <c:v>OECD</c:v>
                </c:pt>
                <c:pt idx="14">
                  <c:v>Lotyšsko</c:v>
                </c:pt>
                <c:pt idx="15">
                  <c:v>Dánsko</c:v>
                </c:pt>
                <c:pt idx="16">
                  <c:v>Mexiko</c:v>
                </c:pt>
                <c:pt idx="17">
                  <c:v>Slovenská republika</c:v>
                </c:pt>
                <c:pt idx="18">
                  <c:v>Česká republika</c:v>
                </c:pt>
                <c:pt idx="19">
                  <c:v>Maďarsko</c:v>
                </c:pt>
                <c:pt idx="20">
                  <c:v>Luxembourg</c:v>
                </c:pt>
                <c:pt idx="21">
                  <c:v>Velká Británie</c:v>
                </c:pt>
                <c:pt idx="22">
                  <c:v>Norsko</c:v>
                </c:pt>
                <c:pt idx="23">
                  <c:v>Japonsko</c:v>
                </c:pt>
                <c:pt idx="24">
                  <c:v>Irsko</c:v>
                </c:pt>
                <c:pt idx="25">
                  <c:v>Německo</c:v>
                </c:pt>
                <c:pt idx="26">
                  <c:v>Švýcarsko</c:v>
                </c:pt>
                <c:pt idx="27">
                  <c:v>Švédsko</c:v>
                </c:pt>
                <c:pt idx="28">
                  <c:v>Kanada</c:v>
                </c:pt>
                <c:pt idx="29">
                  <c:v>Belgie</c:v>
                </c:pt>
                <c:pt idx="30">
                  <c:v>Nizozemsko</c:v>
                </c:pt>
              </c:strCache>
            </c:strRef>
          </c:cat>
          <c:val>
            <c:numRef>
              <c:f>graf4.5!$B$4:$B$34</c:f>
              <c:numCache>
                <c:formatCode>0</c:formatCode>
                <c:ptCount val="31"/>
                <c:pt idx="0">
                  <c:v>26</c:v>
                </c:pt>
                <c:pt idx="1">
                  <c:v>26</c:v>
                </c:pt>
                <c:pt idx="2">
                  <c:v>27</c:v>
                </c:pt>
                <c:pt idx="3">
                  <c:v>36</c:v>
                </c:pt>
                <c:pt idx="4">
                  <c:v>40</c:v>
                </c:pt>
                <c:pt idx="5">
                  <c:v>17</c:v>
                </c:pt>
                <c:pt idx="6">
                  <c:v>26</c:v>
                </c:pt>
                <c:pt idx="7">
                  <c:v>32</c:v>
                </c:pt>
                <c:pt idx="8">
                  <c:v>26</c:v>
                </c:pt>
                <c:pt idx="9">
                  <c:v>34</c:v>
                </c:pt>
                <c:pt idx="10">
                  <c:v>30</c:v>
                </c:pt>
                <c:pt idx="11">
                  <c:v>31</c:v>
                </c:pt>
                <c:pt idx="12">
                  <c:v>33</c:v>
                </c:pt>
                <c:pt idx="13">
                  <c:v>28</c:v>
                </c:pt>
                <c:pt idx="14">
                  <c:v>27</c:v>
                </c:pt>
                <c:pt idx="15">
                  <c:v>26</c:v>
                </c:pt>
                <c:pt idx="16">
                  <c:v>26</c:v>
                </c:pt>
                <c:pt idx="17">
                  <c:v>29</c:v>
                </c:pt>
                <c:pt idx="18">
                  <c:v>26</c:v>
                </c:pt>
                <c:pt idx="19">
                  <c:v>29</c:v>
                </c:pt>
                <c:pt idx="20">
                  <c:v>28</c:v>
                </c:pt>
                <c:pt idx="21">
                  <c:v>29</c:v>
                </c:pt>
                <c:pt idx="22">
                  <c:v>29</c:v>
                </c:pt>
                <c:pt idx="23">
                  <c:v>28</c:v>
                </c:pt>
                <c:pt idx="24">
                  <c:v>31</c:v>
                </c:pt>
                <c:pt idx="25">
                  <c:v>28</c:v>
                </c:pt>
                <c:pt idx="26">
                  <c:v>22</c:v>
                </c:pt>
                <c:pt idx="27">
                  <c:v>22</c:v>
                </c:pt>
                <c:pt idx="28">
                  <c:v>22</c:v>
                </c:pt>
                <c:pt idx="29">
                  <c:v>30</c:v>
                </c:pt>
                <c:pt idx="30">
                  <c:v>26</c:v>
                </c:pt>
              </c:numCache>
            </c:numRef>
          </c:val>
        </c:ser>
        <c:ser>
          <c:idx val="1"/>
          <c:order val="1"/>
          <c:tx>
            <c:strRef>
              <c:f>graf4.5!$C$3</c:f>
              <c:strCache>
                <c:ptCount val="1"/>
                <c:pt idx="0">
                  <c:v> Ambulantní péče**</c:v>
                </c:pt>
              </c:strCache>
            </c:strRef>
          </c:tx>
          <c:spPr>
            <a:solidFill>
              <a:srgbClr val="0071BC"/>
            </a:solidFill>
            <a:ln>
              <a:solidFill>
                <a:srgbClr val="376092"/>
              </a:solidFill>
            </a:ln>
          </c:spPr>
          <c:invertIfNegative val="0"/>
          <c:dPt>
            <c:idx val="13"/>
            <c:invertIfNegative val="0"/>
            <c:bubble3D val="0"/>
            <c:spPr>
              <a:solidFill>
                <a:srgbClr val="376092"/>
              </a:solidFill>
              <a:ln>
                <a:solidFill>
                  <a:srgbClr val="376092"/>
                </a:solidFill>
              </a:ln>
            </c:spPr>
          </c:dPt>
          <c:cat>
            <c:strRef>
              <c:f>graf4.5!$A$4:$A$34</c:f>
              <c:strCache>
                <c:ptCount val="31"/>
                <c:pt idx="0">
                  <c:v>Portugalsko</c:v>
                </c:pt>
                <c:pt idx="1">
                  <c:v>Izrael</c:v>
                </c:pt>
                <c:pt idx="2">
                  <c:v>Estonsko</c:v>
                </c:pt>
                <c:pt idx="3">
                  <c:v>Polsko</c:v>
                </c:pt>
                <c:pt idx="4">
                  <c:v>Řecko</c:v>
                </c:pt>
                <c:pt idx="5">
                  <c:v>Spojené státy</c:v>
                </c:pt>
                <c:pt idx="6">
                  <c:v>Španělsko</c:v>
                </c:pt>
                <c:pt idx="7">
                  <c:v>Itálie</c:v>
                </c:pt>
                <c:pt idx="8">
                  <c:v>Finsko</c:v>
                </c:pt>
                <c:pt idx="9">
                  <c:v>Rakousko</c:v>
                </c:pt>
                <c:pt idx="10">
                  <c:v>Slovinsko</c:v>
                </c:pt>
                <c:pt idx="11">
                  <c:v>Island</c:v>
                </c:pt>
                <c:pt idx="12">
                  <c:v>Francie</c:v>
                </c:pt>
                <c:pt idx="13">
                  <c:v>OECD</c:v>
                </c:pt>
                <c:pt idx="14">
                  <c:v>Lotyšsko</c:v>
                </c:pt>
                <c:pt idx="15">
                  <c:v>Dánsko</c:v>
                </c:pt>
                <c:pt idx="16">
                  <c:v>Mexiko</c:v>
                </c:pt>
                <c:pt idx="17">
                  <c:v>Slovenská republika</c:v>
                </c:pt>
                <c:pt idx="18">
                  <c:v>Česká republika</c:v>
                </c:pt>
                <c:pt idx="19">
                  <c:v>Maďarsko</c:v>
                </c:pt>
                <c:pt idx="20">
                  <c:v>Luxembourg</c:v>
                </c:pt>
                <c:pt idx="21">
                  <c:v>Velká Británie</c:v>
                </c:pt>
                <c:pt idx="22">
                  <c:v>Norsko</c:v>
                </c:pt>
                <c:pt idx="23">
                  <c:v>Japonsko</c:v>
                </c:pt>
                <c:pt idx="24">
                  <c:v>Irsko</c:v>
                </c:pt>
                <c:pt idx="25">
                  <c:v>Německo</c:v>
                </c:pt>
                <c:pt idx="26">
                  <c:v>Švýcarsko</c:v>
                </c:pt>
                <c:pt idx="27">
                  <c:v>Švédsko</c:v>
                </c:pt>
                <c:pt idx="28">
                  <c:v>Kanada</c:v>
                </c:pt>
                <c:pt idx="29">
                  <c:v>Belgie</c:v>
                </c:pt>
                <c:pt idx="30">
                  <c:v>Nizozemsko</c:v>
                </c:pt>
              </c:strCache>
            </c:strRef>
          </c:cat>
          <c:val>
            <c:numRef>
              <c:f>graf4.5!$C$4:$C$34</c:f>
              <c:numCache>
                <c:formatCode>0</c:formatCode>
                <c:ptCount val="31"/>
                <c:pt idx="0">
                  <c:v>48</c:v>
                </c:pt>
                <c:pt idx="1">
                  <c:v>46</c:v>
                </c:pt>
                <c:pt idx="2">
                  <c:v>41</c:v>
                </c:pt>
                <c:pt idx="3">
                  <c:v>30</c:v>
                </c:pt>
                <c:pt idx="4">
                  <c:v>25</c:v>
                </c:pt>
                <c:pt idx="5">
                  <c:v>47</c:v>
                </c:pt>
                <c:pt idx="6">
                  <c:v>38</c:v>
                </c:pt>
                <c:pt idx="7">
                  <c:v>31</c:v>
                </c:pt>
                <c:pt idx="8">
                  <c:v>38</c:v>
                </c:pt>
                <c:pt idx="9">
                  <c:v>28</c:v>
                </c:pt>
                <c:pt idx="10">
                  <c:v>32</c:v>
                </c:pt>
                <c:pt idx="11">
                  <c:v>30</c:v>
                </c:pt>
                <c:pt idx="12">
                  <c:v>28</c:v>
                </c:pt>
                <c:pt idx="13">
                  <c:v>33</c:v>
                </c:pt>
                <c:pt idx="14">
                  <c:v>33</c:v>
                </c:pt>
                <c:pt idx="15">
                  <c:v>34</c:v>
                </c:pt>
                <c:pt idx="16">
                  <c:v>34</c:v>
                </c:pt>
                <c:pt idx="17">
                  <c:v>30</c:v>
                </c:pt>
                <c:pt idx="18">
                  <c:v>33</c:v>
                </c:pt>
                <c:pt idx="19">
                  <c:v>30</c:v>
                </c:pt>
                <c:pt idx="20">
                  <c:v>30</c:v>
                </c:pt>
                <c:pt idx="21">
                  <c:v>30</c:v>
                </c:pt>
                <c:pt idx="22">
                  <c:v>29</c:v>
                </c:pt>
                <c:pt idx="23">
                  <c:v>29</c:v>
                </c:pt>
                <c:pt idx="24">
                  <c:v>26</c:v>
                </c:pt>
                <c:pt idx="25">
                  <c:v>28</c:v>
                </c:pt>
                <c:pt idx="26">
                  <c:v>34</c:v>
                </c:pt>
                <c:pt idx="27">
                  <c:v>33</c:v>
                </c:pt>
                <c:pt idx="28">
                  <c:v>34</c:v>
                </c:pt>
                <c:pt idx="29">
                  <c:v>24</c:v>
                </c:pt>
                <c:pt idx="30">
                  <c:v>28</c:v>
                </c:pt>
              </c:numCache>
            </c:numRef>
          </c:val>
        </c:ser>
        <c:ser>
          <c:idx val="2"/>
          <c:order val="2"/>
          <c:tx>
            <c:strRef>
              <c:f>graf4.5!$D$3</c:f>
              <c:strCache>
                <c:ptCount val="1"/>
                <c:pt idx="0">
                  <c:v> Léky a zdravotnické potřeby</c:v>
                </c:pt>
              </c:strCache>
            </c:strRef>
          </c:tx>
          <c:spPr>
            <a:solidFill>
              <a:srgbClr val="92D050"/>
            </a:solidFill>
            <a:ln>
              <a:solidFill>
                <a:srgbClr val="77933C"/>
              </a:solidFill>
            </a:ln>
          </c:spPr>
          <c:invertIfNegative val="0"/>
          <c:dPt>
            <c:idx val="13"/>
            <c:invertIfNegative val="0"/>
            <c:bubble3D val="0"/>
            <c:spPr>
              <a:solidFill>
                <a:srgbClr val="679E2A"/>
              </a:solidFill>
              <a:ln>
                <a:solidFill>
                  <a:srgbClr val="77933C"/>
                </a:solidFill>
              </a:ln>
            </c:spPr>
          </c:dPt>
          <c:cat>
            <c:strRef>
              <c:f>graf4.5!$A$4:$A$34</c:f>
              <c:strCache>
                <c:ptCount val="31"/>
                <c:pt idx="0">
                  <c:v>Portugalsko</c:v>
                </c:pt>
                <c:pt idx="1">
                  <c:v>Izrael</c:v>
                </c:pt>
                <c:pt idx="2">
                  <c:v>Estonsko</c:v>
                </c:pt>
                <c:pt idx="3">
                  <c:v>Polsko</c:v>
                </c:pt>
                <c:pt idx="4">
                  <c:v>Řecko</c:v>
                </c:pt>
                <c:pt idx="5">
                  <c:v>Spojené státy</c:v>
                </c:pt>
                <c:pt idx="6">
                  <c:v>Španělsko</c:v>
                </c:pt>
                <c:pt idx="7">
                  <c:v>Itálie</c:v>
                </c:pt>
                <c:pt idx="8">
                  <c:v>Finsko</c:v>
                </c:pt>
                <c:pt idx="9">
                  <c:v>Rakousko</c:v>
                </c:pt>
                <c:pt idx="10">
                  <c:v>Slovinsko</c:v>
                </c:pt>
                <c:pt idx="11">
                  <c:v>Island</c:v>
                </c:pt>
                <c:pt idx="12">
                  <c:v>Francie</c:v>
                </c:pt>
                <c:pt idx="13">
                  <c:v>OECD</c:v>
                </c:pt>
                <c:pt idx="14">
                  <c:v>Lotyšsko</c:v>
                </c:pt>
                <c:pt idx="15">
                  <c:v>Dánsko</c:v>
                </c:pt>
                <c:pt idx="16">
                  <c:v>Mexiko</c:v>
                </c:pt>
                <c:pt idx="17">
                  <c:v>Slovenská republika</c:v>
                </c:pt>
                <c:pt idx="18">
                  <c:v>Česká republika</c:v>
                </c:pt>
                <c:pt idx="19">
                  <c:v>Maďarsko</c:v>
                </c:pt>
                <c:pt idx="20">
                  <c:v>Luxembourg</c:v>
                </c:pt>
                <c:pt idx="21">
                  <c:v>Velká Británie</c:v>
                </c:pt>
                <c:pt idx="22">
                  <c:v>Norsko</c:v>
                </c:pt>
                <c:pt idx="23">
                  <c:v>Japonsko</c:v>
                </c:pt>
                <c:pt idx="24">
                  <c:v>Irsko</c:v>
                </c:pt>
                <c:pt idx="25">
                  <c:v>Německo</c:v>
                </c:pt>
                <c:pt idx="26">
                  <c:v>Švýcarsko</c:v>
                </c:pt>
                <c:pt idx="27">
                  <c:v>Švédsko</c:v>
                </c:pt>
                <c:pt idx="28">
                  <c:v>Kanada</c:v>
                </c:pt>
                <c:pt idx="29">
                  <c:v>Belgie</c:v>
                </c:pt>
                <c:pt idx="30">
                  <c:v>Nizozemsko</c:v>
                </c:pt>
              </c:strCache>
            </c:strRef>
          </c:cat>
          <c:val>
            <c:numRef>
              <c:f>graf4.5!$D$4:$D$34</c:f>
              <c:numCache>
                <c:formatCode>0</c:formatCode>
                <c:ptCount val="31"/>
                <c:pt idx="0">
                  <c:v>20</c:v>
                </c:pt>
                <c:pt idx="1">
                  <c:v>14</c:v>
                </c:pt>
                <c:pt idx="2">
                  <c:v>21</c:v>
                </c:pt>
                <c:pt idx="3">
                  <c:v>23</c:v>
                </c:pt>
                <c:pt idx="4">
                  <c:v>28</c:v>
                </c:pt>
                <c:pt idx="5">
                  <c:v>14</c:v>
                </c:pt>
                <c:pt idx="6">
                  <c:v>22</c:v>
                </c:pt>
                <c:pt idx="7">
                  <c:v>21</c:v>
                </c:pt>
                <c:pt idx="8">
                  <c:v>15</c:v>
                </c:pt>
                <c:pt idx="9">
                  <c:v>17</c:v>
                </c:pt>
                <c:pt idx="10">
                  <c:v>22</c:v>
                </c:pt>
                <c:pt idx="11">
                  <c:v>14</c:v>
                </c:pt>
                <c:pt idx="12">
                  <c:v>20</c:v>
                </c:pt>
                <c:pt idx="13">
                  <c:v>19</c:v>
                </c:pt>
                <c:pt idx="14">
                  <c:v>30</c:v>
                </c:pt>
                <c:pt idx="15">
                  <c:v>10</c:v>
                </c:pt>
                <c:pt idx="16">
                  <c:v>30</c:v>
                </c:pt>
                <c:pt idx="17">
                  <c:v>35</c:v>
                </c:pt>
                <c:pt idx="18">
                  <c:v>20</c:v>
                </c:pt>
                <c:pt idx="19">
                  <c:v>32</c:v>
                </c:pt>
                <c:pt idx="20">
                  <c:v>11</c:v>
                </c:pt>
                <c:pt idx="21">
                  <c:v>14</c:v>
                </c:pt>
                <c:pt idx="22">
                  <c:v>11</c:v>
                </c:pt>
                <c:pt idx="23">
                  <c:v>20</c:v>
                </c:pt>
                <c:pt idx="24">
                  <c:v>14</c:v>
                </c:pt>
                <c:pt idx="25">
                  <c:v>20</c:v>
                </c:pt>
                <c:pt idx="26">
                  <c:v>16</c:v>
                </c:pt>
                <c:pt idx="27">
                  <c:v>12</c:v>
                </c:pt>
                <c:pt idx="28">
                  <c:v>20</c:v>
                </c:pt>
                <c:pt idx="29">
                  <c:v>16</c:v>
                </c:pt>
                <c:pt idx="30">
                  <c:v>13</c:v>
                </c:pt>
              </c:numCache>
            </c:numRef>
          </c:val>
        </c:ser>
        <c:ser>
          <c:idx val="3"/>
          <c:order val="3"/>
          <c:tx>
            <c:strRef>
              <c:f>graf4.5!$E$3</c:f>
              <c:strCache>
                <c:ptCount val="1"/>
                <c:pt idx="0">
                  <c:v> Dlouhodobá péče</c:v>
                </c:pt>
              </c:strCache>
            </c:strRef>
          </c:tx>
          <c:spPr>
            <a:solidFill>
              <a:srgbClr val="FFC000"/>
            </a:solidFill>
            <a:ln>
              <a:solidFill>
                <a:srgbClr val="E46C0A"/>
              </a:solidFill>
            </a:ln>
          </c:spPr>
          <c:invertIfNegative val="0"/>
          <c:dPt>
            <c:idx val="13"/>
            <c:invertIfNegative val="0"/>
            <c:bubble3D val="0"/>
            <c:spPr>
              <a:solidFill>
                <a:srgbClr val="E46C0A"/>
              </a:solidFill>
              <a:ln>
                <a:solidFill>
                  <a:srgbClr val="E46C0A"/>
                </a:solidFill>
              </a:ln>
            </c:spPr>
          </c:dPt>
          <c:cat>
            <c:strRef>
              <c:f>graf4.5!$A$4:$A$34</c:f>
              <c:strCache>
                <c:ptCount val="31"/>
                <c:pt idx="0">
                  <c:v>Portugalsko</c:v>
                </c:pt>
                <c:pt idx="1">
                  <c:v>Izrael</c:v>
                </c:pt>
                <c:pt idx="2">
                  <c:v>Estonsko</c:v>
                </c:pt>
                <c:pt idx="3">
                  <c:v>Polsko</c:v>
                </c:pt>
                <c:pt idx="4">
                  <c:v>Řecko</c:v>
                </c:pt>
                <c:pt idx="5">
                  <c:v>Spojené státy</c:v>
                </c:pt>
                <c:pt idx="6">
                  <c:v>Španělsko</c:v>
                </c:pt>
                <c:pt idx="7">
                  <c:v>Itálie</c:v>
                </c:pt>
                <c:pt idx="8">
                  <c:v>Finsko</c:v>
                </c:pt>
                <c:pt idx="9">
                  <c:v>Rakousko</c:v>
                </c:pt>
                <c:pt idx="10">
                  <c:v>Slovinsko</c:v>
                </c:pt>
                <c:pt idx="11">
                  <c:v>Island</c:v>
                </c:pt>
                <c:pt idx="12">
                  <c:v>Francie</c:v>
                </c:pt>
                <c:pt idx="13">
                  <c:v>OECD</c:v>
                </c:pt>
                <c:pt idx="14">
                  <c:v>Lotyšsko</c:v>
                </c:pt>
                <c:pt idx="15">
                  <c:v>Dánsko</c:v>
                </c:pt>
                <c:pt idx="16">
                  <c:v>Mexiko</c:v>
                </c:pt>
                <c:pt idx="17">
                  <c:v>Slovenská republika</c:v>
                </c:pt>
                <c:pt idx="18">
                  <c:v>Česká republika</c:v>
                </c:pt>
                <c:pt idx="19">
                  <c:v>Maďarsko</c:v>
                </c:pt>
                <c:pt idx="20">
                  <c:v>Luxembourg</c:v>
                </c:pt>
                <c:pt idx="21">
                  <c:v>Velká Británie</c:v>
                </c:pt>
                <c:pt idx="22">
                  <c:v>Norsko</c:v>
                </c:pt>
                <c:pt idx="23">
                  <c:v>Japonsko</c:v>
                </c:pt>
                <c:pt idx="24">
                  <c:v>Irsko</c:v>
                </c:pt>
                <c:pt idx="25">
                  <c:v>Německo</c:v>
                </c:pt>
                <c:pt idx="26">
                  <c:v>Švýcarsko</c:v>
                </c:pt>
                <c:pt idx="27">
                  <c:v>Švédsko</c:v>
                </c:pt>
                <c:pt idx="28">
                  <c:v>Kanada</c:v>
                </c:pt>
                <c:pt idx="29">
                  <c:v>Belgie</c:v>
                </c:pt>
                <c:pt idx="30">
                  <c:v>Nizozemsko</c:v>
                </c:pt>
              </c:strCache>
            </c:strRef>
          </c:cat>
          <c:val>
            <c:numRef>
              <c:f>graf4.5!$E$4:$E$34</c:f>
              <c:numCache>
                <c:formatCode>0</c:formatCode>
                <c:ptCount val="31"/>
                <c:pt idx="0">
                  <c:v>3</c:v>
                </c:pt>
                <c:pt idx="1">
                  <c:v>8</c:v>
                </c:pt>
                <c:pt idx="2">
                  <c:v>6</c:v>
                </c:pt>
                <c:pt idx="3">
                  <c:v>6</c:v>
                </c:pt>
                <c:pt idx="4">
                  <c:v>2</c:v>
                </c:pt>
                <c:pt idx="5">
                  <c:v>5</c:v>
                </c:pt>
                <c:pt idx="6">
                  <c:v>9</c:v>
                </c:pt>
                <c:pt idx="7">
                  <c:v>10</c:v>
                </c:pt>
                <c:pt idx="8">
                  <c:v>17</c:v>
                </c:pt>
                <c:pt idx="9">
                  <c:v>15</c:v>
                </c:pt>
                <c:pt idx="10">
                  <c:v>10</c:v>
                </c:pt>
                <c:pt idx="11">
                  <c:v>20</c:v>
                </c:pt>
                <c:pt idx="12">
                  <c:v>11</c:v>
                </c:pt>
                <c:pt idx="13">
                  <c:v>14</c:v>
                </c:pt>
                <c:pt idx="14">
                  <c:v>5</c:v>
                </c:pt>
                <c:pt idx="15">
                  <c:v>24</c:v>
                </c:pt>
                <c:pt idx="16">
                  <c:v>0</c:v>
                </c:pt>
                <c:pt idx="17">
                  <c:v>0</c:v>
                </c:pt>
                <c:pt idx="18">
                  <c:v>13</c:v>
                </c:pt>
                <c:pt idx="19">
                  <c:v>4</c:v>
                </c:pt>
                <c:pt idx="20">
                  <c:v>24</c:v>
                </c:pt>
                <c:pt idx="21">
                  <c:v>18</c:v>
                </c:pt>
                <c:pt idx="22">
                  <c:v>28</c:v>
                </c:pt>
                <c:pt idx="23">
                  <c:v>19</c:v>
                </c:pt>
                <c:pt idx="24">
                  <c:v>23</c:v>
                </c:pt>
                <c:pt idx="25">
                  <c:v>16</c:v>
                </c:pt>
                <c:pt idx="26">
                  <c:v>19</c:v>
                </c:pt>
                <c:pt idx="27">
                  <c:v>26</c:v>
                </c:pt>
                <c:pt idx="28">
                  <c:v>14</c:v>
                </c:pt>
                <c:pt idx="29">
                  <c:v>24</c:v>
                </c:pt>
                <c:pt idx="30">
                  <c:v>25</c:v>
                </c:pt>
              </c:numCache>
            </c:numRef>
          </c:val>
        </c:ser>
        <c:ser>
          <c:idx val="4"/>
          <c:order val="4"/>
          <c:tx>
            <c:strRef>
              <c:f>graf4.5!$F$3</c:f>
              <c:strCache>
                <c:ptCount val="1"/>
                <c:pt idx="0">
                  <c:v> Prevence a administrativa</c:v>
                </c:pt>
              </c:strCache>
            </c:strRef>
          </c:tx>
          <c:spPr>
            <a:solidFill>
              <a:srgbClr val="83A5CF"/>
            </a:solidFill>
            <a:ln>
              <a:solidFill>
                <a:srgbClr val="376092"/>
              </a:solidFill>
            </a:ln>
          </c:spPr>
          <c:invertIfNegative val="0"/>
          <c:dPt>
            <c:idx val="13"/>
            <c:invertIfNegative val="0"/>
            <c:bubble3D val="0"/>
            <c:spPr>
              <a:solidFill>
                <a:srgbClr val="77CADB"/>
              </a:solidFill>
              <a:ln>
                <a:solidFill>
                  <a:srgbClr val="376092"/>
                </a:solidFill>
              </a:ln>
            </c:spPr>
          </c:dPt>
          <c:cat>
            <c:strRef>
              <c:f>graf4.5!$A$4:$A$34</c:f>
              <c:strCache>
                <c:ptCount val="31"/>
                <c:pt idx="0">
                  <c:v>Portugalsko</c:v>
                </c:pt>
                <c:pt idx="1">
                  <c:v>Izrael</c:v>
                </c:pt>
                <c:pt idx="2">
                  <c:v>Estonsko</c:v>
                </c:pt>
                <c:pt idx="3">
                  <c:v>Polsko</c:v>
                </c:pt>
                <c:pt idx="4">
                  <c:v>Řecko</c:v>
                </c:pt>
                <c:pt idx="5">
                  <c:v>Spojené státy</c:v>
                </c:pt>
                <c:pt idx="6">
                  <c:v>Španělsko</c:v>
                </c:pt>
                <c:pt idx="7">
                  <c:v>Itálie</c:v>
                </c:pt>
                <c:pt idx="8">
                  <c:v>Finsko</c:v>
                </c:pt>
                <c:pt idx="9">
                  <c:v>Rakousko</c:v>
                </c:pt>
                <c:pt idx="10">
                  <c:v>Slovinsko</c:v>
                </c:pt>
                <c:pt idx="11">
                  <c:v>Island</c:v>
                </c:pt>
                <c:pt idx="12">
                  <c:v>Francie</c:v>
                </c:pt>
                <c:pt idx="13">
                  <c:v>OECD</c:v>
                </c:pt>
                <c:pt idx="14">
                  <c:v>Lotyšsko</c:v>
                </c:pt>
                <c:pt idx="15">
                  <c:v>Dánsko</c:v>
                </c:pt>
                <c:pt idx="16">
                  <c:v>Mexiko</c:v>
                </c:pt>
                <c:pt idx="17">
                  <c:v>Slovenská republika</c:v>
                </c:pt>
                <c:pt idx="18">
                  <c:v>Česká republika</c:v>
                </c:pt>
                <c:pt idx="19">
                  <c:v>Maďarsko</c:v>
                </c:pt>
                <c:pt idx="20">
                  <c:v>Luxembourg</c:v>
                </c:pt>
                <c:pt idx="21">
                  <c:v>Velká Británie</c:v>
                </c:pt>
                <c:pt idx="22">
                  <c:v>Norsko</c:v>
                </c:pt>
                <c:pt idx="23">
                  <c:v>Japonsko</c:v>
                </c:pt>
                <c:pt idx="24">
                  <c:v>Irsko</c:v>
                </c:pt>
                <c:pt idx="25">
                  <c:v>Německo</c:v>
                </c:pt>
                <c:pt idx="26">
                  <c:v>Švýcarsko</c:v>
                </c:pt>
                <c:pt idx="27">
                  <c:v>Švédsko</c:v>
                </c:pt>
                <c:pt idx="28">
                  <c:v>Kanada</c:v>
                </c:pt>
                <c:pt idx="29">
                  <c:v>Belgie</c:v>
                </c:pt>
                <c:pt idx="30">
                  <c:v>Nizozemsko</c:v>
                </c:pt>
              </c:strCache>
            </c:strRef>
          </c:cat>
          <c:val>
            <c:numRef>
              <c:f>graf4.5!$F$4:$F$34</c:f>
              <c:numCache>
                <c:formatCode>0</c:formatCode>
                <c:ptCount val="31"/>
                <c:pt idx="0">
                  <c:v>3</c:v>
                </c:pt>
                <c:pt idx="1">
                  <c:v>6</c:v>
                </c:pt>
                <c:pt idx="2">
                  <c:v>5</c:v>
                </c:pt>
                <c:pt idx="3">
                  <c:v>5</c:v>
                </c:pt>
                <c:pt idx="4">
                  <c:v>5</c:v>
                </c:pt>
                <c:pt idx="5">
                  <c:v>17</c:v>
                </c:pt>
                <c:pt idx="6">
                  <c:v>5</c:v>
                </c:pt>
                <c:pt idx="7">
                  <c:v>6</c:v>
                </c:pt>
                <c:pt idx="8">
                  <c:v>4</c:v>
                </c:pt>
                <c:pt idx="9">
                  <c:v>6</c:v>
                </c:pt>
                <c:pt idx="10">
                  <c:v>6</c:v>
                </c:pt>
                <c:pt idx="11">
                  <c:v>5</c:v>
                </c:pt>
                <c:pt idx="12">
                  <c:v>8</c:v>
                </c:pt>
                <c:pt idx="13">
                  <c:v>6</c:v>
                </c:pt>
                <c:pt idx="14">
                  <c:v>5</c:v>
                </c:pt>
                <c:pt idx="15">
                  <c:v>6</c:v>
                </c:pt>
                <c:pt idx="16">
                  <c:v>10</c:v>
                </c:pt>
                <c:pt idx="17">
                  <c:v>6</c:v>
                </c:pt>
                <c:pt idx="18">
                  <c:v>8</c:v>
                </c:pt>
                <c:pt idx="19">
                  <c:v>5</c:v>
                </c:pt>
                <c:pt idx="20">
                  <c:v>7</c:v>
                </c:pt>
                <c:pt idx="21">
                  <c:v>9</c:v>
                </c:pt>
                <c:pt idx="22">
                  <c:v>3</c:v>
                </c:pt>
                <c:pt idx="23">
                  <c:v>4</c:v>
                </c:pt>
                <c:pt idx="24">
                  <c:v>6</c:v>
                </c:pt>
                <c:pt idx="25">
                  <c:v>8</c:v>
                </c:pt>
                <c:pt idx="26">
                  <c:v>9</c:v>
                </c:pt>
                <c:pt idx="27">
                  <c:v>7</c:v>
                </c:pt>
                <c:pt idx="28">
                  <c:v>10</c:v>
                </c:pt>
                <c:pt idx="29">
                  <c:v>6</c:v>
                </c:pt>
                <c:pt idx="30">
                  <c:v>8</c:v>
                </c:pt>
              </c:numCache>
            </c:numRef>
          </c:val>
        </c:ser>
        <c:dLbls>
          <c:showLegendKey val="0"/>
          <c:showVal val="0"/>
          <c:showCatName val="0"/>
          <c:showSerName val="0"/>
          <c:showPercent val="0"/>
          <c:showBubbleSize val="0"/>
        </c:dLbls>
        <c:gapWidth val="50"/>
        <c:overlap val="100"/>
        <c:axId val="231307776"/>
        <c:axId val="231413376"/>
      </c:barChart>
      <c:catAx>
        <c:axId val="231307776"/>
        <c:scaling>
          <c:orientation val="minMax"/>
        </c:scaling>
        <c:delete val="0"/>
        <c:axPos val="b"/>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31413376"/>
        <c:crosses val="autoZero"/>
        <c:auto val="1"/>
        <c:lblAlgn val="ctr"/>
        <c:lblOffset val="100"/>
        <c:noMultiLvlLbl val="0"/>
      </c:catAx>
      <c:valAx>
        <c:axId val="231413376"/>
        <c:scaling>
          <c:orientation val="minMax"/>
          <c:max val="100"/>
        </c:scaling>
        <c:delete val="0"/>
        <c:axPos val="l"/>
        <c:majorGridlines/>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231307776"/>
        <c:crosses val="autoZero"/>
        <c:crossBetween val="between"/>
        <c:majorUnit val="10"/>
        <c:minorUnit val="5"/>
      </c:valAx>
    </c:plotArea>
    <c:legend>
      <c:legendPos val="b"/>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List1!$B$6</c:f>
              <c:strCache>
                <c:ptCount val="1"/>
                <c:pt idx="0">
                  <c:v>Vládní systémy včetně veřejného zdravotního pojištění</c:v>
                </c:pt>
              </c:strCache>
            </c:strRef>
          </c:tx>
          <c:spPr>
            <a:solidFill>
              <a:srgbClr val="D96D7F"/>
            </a:solidFill>
            <a:ln>
              <a:solidFill>
                <a:srgbClr val="953735"/>
              </a:solidFill>
            </a:ln>
          </c:spPr>
          <c:invertIfNegative val="0"/>
          <c:dPt>
            <c:idx val="14"/>
            <c:invertIfNegative val="0"/>
            <c:bubble3D val="0"/>
            <c:spPr>
              <a:solidFill>
                <a:srgbClr val="9E2A3D"/>
              </a:solidFill>
              <a:ln>
                <a:solidFill>
                  <a:srgbClr val="953735"/>
                </a:solidFill>
              </a:ln>
            </c:spPr>
          </c:dPt>
          <c:cat>
            <c:strRef>
              <c:f>List1!$A$7:$A$37</c:f>
              <c:strCache>
                <c:ptCount val="31"/>
                <c:pt idx="0">
                  <c:v>Germany</c:v>
                </c:pt>
                <c:pt idx="1">
                  <c:v>Luxembourg</c:v>
                </c:pt>
                <c:pt idx="2">
                  <c:v>Ireland</c:v>
                </c:pt>
                <c:pt idx="3">
                  <c:v>Japan</c:v>
                </c:pt>
                <c:pt idx="4">
                  <c:v>France</c:v>
                </c:pt>
                <c:pt idx="5">
                  <c:v>Slovak Republic</c:v>
                </c:pt>
                <c:pt idx="6">
                  <c:v>Belgium</c:v>
                </c:pt>
                <c:pt idx="7">
                  <c:v>Austria</c:v>
                </c:pt>
                <c:pt idx="8">
                  <c:v>United Kingdom</c:v>
                </c:pt>
                <c:pt idx="9">
                  <c:v>Netherlands</c:v>
                </c:pt>
                <c:pt idx="10">
                  <c:v>Italy</c:v>
                </c:pt>
                <c:pt idx="11">
                  <c:v>Czech Republic</c:v>
                </c:pt>
                <c:pt idx="12">
                  <c:v>Spain</c:v>
                </c:pt>
                <c:pt idx="13">
                  <c:v>Norway</c:v>
                </c:pt>
                <c:pt idx="14">
                  <c:v>OECD30</c:v>
                </c:pt>
                <c:pt idx="15">
                  <c:v>Finland</c:v>
                </c:pt>
                <c:pt idx="16">
                  <c:v>Switzerland</c:v>
                </c:pt>
                <c:pt idx="17">
                  <c:v>Portugal</c:v>
                </c:pt>
                <c:pt idx="18">
                  <c:v>Greece</c:v>
                </c:pt>
                <c:pt idx="19">
                  <c:v>Korea</c:v>
                </c:pt>
                <c:pt idx="20">
                  <c:v>Estonia</c:v>
                </c:pt>
                <c:pt idx="21">
                  <c:v>Sweden</c:v>
                </c:pt>
                <c:pt idx="22">
                  <c:v>Hungary</c:v>
                </c:pt>
                <c:pt idx="23">
                  <c:v>Slovenia</c:v>
                </c:pt>
                <c:pt idx="24">
                  <c:v>Australia</c:v>
                </c:pt>
                <c:pt idx="25">
                  <c:v>Denmark</c:v>
                </c:pt>
                <c:pt idx="26">
                  <c:v>Iceland</c:v>
                </c:pt>
                <c:pt idx="27">
                  <c:v>United States</c:v>
                </c:pt>
                <c:pt idx="28">
                  <c:v>Canada</c:v>
                </c:pt>
                <c:pt idx="29">
                  <c:v>Latvia</c:v>
                </c:pt>
                <c:pt idx="30">
                  <c:v>Poland</c:v>
                </c:pt>
              </c:strCache>
            </c:strRef>
          </c:cat>
          <c:val>
            <c:numRef>
              <c:f>List1!$B$7:$B$37</c:f>
              <c:numCache>
                <c:formatCode>0</c:formatCode>
                <c:ptCount val="31"/>
                <c:pt idx="0">
                  <c:v>83.9</c:v>
                </c:pt>
                <c:pt idx="1">
                  <c:v>80.2</c:v>
                </c:pt>
                <c:pt idx="2">
                  <c:v>74.599999999999994</c:v>
                </c:pt>
                <c:pt idx="3">
                  <c:v>72.3</c:v>
                </c:pt>
                <c:pt idx="4">
                  <c:v>70.900000000000006</c:v>
                </c:pt>
                <c:pt idx="5">
                  <c:v>70.7</c:v>
                </c:pt>
                <c:pt idx="6">
                  <c:v>69.2</c:v>
                </c:pt>
                <c:pt idx="7">
                  <c:v>68.400000000000006</c:v>
                </c:pt>
                <c:pt idx="8">
                  <c:v>67.400000000000006</c:v>
                </c:pt>
                <c:pt idx="9">
                  <c:v>64.8</c:v>
                </c:pt>
                <c:pt idx="10">
                  <c:v>62.5</c:v>
                </c:pt>
                <c:pt idx="11">
                  <c:v>58</c:v>
                </c:pt>
                <c:pt idx="12">
                  <c:v>59.3</c:v>
                </c:pt>
                <c:pt idx="13">
                  <c:v>58</c:v>
                </c:pt>
                <c:pt idx="14">
                  <c:v>56.8</c:v>
                </c:pt>
                <c:pt idx="15">
                  <c:v>55.5</c:v>
                </c:pt>
                <c:pt idx="16">
                  <c:v>54.8</c:v>
                </c:pt>
                <c:pt idx="17">
                  <c:v>54.7</c:v>
                </c:pt>
                <c:pt idx="18">
                  <c:v>51.7</c:v>
                </c:pt>
                <c:pt idx="19">
                  <c:v>51.6</c:v>
                </c:pt>
                <c:pt idx="20">
                  <c:v>51.4</c:v>
                </c:pt>
                <c:pt idx="21">
                  <c:v>51.3</c:v>
                </c:pt>
                <c:pt idx="22">
                  <c:v>50.6</c:v>
                </c:pt>
                <c:pt idx="23">
                  <c:v>49.5</c:v>
                </c:pt>
                <c:pt idx="24">
                  <c:v>48</c:v>
                </c:pt>
                <c:pt idx="25">
                  <c:v>43.7</c:v>
                </c:pt>
                <c:pt idx="26">
                  <c:v>38.1</c:v>
                </c:pt>
                <c:pt idx="27">
                  <c:v>36.5</c:v>
                </c:pt>
                <c:pt idx="28">
                  <c:v>36.300000000000004</c:v>
                </c:pt>
                <c:pt idx="29">
                  <c:v>35</c:v>
                </c:pt>
                <c:pt idx="30">
                  <c:v>34.1</c:v>
                </c:pt>
              </c:numCache>
            </c:numRef>
          </c:val>
        </c:ser>
        <c:ser>
          <c:idx val="1"/>
          <c:order val="1"/>
          <c:tx>
            <c:strRef>
              <c:f>List1!$C$6</c:f>
              <c:strCache>
                <c:ptCount val="1"/>
                <c:pt idx="0">
                  <c:v>Domácnosti</c:v>
                </c:pt>
              </c:strCache>
            </c:strRef>
          </c:tx>
          <c:spPr>
            <a:solidFill>
              <a:srgbClr val="0071BC"/>
            </a:solidFill>
            <a:ln>
              <a:solidFill>
                <a:srgbClr val="376092"/>
              </a:solidFill>
            </a:ln>
          </c:spPr>
          <c:invertIfNegative val="0"/>
          <c:dPt>
            <c:idx val="14"/>
            <c:invertIfNegative val="0"/>
            <c:bubble3D val="0"/>
            <c:spPr>
              <a:solidFill>
                <a:srgbClr val="376092"/>
              </a:solidFill>
              <a:ln>
                <a:solidFill>
                  <a:srgbClr val="376092"/>
                </a:solidFill>
              </a:ln>
            </c:spPr>
          </c:dPt>
          <c:cat>
            <c:strRef>
              <c:f>List1!$A$7:$A$37</c:f>
              <c:strCache>
                <c:ptCount val="31"/>
                <c:pt idx="0">
                  <c:v>Germany</c:v>
                </c:pt>
                <c:pt idx="1">
                  <c:v>Luxembourg</c:v>
                </c:pt>
                <c:pt idx="2">
                  <c:v>Ireland</c:v>
                </c:pt>
                <c:pt idx="3">
                  <c:v>Japan</c:v>
                </c:pt>
                <c:pt idx="4">
                  <c:v>France</c:v>
                </c:pt>
                <c:pt idx="5">
                  <c:v>Slovak Republic</c:v>
                </c:pt>
                <c:pt idx="6">
                  <c:v>Belgium</c:v>
                </c:pt>
                <c:pt idx="7">
                  <c:v>Austria</c:v>
                </c:pt>
                <c:pt idx="8">
                  <c:v>United Kingdom</c:v>
                </c:pt>
                <c:pt idx="9">
                  <c:v>Netherlands</c:v>
                </c:pt>
                <c:pt idx="10">
                  <c:v>Italy</c:v>
                </c:pt>
                <c:pt idx="11">
                  <c:v>Czech Republic</c:v>
                </c:pt>
                <c:pt idx="12">
                  <c:v>Spain</c:v>
                </c:pt>
                <c:pt idx="13">
                  <c:v>Norway</c:v>
                </c:pt>
                <c:pt idx="14">
                  <c:v>OECD30</c:v>
                </c:pt>
                <c:pt idx="15">
                  <c:v>Finland</c:v>
                </c:pt>
                <c:pt idx="16">
                  <c:v>Switzerland</c:v>
                </c:pt>
                <c:pt idx="17">
                  <c:v>Portugal</c:v>
                </c:pt>
                <c:pt idx="18">
                  <c:v>Greece</c:v>
                </c:pt>
                <c:pt idx="19">
                  <c:v>Korea</c:v>
                </c:pt>
                <c:pt idx="20">
                  <c:v>Estonia</c:v>
                </c:pt>
                <c:pt idx="21">
                  <c:v>Sweden</c:v>
                </c:pt>
                <c:pt idx="22">
                  <c:v>Hungary</c:v>
                </c:pt>
                <c:pt idx="23">
                  <c:v>Slovenia</c:v>
                </c:pt>
                <c:pt idx="24">
                  <c:v>Australia</c:v>
                </c:pt>
                <c:pt idx="25">
                  <c:v>Denmark</c:v>
                </c:pt>
                <c:pt idx="26">
                  <c:v>Iceland</c:v>
                </c:pt>
                <c:pt idx="27">
                  <c:v>United States</c:v>
                </c:pt>
                <c:pt idx="28">
                  <c:v>Canada</c:v>
                </c:pt>
                <c:pt idx="29">
                  <c:v>Latvia</c:v>
                </c:pt>
                <c:pt idx="30">
                  <c:v>Poland</c:v>
                </c:pt>
              </c:strCache>
            </c:strRef>
          </c:cat>
          <c:val>
            <c:numRef>
              <c:f>List1!$C$7:$C$37</c:f>
              <c:numCache>
                <c:formatCode>0</c:formatCode>
                <c:ptCount val="31"/>
                <c:pt idx="0">
                  <c:v>15.7</c:v>
                </c:pt>
                <c:pt idx="1">
                  <c:v>12.6</c:v>
                </c:pt>
                <c:pt idx="2">
                  <c:v>25.4</c:v>
                </c:pt>
                <c:pt idx="3">
                  <c:v>26.8</c:v>
                </c:pt>
                <c:pt idx="4">
                  <c:v>17</c:v>
                </c:pt>
                <c:pt idx="5">
                  <c:v>29.3</c:v>
                </c:pt>
                <c:pt idx="6">
                  <c:v>30.6</c:v>
                </c:pt>
                <c:pt idx="7">
                  <c:v>30.9</c:v>
                </c:pt>
                <c:pt idx="8">
                  <c:v>32.6</c:v>
                </c:pt>
                <c:pt idx="9">
                  <c:v>33.9</c:v>
                </c:pt>
                <c:pt idx="10">
                  <c:v>37.5</c:v>
                </c:pt>
                <c:pt idx="11">
                  <c:v>42</c:v>
                </c:pt>
                <c:pt idx="12">
                  <c:v>40.700000000000003</c:v>
                </c:pt>
                <c:pt idx="13">
                  <c:v>42.1</c:v>
                </c:pt>
                <c:pt idx="14">
                  <c:v>38.6</c:v>
                </c:pt>
                <c:pt idx="15">
                  <c:v>44</c:v>
                </c:pt>
                <c:pt idx="16">
                  <c:v>40.1</c:v>
                </c:pt>
                <c:pt idx="17">
                  <c:v>44</c:v>
                </c:pt>
                <c:pt idx="18">
                  <c:v>48.3</c:v>
                </c:pt>
                <c:pt idx="19">
                  <c:v>47.4</c:v>
                </c:pt>
                <c:pt idx="20">
                  <c:v>48.3</c:v>
                </c:pt>
                <c:pt idx="21">
                  <c:v>48.7</c:v>
                </c:pt>
                <c:pt idx="22">
                  <c:v>45.2</c:v>
                </c:pt>
                <c:pt idx="23">
                  <c:v>24</c:v>
                </c:pt>
                <c:pt idx="24">
                  <c:v>51.3</c:v>
                </c:pt>
                <c:pt idx="25">
                  <c:v>50.6</c:v>
                </c:pt>
                <c:pt idx="26">
                  <c:v>57.6</c:v>
                </c:pt>
                <c:pt idx="27">
                  <c:v>29.1</c:v>
                </c:pt>
                <c:pt idx="28">
                  <c:v>33.200000000000003</c:v>
                </c:pt>
                <c:pt idx="29">
                  <c:v>64.8</c:v>
                </c:pt>
                <c:pt idx="30">
                  <c:v>65.7</c:v>
                </c:pt>
              </c:numCache>
            </c:numRef>
          </c:val>
        </c:ser>
        <c:ser>
          <c:idx val="2"/>
          <c:order val="2"/>
          <c:tx>
            <c:strRef>
              <c:f>List1!$D$6</c:f>
              <c:strCache>
                <c:ptCount val="1"/>
                <c:pt idx="0">
                  <c:v>Ostatní</c:v>
                </c:pt>
              </c:strCache>
            </c:strRef>
          </c:tx>
          <c:spPr>
            <a:solidFill>
              <a:srgbClr val="92D050"/>
            </a:solidFill>
            <a:ln>
              <a:solidFill>
                <a:srgbClr val="77933C"/>
              </a:solidFill>
            </a:ln>
          </c:spPr>
          <c:invertIfNegative val="0"/>
          <c:dPt>
            <c:idx val="14"/>
            <c:invertIfNegative val="0"/>
            <c:bubble3D val="0"/>
            <c:spPr>
              <a:solidFill>
                <a:srgbClr val="517D21"/>
              </a:solidFill>
              <a:ln>
                <a:solidFill>
                  <a:srgbClr val="77933C"/>
                </a:solidFill>
              </a:ln>
            </c:spPr>
          </c:dPt>
          <c:cat>
            <c:strRef>
              <c:f>List1!$A$7:$A$37</c:f>
              <c:strCache>
                <c:ptCount val="31"/>
                <c:pt idx="0">
                  <c:v>Germany</c:v>
                </c:pt>
                <c:pt idx="1">
                  <c:v>Luxembourg</c:v>
                </c:pt>
                <c:pt idx="2">
                  <c:v>Ireland</c:v>
                </c:pt>
                <c:pt idx="3">
                  <c:v>Japan</c:v>
                </c:pt>
                <c:pt idx="4">
                  <c:v>France</c:v>
                </c:pt>
                <c:pt idx="5">
                  <c:v>Slovak Republic</c:v>
                </c:pt>
                <c:pt idx="6">
                  <c:v>Belgium</c:v>
                </c:pt>
                <c:pt idx="7">
                  <c:v>Austria</c:v>
                </c:pt>
                <c:pt idx="8">
                  <c:v>United Kingdom</c:v>
                </c:pt>
                <c:pt idx="9">
                  <c:v>Netherlands</c:v>
                </c:pt>
                <c:pt idx="10">
                  <c:v>Italy</c:v>
                </c:pt>
                <c:pt idx="11">
                  <c:v>Czech Republic</c:v>
                </c:pt>
                <c:pt idx="12">
                  <c:v>Spain</c:v>
                </c:pt>
                <c:pt idx="13">
                  <c:v>Norway</c:v>
                </c:pt>
                <c:pt idx="14">
                  <c:v>OECD30</c:v>
                </c:pt>
                <c:pt idx="15">
                  <c:v>Finland</c:v>
                </c:pt>
                <c:pt idx="16">
                  <c:v>Switzerland</c:v>
                </c:pt>
                <c:pt idx="17">
                  <c:v>Portugal</c:v>
                </c:pt>
                <c:pt idx="18">
                  <c:v>Greece</c:v>
                </c:pt>
                <c:pt idx="19">
                  <c:v>Korea</c:v>
                </c:pt>
                <c:pt idx="20">
                  <c:v>Estonia</c:v>
                </c:pt>
                <c:pt idx="21">
                  <c:v>Sweden</c:v>
                </c:pt>
                <c:pt idx="22">
                  <c:v>Hungary</c:v>
                </c:pt>
                <c:pt idx="23">
                  <c:v>Slovenia</c:v>
                </c:pt>
                <c:pt idx="24">
                  <c:v>Australia</c:v>
                </c:pt>
                <c:pt idx="25">
                  <c:v>Denmark</c:v>
                </c:pt>
                <c:pt idx="26">
                  <c:v>Iceland</c:v>
                </c:pt>
                <c:pt idx="27">
                  <c:v>United States</c:v>
                </c:pt>
                <c:pt idx="28">
                  <c:v>Canada</c:v>
                </c:pt>
                <c:pt idx="29">
                  <c:v>Latvia</c:v>
                </c:pt>
                <c:pt idx="30">
                  <c:v>Poland</c:v>
                </c:pt>
              </c:strCache>
            </c:strRef>
          </c:cat>
          <c:val>
            <c:numRef>
              <c:f>List1!$D$7:$D$37</c:f>
              <c:numCache>
                <c:formatCode>0</c:formatCode>
                <c:ptCount val="31"/>
                <c:pt idx="0">
                  <c:v>0.4</c:v>
                </c:pt>
                <c:pt idx="1">
                  <c:v>7.2</c:v>
                </c:pt>
                <c:pt idx="2">
                  <c:v>0</c:v>
                </c:pt>
                <c:pt idx="3">
                  <c:v>1</c:v>
                </c:pt>
                <c:pt idx="4">
                  <c:v>12.2</c:v>
                </c:pt>
                <c:pt idx="5">
                  <c:v>0</c:v>
                </c:pt>
                <c:pt idx="6">
                  <c:v>0.2</c:v>
                </c:pt>
                <c:pt idx="7">
                  <c:v>0.60000000000000042</c:v>
                </c:pt>
                <c:pt idx="8">
                  <c:v>0</c:v>
                </c:pt>
                <c:pt idx="9">
                  <c:v>1.3</c:v>
                </c:pt>
                <c:pt idx="10">
                  <c:v>0</c:v>
                </c:pt>
                <c:pt idx="11">
                  <c:v>0</c:v>
                </c:pt>
                <c:pt idx="12">
                  <c:v>0</c:v>
                </c:pt>
                <c:pt idx="13">
                  <c:v>0</c:v>
                </c:pt>
                <c:pt idx="14">
                  <c:v>4.6000000000000005</c:v>
                </c:pt>
                <c:pt idx="15">
                  <c:v>0.5</c:v>
                </c:pt>
                <c:pt idx="16">
                  <c:v>5.0999999999999996</c:v>
                </c:pt>
                <c:pt idx="17">
                  <c:v>1.2</c:v>
                </c:pt>
                <c:pt idx="18">
                  <c:v>0</c:v>
                </c:pt>
                <c:pt idx="19">
                  <c:v>1</c:v>
                </c:pt>
                <c:pt idx="20">
                  <c:v>0.2</c:v>
                </c:pt>
                <c:pt idx="21">
                  <c:v>0</c:v>
                </c:pt>
                <c:pt idx="22">
                  <c:v>4.2</c:v>
                </c:pt>
                <c:pt idx="23">
                  <c:v>26.5</c:v>
                </c:pt>
                <c:pt idx="24">
                  <c:v>0.60000000000000053</c:v>
                </c:pt>
                <c:pt idx="25">
                  <c:v>5.7</c:v>
                </c:pt>
                <c:pt idx="26">
                  <c:v>4.3</c:v>
                </c:pt>
                <c:pt idx="27">
                  <c:v>34.4</c:v>
                </c:pt>
                <c:pt idx="28">
                  <c:v>30.5</c:v>
                </c:pt>
                <c:pt idx="29">
                  <c:v>0.2</c:v>
                </c:pt>
                <c:pt idx="30">
                  <c:v>0.2</c:v>
                </c:pt>
              </c:numCache>
            </c:numRef>
          </c:val>
        </c:ser>
        <c:dLbls>
          <c:showLegendKey val="0"/>
          <c:showVal val="0"/>
          <c:showCatName val="0"/>
          <c:showSerName val="0"/>
          <c:showPercent val="0"/>
          <c:showBubbleSize val="0"/>
        </c:dLbls>
        <c:gapWidth val="50"/>
        <c:overlap val="100"/>
        <c:axId val="231509504"/>
        <c:axId val="231415104"/>
      </c:barChart>
      <c:catAx>
        <c:axId val="231509504"/>
        <c:scaling>
          <c:orientation val="minMax"/>
        </c:scaling>
        <c:delete val="0"/>
        <c:axPos val="b"/>
        <c:majorTickMark val="out"/>
        <c:minorTickMark val="none"/>
        <c:tickLblPos val="nextTo"/>
        <c:spPr>
          <a:ln>
            <a:solidFill>
              <a:schemeClr val="bg1">
                <a:lumMod val="75000"/>
              </a:schemeClr>
            </a:solidFill>
          </a:ln>
        </c:spPr>
        <c:crossAx val="231415104"/>
        <c:crosses val="autoZero"/>
        <c:auto val="1"/>
        <c:lblAlgn val="ctr"/>
        <c:lblOffset val="100"/>
        <c:noMultiLvlLbl val="0"/>
      </c:catAx>
      <c:valAx>
        <c:axId val="231415104"/>
        <c:scaling>
          <c:orientation val="minMax"/>
          <c:max val="100"/>
        </c:scaling>
        <c:delete val="0"/>
        <c:axPos val="l"/>
        <c:majorGridlines/>
        <c:numFmt formatCode="0" sourceLinked="1"/>
        <c:majorTickMark val="out"/>
        <c:minorTickMark val="none"/>
        <c:tickLblPos val="nextTo"/>
        <c:spPr>
          <a:ln>
            <a:solidFill>
              <a:schemeClr val="bg1">
                <a:lumMod val="75000"/>
              </a:schemeClr>
            </a:solidFill>
          </a:ln>
        </c:spPr>
        <c:crossAx val="231509504"/>
        <c:crosses val="autoZero"/>
        <c:crossBetween val="between"/>
        <c:majorUnit val="20"/>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19221944444445"/>
          <c:h val="0.85527012248469003"/>
        </c:manualLayout>
      </c:layout>
      <c:barChart>
        <c:barDir val="col"/>
        <c:grouping val="stacked"/>
        <c:varyColors val="0"/>
        <c:ser>
          <c:idx val="0"/>
          <c:order val="0"/>
          <c:tx>
            <c:strRef>
              <c:f>'2_4'!$A$4</c:f>
              <c:strCache>
                <c:ptCount val="1"/>
                <c:pt idx="0">
                  <c:v>  dlouhodobá 
  zdravotní péče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'2_4'!$D$4:$H$4</c:f>
              <c:numCache>
                <c:formatCode>#,##0.0</c:formatCode>
                <c:ptCount val="5"/>
                <c:pt idx="0">
                  <c:v>23.779747999999977</c:v>
                </c:pt>
                <c:pt idx="1">
                  <c:v>25.110230299999987</c:v>
                </c:pt>
                <c:pt idx="2">
                  <c:v>26.459181700000016</c:v>
                </c:pt>
                <c:pt idx="3">
                  <c:v>28.234000000000005</c:v>
                </c:pt>
                <c:pt idx="4">
                  <c:v>29.885918999999987</c:v>
                </c:pt>
              </c:numCache>
            </c:numRef>
          </c:val>
        </c:ser>
        <c:ser>
          <c:idx val="1"/>
          <c:order val="1"/>
          <c:tx>
            <c:strRef>
              <c:f>'2_4'!$A$5</c:f>
              <c:strCache>
                <c:ptCount val="1"/>
                <c:pt idx="0">
                  <c:v>  dlouhodobá 
  sociální péče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'2_4'!$D$5:$H$5</c:f>
              <c:numCache>
                <c:formatCode>#,##0.0</c:formatCode>
                <c:ptCount val="5"/>
                <c:pt idx="0">
                  <c:v>15.910090760000001</c:v>
                </c:pt>
                <c:pt idx="1">
                  <c:v>17.221911750000015</c:v>
                </c:pt>
                <c:pt idx="2">
                  <c:v>18.054777099999999</c:v>
                </c:pt>
                <c:pt idx="3">
                  <c:v>18.589312799999977</c:v>
                </c:pt>
                <c:pt idx="4">
                  <c:v>20.124265039999997</c:v>
                </c:pt>
              </c:numCache>
            </c:numRef>
          </c:val>
        </c:ser>
        <c:ser>
          <c:idx val="2"/>
          <c:order val="2"/>
          <c:tx>
            <c:strRef>
              <c:f>'2_4'!$A$6</c:f>
              <c:strCache>
                <c:ptCount val="1"/>
                <c:pt idx="0">
                  <c:v>  ostatní 
  výdaje (3)</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'2_4'!$D$6:$H$6</c:f>
              <c:numCache>
                <c:formatCode>#,##0.0</c:formatCode>
                <c:ptCount val="5"/>
                <c:pt idx="0">
                  <c:v>4.9480916200000093</c:v>
                </c:pt>
                <c:pt idx="1">
                  <c:v>5.1666060179999986</c:v>
                </c:pt>
                <c:pt idx="2">
                  <c:v>6.2072445030000019</c:v>
                </c:pt>
                <c:pt idx="3">
                  <c:v>5.7985844849999975</c:v>
                </c:pt>
                <c:pt idx="4">
                  <c:v>5.885229780000012</c:v>
                </c:pt>
              </c:numCache>
            </c:numRef>
          </c:val>
        </c:ser>
        <c:ser>
          <c:idx val="3"/>
          <c:order val="3"/>
          <c:tx>
            <c:strRef>
              <c:f>'2_4'!$A$7</c:f>
              <c:strCache>
                <c:ptCount val="1"/>
                <c:pt idx="0">
                  <c:v>Státní rozpočet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numRef>
              <c:f>'2_4'!$D$3:$H$3</c:f>
              <c:numCache>
                <c:formatCode>General</c:formatCode>
                <c:ptCount val="5"/>
                <c:pt idx="0">
                  <c:v>2012</c:v>
                </c:pt>
                <c:pt idx="1">
                  <c:v>2013</c:v>
                </c:pt>
                <c:pt idx="2">
                  <c:v>2014</c:v>
                </c:pt>
                <c:pt idx="3">
                  <c:v>2015</c:v>
                </c:pt>
                <c:pt idx="4">
                  <c:v>2016</c:v>
                </c:pt>
              </c:numCache>
            </c:numRef>
          </c:cat>
          <c:val>
            <c:numRef>
              <c:f>'2_4'!$D$7:$H$7</c:f>
              <c:numCache>
                <c:formatCode>#,##0.0</c:formatCode>
                <c:ptCount val="5"/>
                <c:pt idx="0">
                  <c:v>44.637930380000036</c:v>
                </c:pt>
                <c:pt idx="1">
                  <c:v>47.498748068000012</c:v>
                </c:pt>
                <c:pt idx="2">
                  <c:v>50.721203303000003</c:v>
                </c:pt>
                <c:pt idx="3">
                  <c:v>52.621897284999996</c:v>
                </c:pt>
                <c:pt idx="4">
                  <c:v>55.895413820000037</c:v>
                </c:pt>
              </c:numCache>
            </c:numRef>
          </c:val>
        </c:ser>
        <c:dLbls>
          <c:showLegendKey val="0"/>
          <c:showVal val="0"/>
          <c:showCatName val="0"/>
          <c:showSerName val="0"/>
          <c:showPercent val="0"/>
          <c:showBubbleSize val="0"/>
        </c:dLbls>
        <c:gapWidth val="50"/>
        <c:overlap val="100"/>
        <c:axId val="185048576"/>
        <c:axId val="185224000"/>
      </c:barChart>
      <c:catAx>
        <c:axId val="185048576"/>
        <c:scaling>
          <c:orientation val="minMax"/>
        </c:scaling>
        <c:delete val="0"/>
        <c:axPos val="b"/>
        <c:numFmt formatCode="General" sourceLinked="1"/>
        <c:majorTickMark val="out"/>
        <c:minorTickMark val="none"/>
        <c:tickLblPos val="nextTo"/>
        <c:crossAx val="185224000"/>
        <c:crosses val="autoZero"/>
        <c:auto val="1"/>
        <c:lblAlgn val="ctr"/>
        <c:lblOffset val="100"/>
        <c:noMultiLvlLbl val="0"/>
      </c:catAx>
      <c:valAx>
        <c:axId val="185224000"/>
        <c:scaling>
          <c:orientation val="minMax"/>
          <c:max val="65"/>
        </c:scaling>
        <c:delete val="0"/>
        <c:axPos val="l"/>
        <c:majorGridlines>
          <c:spPr>
            <a:ln>
              <a:prstDash val="dash"/>
            </a:ln>
          </c:spPr>
        </c:majorGridlines>
        <c:numFmt formatCode="#,##0" sourceLinked="0"/>
        <c:majorTickMark val="none"/>
        <c:minorTickMark val="none"/>
        <c:tickLblPos val="none"/>
        <c:crossAx val="185048576"/>
        <c:crosses val="autoZero"/>
        <c:crossBetween val="between"/>
        <c:majorUnit val="5"/>
        <c:minorUnit val="1"/>
      </c:valAx>
      <c:spPr>
        <a:ln>
          <a:solidFill>
            <a:schemeClr val="bg1">
              <a:lumMod val="75000"/>
            </a:schemeClr>
          </a:solidFill>
        </a:ln>
      </c:spPr>
    </c:plotArea>
    <c:legend>
      <c:legendPos val="r"/>
      <c:legendEntry>
        <c:idx val="0"/>
        <c:delete val="1"/>
      </c:legendEntry>
      <c:layout>
        <c:manualLayout>
          <c:xMode val="edge"/>
          <c:yMode val="edge"/>
          <c:x val="0.66983777777777775"/>
          <c:y val="0.19124453193350832"/>
          <c:w val="0.31520416666666695"/>
          <c:h val="0.60539224263633762"/>
        </c:manualLayout>
      </c:layout>
      <c:overlay val="0"/>
      <c:spPr>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'2_3 (2)'!$A$44</c:f>
              <c:strCache>
                <c:ptCount val="1"/>
                <c:pt idx="0">
                  <c:v>  dlouhodobá 
  zdravotní péče (1)</c:v>
                </c:pt>
              </c:strCache>
            </c:strRef>
          </c:tx>
          <c:spPr>
            <a:solidFill>
              <a:schemeClr val="accent2">
                <a:lumMod val="75000"/>
              </a:schemeClr>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numRef>
              <c:f>'2_3 (2)'!$D$43:$H$43</c:f>
              <c:numCache>
                <c:formatCode>General</c:formatCode>
                <c:ptCount val="5"/>
                <c:pt idx="0">
                  <c:v>2012</c:v>
                </c:pt>
                <c:pt idx="1">
                  <c:v>2013</c:v>
                </c:pt>
                <c:pt idx="2">
                  <c:v>2014</c:v>
                </c:pt>
                <c:pt idx="3">
                  <c:v>2015</c:v>
                </c:pt>
                <c:pt idx="4">
                  <c:v>2016</c:v>
                </c:pt>
              </c:numCache>
            </c:numRef>
          </c:cat>
          <c:val>
            <c:numRef>
              <c:f>'2_3 (2)'!$D$44:$H$44</c:f>
              <c:numCache>
                <c:formatCode>0%</c:formatCode>
                <c:ptCount val="5"/>
                <c:pt idx="0">
                  <c:v>0.53272514647441005</c:v>
                </c:pt>
                <c:pt idx="1">
                  <c:v>0.52865036072217686</c:v>
                </c:pt>
                <c:pt idx="2">
                  <c:v>0.52165918741985062</c:v>
                </c:pt>
                <c:pt idx="3">
                  <c:v>0.5365446982476656</c:v>
                </c:pt>
                <c:pt idx="4">
                  <c:v>0.53467569085795852</c:v>
                </c:pt>
              </c:numCache>
            </c:numRef>
          </c:val>
        </c:ser>
        <c:ser>
          <c:idx val="1"/>
          <c:order val="1"/>
          <c:tx>
            <c:strRef>
              <c:f>'2_3 (2)'!$A$45</c:f>
              <c:strCache>
                <c:ptCount val="1"/>
                <c:pt idx="0">
                  <c:v>  dlouhodobá 
  sociální péče (2)</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'2_3 (2)'!$D$43:$H$43</c:f>
              <c:numCache>
                <c:formatCode>General</c:formatCode>
                <c:ptCount val="5"/>
                <c:pt idx="0">
                  <c:v>2012</c:v>
                </c:pt>
                <c:pt idx="1">
                  <c:v>2013</c:v>
                </c:pt>
                <c:pt idx="2">
                  <c:v>2014</c:v>
                </c:pt>
                <c:pt idx="3">
                  <c:v>2015</c:v>
                </c:pt>
                <c:pt idx="4">
                  <c:v>2016</c:v>
                </c:pt>
              </c:numCache>
            </c:numRef>
          </c:cat>
          <c:val>
            <c:numRef>
              <c:f>'2_3 (2)'!$D$45:$H$45</c:f>
              <c:numCache>
                <c:formatCode>0%</c:formatCode>
                <c:ptCount val="5"/>
                <c:pt idx="0">
                  <c:v>0.35642536794511692</c:v>
                </c:pt>
                <c:pt idx="1">
                  <c:v>0.36257611938202755</c:v>
                </c:pt>
                <c:pt idx="2">
                  <c:v>0.35596113507291582</c:v>
                </c:pt>
                <c:pt idx="3">
                  <c:v>0.35326192629126141</c:v>
                </c:pt>
                <c:pt idx="4">
                  <c:v>0.36003427946353816</c:v>
                </c:pt>
              </c:numCache>
            </c:numRef>
          </c:val>
        </c:ser>
        <c:ser>
          <c:idx val="2"/>
          <c:order val="2"/>
          <c:tx>
            <c:strRef>
              <c:f>'2_3 (2)'!$A$46</c:f>
              <c:strCache>
                <c:ptCount val="1"/>
                <c:pt idx="0">
                  <c:v>  ostatní 
  výdaje (3)</c:v>
                </c:pt>
              </c:strCache>
            </c:strRef>
          </c:tx>
          <c:spPr>
            <a:solidFill>
              <a:srgbClr val="92D050"/>
            </a:solidFill>
          </c:spPr>
          <c:invertIfNegative val="0"/>
          <c:dLbls>
            <c:txPr>
              <a:bodyPr/>
              <a:lstStyle/>
              <a:p>
                <a:pPr>
                  <a:defRPr b="1"/>
                </a:pPr>
                <a:endParaRPr lang="cs-CZ"/>
              </a:p>
            </c:txPr>
            <c:showLegendKey val="0"/>
            <c:showVal val="1"/>
            <c:showCatName val="0"/>
            <c:showSerName val="0"/>
            <c:showPercent val="0"/>
            <c:showBubbleSize val="0"/>
            <c:showLeaderLines val="0"/>
          </c:dLbls>
          <c:cat>
            <c:numRef>
              <c:f>'2_3 (2)'!$D$43:$H$43</c:f>
              <c:numCache>
                <c:formatCode>General</c:formatCode>
                <c:ptCount val="5"/>
                <c:pt idx="0">
                  <c:v>2012</c:v>
                </c:pt>
                <c:pt idx="1">
                  <c:v>2013</c:v>
                </c:pt>
                <c:pt idx="2">
                  <c:v>2014</c:v>
                </c:pt>
                <c:pt idx="3">
                  <c:v>2015</c:v>
                </c:pt>
                <c:pt idx="4">
                  <c:v>2016</c:v>
                </c:pt>
              </c:numCache>
            </c:numRef>
          </c:cat>
          <c:val>
            <c:numRef>
              <c:f>'2_3 (2)'!$D$46:$H$46</c:f>
              <c:numCache>
                <c:formatCode>0%</c:formatCode>
                <c:ptCount val="5"/>
                <c:pt idx="0">
                  <c:v>0.11084948558047385</c:v>
                </c:pt>
                <c:pt idx="1">
                  <c:v>0.10877351989579605</c:v>
                </c:pt>
                <c:pt idx="2">
                  <c:v>0.12237967750723419</c:v>
                </c:pt>
                <c:pt idx="3">
                  <c:v>0.11019337546107265</c:v>
                </c:pt>
                <c:pt idx="4">
                  <c:v>0.10529002967850311</c:v>
                </c:pt>
              </c:numCache>
            </c:numRef>
          </c:val>
        </c:ser>
        <c:dLbls>
          <c:showLegendKey val="0"/>
          <c:showVal val="0"/>
          <c:showCatName val="0"/>
          <c:showSerName val="0"/>
          <c:showPercent val="0"/>
          <c:showBubbleSize val="0"/>
        </c:dLbls>
        <c:gapWidth val="50"/>
        <c:overlap val="100"/>
        <c:axId val="186910208"/>
        <c:axId val="185222848"/>
      </c:barChart>
      <c:catAx>
        <c:axId val="186910208"/>
        <c:scaling>
          <c:orientation val="minMax"/>
        </c:scaling>
        <c:delete val="0"/>
        <c:axPos val="b"/>
        <c:numFmt formatCode="General" sourceLinked="1"/>
        <c:majorTickMark val="out"/>
        <c:minorTickMark val="none"/>
        <c:tickLblPos val="nextTo"/>
        <c:crossAx val="185222848"/>
        <c:crosses val="autoZero"/>
        <c:auto val="1"/>
        <c:lblAlgn val="ctr"/>
        <c:lblOffset val="100"/>
        <c:noMultiLvlLbl val="0"/>
      </c:catAx>
      <c:valAx>
        <c:axId val="185222848"/>
        <c:scaling>
          <c:orientation val="minMax"/>
          <c:max val="1"/>
        </c:scaling>
        <c:delete val="0"/>
        <c:axPos val="l"/>
        <c:majorGridlines>
          <c:spPr>
            <a:ln>
              <a:prstDash val="dash"/>
            </a:ln>
          </c:spPr>
        </c:majorGridlines>
        <c:numFmt formatCode="0%" sourceLinked="0"/>
        <c:majorTickMark val="none"/>
        <c:minorTickMark val="none"/>
        <c:tickLblPos val="none"/>
        <c:crossAx val="186910208"/>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932777777777792E-2"/>
          <c:y val="5.0925925925925923E-2"/>
          <c:w val="0.64391638888888891"/>
          <c:h val="0.85527012248469003"/>
        </c:manualLayout>
      </c:layout>
      <c:barChart>
        <c:barDir val="col"/>
        <c:grouping val="stacked"/>
        <c:varyColors val="0"/>
        <c:ser>
          <c:idx val="0"/>
          <c:order val="0"/>
          <c:tx>
            <c:strRef>
              <c:f>'2_5'!$A$13</c:f>
              <c:strCache>
                <c:ptCount val="1"/>
                <c:pt idx="0">
                  <c:v>  přímé platby 
  domácností</c:v>
                </c:pt>
              </c:strCache>
            </c:strRef>
          </c:tx>
          <c:spPr>
            <a:solidFill>
              <a:srgbClr val="00B050"/>
            </a:solidFill>
          </c:spPr>
          <c:invertIfNegative val="0"/>
          <c:dLbls>
            <c:numFmt formatCode="#,##0.0" sourceLinked="0"/>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'2_5'!$D$12:$H$12</c:f>
              <c:strCache>
                <c:ptCount val="5"/>
                <c:pt idx="0">
                  <c:v>2012</c:v>
                </c:pt>
                <c:pt idx="1">
                  <c:v>2013</c:v>
                </c:pt>
                <c:pt idx="2">
                  <c:v>2014</c:v>
                </c:pt>
                <c:pt idx="3">
                  <c:v>2015</c:v>
                </c:pt>
                <c:pt idx="4">
                  <c:v>2016</c:v>
                </c:pt>
              </c:strCache>
            </c:strRef>
          </c:cat>
          <c:val>
            <c:numRef>
              <c:f>'2_5'!$D$13:$H$13</c:f>
              <c:numCache>
                <c:formatCode>#,##0.0</c:formatCode>
                <c:ptCount val="5"/>
                <c:pt idx="0">
                  <c:v>44.239000000000011</c:v>
                </c:pt>
                <c:pt idx="1">
                  <c:v>43.465000000000003</c:v>
                </c:pt>
                <c:pt idx="2">
                  <c:v>46.49</c:v>
                </c:pt>
                <c:pt idx="3">
                  <c:v>49.357999999999997</c:v>
                </c:pt>
                <c:pt idx="4">
                  <c:v>51.215000000000003</c:v>
                </c:pt>
              </c:numCache>
            </c:numRef>
          </c:val>
        </c:ser>
        <c:ser>
          <c:idx val="1"/>
          <c:order val="1"/>
          <c:tx>
            <c:strRef>
              <c:f>'2_5'!$A$14</c:f>
              <c:strCache>
                <c:ptCount val="1"/>
                <c:pt idx="0">
                  <c:v>  neziskové 
  instituce</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'2_5'!$D$12:$H$12</c:f>
              <c:strCache>
                <c:ptCount val="5"/>
                <c:pt idx="0">
                  <c:v>2012</c:v>
                </c:pt>
                <c:pt idx="1">
                  <c:v>2013</c:v>
                </c:pt>
                <c:pt idx="2">
                  <c:v>2014</c:v>
                </c:pt>
                <c:pt idx="3">
                  <c:v>2015</c:v>
                </c:pt>
                <c:pt idx="4">
                  <c:v>2016</c:v>
                </c:pt>
              </c:strCache>
            </c:strRef>
          </c:cat>
          <c:val>
            <c:numRef>
              <c:f>'2_5'!$D$14:$H$14</c:f>
              <c:numCache>
                <c:formatCode>#,##0.0</c:formatCode>
                <c:ptCount val="5"/>
                <c:pt idx="0">
                  <c:v>7.7190000000000003</c:v>
                </c:pt>
                <c:pt idx="1">
                  <c:v>7.726</c:v>
                </c:pt>
                <c:pt idx="2">
                  <c:v>7.7569999999999997</c:v>
                </c:pt>
                <c:pt idx="3">
                  <c:v>7.9290000000000003</c:v>
                </c:pt>
                <c:pt idx="4">
                  <c:v>8.4786110000000008</c:v>
                </c:pt>
              </c:numCache>
            </c:numRef>
          </c:val>
        </c:ser>
        <c:ser>
          <c:idx val="2"/>
          <c:order val="2"/>
          <c:tx>
            <c:strRef>
              <c:f>'2_5'!$A$15</c:f>
              <c:strCache>
                <c:ptCount val="1"/>
                <c:pt idx="0">
                  <c:v>  podniková 
  preventivní 
  péče</c:v>
                </c:pt>
              </c:strCache>
            </c:strRef>
          </c:tx>
          <c:spPr>
            <a:solidFill>
              <a:srgbClr val="00B0F0"/>
            </a:solidFill>
          </c:spPr>
          <c:invertIfNegative val="0"/>
          <c:cat>
            <c:strRef>
              <c:f>'2_5'!$D$12:$H$12</c:f>
              <c:strCache>
                <c:ptCount val="5"/>
                <c:pt idx="0">
                  <c:v>2012</c:v>
                </c:pt>
                <c:pt idx="1">
                  <c:v>2013</c:v>
                </c:pt>
                <c:pt idx="2">
                  <c:v>2014</c:v>
                </c:pt>
                <c:pt idx="3">
                  <c:v>2015</c:v>
                </c:pt>
                <c:pt idx="4">
                  <c:v>2016</c:v>
                </c:pt>
              </c:strCache>
            </c:strRef>
          </c:cat>
          <c:val>
            <c:numRef>
              <c:f>'2_5'!$D$15:$H$15</c:f>
              <c:numCache>
                <c:formatCode>#,##0.0</c:formatCode>
                <c:ptCount val="5"/>
                <c:pt idx="0">
                  <c:v>0.87100000000000044</c:v>
                </c:pt>
                <c:pt idx="1">
                  <c:v>1.000999999999999</c:v>
                </c:pt>
                <c:pt idx="2">
                  <c:v>2.3739999999999997</c:v>
                </c:pt>
                <c:pt idx="3">
                  <c:v>0.91500000000000004</c:v>
                </c:pt>
                <c:pt idx="4">
                  <c:v>1.2589939999999991</c:v>
                </c:pt>
              </c:numCache>
            </c:numRef>
          </c:val>
        </c:ser>
        <c:ser>
          <c:idx val="3"/>
          <c:order val="3"/>
          <c:tx>
            <c:strRef>
              <c:f>'2_5'!$A$16</c:f>
              <c:strCache>
                <c:ptCount val="1"/>
                <c:pt idx="0">
                  <c:v>  soukromé 
  pojištění</c:v>
                </c:pt>
              </c:strCache>
            </c:strRef>
          </c:tx>
          <c:spPr>
            <a:solidFill>
              <a:schemeClr val="tx1"/>
            </a:solidFill>
            <a:ln>
              <a:noFill/>
            </a:ln>
          </c:spPr>
          <c:invertIfNegative val="0"/>
          <c:cat>
            <c:strRef>
              <c:f>'2_5'!$D$12:$H$12</c:f>
              <c:strCache>
                <c:ptCount val="5"/>
                <c:pt idx="0">
                  <c:v>2012</c:v>
                </c:pt>
                <c:pt idx="1">
                  <c:v>2013</c:v>
                </c:pt>
                <c:pt idx="2">
                  <c:v>2014</c:v>
                </c:pt>
                <c:pt idx="3">
                  <c:v>2015</c:v>
                </c:pt>
                <c:pt idx="4">
                  <c:v>2016</c:v>
                </c:pt>
              </c:strCache>
            </c:strRef>
          </c:cat>
          <c:val>
            <c:numRef>
              <c:f>'2_5'!$D$16:$H$16</c:f>
              <c:numCache>
                <c:formatCode>#,##0.0</c:formatCode>
                <c:ptCount val="5"/>
                <c:pt idx="0">
                  <c:v>0.52</c:v>
                </c:pt>
                <c:pt idx="1">
                  <c:v>0.4750000000000002</c:v>
                </c:pt>
                <c:pt idx="2">
                  <c:v>0.53700000000000003</c:v>
                </c:pt>
                <c:pt idx="3">
                  <c:v>0.4780000000000002</c:v>
                </c:pt>
                <c:pt idx="4">
                  <c:v>0.48432475262086744</c:v>
                </c:pt>
              </c:numCache>
            </c:numRef>
          </c:val>
        </c:ser>
        <c:ser>
          <c:idx val="4"/>
          <c:order val="4"/>
          <c:tx>
            <c:strRef>
              <c:f>'2_5'!$A$17</c:f>
              <c:strCache>
                <c:ptCount val="1"/>
                <c:pt idx="0">
                  <c:v>  soukromé zdroje celkem</c:v>
                </c:pt>
              </c:strCache>
            </c:strRef>
          </c:tx>
          <c:spPr>
            <a:noFill/>
            <a:ln>
              <a:noFill/>
            </a:ln>
          </c:spPr>
          <c:invertIfNegative val="0"/>
          <c:dLbls>
            <c:spPr>
              <a:solidFill>
                <a:sysClr val="window" lastClr="FFFFFF">
                  <a:lumMod val="85000"/>
                </a:sysClr>
              </a:solidFill>
            </c:spPr>
            <c:txPr>
              <a:bodyPr/>
              <a:lstStyle/>
              <a:p>
                <a:pPr>
                  <a:defRPr b="1" i="1"/>
                </a:pPr>
                <a:endParaRPr lang="cs-CZ"/>
              </a:p>
            </c:txPr>
            <c:dLblPos val="inBase"/>
            <c:showLegendKey val="0"/>
            <c:showVal val="1"/>
            <c:showCatName val="0"/>
            <c:showSerName val="0"/>
            <c:showPercent val="0"/>
            <c:showBubbleSize val="0"/>
            <c:showLeaderLines val="0"/>
          </c:dLbls>
          <c:cat>
            <c:strRef>
              <c:f>'2_5'!$D$12:$H$12</c:f>
              <c:strCache>
                <c:ptCount val="5"/>
                <c:pt idx="0">
                  <c:v>2012</c:v>
                </c:pt>
                <c:pt idx="1">
                  <c:v>2013</c:v>
                </c:pt>
                <c:pt idx="2">
                  <c:v>2014</c:v>
                </c:pt>
                <c:pt idx="3">
                  <c:v>2015</c:v>
                </c:pt>
                <c:pt idx="4">
                  <c:v>2016</c:v>
                </c:pt>
              </c:strCache>
            </c:strRef>
          </c:cat>
          <c:val>
            <c:numRef>
              <c:f>'2_5'!$D$17:$H$17</c:f>
              <c:numCache>
                <c:formatCode>#,##0.0</c:formatCode>
                <c:ptCount val="5"/>
                <c:pt idx="0">
                  <c:v>53.349000000000004</c:v>
                </c:pt>
                <c:pt idx="1">
                  <c:v>52.667000000000002</c:v>
                </c:pt>
                <c:pt idx="2">
                  <c:v>57.158000000000001</c:v>
                </c:pt>
                <c:pt idx="3">
                  <c:v>58.68</c:v>
                </c:pt>
                <c:pt idx="4">
                  <c:v>61.43692975262087</c:v>
                </c:pt>
              </c:numCache>
            </c:numRef>
          </c:val>
        </c:ser>
        <c:dLbls>
          <c:showLegendKey val="0"/>
          <c:showVal val="0"/>
          <c:showCatName val="0"/>
          <c:showSerName val="0"/>
          <c:showPercent val="0"/>
          <c:showBubbleSize val="0"/>
        </c:dLbls>
        <c:gapWidth val="30"/>
        <c:overlap val="100"/>
        <c:axId val="194596864"/>
        <c:axId val="185225152"/>
      </c:barChart>
      <c:catAx>
        <c:axId val="194596864"/>
        <c:scaling>
          <c:orientation val="minMax"/>
        </c:scaling>
        <c:delete val="0"/>
        <c:axPos val="b"/>
        <c:numFmt formatCode="General" sourceLinked="1"/>
        <c:majorTickMark val="out"/>
        <c:minorTickMark val="none"/>
        <c:tickLblPos val="nextTo"/>
        <c:crossAx val="185225152"/>
        <c:crosses val="autoZero"/>
        <c:auto val="1"/>
        <c:lblAlgn val="ctr"/>
        <c:lblOffset val="100"/>
        <c:noMultiLvlLbl val="0"/>
      </c:catAx>
      <c:valAx>
        <c:axId val="185225152"/>
        <c:scaling>
          <c:orientation val="minMax"/>
          <c:max val="70"/>
        </c:scaling>
        <c:delete val="0"/>
        <c:axPos val="l"/>
        <c:majorGridlines>
          <c:spPr>
            <a:ln>
              <a:prstDash val="dash"/>
            </a:ln>
          </c:spPr>
        </c:majorGridlines>
        <c:numFmt formatCode="#,##0" sourceLinked="0"/>
        <c:majorTickMark val="none"/>
        <c:minorTickMark val="none"/>
        <c:tickLblPos val="none"/>
        <c:crossAx val="194596864"/>
        <c:crosses val="autoZero"/>
        <c:crossBetween val="between"/>
        <c:majorUnit val="10"/>
        <c:minorUnit val="10"/>
      </c:valAx>
      <c:spPr>
        <a:ln>
          <a:solidFill>
            <a:schemeClr val="bg1">
              <a:lumMod val="75000"/>
            </a:schemeClr>
          </a:solidFill>
        </a:ln>
      </c:spPr>
    </c:plotArea>
    <c:legend>
      <c:legendPos val="r"/>
      <c:legendEntry>
        <c:idx val="0"/>
        <c:delete val="1"/>
      </c:legendEntry>
      <c:layout>
        <c:manualLayout>
          <c:xMode val="edge"/>
          <c:yMode val="edge"/>
          <c:x val="0.68979828774885033"/>
          <c:y val="0.19341068232195358"/>
          <c:w val="0.28791758968847558"/>
          <c:h val="0.61317826437773015"/>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500396825396832E-2"/>
          <c:y val="5.0925925925925923E-2"/>
          <c:w val="0.91789206349206354"/>
          <c:h val="0.85527012248469003"/>
        </c:manualLayout>
      </c:layout>
      <c:barChart>
        <c:barDir val="col"/>
        <c:grouping val="percentStacked"/>
        <c:varyColors val="0"/>
        <c:ser>
          <c:idx val="0"/>
          <c:order val="0"/>
          <c:tx>
            <c:strRef>
              <c:f>'2_5'!$A$4</c:f>
              <c:strCache>
                <c:ptCount val="1"/>
                <c:pt idx="0">
                  <c:v>  přímé platby 
  domácností</c:v>
                </c:pt>
              </c:strCache>
            </c:strRef>
          </c:tx>
          <c:spPr>
            <a:solidFill>
              <a:srgbClr val="00B050"/>
            </a:solidFill>
          </c:spPr>
          <c:invertIfNegative val="0"/>
          <c:dLbls>
            <c:txPr>
              <a:bodyPr/>
              <a:lstStyle/>
              <a:p>
                <a:pPr>
                  <a:defRPr b="1">
                    <a:solidFill>
                      <a:schemeClr val="bg1"/>
                    </a:solidFill>
                  </a:defRPr>
                </a:pPr>
                <a:endParaRPr lang="cs-CZ"/>
              </a:p>
            </c:txPr>
            <c:showLegendKey val="0"/>
            <c:showVal val="1"/>
            <c:showCatName val="0"/>
            <c:showSerName val="0"/>
            <c:showPercent val="0"/>
            <c:showBubbleSize val="0"/>
            <c:showLeaderLines val="0"/>
          </c:dLbls>
          <c:cat>
            <c:strRef>
              <c:f>'2_5'!$D$3:$H$3</c:f>
              <c:strCache>
                <c:ptCount val="5"/>
                <c:pt idx="0">
                  <c:v>2012</c:v>
                </c:pt>
                <c:pt idx="1">
                  <c:v>2013</c:v>
                </c:pt>
                <c:pt idx="2">
                  <c:v>2014</c:v>
                </c:pt>
                <c:pt idx="3">
                  <c:v>2015</c:v>
                </c:pt>
                <c:pt idx="4">
                  <c:v>2016</c:v>
                </c:pt>
              </c:strCache>
            </c:strRef>
          </c:cat>
          <c:val>
            <c:numRef>
              <c:f>'2_5'!$D$4:$H$4</c:f>
              <c:numCache>
                <c:formatCode>0.0%</c:formatCode>
                <c:ptCount val="5"/>
                <c:pt idx="0">
                  <c:v>0.82923766143695232</c:v>
                </c:pt>
                <c:pt idx="1">
                  <c:v>0.82527958683805802</c:v>
                </c:pt>
                <c:pt idx="2">
                  <c:v>0.81335945974316803</c:v>
                </c:pt>
                <c:pt idx="3">
                  <c:v>0.8411383776414455</c:v>
                </c:pt>
                <c:pt idx="4">
                  <c:v>0.83361913113529562</c:v>
                </c:pt>
              </c:numCache>
            </c:numRef>
          </c:val>
        </c:ser>
        <c:ser>
          <c:idx val="1"/>
          <c:order val="1"/>
          <c:tx>
            <c:strRef>
              <c:f>'2_5'!$A$5</c:f>
              <c:strCache>
                <c:ptCount val="1"/>
                <c:pt idx="0">
                  <c:v>  státní 
  rozpočet</c:v>
                </c:pt>
              </c:strCache>
            </c:strRef>
          </c:tx>
          <c:spPr>
            <a:solidFill>
              <a:srgbClr val="FFFF00"/>
            </a:solidFill>
          </c:spPr>
          <c:invertIfNegative val="0"/>
          <c:dLbls>
            <c:txPr>
              <a:bodyPr/>
              <a:lstStyle/>
              <a:p>
                <a:pPr>
                  <a:defRPr b="1"/>
                </a:pPr>
                <a:endParaRPr lang="cs-CZ"/>
              </a:p>
            </c:txPr>
            <c:showLegendKey val="0"/>
            <c:showVal val="1"/>
            <c:showCatName val="0"/>
            <c:showSerName val="0"/>
            <c:showPercent val="0"/>
            <c:showBubbleSize val="0"/>
            <c:showLeaderLines val="0"/>
          </c:dLbls>
          <c:cat>
            <c:strRef>
              <c:f>'2_5'!$D$3:$H$3</c:f>
              <c:strCache>
                <c:ptCount val="5"/>
                <c:pt idx="0">
                  <c:v>2012</c:v>
                </c:pt>
                <c:pt idx="1">
                  <c:v>2013</c:v>
                </c:pt>
                <c:pt idx="2">
                  <c:v>2014</c:v>
                </c:pt>
                <c:pt idx="3">
                  <c:v>2015</c:v>
                </c:pt>
                <c:pt idx="4">
                  <c:v>2016</c:v>
                </c:pt>
              </c:strCache>
            </c:strRef>
          </c:cat>
          <c:val>
            <c:numRef>
              <c:f>'2_5'!$D$5:$H$5</c:f>
              <c:numCache>
                <c:formatCode>0.0%</c:formatCode>
                <c:ptCount val="5"/>
                <c:pt idx="0">
                  <c:v>0.14468874768036891</c:v>
                </c:pt>
                <c:pt idx="1">
                  <c:v>0.14669527408054378</c:v>
                </c:pt>
                <c:pt idx="2">
                  <c:v>0.13571153644284278</c:v>
                </c:pt>
                <c:pt idx="3">
                  <c:v>0.13512269938650295</c:v>
                </c:pt>
                <c:pt idx="4">
                  <c:v>0.138005122230873</c:v>
                </c:pt>
              </c:numCache>
            </c:numRef>
          </c:val>
        </c:ser>
        <c:ser>
          <c:idx val="2"/>
          <c:order val="2"/>
          <c:tx>
            <c:strRef>
              <c:f>'2_5'!$A$6</c:f>
              <c:strCache>
                <c:ptCount val="1"/>
                <c:pt idx="0">
                  <c:v>  podniková 
  preventivní 
  péče</c:v>
                </c:pt>
              </c:strCache>
            </c:strRef>
          </c:tx>
          <c:spPr>
            <a:solidFill>
              <a:srgbClr val="00B0F0"/>
            </a:solidFill>
          </c:spPr>
          <c:invertIfNegative val="0"/>
          <c:cat>
            <c:strRef>
              <c:f>'2_5'!$D$3:$H$3</c:f>
              <c:strCache>
                <c:ptCount val="5"/>
                <c:pt idx="0">
                  <c:v>2012</c:v>
                </c:pt>
                <c:pt idx="1">
                  <c:v>2013</c:v>
                </c:pt>
                <c:pt idx="2">
                  <c:v>2014</c:v>
                </c:pt>
                <c:pt idx="3">
                  <c:v>2015</c:v>
                </c:pt>
                <c:pt idx="4">
                  <c:v>2016</c:v>
                </c:pt>
              </c:strCache>
            </c:strRef>
          </c:cat>
          <c:val>
            <c:numRef>
              <c:f>'2_5'!$D$6:$H$6</c:f>
              <c:numCache>
                <c:formatCode>0.0%</c:formatCode>
                <c:ptCount val="5"/>
                <c:pt idx="0">
                  <c:v>1.6326454104106925E-2</c:v>
                </c:pt>
                <c:pt idx="1">
                  <c:v>1.9006208821463165E-2</c:v>
                </c:pt>
                <c:pt idx="2">
                  <c:v>4.1533993491724694E-2</c:v>
                </c:pt>
                <c:pt idx="3">
                  <c:v>1.5593047034764822E-2</c:v>
                </c:pt>
                <c:pt idx="4">
                  <c:v>2.0492462840662883E-2</c:v>
                </c:pt>
              </c:numCache>
            </c:numRef>
          </c:val>
        </c:ser>
        <c:ser>
          <c:idx val="3"/>
          <c:order val="3"/>
          <c:tx>
            <c:strRef>
              <c:f>'2_5'!$A$7</c:f>
              <c:strCache>
                <c:ptCount val="1"/>
                <c:pt idx="0">
                  <c:v>  soukromé 
  pojištění</c:v>
                </c:pt>
              </c:strCache>
            </c:strRef>
          </c:tx>
          <c:spPr>
            <a:solidFill>
              <a:schemeClr val="tx1"/>
            </a:solidFill>
          </c:spPr>
          <c:invertIfNegative val="0"/>
          <c:cat>
            <c:strRef>
              <c:f>'2_5'!$D$3:$H$3</c:f>
              <c:strCache>
                <c:ptCount val="5"/>
                <c:pt idx="0">
                  <c:v>2012</c:v>
                </c:pt>
                <c:pt idx="1">
                  <c:v>2013</c:v>
                </c:pt>
                <c:pt idx="2">
                  <c:v>2014</c:v>
                </c:pt>
                <c:pt idx="3">
                  <c:v>2015</c:v>
                </c:pt>
                <c:pt idx="4">
                  <c:v>2016</c:v>
                </c:pt>
              </c:strCache>
            </c:strRef>
          </c:cat>
          <c:val>
            <c:numRef>
              <c:f>'2_5'!$D$7:$H$7</c:f>
              <c:numCache>
                <c:formatCode>0.0%</c:formatCode>
                <c:ptCount val="5"/>
                <c:pt idx="0">
                  <c:v>9.7471367785713012E-3</c:v>
                </c:pt>
                <c:pt idx="1">
                  <c:v>9.0189302599350714E-3</c:v>
                </c:pt>
                <c:pt idx="2">
                  <c:v>9.3950103222646113E-3</c:v>
                </c:pt>
                <c:pt idx="3">
                  <c:v>8.1458759372869879E-3</c:v>
                </c:pt>
                <c:pt idx="4">
                  <c:v>7.8832837931684958E-3</c:v>
                </c:pt>
              </c:numCache>
            </c:numRef>
          </c:val>
        </c:ser>
        <c:dLbls>
          <c:showLegendKey val="0"/>
          <c:showVal val="0"/>
          <c:showCatName val="0"/>
          <c:showSerName val="0"/>
          <c:showPercent val="0"/>
          <c:showBubbleSize val="0"/>
        </c:dLbls>
        <c:gapWidth val="50"/>
        <c:overlap val="100"/>
        <c:axId val="194598400"/>
        <c:axId val="58884096"/>
      </c:barChart>
      <c:catAx>
        <c:axId val="194598400"/>
        <c:scaling>
          <c:orientation val="minMax"/>
        </c:scaling>
        <c:delete val="0"/>
        <c:axPos val="b"/>
        <c:numFmt formatCode="General" sourceLinked="1"/>
        <c:majorTickMark val="out"/>
        <c:minorTickMark val="none"/>
        <c:tickLblPos val="nextTo"/>
        <c:crossAx val="58884096"/>
        <c:crosses val="autoZero"/>
        <c:auto val="1"/>
        <c:lblAlgn val="ctr"/>
        <c:lblOffset val="100"/>
        <c:noMultiLvlLbl val="0"/>
      </c:catAx>
      <c:valAx>
        <c:axId val="58884096"/>
        <c:scaling>
          <c:orientation val="minMax"/>
          <c:max val="1"/>
        </c:scaling>
        <c:delete val="0"/>
        <c:axPos val="l"/>
        <c:majorGridlines>
          <c:spPr>
            <a:ln>
              <a:prstDash val="dash"/>
            </a:ln>
          </c:spPr>
        </c:majorGridlines>
        <c:numFmt formatCode="0%" sourceLinked="0"/>
        <c:majorTickMark val="none"/>
        <c:minorTickMark val="none"/>
        <c:tickLblPos val="none"/>
        <c:crossAx val="194598400"/>
        <c:crosses val="autoZero"/>
        <c:crossBetween val="between"/>
        <c:minorUnit val="1.0000000000000005E-2"/>
      </c:valAx>
      <c:spPr>
        <a:ln>
          <a:solidFill>
            <a:schemeClr val="bg1">
              <a:lumMod val="7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0.35871</cdr:x>
      <cdr:y>0.65644</cdr:y>
    </cdr:from>
    <cdr:to>
      <cdr:x>0.44411</cdr:x>
      <cdr:y>0.72161</cdr:y>
    </cdr:to>
    <cdr:sp macro="" textlink="">
      <cdr:nvSpPr>
        <cdr:cNvPr id="2" name="TextovéPole 1"/>
        <cdr:cNvSpPr txBox="1"/>
      </cdr:nvSpPr>
      <cdr:spPr>
        <a:xfrm xmlns:a="http://schemas.openxmlformats.org/drawingml/2006/main">
          <a:off x="2182380" y="1771984"/>
          <a:ext cx="519568" cy="175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24 428</a:t>
          </a:r>
        </a:p>
      </cdr:txBody>
    </cdr:sp>
  </cdr:relSizeAnchor>
  <cdr:relSizeAnchor xmlns:cdr="http://schemas.openxmlformats.org/drawingml/2006/chartDrawing">
    <cdr:from>
      <cdr:x>0.37578</cdr:x>
      <cdr:y>0.18427</cdr:y>
    </cdr:from>
    <cdr:to>
      <cdr:x>0.46118</cdr:x>
      <cdr:y>0.4</cdr:y>
    </cdr:to>
    <cdr:sp macro="" textlink="">
      <cdr:nvSpPr>
        <cdr:cNvPr id="3" name="TextovéPole 2"/>
        <cdr:cNvSpPr txBox="1"/>
      </cdr:nvSpPr>
      <cdr:spPr>
        <a:xfrm xmlns:a="http://schemas.openxmlformats.org/drawingml/2006/main">
          <a:off x="2305049" y="781050"/>
          <a:ext cx="5238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0.51087</cdr:x>
      <cdr:y>0.24045</cdr:y>
    </cdr:from>
    <cdr:to>
      <cdr:x>0.65994</cdr:x>
      <cdr:y>0.45618</cdr:y>
    </cdr:to>
    <cdr:sp macro="" textlink="">
      <cdr:nvSpPr>
        <cdr:cNvPr id="4" name="TextovéPole 3"/>
        <cdr:cNvSpPr txBox="1"/>
      </cdr:nvSpPr>
      <cdr:spPr>
        <a:xfrm xmlns:a="http://schemas.openxmlformats.org/drawingml/2006/main">
          <a:off x="3133724" y="1019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0.48596</cdr:x>
      <cdr:y>0.18628</cdr:y>
    </cdr:from>
    <cdr:to>
      <cdr:x>0.55118</cdr:x>
      <cdr:y>0.2492</cdr:y>
    </cdr:to>
    <cdr:sp macro="" textlink="">
      <cdr:nvSpPr>
        <cdr:cNvPr id="5" name="TextovéPole 4"/>
        <cdr:cNvSpPr txBox="1"/>
      </cdr:nvSpPr>
      <cdr:spPr>
        <a:xfrm xmlns:a="http://schemas.openxmlformats.org/drawingml/2006/main">
          <a:off x="2956561" y="502838"/>
          <a:ext cx="396795" cy="1698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ysClr val="windowText" lastClr="000000"/>
              </a:solidFill>
              <a:latin typeface="Arial" panose="020B0604020202020204" pitchFamily="34" charset="0"/>
              <a:cs typeface="Arial" panose="020B0604020202020204" pitchFamily="34" charset="0"/>
            </a:rPr>
            <a:t>3 588</a:t>
          </a:r>
        </a:p>
      </cdr:txBody>
    </cdr:sp>
  </cdr:relSizeAnchor>
  <cdr:relSizeAnchor xmlns:cdr="http://schemas.openxmlformats.org/drawingml/2006/chartDrawing">
    <cdr:from>
      <cdr:x>0.54168</cdr:x>
      <cdr:y>0.35816</cdr:y>
    </cdr:from>
    <cdr:to>
      <cdr:x>0.60845</cdr:x>
      <cdr:y>0.42108</cdr:y>
    </cdr:to>
    <cdr:sp macro="" textlink="">
      <cdr:nvSpPr>
        <cdr:cNvPr id="6" name="TextovéPole 5"/>
        <cdr:cNvSpPr txBox="1"/>
      </cdr:nvSpPr>
      <cdr:spPr>
        <a:xfrm xmlns:a="http://schemas.openxmlformats.org/drawingml/2006/main">
          <a:off x="3295568" y="966812"/>
          <a:ext cx="406224" cy="1698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chemeClr val="bg1"/>
              </a:solidFill>
              <a:latin typeface="Arial" panose="020B0604020202020204" pitchFamily="34" charset="0"/>
              <a:cs typeface="Arial" panose="020B0604020202020204" pitchFamily="34" charset="0"/>
            </a:rPr>
            <a:t> </a:t>
          </a:r>
          <a:r>
            <a:rPr lang="cs-CZ" sz="800">
              <a:solidFill>
                <a:sysClr val="windowText" lastClr="000000"/>
              </a:solidFill>
              <a:latin typeface="Arial" panose="020B0604020202020204" pitchFamily="34" charset="0"/>
              <a:cs typeface="Arial" panose="020B0604020202020204" pitchFamily="34" charset="0"/>
            </a:rPr>
            <a:t>7 416</a:t>
          </a:r>
        </a:p>
      </cdr:txBody>
    </cdr:sp>
  </cdr:relSizeAnchor>
  <cdr:relSizeAnchor xmlns:cdr="http://schemas.openxmlformats.org/drawingml/2006/chartDrawing">
    <cdr:from>
      <cdr:x>0.54833</cdr:x>
      <cdr:y>0.58072</cdr:y>
    </cdr:from>
    <cdr:to>
      <cdr:x>0.66254</cdr:x>
      <cdr:y>0.64799</cdr:y>
    </cdr:to>
    <cdr:sp macro="" textlink="">
      <cdr:nvSpPr>
        <cdr:cNvPr id="7" name="TextovéPole 6"/>
        <cdr:cNvSpPr txBox="1"/>
      </cdr:nvSpPr>
      <cdr:spPr>
        <a:xfrm xmlns:a="http://schemas.openxmlformats.org/drawingml/2006/main">
          <a:off x="3335980" y="1567591"/>
          <a:ext cx="694846" cy="181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chemeClr val="bg1"/>
              </a:solidFill>
              <a:latin typeface="Arial" panose="020B0604020202020204" pitchFamily="34" charset="0"/>
              <a:cs typeface="Arial" panose="020B0604020202020204" pitchFamily="34" charset="0"/>
            </a:rPr>
            <a:t>9 637</a:t>
          </a:r>
        </a:p>
      </cdr:txBody>
    </cdr:sp>
  </cdr:relSizeAnchor>
  <cdr:relSizeAnchor xmlns:cdr="http://schemas.openxmlformats.org/drawingml/2006/chartDrawing">
    <cdr:from>
      <cdr:x>0.42236</cdr:x>
      <cdr:y>0.24198</cdr:y>
    </cdr:from>
    <cdr:to>
      <cdr:x>0.50311</cdr:x>
      <cdr:y>0.34694</cdr:y>
    </cdr:to>
    <cdr:sp macro="" textlink="">
      <cdr:nvSpPr>
        <cdr:cNvPr id="8" name="TextovéPole 7"/>
        <cdr:cNvSpPr txBox="1"/>
      </cdr:nvSpPr>
      <cdr:spPr>
        <a:xfrm xmlns:a="http://schemas.openxmlformats.org/drawingml/2006/main">
          <a:off x="2590799" y="790575"/>
          <a:ext cx="495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0.39126</cdr:x>
      <cdr:y>0.21236</cdr:y>
    </cdr:from>
    <cdr:to>
      <cdr:x>0.49375</cdr:x>
      <cdr:y>0.29982</cdr:y>
    </cdr:to>
    <cdr:sp macro="" textlink="">
      <cdr:nvSpPr>
        <cdr:cNvPr id="9" name="TextovéPole 8"/>
        <cdr:cNvSpPr txBox="1"/>
      </cdr:nvSpPr>
      <cdr:spPr>
        <a:xfrm xmlns:a="http://schemas.openxmlformats.org/drawingml/2006/main">
          <a:off x="2380420" y="573253"/>
          <a:ext cx="623542" cy="2360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a:solidFill>
                <a:sysClr val="windowText" lastClr="000000"/>
              </a:solidFill>
              <a:latin typeface="Arial" panose="020B0604020202020204" pitchFamily="34" charset="0"/>
              <a:cs typeface="Arial" panose="020B0604020202020204" pitchFamily="34" charset="0"/>
            </a:rPr>
            <a:t>6</a:t>
          </a:r>
          <a:r>
            <a:rPr lang="cs-CZ" sz="800">
              <a:solidFill>
                <a:schemeClr val="bg1"/>
              </a:solidFill>
              <a:latin typeface="Arial" panose="020B0604020202020204" pitchFamily="34" charset="0"/>
              <a:cs typeface="Arial" panose="020B0604020202020204" pitchFamily="34" charset="0"/>
            </a:rPr>
            <a:t> </a:t>
          </a:r>
          <a:r>
            <a:rPr lang="cs-CZ" sz="800">
              <a:solidFill>
                <a:sysClr val="windowText" lastClr="000000"/>
              </a:solidFill>
              <a:latin typeface="Arial" panose="020B0604020202020204" pitchFamily="34" charset="0"/>
              <a:cs typeface="Arial" panose="020B0604020202020204" pitchFamily="34" charset="0"/>
            </a:rPr>
            <a:t>146</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803E9-340B-44A7-8AE9-2EC1B1EBD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0</TotalTime>
  <Pages>1</Pages>
  <Words>25605</Words>
  <Characters>151076</Characters>
  <Application>Microsoft Office Word</Application>
  <DocSecurity>0</DocSecurity>
  <Lines>1258</Lines>
  <Paragraphs>352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176329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4</cp:revision>
  <cp:lastPrinted>2018-06-06T04:58:00Z</cp:lastPrinted>
  <dcterms:created xsi:type="dcterms:W3CDTF">2018-06-06T05:40:00Z</dcterms:created>
  <dcterms:modified xsi:type="dcterms:W3CDTF">2018-06-06T07:51:00Z</dcterms:modified>
</cp:coreProperties>
</file>