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CD12" w14:textId="33FF0090" w:rsidR="00C62BD6" w:rsidRDefault="00C62BD6" w:rsidP="004542FC">
      <w:pPr>
        <w:pStyle w:val="Nadpis2"/>
        <w:spacing w:after="100"/>
      </w:pPr>
      <w:bookmarkStart w:id="0" w:name="_Toc10117319"/>
      <w:r>
        <w:t>4.</w:t>
      </w:r>
      <w:r w:rsidR="00661E61">
        <w:t>6</w:t>
      </w:r>
      <w:r>
        <w:t>. Evropská statistika pracovních úrazů (ESAW)</w:t>
      </w:r>
      <w:bookmarkEnd w:id="0"/>
    </w:p>
    <w:p w14:paraId="25A9DB0E" w14:textId="6F5C4BFB" w:rsidR="004542FC" w:rsidRPr="00793707" w:rsidRDefault="004542FC" w:rsidP="004542FC">
      <w:pPr>
        <w:jc w:val="both"/>
      </w:pPr>
      <w:r w:rsidRPr="00793707">
        <w:rPr>
          <w:rFonts w:cs="Arial"/>
          <w:szCs w:val="20"/>
        </w:rPr>
        <w:t>Evropská statistika pracovních úrazů – systém ESAW – umožňuje sledovat pracovní úrazovost na základě jednotné metodiky, kterou připravil Eurostat. Hlavním cílem je snížit jak výskyt pracovních úrazů, tak dopady s nimi spojené (sociální problémy, ekonomické ztráty). Projekt ESAW přispívá na evropské úrovni svými výsledky významnou měrou k hlavnímu cíli statistiky pracovních úrazů, tj. vytvoření dostatečného objemu údajů o pracovní úrazovosti, na jejichž základě je zvyšována bezpečnost a ochrana zdraví při práci prostřednictvím účinných opatření, která umožňují aktivním způsobem předcházet pracovním úrazům</w:t>
      </w:r>
      <w:r w:rsidR="00793707">
        <w:rPr>
          <w:rFonts w:cs="Arial"/>
          <w:szCs w:val="20"/>
        </w:rPr>
        <w:t>,</w:t>
      </w:r>
      <w:r w:rsidRPr="00793707">
        <w:rPr>
          <w:rFonts w:cs="Arial"/>
          <w:szCs w:val="20"/>
        </w:rPr>
        <w:t xml:space="preserve"> a tak snižovat jejich počet</w:t>
      </w:r>
      <w:r w:rsidRPr="00793707">
        <w:t>.</w:t>
      </w:r>
    </w:p>
    <w:p w14:paraId="00455ECA" w14:textId="77777777" w:rsidR="004542FC" w:rsidRPr="00793707" w:rsidRDefault="004542FC" w:rsidP="004542FC">
      <w:pPr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 xml:space="preserve">Rámcová směrnice 89/391/EHS týkající se opatření pro zlepšení bezpečnosti a ochrany zdraví zaměstnanců při práci zavedla povinnost pro zaměstnavatele vést seznam pracovních úrazů, které měly za následek pracovní neschopnost delší než tři pracovní dny a vypracovávat v souladu s vnitrostátními právními předpisy nebo zvyklostmi zprávy o pracovních úrazech, které utrpěli jeho zaměstnanci. Na tomto základě byl v roce 1990 zahájen projekt evropské statistiky pracovních úrazů s cílem harmonizovat údaje o pracovních úrazech u všech úrazů, které měly za následek více než třídenní pracovní neschopnost. Nařízení Evropského parlamentu a Rady (ES) č. 1338/2008 ze dne 16. prosince 2008 o statistice Společenství v oblasti veřejného zdraví a bezpečnosti a ochrany zdraví při práci stanoví povinnost poskytovat statistiky pracovních úrazů Komisi (Eurostatu). </w:t>
      </w:r>
    </w:p>
    <w:p w14:paraId="00520F6D" w14:textId="464F7BE2" w:rsidR="004542FC" w:rsidRPr="00793707" w:rsidRDefault="004542FC" w:rsidP="004542FC">
      <w:pPr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 xml:space="preserve">V České republice byl rozhodnutím Ministerstva práce a sociálních věcí pověřen Státní úřad inspekce práce zpracováním Zprávy o pracovní úrazovosti v České republice a </w:t>
      </w:r>
      <w:r w:rsidR="00F03E5C">
        <w:rPr>
          <w:rFonts w:cs="Arial"/>
          <w:szCs w:val="20"/>
        </w:rPr>
        <w:t xml:space="preserve">správou </w:t>
      </w:r>
      <w:r w:rsidRPr="00793707">
        <w:rPr>
          <w:rFonts w:cs="Arial"/>
          <w:szCs w:val="20"/>
        </w:rPr>
        <w:t>databáze statistických údajů o</w:t>
      </w:r>
      <w:r w:rsidR="008A15C0">
        <w:rPr>
          <w:rFonts w:cs="Arial"/>
          <w:szCs w:val="20"/>
        </w:rPr>
        <w:t> </w:t>
      </w:r>
      <w:r w:rsidRPr="00793707">
        <w:rPr>
          <w:rFonts w:cs="Arial"/>
          <w:szCs w:val="20"/>
        </w:rPr>
        <w:t>pracovních úrazech ve formátu ESAW k zaslání do Eurostatu. Státní úřad inspekce práce (SÚIP) úzce spolupracuje v této oblasti s Českým báňským úřadem (ČBÚ) a ČSÚ.</w:t>
      </w:r>
    </w:p>
    <w:p w14:paraId="67268A3C" w14:textId="1A0D362D" w:rsidR="004542FC" w:rsidRPr="00502F2A" w:rsidRDefault="004542FC" w:rsidP="004542FC">
      <w:pPr>
        <w:spacing w:after="120"/>
        <w:jc w:val="both"/>
        <w:rPr>
          <w:rFonts w:cs="Arial"/>
          <w:szCs w:val="20"/>
        </w:rPr>
      </w:pPr>
      <w:r w:rsidRPr="00793707">
        <w:rPr>
          <w:rFonts w:cs="Arial"/>
          <w:szCs w:val="20"/>
        </w:rPr>
        <w:t>Statistiky se Eurostatu poskytují každoročně a předkládají se nejpozději 18 měsíců po skončení referenčního roku. Eurostat zveřejňuje na svých stránkách výsledky zpracování dat za členské země EU, a to podle závažnosti pracovního úrazu samostatně za smrtelné pracovní úrazy a za ostatní pracovní úrazy, které mají za následek pracovní neschopnost delší než tři pracovní dny. K dispozici jsou dva základní ukazatele – absolutní ukazatel počtu pracovních úrazů a relativní ukazat</w:t>
      </w:r>
      <w:r w:rsidR="00F03E5C">
        <w:rPr>
          <w:rFonts w:cs="Arial"/>
          <w:szCs w:val="20"/>
        </w:rPr>
        <w:t>el standardizovaná míra výskytu.</w:t>
      </w:r>
      <w:r w:rsidRPr="00793707">
        <w:rPr>
          <w:rFonts w:cs="Arial"/>
          <w:szCs w:val="20"/>
        </w:rPr>
        <w:t xml:space="preserve"> </w:t>
      </w:r>
      <w:r w:rsidR="00F03E5C">
        <w:rPr>
          <w:rFonts w:cs="Arial"/>
          <w:szCs w:val="20"/>
        </w:rPr>
        <w:t>Data jsou</w:t>
      </w:r>
      <w:r w:rsidRPr="00793707">
        <w:rPr>
          <w:rFonts w:cs="Arial"/>
          <w:szCs w:val="20"/>
        </w:rPr>
        <w:t xml:space="preserve"> </w:t>
      </w:r>
      <w:r w:rsidR="00F03E5C">
        <w:rPr>
          <w:rFonts w:cs="Arial"/>
          <w:szCs w:val="20"/>
        </w:rPr>
        <w:t>tříděna</w:t>
      </w:r>
      <w:r w:rsidRPr="00793707">
        <w:rPr>
          <w:rFonts w:cs="Arial"/>
          <w:szCs w:val="20"/>
        </w:rPr>
        <w:t xml:space="preserve"> podle pohlaví, věku, zaměstnání </w:t>
      </w:r>
      <w:r w:rsidR="00584D18">
        <w:rPr>
          <w:rFonts w:cs="Arial"/>
          <w:szCs w:val="20"/>
        </w:rPr>
        <w:t>pojištěnce</w:t>
      </w:r>
      <w:r w:rsidRPr="00793707">
        <w:rPr>
          <w:rFonts w:cs="Arial"/>
          <w:szCs w:val="20"/>
        </w:rPr>
        <w:t>, ekonomické činnosti zaměstnavate</w:t>
      </w:r>
      <w:r w:rsidR="00F03E5C">
        <w:rPr>
          <w:rFonts w:cs="Arial"/>
          <w:szCs w:val="20"/>
        </w:rPr>
        <w:t>le a dalších kritérií</w:t>
      </w:r>
      <w:r w:rsidRPr="00793707">
        <w:rPr>
          <w:rFonts w:cs="Arial"/>
          <w:szCs w:val="20"/>
        </w:rPr>
        <w:t>.</w:t>
      </w:r>
      <w:r w:rsidRPr="00793707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</w:t>
      </w:r>
    </w:p>
    <w:p w14:paraId="6A8737A1" w14:textId="77777777" w:rsidR="004542FC" w:rsidRPr="004542FC" w:rsidRDefault="004542FC" w:rsidP="004542FC"/>
    <w:p w14:paraId="67088467" w14:textId="77777777" w:rsidR="004542FC" w:rsidRPr="00A2036D" w:rsidRDefault="004542FC" w:rsidP="004542FC">
      <w:pPr>
        <w:pStyle w:val="Box1"/>
        <w:jc w:val="both"/>
        <w:rPr>
          <w:i/>
        </w:rPr>
      </w:pPr>
      <w:r>
        <w:rPr>
          <w:b/>
          <w:i/>
        </w:rPr>
        <w:t xml:space="preserve">Míra výskytu (četnost) </w:t>
      </w:r>
      <w:r w:rsidRPr="00C26854">
        <w:rPr>
          <w:i/>
        </w:rPr>
        <w:t>–</w:t>
      </w:r>
      <w:r w:rsidRPr="00F46EA8">
        <w:rPr>
          <w:i/>
        </w:rPr>
        <w:t xml:space="preserve"> </w:t>
      </w:r>
      <w:r>
        <w:rPr>
          <w:i/>
        </w:rPr>
        <w:t>u</w:t>
      </w:r>
      <w:r w:rsidRPr="00A2036D">
        <w:rPr>
          <w:i/>
        </w:rPr>
        <w:t xml:space="preserve">kazatel vyjadřuje počet </w:t>
      </w:r>
      <w:r>
        <w:rPr>
          <w:i/>
        </w:rPr>
        <w:t>pracovních úrazů na 100 000 zaměstnaných osob. Samostatné míry výskytu se počítají u smrtelných pracovních úrazů a pracovních úrazů, které mají za následek pracovní neschopnost delší než tři pracovní dny.</w:t>
      </w:r>
      <w:r w:rsidRPr="00A2036D">
        <w:rPr>
          <w:i/>
        </w:rPr>
        <w:t xml:space="preserve"> </w:t>
      </w:r>
    </w:p>
    <w:p w14:paraId="4CCC5708" w14:textId="77777777" w:rsidR="004542FC" w:rsidRPr="00A2036D" w:rsidRDefault="004542FC" w:rsidP="004542FC">
      <w:pPr>
        <w:pStyle w:val="Box1"/>
        <w:jc w:val="both"/>
        <w:rPr>
          <w:i/>
          <w:u w:val="single"/>
        </w:rPr>
      </w:pPr>
      <w:r w:rsidRPr="00A2036D">
        <w:rPr>
          <w:i/>
          <w:u w:val="single"/>
        </w:rPr>
        <w:t>Způsob výpočtu:</w:t>
      </w:r>
    </w:p>
    <w:p w14:paraId="5633B229" w14:textId="77777777" w:rsidR="004542FC" w:rsidRDefault="004542FC" w:rsidP="004542FC">
      <w:pPr>
        <w:pStyle w:val="Box1"/>
        <w:jc w:val="both"/>
        <w:rPr>
          <w:i/>
        </w:rPr>
      </w:pPr>
      <w:r>
        <w:rPr>
          <w:i/>
        </w:rPr>
        <w:t>Míra výskytu</w:t>
      </w:r>
      <w:r w:rsidRPr="00A2036D">
        <w:rPr>
          <w:i/>
        </w:rPr>
        <w:t xml:space="preserve"> = </w:t>
      </w:r>
      <w:r>
        <w:rPr>
          <w:i/>
        </w:rPr>
        <w:t xml:space="preserve">počet úrazů (smrtelných nebo ostatních) </w:t>
      </w:r>
      <w:r w:rsidRPr="00A2036D">
        <w:rPr>
          <w:i/>
        </w:rPr>
        <w:t xml:space="preserve">/ počet </w:t>
      </w:r>
      <w:r>
        <w:rPr>
          <w:i/>
        </w:rPr>
        <w:t xml:space="preserve">zaměstnaných </w:t>
      </w:r>
      <w:r w:rsidRPr="00A2036D">
        <w:rPr>
          <w:i/>
        </w:rPr>
        <w:t>osob</w:t>
      </w:r>
      <w:r>
        <w:rPr>
          <w:i/>
        </w:rPr>
        <w:t xml:space="preserve"> ve sledované populaci x 100 000.</w:t>
      </w:r>
    </w:p>
    <w:p w14:paraId="1846AA16" w14:textId="77777777" w:rsidR="004542FC" w:rsidRDefault="004542FC" w:rsidP="004542FC">
      <w:pPr>
        <w:pStyle w:val="Box1"/>
        <w:jc w:val="both"/>
        <w:rPr>
          <w:i/>
        </w:rPr>
      </w:pPr>
    </w:p>
    <w:p w14:paraId="69F7C3A3" w14:textId="0423309E" w:rsidR="004542FC" w:rsidRDefault="004542FC" w:rsidP="004542FC">
      <w:pPr>
        <w:pStyle w:val="Box1"/>
        <w:jc w:val="both"/>
        <w:rPr>
          <w:i/>
        </w:rPr>
      </w:pPr>
      <w:r w:rsidRPr="00CB71CA">
        <w:rPr>
          <w:b/>
          <w:i/>
        </w:rPr>
        <w:t>Standardizovaná míra výskytu</w:t>
      </w:r>
      <w:r>
        <w:rPr>
          <w:i/>
        </w:rPr>
        <w:t xml:space="preserve"> – standardizovaný počet pracovních úrazů na</w:t>
      </w:r>
      <w:r w:rsidR="008A15C0">
        <w:rPr>
          <w:i/>
        </w:rPr>
        <w:t> </w:t>
      </w:r>
      <w:r>
        <w:rPr>
          <w:i/>
        </w:rPr>
        <w:t>100</w:t>
      </w:r>
      <w:r w:rsidR="008A15C0">
        <w:rPr>
          <w:i/>
        </w:rPr>
        <w:t> </w:t>
      </w:r>
      <w:r>
        <w:rPr>
          <w:i/>
        </w:rPr>
        <w:t>000</w:t>
      </w:r>
      <w:r w:rsidR="008A15C0">
        <w:rPr>
          <w:i/>
        </w:rPr>
        <w:t> </w:t>
      </w:r>
      <w:r>
        <w:rPr>
          <w:i/>
        </w:rPr>
        <w:t>zaměstnaných osob, spočívající v použití stejné (standardizované) váhy v každém odvětví v každé zemi, jako je celková v rámci EU („standardizovaná“ míra úrazovosti)</w:t>
      </w:r>
      <w:r w:rsidRPr="00A2036D">
        <w:rPr>
          <w:i/>
        </w:rPr>
        <w:t>.</w:t>
      </w:r>
      <w:r>
        <w:rPr>
          <w:i/>
        </w:rPr>
        <w:t xml:space="preserve"> Použití standardizovaného ukazatele řeší problém častějšího výskytu pracovních úrazů v některých zaměstnáních v závislosti na vyšším podílu vysoce rizikových odvětví v průmyslové struktuře země.</w:t>
      </w:r>
    </w:p>
    <w:p w14:paraId="1224FD3C" w14:textId="74FDE5D3" w:rsidR="004542FC" w:rsidRPr="00512226" w:rsidRDefault="004542FC" w:rsidP="004542FC">
      <w:pPr>
        <w:jc w:val="both"/>
      </w:pPr>
      <w:r w:rsidRPr="00512226">
        <w:t xml:space="preserve">Pro mezinárodní srovnání za členské státy EU byl v této publikaci použit relativní ukazatel – standardizovaná míra výskytu pracovních úrazů na 100 tis. zaměstnaných osob, který je pro srovnání zemí různé velikosti </w:t>
      </w:r>
      <w:r w:rsidRPr="00512226">
        <w:lastRenderedPageBreak/>
        <w:t xml:space="preserve">vhodnějším ukazatelem než ukazatel absolutní. </w:t>
      </w:r>
      <w:r w:rsidR="00F03E5C">
        <w:t xml:space="preserve">Navíc ošetřuje problém </w:t>
      </w:r>
      <w:r w:rsidR="00584D18">
        <w:t>rozdílné</w:t>
      </w:r>
      <w:r w:rsidR="00F03E5C">
        <w:t xml:space="preserve"> odvětvové struktury v jednotlivých zemích. </w:t>
      </w:r>
      <w:r w:rsidRPr="00512226">
        <w:t>Pro zachycení vývoje míry úrazovosti v jednotlivých členských zemích EU byly použity údaje za roky 201</w:t>
      </w:r>
      <w:r w:rsidR="00512226" w:rsidRPr="00512226">
        <w:t>2</w:t>
      </w:r>
      <w:r w:rsidRPr="00512226">
        <w:t>–</w:t>
      </w:r>
      <w:r w:rsidR="00512226" w:rsidRPr="00512226">
        <w:t>2016</w:t>
      </w:r>
      <w:r w:rsidRPr="00512226">
        <w:t xml:space="preserve">. </w:t>
      </w:r>
    </w:p>
    <w:p w14:paraId="3013ACB5" w14:textId="77777777" w:rsidR="004542FC" w:rsidRPr="00512226" w:rsidRDefault="004542FC" w:rsidP="004542FC">
      <w:pPr>
        <w:jc w:val="both"/>
      </w:pPr>
      <w:r w:rsidRPr="00512226">
        <w:t>Je nutné však upozornit na skutečnost, že vnitrostátní legislativa nebo zvyklosti v oblasti pracovní úrazovosti se mohou v jednotlivých zemích poměrně značně lišit, a tak i data předávaná do Eurostatu, i přes veškerou snahu statistiků o harmonizaci a standardizaci, nemusí být zcela srovnatelná.</w:t>
      </w:r>
    </w:p>
    <w:p w14:paraId="7DD56149" w14:textId="68547B09" w:rsidR="004542FC" w:rsidRDefault="004542FC" w:rsidP="004542FC">
      <w:pPr>
        <w:jc w:val="both"/>
      </w:pPr>
      <w:r w:rsidRPr="00E755F0">
        <w:t xml:space="preserve">Co se týče pracovních úrazů, které si vyžádaly pracovní neschopnost delší než 3 pracovní dny, se Česká republika s hodnotou </w:t>
      </w:r>
      <w:r w:rsidR="00F03E5C">
        <w:t>922</w:t>
      </w:r>
      <w:r w:rsidRPr="00E755F0">
        <w:t xml:space="preserve"> pracovních úrazů na 100 ti</w:t>
      </w:r>
      <w:r w:rsidR="00E755F0" w:rsidRPr="00E755F0">
        <w:t>s. zaměstnaných osob v roce 2016</w:t>
      </w:r>
      <w:r w:rsidRPr="00E755F0">
        <w:t xml:space="preserve"> řadila na 1</w:t>
      </w:r>
      <w:r w:rsidR="00E755F0" w:rsidRPr="00E755F0">
        <w:t>6</w:t>
      </w:r>
      <w:r w:rsidRPr="00E755F0">
        <w:t xml:space="preserve">. místo v rámci EU28. </w:t>
      </w:r>
      <w:r w:rsidR="00E755F0" w:rsidRPr="00E755F0">
        <w:t>Podobné</w:t>
      </w:r>
      <w:r w:rsidRPr="00E755F0">
        <w:t xml:space="preserve"> hodnoty dosáhl</w:t>
      </w:r>
      <w:r w:rsidR="00E755F0" w:rsidRPr="00E755F0">
        <w:t>o</w:t>
      </w:r>
      <w:r w:rsidRPr="00E755F0">
        <w:t xml:space="preserve"> </w:t>
      </w:r>
      <w:r w:rsidR="00E755F0" w:rsidRPr="00E755F0">
        <w:t xml:space="preserve">Chorvatsko a </w:t>
      </w:r>
      <w:r w:rsidRPr="00E755F0">
        <w:t>Velká Británie. Nejvyšší míra pracovní úrazovosti byla podle Eurostatu v Portugalsku, Francii a ve Španělsku (více než 3 tis. pracovních úrazů na</w:t>
      </w:r>
      <w:r w:rsidR="008A15C0">
        <w:t> </w:t>
      </w:r>
      <w:r w:rsidRPr="00E755F0">
        <w:t>100</w:t>
      </w:r>
      <w:r w:rsidR="008A15C0">
        <w:t> </w:t>
      </w:r>
      <w:r w:rsidRPr="00E755F0">
        <w:t>tis.</w:t>
      </w:r>
      <w:r w:rsidR="008A15C0">
        <w:t> </w:t>
      </w:r>
      <w:r w:rsidRPr="00E755F0">
        <w:t xml:space="preserve">zaměstnaných osob), okolo hranice 2 tis. pracovních úrazů se pohybovalo </w:t>
      </w:r>
      <w:r w:rsidR="00E755F0" w:rsidRPr="00E755F0">
        <w:t>Rakousko, Německo a</w:t>
      </w:r>
      <w:r w:rsidR="008A15C0">
        <w:t> </w:t>
      </w:r>
      <w:r w:rsidR="00E755F0" w:rsidRPr="00E755F0">
        <w:t>Belgie</w:t>
      </w:r>
      <w:r w:rsidRPr="00E755F0">
        <w:t>. Nejnižší míra pracovní úrazovosti (pod hranicí 500 pracovních úrazů) byla v roce 201</w:t>
      </w:r>
      <w:r w:rsidR="00E755F0" w:rsidRPr="00E755F0">
        <w:t>6</w:t>
      </w:r>
      <w:r w:rsidRPr="00E755F0">
        <w:t xml:space="preserve"> vykazována v Bulharsku, Rumunsku, Řecku, Lotyšsku a Litvě.</w:t>
      </w:r>
    </w:p>
    <w:p w14:paraId="0EF790D8" w14:textId="26658632" w:rsidR="00CA58EE" w:rsidRPr="00CA58EE" w:rsidRDefault="00CA58EE" w:rsidP="00CA58EE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CA58EE">
        <w:rPr>
          <w:b/>
          <w:i w:val="0"/>
          <w:color w:val="auto"/>
          <w:sz w:val="20"/>
        </w:rPr>
        <w:t xml:space="preserve">Graf </w:t>
      </w:r>
      <w:r w:rsidRPr="00CA58EE">
        <w:rPr>
          <w:b/>
          <w:i w:val="0"/>
          <w:color w:val="auto"/>
          <w:sz w:val="20"/>
        </w:rPr>
        <w:fldChar w:fldCharType="begin"/>
      </w:r>
      <w:r w:rsidRPr="00CA58EE">
        <w:rPr>
          <w:b/>
          <w:i w:val="0"/>
          <w:color w:val="auto"/>
          <w:sz w:val="20"/>
        </w:rPr>
        <w:instrText xml:space="preserve"> SEQ Graf \* ARABIC </w:instrText>
      </w:r>
      <w:r w:rsidRPr="00CA58EE">
        <w:rPr>
          <w:b/>
          <w:i w:val="0"/>
          <w:color w:val="auto"/>
          <w:sz w:val="20"/>
        </w:rPr>
        <w:fldChar w:fldCharType="separate"/>
      </w:r>
      <w:r w:rsidR="0058606B">
        <w:rPr>
          <w:b/>
          <w:i w:val="0"/>
          <w:noProof/>
          <w:color w:val="auto"/>
          <w:sz w:val="20"/>
        </w:rPr>
        <w:t>6</w:t>
      </w:r>
      <w:r w:rsidRPr="00CA58EE">
        <w:rPr>
          <w:b/>
          <w:i w:val="0"/>
          <w:color w:val="auto"/>
          <w:sz w:val="20"/>
        </w:rPr>
        <w:fldChar w:fldCharType="end"/>
      </w:r>
      <w:r w:rsidR="00162BC5">
        <w:rPr>
          <w:b/>
          <w:i w:val="0"/>
          <w:color w:val="auto"/>
          <w:sz w:val="20"/>
        </w:rPr>
        <w:t>.</w:t>
      </w:r>
      <w:r w:rsidRPr="00CA58EE">
        <w:rPr>
          <w:b/>
          <w:i w:val="0"/>
          <w:color w:val="auto"/>
          <w:sz w:val="20"/>
        </w:rPr>
        <w:t>1: Pracovní úrazy s pracovní neschopností delší než</w:t>
      </w:r>
      <w:r>
        <w:rPr>
          <w:b/>
          <w:i w:val="0"/>
          <w:color w:val="auto"/>
          <w:sz w:val="20"/>
        </w:rPr>
        <w:t xml:space="preserve"> 3 pracovní dny v</w:t>
      </w:r>
      <w:r w:rsidR="0067117F">
        <w:rPr>
          <w:b/>
          <w:i w:val="0"/>
          <w:color w:val="auto"/>
          <w:sz w:val="20"/>
        </w:rPr>
        <w:t xml:space="preserve"> zemích </w:t>
      </w:r>
      <w:r>
        <w:rPr>
          <w:b/>
          <w:i w:val="0"/>
          <w:color w:val="auto"/>
          <w:sz w:val="20"/>
        </w:rPr>
        <w:t>EU v roce 2016</w:t>
      </w:r>
      <w:r w:rsidRPr="00CA58EE">
        <w:rPr>
          <w:b/>
          <w:i w:val="0"/>
          <w:color w:val="auto"/>
          <w:sz w:val="20"/>
        </w:rPr>
        <w:t xml:space="preserve"> (standardizovaná míra výskytu)</w:t>
      </w:r>
    </w:p>
    <w:p w14:paraId="51DDD25E" w14:textId="372EB661" w:rsidR="00A37A9C" w:rsidRPr="00893D9C" w:rsidRDefault="00A37A9C" w:rsidP="004542FC">
      <w:pPr>
        <w:jc w:val="both"/>
      </w:pPr>
      <w:r>
        <w:rPr>
          <w:noProof/>
        </w:rPr>
        <w:drawing>
          <wp:inline distT="0" distB="0" distL="0" distR="0" wp14:anchorId="16176967" wp14:editId="4A92BE61">
            <wp:extent cx="6048375" cy="481965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3BDD8B" w14:textId="77777777" w:rsidR="00CA58EE" w:rsidRPr="00CA58EE" w:rsidRDefault="00CA58EE" w:rsidP="00C62BD6">
      <w:pPr>
        <w:rPr>
          <w:sz w:val="16"/>
        </w:rPr>
      </w:pPr>
      <w:r w:rsidRPr="00CA58EE">
        <w:rPr>
          <w:sz w:val="16"/>
        </w:rPr>
        <w:t>Zdroj: Eurostat (ESAW)</w:t>
      </w:r>
    </w:p>
    <w:p w14:paraId="6AB08E5B" w14:textId="3D1D8416" w:rsidR="00CA58EE" w:rsidRDefault="00CA58EE" w:rsidP="00CA58EE">
      <w:pPr>
        <w:jc w:val="both"/>
      </w:pPr>
      <w:r w:rsidRPr="001A09FF">
        <w:t xml:space="preserve">Vývoj pracovní úrazovosti v posledních pěti letech je v jednotlivých </w:t>
      </w:r>
      <w:r w:rsidR="001A09FF" w:rsidRPr="001A09FF">
        <w:t>zemích EU různý (viz tab. 6.1). Největší pokles (</w:t>
      </w:r>
      <w:r w:rsidR="00F03E5C">
        <w:t xml:space="preserve">o </w:t>
      </w:r>
      <w:r w:rsidR="001A09FF" w:rsidRPr="001A09FF">
        <w:t>51</w:t>
      </w:r>
      <w:r w:rsidR="00584D18">
        <w:t xml:space="preserve"> </w:t>
      </w:r>
      <w:r w:rsidR="001A09FF" w:rsidRPr="001A09FF">
        <w:t xml:space="preserve">%) zaznamenalo Nizozemsko, kde v roce 2012 připadalo na 100 000 zaměstnaných osob 2 663 pracovních úrazů obnášející pracovní neschopnost delší než 3 dny. V roce 2016 hodnota poklesla </w:t>
      </w:r>
      <w:r w:rsidR="001A09FF" w:rsidRPr="001A09FF">
        <w:lastRenderedPageBreak/>
        <w:t>na</w:t>
      </w:r>
      <w:r w:rsidR="008A15C0">
        <w:t> </w:t>
      </w:r>
      <w:r w:rsidR="00584D18">
        <w:t>polovinu (</w:t>
      </w:r>
      <w:r w:rsidR="001A09FF" w:rsidRPr="001A09FF">
        <w:t>1 304 úrazů</w:t>
      </w:r>
      <w:r w:rsidR="00584D18">
        <w:t>)</w:t>
      </w:r>
      <w:r w:rsidR="001A09FF" w:rsidRPr="001A09FF">
        <w:t>. Obdobně na tom bylo Řecko, kde došlo k poklesu ze 460 na 229 pracovních úrazů. Naopak největší nárůst byl patrný ve Slovinsku (o 26,6 %) ze 421 případů na 533 pracovních úrazů. V</w:t>
      </w:r>
      <w:r w:rsidR="008A15C0">
        <w:t> </w:t>
      </w:r>
      <w:r w:rsidR="001A09FF" w:rsidRPr="001A09FF">
        <w:t xml:space="preserve">České republice se za 5leté období situace příliš nezměnila, oproti roku 2012 bylo v roce 2016 o 2,1 % závažných pracovních úrazů </w:t>
      </w:r>
      <w:r w:rsidR="00F03E5C">
        <w:t xml:space="preserve">– vyžadujících neschopenku delší než 3 dny – </w:t>
      </w:r>
      <w:r w:rsidR="001A09FF" w:rsidRPr="001A09FF">
        <w:t>méně.</w:t>
      </w:r>
    </w:p>
    <w:p w14:paraId="28D78733" w14:textId="06AF90C1" w:rsidR="0067117F" w:rsidRPr="0067117F" w:rsidRDefault="0067117F" w:rsidP="0067117F">
      <w:pPr>
        <w:pStyle w:val="Titulek"/>
        <w:keepNext/>
        <w:rPr>
          <w:b/>
          <w:i w:val="0"/>
          <w:color w:val="auto"/>
          <w:sz w:val="20"/>
        </w:rPr>
      </w:pPr>
      <w:bookmarkStart w:id="2" w:name="_Toc10112631"/>
      <w:r w:rsidRPr="0067117F">
        <w:rPr>
          <w:b/>
          <w:i w:val="0"/>
          <w:color w:val="auto"/>
          <w:sz w:val="20"/>
        </w:rPr>
        <w:t>Tab</w:t>
      </w:r>
      <w:r w:rsidR="00F03E5C">
        <w:rPr>
          <w:b/>
          <w:i w:val="0"/>
          <w:color w:val="auto"/>
          <w:sz w:val="20"/>
        </w:rPr>
        <w:t>.</w:t>
      </w:r>
      <w:r w:rsidRPr="0067117F">
        <w:rPr>
          <w:b/>
          <w:i w:val="0"/>
          <w:color w:val="auto"/>
          <w:sz w:val="20"/>
        </w:rPr>
        <w:t xml:space="preserve"> 6.</w:t>
      </w:r>
      <w:r w:rsidR="00F547BE">
        <w:rPr>
          <w:b/>
          <w:i w:val="0"/>
          <w:color w:val="auto"/>
          <w:sz w:val="20"/>
        </w:rPr>
        <w:t>1</w:t>
      </w:r>
      <w:r w:rsidRPr="0067117F">
        <w:rPr>
          <w:b/>
          <w:i w:val="0"/>
          <w:color w:val="auto"/>
          <w:sz w:val="20"/>
        </w:rPr>
        <w:t>: Pracovní úrazy s pracovní neschopností delší než 3 pracovní dny v zemích EU v letech 2012–2016</w:t>
      </w:r>
      <w:bookmarkEnd w:id="2"/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349"/>
        <w:gridCol w:w="1338"/>
        <w:gridCol w:w="1338"/>
        <w:gridCol w:w="1338"/>
        <w:gridCol w:w="1338"/>
      </w:tblGrid>
      <w:tr w:rsidR="0067117F" w:rsidRPr="0067117F" w14:paraId="728B40A1" w14:textId="77777777" w:rsidTr="0067117F">
        <w:trPr>
          <w:trHeight w:val="525"/>
        </w:trPr>
        <w:tc>
          <w:tcPr>
            <w:tcW w:w="169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3FE8AB7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Členské státy EU</w:t>
            </w:r>
          </w:p>
        </w:tc>
        <w:tc>
          <w:tcPr>
            <w:tcW w:w="6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571C44E1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b/>
                <w:sz w:val="16"/>
                <w:szCs w:val="16"/>
              </w:rPr>
              <w:t>Pracovní úrazy</w:t>
            </w:r>
            <w:r w:rsidRPr="0067117F">
              <w:rPr>
                <w:rFonts w:cs="Arial"/>
                <w:sz w:val="16"/>
                <w:szCs w:val="16"/>
              </w:rPr>
              <w:t xml:space="preserve"> s pracovní neschopností delší než 3 pracovní dny</w:t>
            </w:r>
            <w:r w:rsidRPr="0067117F">
              <w:rPr>
                <w:rFonts w:cs="Arial"/>
                <w:sz w:val="16"/>
                <w:szCs w:val="16"/>
              </w:rPr>
              <w:br/>
              <w:t>(standardizovaná míra výskytu na 100 000 zaměstnaných osob)</w:t>
            </w:r>
          </w:p>
        </w:tc>
      </w:tr>
      <w:tr w:rsidR="0067117F" w:rsidRPr="0067117F" w14:paraId="64639A06" w14:textId="77777777" w:rsidTr="0067117F">
        <w:trPr>
          <w:trHeight w:val="315"/>
        </w:trPr>
        <w:tc>
          <w:tcPr>
            <w:tcW w:w="169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B58F9" w14:textId="77777777" w:rsidR="0067117F" w:rsidRPr="0067117F" w:rsidRDefault="0067117F" w:rsidP="006711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76D1254A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50908A1C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540F2252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3A48EEF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3B0C5D49" w14:textId="77777777" w:rsidR="0067117F" w:rsidRPr="0067117F" w:rsidRDefault="0067117F" w:rsidP="0067117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67117F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C156AC" w:rsidRPr="0067117F" w14:paraId="54C10242" w14:textId="77777777" w:rsidTr="00C156AC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695" w14:textId="77777777" w:rsidR="00C156AC" w:rsidRPr="0067117F" w:rsidRDefault="00C156AC" w:rsidP="00C156AC">
            <w:pPr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FC61" w14:textId="33D0545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1 717,2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9ADE73" w14:textId="0724A7C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1696,0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0A6" w14:textId="4BE9C5F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1 666,8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3DA" w14:textId="35AAEB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1 641,7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57B" w14:textId="44292DF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1 699,0</w:t>
            </w:r>
          </w:p>
        </w:tc>
      </w:tr>
      <w:tr w:rsidR="00C156AC" w:rsidRPr="0067117F" w14:paraId="2EF14179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38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Belgie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15FF" w14:textId="6580985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2 197,3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B452" w14:textId="3F4DB49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2 147,3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6A214" w14:textId="76D412B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AF81" w14:textId="4BC3BDA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1 518,6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AB1" w14:textId="30DE431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1 972,2</w:t>
            </w:r>
          </w:p>
        </w:tc>
      </w:tr>
      <w:tr w:rsidR="00C156AC" w:rsidRPr="0067117F" w14:paraId="36F78B20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922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Bulharsko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6D0" w14:textId="4E8683B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DF9" w14:textId="3FCD007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D13" w14:textId="541E08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705" w14:textId="4D9234A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AB1" w14:textId="4954DF8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76,0</w:t>
            </w:r>
          </w:p>
        </w:tc>
      </w:tr>
      <w:tr w:rsidR="00C156AC" w:rsidRPr="0067117F" w14:paraId="622F3379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A28" w14:textId="77777777" w:rsidR="00C156AC" w:rsidRPr="0067117F" w:rsidRDefault="00C156AC" w:rsidP="00C156AC">
            <w:pPr>
              <w:spacing w:after="0" w:line="240" w:lineRule="auto"/>
              <w:ind w:firstLineChars="100" w:firstLine="161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113" w14:textId="53CB5EE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7900" w14:textId="454E250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971,3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955" w14:textId="0D5DEFE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905,6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4E6" w14:textId="43F7A35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952,9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823" w14:textId="6E46C50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921,9</w:t>
            </w:r>
          </w:p>
        </w:tc>
      </w:tr>
      <w:tr w:rsidR="00C156AC" w:rsidRPr="0067117F" w14:paraId="6C3132ED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43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Dánsko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41B" w14:textId="641F0C9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2 177,9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648" w14:textId="2632625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2 094,2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E404" w14:textId="1038D6A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1 983,1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61D2" w14:textId="63842DE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1 787,8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C36" w14:textId="53E9DEF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1 813,0</w:t>
            </w:r>
          </w:p>
        </w:tc>
      </w:tr>
      <w:tr w:rsidR="00C156AC" w:rsidRPr="0067117F" w14:paraId="555F2A0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53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Estonsko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CF8" w14:textId="6A7740A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1 005,5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EF6" w14:textId="6B178D4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1 095,4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72D" w14:textId="04F2B28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1 137,9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1F2" w14:textId="39D887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1 204,4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0A1" w14:textId="462A980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1 210,4</w:t>
            </w:r>
          </w:p>
        </w:tc>
      </w:tr>
      <w:tr w:rsidR="00C156AC" w:rsidRPr="0067117F" w14:paraId="53D2ACC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37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Finsko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A495" w14:textId="78924F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2 166,1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9503" w14:textId="5C3FCD1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2 229,8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65C" w14:textId="31CAAA3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2 083,2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232" w14:textId="7A5ABAA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1 963,9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BC8" w14:textId="0F5CA5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1 860,2</w:t>
            </w:r>
          </w:p>
        </w:tc>
      </w:tr>
      <w:tr w:rsidR="00C156AC" w:rsidRPr="0067117F" w14:paraId="05E62DD6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7B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Francie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CCA" w14:textId="5309F43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3 047,9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4E4" w14:textId="1817D51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3 163,5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D96AB3" w14:textId="4AC79F4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3385,7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D86" w14:textId="0E753BA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3 490,1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5DF" w14:textId="08EFB88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3 409,2</w:t>
            </w:r>
          </w:p>
        </w:tc>
      </w:tr>
      <w:tr w:rsidR="00C156AC" w:rsidRPr="0067117F" w14:paraId="57E39784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BB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Chorvatsko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4BD" w14:textId="0D75491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32A" w14:textId="578B4CB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731" w14:textId="35A2AEA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906,5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0D7" w14:textId="75073D9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A03" w14:textId="68D02E5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984,3</w:t>
            </w:r>
          </w:p>
        </w:tc>
      </w:tr>
      <w:tr w:rsidR="00C156AC" w:rsidRPr="0067117F" w14:paraId="1A6A44A7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628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Irsko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942" w14:textId="24E1E60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1B98" w14:textId="3DF753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1 036,1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CEA" w14:textId="7D40591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1 072,0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204" w14:textId="4DE4A8B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875" w14:textId="2EB2032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768,9</w:t>
            </w:r>
          </w:p>
        </w:tc>
      </w:tr>
      <w:tr w:rsidR="00C156AC" w:rsidRPr="0067117F" w14:paraId="56DF400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D7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Itálie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446" w14:textId="259C483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1 682,6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FFC" w14:textId="4C4616A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1 711,8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872" w14:textId="215F7EC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1 619,2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559" w14:textId="211B517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1 515,7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932" w14:textId="38A05FF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1 477,1</w:t>
            </w:r>
          </w:p>
        </w:tc>
      </w:tr>
      <w:tr w:rsidR="00C156AC" w:rsidRPr="0067117F" w14:paraId="52ECF1C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768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Kypr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093" w14:textId="1E55672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754,8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18B" w14:textId="62A3AE6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571,5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8AE" w14:textId="553548F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870,7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41D" w14:textId="43BE6D8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697,3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29F" w14:textId="001DB89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716,7</w:t>
            </w:r>
          </w:p>
        </w:tc>
      </w:tr>
      <w:tr w:rsidR="00C156AC" w:rsidRPr="0067117F" w14:paraId="1A2B9095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F0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Litva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7EB" w14:textId="0D932E7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D2F" w14:textId="3180C0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39B" w14:textId="4B004BE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1DB" w14:textId="3F51ADF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313,9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B4B" w14:textId="1D187B6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332,7</w:t>
            </w:r>
          </w:p>
        </w:tc>
      </w:tr>
      <w:tr w:rsidR="00C156AC" w:rsidRPr="0067117F" w14:paraId="62359A39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0C9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Lotyšsko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B87" w14:textId="591DB7E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FD6" w14:textId="14EA46F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DC1" w14:textId="6EA42A6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D38" w14:textId="7A5A23B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425" w14:textId="30ABF73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235,9</w:t>
            </w:r>
          </w:p>
        </w:tc>
      </w:tr>
      <w:tr w:rsidR="00C156AC" w:rsidRPr="0067117F" w14:paraId="79491E7E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20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Lucembursko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B12" w14:textId="0C59E90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2 324,1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AAB" w14:textId="66066D0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2 465,9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6C0" w14:textId="21371E5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2 286,8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B7E" w14:textId="0BE7891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2 255,8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AF25" w14:textId="6E2023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2 510,8</w:t>
            </w:r>
          </w:p>
        </w:tc>
      </w:tr>
      <w:tr w:rsidR="00C156AC" w:rsidRPr="0067117F" w14:paraId="4A404528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B1F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Maďarsko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997" w14:textId="7061371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62E" w14:textId="044620A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1C3" w14:textId="77BD5E6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185" w14:textId="7DEB3AD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569,2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054" w14:textId="7240B5C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722,2</w:t>
            </w:r>
          </w:p>
        </w:tc>
      </w:tr>
      <w:tr w:rsidR="00C156AC" w:rsidRPr="0067117F" w14:paraId="23865274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3AE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Malta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D02" w14:textId="7D09D0B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2 008,7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7BC7" w14:textId="70F4CC9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1 888,1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3320" w14:textId="426E0B7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1 863,7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E15" w14:textId="31D6DDD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1 675,0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2F5" w14:textId="509C8B7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1 507,4</w:t>
            </w:r>
          </w:p>
        </w:tc>
      </w:tr>
      <w:tr w:rsidR="00C156AC" w:rsidRPr="0067117F" w14:paraId="6DC3791B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F09F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Německo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04B7" w14:textId="16EDAC3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2 202,5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B30" w14:textId="0A4F07D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2 178,4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796" w14:textId="63EF0D9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2 118,7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358" w14:textId="3BD3769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2 091,3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63E" w14:textId="4A32C6C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2 079,0</w:t>
            </w:r>
          </w:p>
        </w:tc>
      </w:tr>
      <w:tr w:rsidR="00C156AC" w:rsidRPr="0067117F" w14:paraId="0573B845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FD0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Nizozemsko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B0E" w14:textId="7604003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2 663,4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1BD" w14:textId="33E47CB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2 278,2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6AEB4" w14:textId="7E82710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1393,6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0B9" w14:textId="79C39C9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1 241,1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12B" w14:textId="2EB86FF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1 304,1</w:t>
            </w:r>
          </w:p>
        </w:tc>
      </w:tr>
      <w:tr w:rsidR="00C156AC" w:rsidRPr="0067117F" w14:paraId="20AF5E21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61B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Polsko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5A2" w14:textId="6F84941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129" w14:textId="6717BD6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540,8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EA7" w14:textId="010EFF5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EC" w14:textId="0E52FD4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14C" w14:textId="3D9C10E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537,7</w:t>
            </w:r>
          </w:p>
        </w:tc>
      </w:tr>
      <w:tr w:rsidR="00C156AC" w:rsidRPr="0067117F" w14:paraId="73006F06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05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Portugalsko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3D7F" w14:textId="1932330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3 563,5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0B35" w14:textId="3595F5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3 618,8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11B" w14:textId="2CD4C1C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3 582,2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323" w14:textId="2538648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3 677,2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F9A" w14:textId="2CAE56C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3 589,5</w:t>
            </w:r>
          </w:p>
        </w:tc>
      </w:tr>
      <w:tr w:rsidR="00C156AC" w:rsidRPr="0067117F" w14:paraId="494F827D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F57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Rakousko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7AD" w14:textId="5F8C28B5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1 902,5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676A" w14:textId="40B0992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1 840,2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92E" w14:textId="32EE10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1 806,0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44D" w14:textId="5FD793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1 749,8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899" w14:textId="66BAABC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2 102,3</w:t>
            </w:r>
          </w:p>
        </w:tc>
      </w:tr>
      <w:tr w:rsidR="00C156AC" w:rsidRPr="0067117F" w14:paraId="168D7548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763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Rumunsko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980" w14:textId="0372ED2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79C" w14:textId="3CC8FB2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628F" w14:textId="207DF26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C34" w14:textId="1B62954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6213" w14:textId="6EACF3E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87,4</w:t>
            </w:r>
          </w:p>
        </w:tc>
      </w:tr>
      <w:tr w:rsidR="00C156AC" w:rsidRPr="0067117F" w14:paraId="3B568A64" w14:textId="77777777" w:rsidTr="00683CE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0BB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Řecko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DAE7" w14:textId="514DBE3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A902" w14:textId="01AC3E7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378A71" w14:textId="4A21ABB0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D49" w14:textId="42D8B2C7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FA5D" w14:textId="118ECBB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229,1</w:t>
            </w:r>
          </w:p>
        </w:tc>
      </w:tr>
      <w:tr w:rsidR="00C156AC" w:rsidRPr="0067117F" w14:paraId="49490583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F88C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Slovensko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AA6" w14:textId="20C4024E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1 787,7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717" w14:textId="7EEB884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1 594,7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5473" w14:textId="18204D7F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1 627,1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815" w14:textId="6A4389F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1 658,8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255" w14:textId="5658D81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1 556,7</w:t>
            </w:r>
          </w:p>
        </w:tc>
      </w:tr>
      <w:tr w:rsidR="00C156AC" w:rsidRPr="0067117F" w14:paraId="7C113F93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5C3E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Slovinsko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E58" w14:textId="45DD5BC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421,2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0C2B" w14:textId="08196323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426,9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489" w14:textId="14568E4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795D" w14:textId="35E9140C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525,9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419" w14:textId="6E84E712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533,5</w:t>
            </w:r>
          </w:p>
        </w:tc>
      </w:tr>
      <w:tr w:rsidR="00C156AC" w:rsidRPr="0067117F" w14:paraId="4F218F6A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B3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Španělsko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0D05" w14:textId="7E649F6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2 889,6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E91" w14:textId="7445DFB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2 909,0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423" w14:textId="272FBB3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3 220,4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F79" w14:textId="12007196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3 150,9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C8FD" w14:textId="76EB310D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3 209,8</w:t>
            </w:r>
          </w:p>
        </w:tc>
      </w:tr>
      <w:tr w:rsidR="00C156AC" w:rsidRPr="0067117F" w14:paraId="475A3572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8DD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Švédsko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CA94" w14:textId="392FAF8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901,4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6DD" w14:textId="130F1BB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A17" w14:textId="3BDD37EB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759,8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D4C" w14:textId="79ACC1A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768,7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763" w14:textId="40256E6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796,2</w:t>
            </w:r>
          </w:p>
        </w:tc>
      </w:tr>
      <w:tr w:rsidR="00C156AC" w:rsidRPr="0067117F" w14:paraId="7D839746" w14:textId="77777777" w:rsidTr="0067117F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024" w14:textId="77777777" w:rsidR="00C156AC" w:rsidRPr="0067117F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67117F">
              <w:rPr>
                <w:rFonts w:ascii="Arial CE" w:hAnsi="Arial CE" w:cs="Arial CE"/>
                <w:sz w:val="16"/>
                <w:szCs w:val="16"/>
              </w:rPr>
              <w:t>Velká Británie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B18" w14:textId="3FF68624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E6A" w14:textId="565CE941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989,6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946" w14:textId="0B1C7B29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1 015,3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A82" w14:textId="42E1512A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918,3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C2B" w14:textId="151B8508" w:rsidR="00C156AC" w:rsidRPr="0067117F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864,6</w:t>
            </w:r>
          </w:p>
        </w:tc>
      </w:tr>
    </w:tbl>
    <w:p w14:paraId="742C3887" w14:textId="7E7585D6" w:rsidR="00CA58EE" w:rsidRDefault="00CA58EE" w:rsidP="00CA58EE">
      <w:pPr>
        <w:jc w:val="both"/>
      </w:pPr>
    </w:p>
    <w:p w14:paraId="30BC92E8" w14:textId="265AF6DF" w:rsidR="0067117F" w:rsidRDefault="0067117F" w:rsidP="0067117F">
      <w:pPr>
        <w:rPr>
          <w:sz w:val="16"/>
        </w:rPr>
      </w:pPr>
      <w:r w:rsidRPr="00CA58EE">
        <w:rPr>
          <w:sz w:val="16"/>
        </w:rPr>
        <w:t>Zdroj: Eurostat (ESAW)</w:t>
      </w:r>
    </w:p>
    <w:p w14:paraId="0ABD8D5A" w14:textId="3DE5F5C3" w:rsidR="00683CE8" w:rsidRPr="00CA58EE" w:rsidRDefault="00932A71" w:rsidP="0067117F">
      <w:pPr>
        <w:rPr>
          <w:sz w:val="16"/>
        </w:rPr>
      </w:pPr>
      <w:r w:rsidRPr="00932A71">
        <w:rPr>
          <w:sz w:val="16"/>
          <w:highlight w:val="lightGray"/>
        </w:rPr>
        <w:t>Přerušení</w:t>
      </w:r>
      <w:r w:rsidR="00683CE8" w:rsidRPr="00932A71">
        <w:rPr>
          <w:sz w:val="16"/>
          <w:highlight w:val="lightGray"/>
        </w:rPr>
        <w:t xml:space="preserve"> v časové řadě</w:t>
      </w:r>
    </w:p>
    <w:p w14:paraId="77B6A271" w14:textId="4FD9566B" w:rsidR="00674574" w:rsidRDefault="00674574" w:rsidP="00674574">
      <w:pPr>
        <w:jc w:val="both"/>
      </w:pPr>
      <w:r w:rsidRPr="00282F1A">
        <w:t xml:space="preserve">V oblasti smrtelných pracovních úrazů se Česká republika s hodnotou </w:t>
      </w:r>
      <w:r w:rsidR="001A09FF" w:rsidRPr="00282F1A">
        <w:t>2,19</w:t>
      </w:r>
      <w:r w:rsidRPr="00282F1A">
        <w:t xml:space="preserve"> smrtelných pracovních úrazů na</w:t>
      </w:r>
      <w:r w:rsidR="008A15C0">
        <w:t> </w:t>
      </w:r>
      <w:r w:rsidRPr="00282F1A">
        <w:t>100 tis. zaměstnaný</w:t>
      </w:r>
      <w:r w:rsidR="001A09FF" w:rsidRPr="00282F1A">
        <w:t>ch osob v roce 2016 řadila na 19</w:t>
      </w:r>
      <w:r w:rsidRPr="00282F1A">
        <w:t>. místo v rámci EU28</w:t>
      </w:r>
      <w:r w:rsidR="001A09FF" w:rsidRPr="00282F1A">
        <w:t xml:space="preserve"> a dosahovala obdobné </w:t>
      </w:r>
      <w:r w:rsidR="00F03E5C">
        <w:t>úrovně</w:t>
      </w:r>
      <w:r w:rsidR="001A09FF" w:rsidRPr="00282F1A">
        <w:t>, jako byl celoevropský průměr</w:t>
      </w:r>
      <w:r w:rsidRPr="00282F1A">
        <w:t xml:space="preserve">. Přibližně stejné </w:t>
      </w:r>
      <w:r w:rsidR="00F03E5C">
        <w:t xml:space="preserve">hodnoty </w:t>
      </w:r>
      <w:r w:rsidR="001A09FF" w:rsidRPr="00282F1A">
        <w:t>vykazovaly</w:t>
      </w:r>
      <w:r w:rsidRPr="00282F1A">
        <w:t xml:space="preserve"> </w:t>
      </w:r>
      <w:r w:rsidR="001A09FF" w:rsidRPr="00282F1A">
        <w:t xml:space="preserve">Belgie a Slovensko. </w:t>
      </w:r>
      <w:r w:rsidRPr="00282F1A">
        <w:t>Nejvyšší míra smrtelné pracovní úrazovosti byla podle Eurostatu v </w:t>
      </w:r>
      <w:r w:rsidR="001A09FF" w:rsidRPr="00282F1A">
        <w:t>L</w:t>
      </w:r>
      <w:r w:rsidRPr="00282F1A">
        <w:t>u</w:t>
      </w:r>
      <w:r w:rsidR="001A09FF" w:rsidRPr="00282F1A">
        <w:t>cembursku</w:t>
      </w:r>
      <w:r w:rsidRPr="00282F1A">
        <w:t xml:space="preserve"> (</w:t>
      </w:r>
      <w:r w:rsidR="00282F1A" w:rsidRPr="00282F1A">
        <w:t>10,8</w:t>
      </w:r>
      <w:r w:rsidRPr="00282F1A">
        <w:t xml:space="preserve"> smrtelných úrazů na </w:t>
      </w:r>
      <w:r w:rsidRPr="00282F1A">
        <w:lastRenderedPageBreak/>
        <w:t>100</w:t>
      </w:r>
      <w:r w:rsidR="008A15C0">
        <w:t> </w:t>
      </w:r>
      <w:r w:rsidRPr="00282F1A">
        <w:t>tis.</w:t>
      </w:r>
      <w:r w:rsidR="008A15C0">
        <w:t> </w:t>
      </w:r>
      <w:r w:rsidRPr="00282F1A">
        <w:t>zaměstnaných osob),</w:t>
      </w:r>
      <w:r w:rsidR="00F54666">
        <w:t xml:space="preserve"> tj. téměř pětinásobek české hodnoty. V</w:t>
      </w:r>
      <w:r w:rsidRPr="00282F1A">
        <w:t xml:space="preserve">yšší míru smrtelné pracovní úrazovosti (nad hranicí </w:t>
      </w:r>
      <w:r w:rsidR="00282F1A" w:rsidRPr="00282F1A">
        <w:t>6</w:t>
      </w:r>
      <w:r w:rsidRPr="00282F1A">
        <w:t xml:space="preserve"> smrtelných úrazů) </w:t>
      </w:r>
      <w:r w:rsidR="00C156AC">
        <w:t>zaznamenali</w:t>
      </w:r>
      <w:r w:rsidRPr="00282F1A">
        <w:t xml:space="preserve"> v</w:t>
      </w:r>
      <w:r w:rsidR="00282F1A" w:rsidRPr="00282F1A">
        <w:t> Rumunsku.</w:t>
      </w:r>
      <w:r w:rsidRPr="00282F1A">
        <w:t xml:space="preserve"> Nejnižší míra smrtelné pracovní úrazovosti byla v roce 201</w:t>
      </w:r>
      <w:r w:rsidR="00282F1A" w:rsidRPr="00282F1A">
        <w:t>6</w:t>
      </w:r>
      <w:r w:rsidRPr="00282F1A">
        <w:t xml:space="preserve"> v Nizozemsku (0,7</w:t>
      </w:r>
      <w:r w:rsidR="00282F1A" w:rsidRPr="00282F1A">
        <w:t>1</w:t>
      </w:r>
      <w:r w:rsidRPr="00282F1A">
        <w:t xml:space="preserve">), v rozmezí 1 – </w:t>
      </w:r>
      <w:r w:rsidR="00282F1A" w:rsidRPr="00282F1A">
        <w:t>1,5</w:t>
      </w:r>
      <w:r w:rsidRPr="00282F1A">
        <w:t xml:space="preserve"> s</w:t>
      </w:r>
      <w:r w:rsidR="00282F1A" w:rsidRPr="00282F1A">
        <w:t>mrtelných</w:t>
      </w:r>
      <w:r w:rsidRPr="00282F1A">
        <w:t xml:space="preserve"> úraz</w:t>
      </w:r>
      <w:r w:rsidR="00282F1A" w:rsidRPr="00282F1A">
        <w:t>ů</w:t>
      </w:r>
      <w:r w:rsidRPr="00282F1A">
        <w:t xml:space="preserve"> na 100 tis. zaměstnaných osob se </w:t>
      </w:r>
      <w:r w:rsidR="00282F1A" w:rsidRPr="00282F1A">
        <w:t>nacházelo</w:t>
      </w:r>
      <w:r w:rsidRPr="00282F1A">
        <w:t xml:space="preserve"> </w:t>
      </w:r>
      <w:r w:rsidR="00282F1A" w:rsidRPr="00282F1A">
        <w:t>Německo, Švédsko a Velká Británie.</w:t>
      </w:r>
    </w:p>
    <w:p w14:paraId="6BF57FD1" w14:textId="328B8948" w:rsidR="00784CF6" w:rsidRPr="00784CF6" w:rsidRDefault="00784CF6" w:rsidP="00784CF6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784CF6">
        <w:rPr>
          <w:b/>
          <w:i w:val="0"/>
          <w:color w:val="auto"/>
          <w:sz w:val="20"/>
        </w:rPr>
        <w:t>Graf 6.2: Smrtelné pracovní úrazy v</w:t>
      </w:r>
      <w:r>
        <w:rPr>
          <w:b/>
          <w:i w:val="0"/>
          <w:color w:val="auto"/>
          <w:sz w:val="20"/>
        </w:rPr>
        <w:t xml:space="preserve"> zemích </w:t>
      </w:r>
      <w:r w:rsidRPr="00784CF6">
        <w:rPr>
          <w:b/>
          <w:i w:val="0"/>
          <w:color w:val="auto"/>
          <w:sz w:val="20"/>
        </w:rPr>
        <w:t>EU v roce 201</w:t>
      </w:r>
      <w:r>
        <w:rPr>
          <w:b/>
          <w:i w:val="0"/>
          <w:color w:val="auto"/>
          <w:sz w:val="20"/>
        </w:rPr>
        <w:t>6</w:t>
      </w:r>
      <w:r w:rsidRPr="00784CF6">
        <w:rPr>
          <w:b/>
          <w:i w:val="0"/>
          <w:color w:val="auto"/>
          <w:sz w:val="20"/>
        </w:rPr>
        <w:t xml:space="preserve"> (standardizovaná míra výskytu)</w:t>
      </w:r>
    </w:p>
    <w:p w14:paraId="02F618B7" w14:textId="7D162A6C" w:rsidR="00784CF6" w:rsidRDefault="00784CF6" w:rsidP="00674574">
      <w:pPr>
        <w:jc w:val="both"/>
      </w:pPr>
      <w:r>
        <w:rPr>
          <w:noProof/>
        </w:rPr>
        <w:drawing>
          <wp:inline distT="0" distB="0" distL="0" distR="0" wp14:anchorId="56665B68" wp14:editId="187E76C0">
            <wp:extent cx="6200775" cy="4962525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F791A6" w14:textId="77777777" w:rsidR="00784CF6" w:rsidRPr="00CA58EE" w:rsidRDefault="00784CF6" w:rsidP="00784CF6">
      <w:pPr>
        <w:rPr>
          <w:sz w:val="16"/>
        </w:rPr>
      </w:pPr>
      <w:r w:rsidRPr="00CA58EE">
        <w:rPr>
          <w:sz w:val="16"/>
        </w:rPr>
        <w:t>Zdroj: Eurostat (ESAW)</w:t>
      </w:r>
    </w:p>
    <w:p w14:paraId="2DC0CB1F" w14:textId="43591514" w:rsidR="00784CF6" w:rsidRDefault="00784CF6" w:rsidP="00784CF6">
      <w:pPr>
        <w:jc w:val="both"/>
      </w:pPr>
      <w:r w:rsidRPr="00282F1A">
        <w:t xml:space="preserve">Vývoj smrtelné pracovní úrazovosti v posledních pěti letech v jednotlivých </w:t>
      </w:r>
      <w:r w:rsidR="00282F1A">
        <w:t xml:space="preserve">zemích EU je patrný z tab. 6.2. </w:t>
      </w:r>
      <w:r w:rsidR="00B47FF7">
        <w:t>Nejvyšší nárůst během let 2012–2016 byl zaznamenán v Estonsku, a sice o 148 %. Oproti roku 2012 se zdvojnásobil počet smrtelných pracovních úrazů na 100 000 zaměstnaných osob i v již zmíněném Lucembursku. Naopak nejvě</w:t>
      </w:r>
      <w:r w:rsidR="00C156AC">
        <w:t xml:space="preserve">tší pokles byl patrný na ostrovech Kypr – </w:t>
      </w:r>
      <w:r w:rsidR="00B47FF7">
        <w:t xml:space="preserve">o 51 % a na Maltě </w:t>
      </w:r>
      <w:r w:rsidR="00C156AC">
        <w:t xml:space="preserve">– </w:t>
      </w:r>
      <w:r w:rsidR="00B47FF7">
        <w:t>o 48 %.</w:t>
      </w:r>
    </w:p>
    <w:p w14:paraId="7FE6AD08" w14:textId="77777777" w:rsidR="004744DF" w:rsidRDefault="004744DF">
      <w:pPr>
        <w:spacing w:after="0" w:line="240" w:lineRule="auto"/>
        <w:rPr>
          <w:b/>
          <w:iCs/>
          <w:szCs w:val="18"/>
        </w:rPr>
      </w:pPr>
      <w:r>
        <w:rPr>
          <w:b/>
          <w:i/>
        </w:rPr>
        <w:br w:type="page"/>
      </w:r>
    </w:p>
    <w:p w14:paraId="0FBDF392" w14:textId="29857503" w:rsidR="00784CF6" w:rsidRPr="00784CF6" w:rsidRDefault="00784CF6" w:rsidP="00784CF6">
      <w:pPr>
        <w:pStyle w:val="Titulek"/>
        <w:keepNext/>
        <w:rPr>
          <w:b/>
          <w:i w:val="0"/>
          <w:color w:val="auto"/>
          <w:sz w:val="20"/>
        </w:rPr>
      </w:pPr>
      <w:r w:rsidRPr="00784CF6">
        <w:rPr>
          <w:b/>
          <w:i w:val="0"/>
          <w:color w:val="auto"/>
          <w:sz w:val="20"/>
        </w:rPr>
        <w:lastRenderedPageBreak/>
        <w:t>Tab</w:t>
      </w:r>
      <w:r w:rsidR="00C156AC">
        <w:rPr>
          <w:b/>
          <w:i w:val="0"/>
          <w:color w:val="auto"/>
          <w:sz w:val="20"/>
        </w:rPr>
        <w:t>.</w:t>
      </w:r>
      <w:r w:rsidRPr="00784CF6">
        <w:rPr>
          <w:b/>
          <w:i w:val="0"/>
          <w:color w:val="auto"/>
          <w:sz w:val="20"/>
        </w:rPr>
        <w:t xml:space="preserve"> 6.2: Smrtelné pracovní úrazy v zemích EU v letech 2012–2016</w:t>
      </w:r>
    </w:p>
    <w:tbl>
      <w:tblPr>
        <w:tblW w:w="8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23"/>
        <w:gridCol w:w="1303"/>
        <w:gridCol w:w="1303"/>
        <w:gridCol w:w="1303"/>
        <w:gridCol w:w="1468"/>
      </w:tblGrid>
      <w:tr w:rsidR="00784CF6" w:rsidRPr="00784CF6" w14:paraId="0387E66B" w14:textId="77777777" w:rsidTr="00784CF6">
        <w:trPr>
          <w:trHeight w:val="630"/>
        </w:trPr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07FE27BA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Členské státy EU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3C46CF35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b/>
                <w:sz w:val="16"/>
                <w:szCs w:val="16"/>
              </w:rPr>
              <w:t>Smrtelné pracovní úrazy</w:t>
            </w:r>
            <w:r w:rsidRPr="00784CF6">
              <w:rPr>
                <w:rFonts w:cs="Arial"/>
                <w:sz w:val="16"/>
                <w:szCs w:val="16"/>
              </w:rPr>
              <w:t xml:space="preserve"> (standardizovaná míra výskytu na 100 000 zaměstnaných osob)</w:t>
            </w:r>
          </w:p>
        </w:tc>
      </w:tr>
      <w:tr w:rsidR="00784CF6" w:rsidRPr="00784CF6" w14:paraId="5827F9BF" w14:textId="77777777" w:rsidTr="00784CF6">
        <w:trPr>
          <w:trHeight w:val="315"/>
        </w:trPr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F5943" w14:textId="77777777" w:rsidR="00784CF6" w:rsidRPr="00784CF6" w:rsidRDefault="00784CF6" w:rsidP="00784CF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F301044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21ECF1FF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1A0C8FB1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6EF13AC9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376927C8" w14:textId="77777777" w:rsidR="00784CF6" w:rsidRPr="00784CF6" w:rsidRDefault="00784CF6" w:rsidP="00784C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84CF6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C156AC" w:rsidRPr="00784CF6" w14:paraId="59E263AB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947" w14:textId="77777777" w:rsidR="00C156AC" w:rsidRPr="00784CF6" w:rsidRDefault="00C156AC" w:rsidP="00C156AC">
            <w:pPr>
              <w:spacing w:after="0" w:line="240" w:lineRule="auto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A0F" w14:textId="417761E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5BCF2" w14:textId="5F25CE5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BEF" w14:textId="4182ED1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642" w14:textId="3DE92A1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1ED" w14:textId="0AD3408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2,2</w:t>
            </w:r>
          </w:p>
        </w:tc>
      </w:tr>
      <w:tr w:rsidR="00C156AC" w:rsidRPr="00784CF6" w14:paraId="0F955D6D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767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Belgie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3EB" w14:textId="11939E7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E9F" w14:textId="1941111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291D7" w14:textId="755C474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B45" w14:textId="76BEF96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AC7" w14:textId="1E37CC2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</w:tr>
      <w:tr w:rsidR="00C156AC" w:rsidRPr="00784CF6" w14:paraId="6BC8C114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DCDC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Bulharsko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1F4" w14:textId="02F5167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532" w14:textId="334B212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AE9" w14:textId="0F76214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E20" w14:textId="3E934B9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787" w14:textId="3619BE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</w:tr>
      <w:tr w:rsidR="00C156AC" w:rsidRPr="00784CF6" w14:paraId="0965FD9B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0B5" w14:textId="77777777" w:rsidR="00C156AC" w:rsidRPr="00784CF6" w:rsidRDefault="00C156AC" w:rsidP="00C156AC">
            <w:pPr>
              <w:spacing w:after="0" w:line="240" w:lineRule="auto"/>
              <w:ind w:firstLineChars="100" w:firstLine="161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DB9" w14:textId="4CD7390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E00" w14:textId="37FC70C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2DE4" w14:textId="0B781D4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023" w14:textId="195BCE8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686" w14:textId="3FF141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2,2</w:t>
            </w:r>
          </w:p>
        </w:tc>
      </w:tr>
      <w:tr w:rsidR="00C156AC" w:rsidRPr="00784CF6" w14:paraId="7CBFAD6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E81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Dánsko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15F" w14:textId="4F4D489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06E" w14:textId="6655983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BA6A" w14:textId="27D9F34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ECD" w14:textId="05C143A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473" w14:textId="588B01C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C156AC" w:rsidRPr="00784CF6" w14:paraId="4C0662E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1ED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Estonsko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337" w14:textId="29E2D7C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0F5" w14:textId="13F0350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7E4" w14:textId="033B6F0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3FC" w14:textId="1AD1F36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4031" w14:textId="6B328C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</w:tr>
      <w:tr w:rsidR="00C156AC" w:rsidRPr="00784CF6" w14:paraId="66790A01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BBB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Finsko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E2D" w14:textId="1C4A0F0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BDC" w14:textId="38A6CA9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5E6" w14:textId="1384991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D44" w14:textId="1276D83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82D5" w14:textId="6432E15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C156AC" w:rsidRPr="00784CF6" w14:paraId="657669AB" w14:textId="77777777" w:rsidTr="00C156A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66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Francie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D81A" w14:textId="75C5D49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4E5" w14:textId="13C6C5B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45588D" w14:textId="0D827C6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E61" w14:textId="5D38860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B1A" w14:textId="4A945C8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C156AC" w:rsidRPr="00784CF6" w14:paraId="13600888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BB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Chorvatsko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F0E" w14:textId="4ABE997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4B70" w14:textId="02EC37E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C8E0" w14:textId="6665B58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444" w14:textId="759BE48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4D7" w14:textId="5256472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</w:tr>
      <w:tr w:rsidR="00C156AC" w:rsidRPr="00784CF6" w14:paraId="6E2AF713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683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Irsko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6C3" w14:textId="284A586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CB9C" w14:textId="27445C1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AC7" w14:textId="4C86E05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2EEB" w14:textId="0D59105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30D" w14:textId="73011B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C156AC" w:rsidRPr="00784CF6" w14:paraId="665F14CA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FB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Itálie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91C" w14:textId="188D858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D87" w14:textId="5D34385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7A1" w14:textId="76D6263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F2F" w14:textId="36C73C2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3CB" w14:textId="114C2EF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C156AC" w:rsidRPr="00784CF6" w14:paraId="6C318FB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59D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Kypr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804" w14:textId="6CFB2E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571" w14:textId="028918C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0C9" w14:textId="79BE998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59B" w14:textId="4DB8BA7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2D4" w14:textId="46E63FB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C156AC" w:rsidRPr="00784CF6" w14:paraId="34DDF4D3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3C9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Litva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88D" w14:textId="278C54A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D97" w14:textId="750DC56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17ED" w14:textId="2581F3C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26B" w14:textId="0518110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C1C" w14:textId="54EE9FA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</w:tr>
      <w:tr w:rsidR="00C156AC" w:rsidRPr="00784CF6" w14:paraId="4E01F4B4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6A6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Lotyšsko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987" w14:textId="773E622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E55" w14:textId="1C9FFA2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A52" w14:textId="33149B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4A8" w14:textId="48DC595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4D8" w14:textId="6CCFAD2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C156AC" w:rsidRPr="00784CF6" w14:paraId="541DCA42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8D1C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Lucembursko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3E58" w14:textId="21EE015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146" w14:textId="686AFDB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2F7" w14:textId="1B6FCEB7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A9C" w14:textId="36B8F89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FB4E" w14:textId="5F5ECC2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10,8</w:t>
            </w:r>
          </w:p>
        </w:tc>
      </w:tr>
      <w:tr w:rsidR="00C156AC" w:rsidRPr="00784CF6" w14:paraId="11FB439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789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Maďarsko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948" w14:textId="468514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FB5" w14:textId="16CD1F5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792" w14:textId="56B1540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655" w14:textId="55F62CA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0DB" w14:textId="161E05C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C156AC" w:rsidRPr="00784CF6" w14:paraId="66CED62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BA1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Malta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40B" w14:textId="69F3D8F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AD9" w14:textId="36B4958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9EE" w14:textId="77476BD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B04" w14:textId="13BAFF2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673" w14:textId="28CE7B7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C156AC" w:rsidRPr="00784CF6" w14:paraId="77210535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D5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Německo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59C" w14:textId="5572B70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931" w14:textId="483DBD1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4646" w14:textId="0CFC0DE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B1E" w14:textId="6A1C824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86DF" w14:textId="79D747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tr w:rsidR="00C156AC" w:rsidRPr="00784CF6" w14:paraId="2E428A3F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72F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Nizozemsko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354" w14:textId="11D1993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B67" w14:textId="61E8CAB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4CFF9" w14:textId="44FC46F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92F" w14:textId="2C40D5E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C9E" w14:textId="2F9C3BA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C156AC" w:rsidRPr="00784CF6" w14:paraId="53436F87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C5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Polsko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DE4" w14:textId="6470723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B75" w14:textId="0018197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A38" w14:textId="785307B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3C8" w14:textId="66A4256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68A" w14:textId="13F8E25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C156AC" w:rsidRPr="00784CF6" w14:paraId="14630457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E4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Portugalsko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FC8" w14:textId="2F986FF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006" w14:textId="7A2350A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441" w14:textId="36723E8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EA6" w14:textId="4A69F50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025" w14:textId="1383C2F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C156AC" w:rsidRPr="00784CF6" w14:paraId="4F65D82D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BB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Rakousko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D9C" w14:textId="63CE0920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F3D" w14:textId="422FE93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A69" w14:textId="44BF69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147" w14:textId="30B0C17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02E" w14:textId="2A84E33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</w:tr>
      <w:tr w:rsidR="00C156AC" w:rsidRPr="00784CF6" w14:paraId="53CDBF90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CAB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Rumunsko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931" w14:textId="0ACED62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1B3" w14:textId="3A41FAC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303" w14:textId="2925D8D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4B9F" w14:textId="16442C8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8B5" w14:textId="1E76858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  <w:tr w:rsidR="00C156AC" w:rsidRPr="00784CF6" w14:paraId="1B2A881F" w14:textId="77777777" w:rsidTr="00932A71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22A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Řecko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197C" w14:textId="6E266CB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74AE" w14:textId="0105A4F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9E763" w14:textId="4C56539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94E" w14:textId="535351D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DDF" w14:textId="226EFA28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</w:tr>
      <w:tr w:rsidR="00C156AC" w:rsidRPr="00784CF6" w14:paraId="4D8E7FEA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B27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Slovensko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25B" w14:textId="384AEC1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913" w14:textId="1BAF1BA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379" w14:textId="47F3FF2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44A" w14:textId="294290C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420" w14:textId="767D665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</w:tr>
      <w:tr w:rsidR="00C156AC" w:rsidRPr="00784CF6" w14:paraId="782FE0A1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800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Slovinsko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997" w14:textId="340EB35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DC7" w14:textId="3A8BB50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91A" w14:textId="502CADA3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D05" w14:textId="045A8EF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09F6" w14:textId="09202779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C156AC" w:rsidRPr="00784CF6" w14:paraId="46782ADD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E84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Španělsko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7BDF" w14:textId="08601AD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5C2" w14:textId="27275B06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4F4" w14:textId="27BF05BA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0E8" w14:textId="78B6AA95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F52" w14:textId="2F9F1DD4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C156AC" w:rsidRPr="00784CF6" w14:paraId="4B8B4AAF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478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Švédsko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D73" w14:textId="192AEE5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4E9" w14:textId="6EEDCAAC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A35" w14:textId="14E16BF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BBE" w14:textId="34252E3B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5B7" w14:textId="5E12B4DF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="00C156AC" w:rsidRPr="00784CF6" w14:paraId="287848FE" w14:textId="77777777" w:rsidTr="00784CF6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097F" w14:textId="77777777" w:rsidR="00C156AC" w:rsidRPr="00784CF6" w:rsidRDefault="00C156AC" w:rsidP="00C156AC">
            <w:pPr>
              <w:spacing w:after="0" w:line="240" w:lineRule="auto"/>
              <w:ind w:firstLineChars="100" w:firstLine="160"/>
              <w:rPr>
                <w:rFonts w:ascii="Arial CE" w:hAnsi="Arial CE" w:cs="Arial CE"/>
                <w:sz w:val="16"/>
                <w:szCs w:val="16"/>
              </w:rPr>
            </w:pPr>
            <w:r w:rsidRPr="00784CF6">
              <w:rPr>
                <w:rFonts w:ascii="Arial CE" w:hAnsi="Arial CE" w:cs="Arial CE"/>
                <w:sz w:val="16"/>
                <w:szCs w:val="16"/>
              </w:rPr>
              <w:t>Velká Británie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1286" w14:textId="51F215FE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9CC" w14:textId="4A85DF2D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D03" w14:textId="13F16D12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722" w14:textId="70A8FB7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B11" w14:textId="61BA11F1" w:rsidR="00C156AC" w:rsidRPr="00784CF6" w:rsidRDefault="00C156AC" w:rsidP="00C156AC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14:paraId="7D9C4F3C" w14:textId="2DD33CB1" w:rsidR="0067117F" w:rsidRDefault="0067117F" w:rsidP="00CA58EE">
      <w:pPr>
        <w:jc w:val="both"/>
      </w:pPr>
    </w:p>
    <w:p w14:paraId="015D8E6A" w14:textId="77777777" w:rsidR="00784CF6" w:rsidRPr="00CA58EE" w:rsidRDefault="00784CF6" w:rsidP="00784CF6">
      <w:pPr>
        <w:rPr>
          <w:sz w:val="16"/>
        </w:rPr>
      </w:pPr>
      <w:r w:rsidRPr="00CA58EE">
        <w:rPr>
          <w:sz w:val="16"/>
        </w:rPr>
        <w:t>Zdroj: Eurostat (ESAW)</w:t>
      </w:r>
    </w:p>
    <w:p w14:paraId="473BC219" w14:textId="7476B7FD" w:rsidR="00496F97" w:rsidRPr="00BD42C7" w:rsidRDefault="00932A71" w:rsidP="00BD42C7">
      <w:pPr>
        <w:rPr>
          <w:sz w:val="16"/>
        </w:rPr>
      </w:pPr>
      <w:r w:rsidRPr="00932A71">
        <w:rPr>
          <w:sz w:val="16"/>
          <w:highlight w:val="lightGray"/>
        </w:rPr>
        <w:t>Přerušení v časové řadě</w:t>
      </w:r>
    </w:p>
    <w:sectPr w:rsidR="00496F97" w:rsidRPr="00BD42C7" w:rsidSect="00BD4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680" w:footer="68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35FF" w14:textId="77777777" w:rsidR="00A402EB" w:rsidRDefault="00A402EB" w:rsidP="00E71A58">
      <w:r>
        <w:separator/>
      </w:r>
    </w:p>
  </w:endnote>
  <w:endnote w:type="continuationSeparator" w:id="0">
    <w:p w14:paraId="524AEDB8" w14:textId="77777777" w:rsidR="00A402EB" w:rsidRDefault="00A402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27E4DA87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D42C7">
      <w:rPr>
        <w:szCs w:val="16"/>
      </w:rPr>
      <w:t>48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4BDD96E5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D42C7">
      <w:rPr>
        <w:rStyle w:val="ZpatChar"/>
        <w:szCs w:val="16"/>
      </w:rPr>
      <w:t>47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596D" w14:textId="77777777" w:rsidR="00BD42C7" w:rsidRDefault="00BD42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85AE1" w14:textId="77777777" w:rsidR="00A402EB" w:rsidRDefault="00A402EB" w:rsidP="00E71A58">
      <w:r>
        <w:separator/>
      </w:r>
    </w:p>
  </w:footnote>
  <w:footnote w:type="continuationSeparator" w:id="0">
    <w:p w14:paraId="672178C3" w14:textId="77777777" w:rsidR="00A402EB" w:rsidRDefault="00A402EB" w:rsidP="00E71A58">
      <w:r>
        <w:continuationSeparator/>
      </w:r>
    </w:p>
  </w:footnote>
  <w:footnote w:id="1">
    <w:p w14:paraId="4C920C81" w14:textId="2F5D1E19" w:rsidR="00FE6DC6" w:rsidRPr="008A15C0" w:rsidRDefault="00FE6DC6" w:rsidP="008A15C0">
      <w:pPr>
        <w:pStyle w:val="Textpoznpodarou"/>
        <w:jc w:val="both"/>
        <w:rPr>
          <w:sz w:val="18"/>
          <w:szCs w:val="18"/>
        </w:rPr>
      </w:pPr>
      <w:r w:rsidRPr="008A15C0">
        <w:rPr>
          <w:rStyle w:val="Znakapoznpodarou"/>
          <w:sz w:val="18"/>
          <w:szCs w:val="18"/>
        </w:rPr>
        <w:footnoteRef/>
      </w:r>
      <w:r w:rsidRPr="008A15C0">
        <w:rPr>
          <w:sz w:val="18"/>
          <w:szCs w:val="18"/>
        </w:rPr>
        <w:t xml:space="preserve"> Poslední dostupná data s mezinárodním srovnáním za členské státy EU28 byla v době zpracování této publikace </w:t>
      </w:r>
      <w:r w:rsidRPr="008A15C0">
        <w:rPr>
          <w:spacing w:val="-3"/>
          <w:sz w:val="18"/>
          <w:szCs w:val="18"/>
        </w:rPr>
        <w:t>za</w:t>
      </w:r>
      <w:r w:rsidR="008A15C0" w:rsidRPr="008A15C0">
        <w:rPr>
          <w:spacing w:val="-3"/>
          <w:sz w:val="18"/>
          <w:szCs w:val="18"/>
        </w:rPr>
        <w:t> </w:t>
      </w:r>
      <w:r w:rsidRPr="008A15C0">
        <w:rPr>
          <w:spacing w:val="-3"/>
          <w:sz w:val="18"/>
          <w:szCs w:val="18"/>
        </w:rPr>
        <w:t>rok 2016. Jejich</w:t>
      </w:r>
      <w:r w:rsidR="008A15C0" w:rsidRPr="008A15C0">
        <w:rPr>
          <w:spacing w:val="-3"/>
          <w:sz w:val="18"/>
          <w:szCs w:val="18"/>
        </w:rPr>
        <w:t xml:space="preserve"> zdrojem je databáze Eurostatu: </w:t>
      </w:r>
      <w:hyperlink r:id="rId1" w:history="1">
        <w:r w:rsidRPr="008A15C0">
          <w:rPr>
            <w:rStyle w:val="Hypertextovodkaz"/>
            <w:spacing w:val="-3"/>
            <w:sz w:val="18"/>
            <w:szCs w:val="18"/>
          </w:rPr>
          <w:t>http://ec.europa.eu/eurostat/web/health/health-safety-work/data/database</w:t>
        </w:r>
      </w:hyperlink>
      <w:r w:rsidRPr="008A15C0">
        <w:rPr>
          <w:sz w:val="18"/>
          <w:szCs w:val="18"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AA32" w14:textId="77777777" w:rsidR="00BD42C7" w:rsidRDefault="00BD4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02EB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42C7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health/health-safety-work/data/databa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List38!$L$2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7E-4397-9F53-49FCDAFA19C7}"/>
              </c:ext>
            </c:extLst>
          </c:dPt>
          <c:dPt>
            <c:idx val="19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7E-4397-9F53-49FCDAFA19C7}"/>
              </c:ext>
            </c:extLst>
          </c:dPt>
          <c:cat>
            <c:strRef>
              <c:f>List38!$K$3:$K$31</c:f>
              <c:strCache>
                <c:ptCount val="29"/>
                <c:pt idx="0">
                  <c:v>Bulharsko</c:v>
                </c:pt>
                <c:pt idx="1">
                  <c:v>Rumunsko</c:v>
                </c:pt>
                <c:pt idx="2">
                  <c:v>Řecko</c:v>
                </c:pt>
                <c:pt idx="3">
                  <c:v>Lotyšsko</c:v>
                </c:pt>
                <c:pt idx="4">
                  <c:v>Litva</c:v>
                </c:pt>
                <c:pt idx="5">
                  <c:v>Slovinsko</c:v>
                </c:pt>
                <c:pt idx="6">
                  <c:v>Polsko</c:v>
                </c:pt>
                <c:pt idx="7">
                  <c:v>Kypr</c:v>
                </c:pt>
                <c:pt idx="8">
                  <c:v>Maďarsko</c:v>
                </c:pt>
                <c:pt idx="9">
                  <c:v>Irsko</c:v>
                </c:pt>
                <c:pt idx="10">
                  <c:v>Švédsko</c:v>
                </c:pt>
                <c:pt idx="11">
                  <c:v>Velká Británie</c:v>
                </c:pt>
                <c:pt idx="12">
                  <c:v>Česká republika</c:v>
                </c:pt>
                <c:pt idx="13">
                  <c:v>Chorvatsko</c:v>
                </c:pt>
                <c:pt idx="14">
                  <c:v>Estonsko</c:v>
                </c:pt>
                <c:pt idx="15">
                  <c:v>Nizozemsko</c:v>
                </c:pt>
                <c:pt idx="16">
                  <c:v>Itálie</c:v>
                </c:pt>
                <c:pt idx="17">
                  <c:v>Malta</c:v>
                </c:pt>
                <c:pt idx="18">
                  <c:v>Slovensko</c:v>
                </c:pt>
                <c:pt idx="19">
                  <c:v>EU28</c:v>
                </c:pt>
                <c:pt idx="20">
                  <c:v>Dánsko</c:v>
                </c:pt>
                <c:pt idx="21">
                  <c:v>Finsko</c:v>
                </c:pt>
                <c:pt idx="22">
                  <c:v>Belgie</c:v>
                </c:pt>
                <c:pt idx="23">
                  <c:v>Německo</c:v>
                </c:pt>
                <c:pt idx="24">
                  <c:v>Rakousko</c:v>
                </c:pt>
                <c:pt idx="25">
                  <c:v>Lucembursko</c:v>
                </c:pt>
                <c:pt idx="26">
                  <c:v>Španělsko</c:v>
                </c:pt>
                <c:pt idx="27">
                  <c:v>Francie</c:v>
                </c:pt>
                <c:pt idx="28">
                  <c:v>Portugalsko</c:v>
                </c:pt>
              </c:strCache>
            </c:strRef>
          </c:cat>
          <c:val>
            <c:numRef>
              <c:f>List38!$L$3:$L$31</c:f>
              <c:numCache>
                <c:formatCode>#,##0.00</c:formatCode>
                <c:ptCount val="29"/>
                <c:pt idx="0">
                  <c:v>76.02</c:v>
                </c:pt>
                <c:pt idx="1">
                  <c:v>87.38</c:v>
                </c:pt>
                <c:pt idx="2">
                  <c:v>229.05</c:v>
                </c:pt>
                <c:pt idx="3">
                  <c:v>235.91</c:v>
                </c:pt>
                <c:pt idx="4">
                  <c:v>332.71</c:v>
                </c:pt>
                <c:pt idx="5">
                  <c:v>533.46</c:v>
                </c:pt>
                <c:pt idx="6">
                  <c:v>537.65</c:v>
                </c:pt>
                <c:pt idx="7">
                  <c:v>716.74</c:v>
                </c:pt>
                <c:pt idx="8">
                  <c:v>722.24</c:v>
                </c:pt>
                <c:pt idx="9" formatCode="#\ ##0.0">
                  <c:v>768.9</c:v>
                </c:pt>
                <c:pt idx="10" formatCode="#\ ##0.0">
                  <c:v>796.2</c:v>
                </c:pt>
                <c:pt idx="11">
                  <c:v>864.56</c:v>
                </c:pt>
                <c:pt idx="12">
                  <c:v>921.91</c:v>
                </c:pt>
                <c:pt idx="13">
                  <c:v>984.32</c:v>
                </c:pt>
                <c:pt idx="14">
                  <c:v>1210.3699999999999</c:v>
                </c:pt>
                <c:pt idx="15">
                  <c:v>1304.05</c:v>
                </c:pt>
                <c:pt idx="16">
                  <c:v>1477.14</c:v>
                </c:pt>
                <c:pt idx="17">
                  <c:v>1507.44</c:v>
                </c:pt>
                <c:pt idx="18">
                  <c:v>1556.69</c:v>
                </c:pt>
                <c:pt idx="19">
                  <c:v>1699.02</c:v>
                </c:pt>
                <c:pt idx="20" formatCode="#,##0">
                  <c:v>1813</c:v>
                </c:pt>
                <c:pt idx="21" formatCode="#\ ##0.0">
                  <c:v>1860.2</c:v>
                </c:pt>
                <c:pt idx="22">
                  <c:v>1972.22</c:v>
                </c:pt>
                <c:pt idx="23">
                  <c:v>2079.0300000000002</c:v>
                </c:pt>
                <c:pt idx="24" formatCode="#\ ##0.0">
                  <c:v>2102.3000000000002</c:v>
                </c:pt>
                <c:pt idx="25">
                  <c:v>2510.83</c:v>
                </c:pt>
                <c:pt idx="26">
                  <c:v>3209.81</c:v>
                </c:pt>
                <c:pt idx="27">
                  <c:v>3409.23</c:v>
                </c:pt>
                <c:pt idx="28">
                  <c:v>3589.49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7E-4397-9F53-49FCDAFA1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7834496"/>
        <c:axId val="1060146016"/>
      </c:barChart>
      <c:catAx>
        <c:axId val="106783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0146016"/>
        <c:crosses val="autoZero"/>
        <c:auto val="1"/>
        <c:lblAlgn val="ctr"/>
        <c:lblOffset val="100"/>
        <c:noMultiLvlLbl val="0"/>
      </c:catAx>
      <c:valAx>
        <c:axId val="1060146016"/>
        <c:scaling>
          <c:orientation val="minMax"/>
          <c:max val="4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počet pracovních úrazů na 100 000 </a:t>
                </a:r>
                <a:r>
                  <a:rPr lang="cs-CZ"/>
                  <a:t>zaměstnaných osob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67834496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List39!$L$2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08886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62C-41C8-A818-7247BB0A2423}"/>
              </c:ext>
            </c:extLst>
          </c:dPt>
          <c:dPt>
            <c:idx val="10"/>
            <c:invertIfNegative val="0"/>
            <c:bubble3D val="0"/>
            <c:spPr>
              <a:solidFill>
                <a:srgbClr val="B4494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62C-41C8-A818-7247BB0A2423}"/>
              </c:ext>
            </c:extLst>
          </c:dPt>
          <c:cat>
            <c:strRef>
              <c:f>List39!$K$3:$K$31</c:f>
              <c:strCache>
                <c:ptCount val="29"/>
                <c:pt idx="0">
                  <c:v>Nizozemsko</c:v>
                </c:pt>
                <c:pt idx="1">
                  <c:v>Německo</c:v>
                </c:pt>
                <c:pt idx="2">
                  <c:v>Švédsko</c:v>
                </c:pt>
                <c:pt idx="3">
                  <c:v>Velká Británie</c:v>
                </c:pt>
                <c:pt idx="4">
                  <c:v>Polsko</c:v>
                </c:pt>
                <c:pt idx="5">
                  <c:v>Finsko</c:v>
                </c:pt>
                <c:pt idx="6">
                  <c:v>Dánsko</c:v>
                </c:pt>
                <c:pt idx="7">
                  <c:v>Kypr</c:v>
                </c:pt>
                <c:pt idx="8">
                  <c:v>Řecko</c:v>
                </c:pt>
                <c:pt idx="9">
                  <c:v>Česká republika</c:v>
                </c:pt>
                <c:pt idx="10">
                  <c:v>EU28</c:v>
                </c:pt>
                <c:pt idx="11">
                  <c:v>Slovensko</c:v>
                </c:pt>
                <c:pt idx="12">
                  <c:v>Belgie</c:v>
                </c:pt>
                <c:pt idx="13">
                  <c:v>Itálie</c:v>
                </c:pt>
                <c:pt idx="14">
                  <c:v>Irsko</c:v>
                </c:pt>
                <c:pt idx="15">
                  <c:v>Slovinsko</c:v>
                </c:pt>
                <c:pt idx="16">
                  <c:v>Maďarsko</c:v>
                </c:pt>
                <c:pt idx="17">
                  <c:v>Španělsko</c:v>
                </c:pt>
                <c:pt idx="18">
                  <c:v>Chorvatsko</c:v>
                </c:pt>
                <c:pt idx="19">
                  <c:v>Bulharsko</c:v>
                </c:pt>
                <c:pt idx="20">
                  <c:v>Malta</c:v>
                </c:pt>
                <c:pt idx="21">
                  <c:v>Portugalsko</c:v>
                </c:pt>
                <c:pt idx="22">
                  <c:v>Francie</c:v>
                </c:pt>
                <c:pt idx="23">
                  <c:v>Litva</c:v>
                </c:pt>
                <c:pt idx="24">
                  <c:v>Estonsko</c:v>
                </c:pt>
                <c:pt idx="25">
                  <c:v>Rakousko</c:v>
                </c:pt>
                <c:pt idx="26">
                  <c:v>Lotyšsko</c:v>
                </c:pt>
                <c:pt idx="27">
                  <c:v>Rumunsko</c:v>
                </c:pt>
                <c:pt idx="28">
                  <c:v>Lucembursko</c:v>
                </c:pt>
              </c:strCache>
            </c:strRef>
          </c:cat>
          <c:val>
            <c:numRef>
              <c:f>List39!$L$3:$L$31</c:f>
              <c:numCache>
                <c:formatCode>#,##0.00</c:formatCode>
                <c:ptCount val="29"/>
                <c:pt idx="0">
                  <c:v>0.71</c:v>
                </c:pt>
                <c:pt idx="1">
                  <c:v>1.1100000000000001</c:v>
                </c:pt>
                <c:pt idx="2">
                  <c:v>1.21</c:v>
                </c:pt>
                <c:pt idx="3">
                  <c:v>1.46</c:v>
                </c:pt>
                <c:pt idx="4">
                  <c:v>1.61</c:v>
                </c:pt>
                <c:pt idx="5">
                  <c:v>1.61</c:v>
                </c:pt>
                <c:pt idx="6">
                  <c:v>1.92</c:v>
                </c:pt>
                <c:pt idx="7">
                  <c:v>1.92</c:v>
                </c:pt>
                <c:pt idx="8">
                  <c:v>1.93</c:v>
                </c:pt>
                <c:pt idx="9">
                  <c:v>2.19</c:v>
                </c:pt>
                <c:pt idx="10">
                  <c:v>2.21</c:v>
                </c:pt>
                <c:pt idx="11">
                  <c:v>2.23</c:v>
                </c:pt>
                <c:pt idx="12">
                  <c:v>2.27</c:v>
                </c:pt>
                <c:pt idx="13" formatCode="#\ ##0.0">
                  <c:v>2.6</c:v>
                </c:pt>
                <c:pt idx="14">
                  <c:v>2.69</c:v>
                </c:pt>
                <c:pt idx="15">
                  <c:v>2.72</c:v>
                </c:pt>
                <c:pt idx="16">
                  <c:v>2.75</c:v>
                </c:pt>
                <c:pt idx="17">
                  <c:v>2.89</c:v>
                </c:pt>
                <c:pt idx="18">
                  <c:v>3.06</c:v>
                </c:pt>
                <c:pt idx="19">
                  <c:v>3.74</c:v>
                </c:pt>
                <c:pt idx="20">
                  <c:v>3.95</c:v>
                </c:pt>
                <c:pt idx="21">
                  <c:v>3.96</c:v>
                </c:pt>
                <c:pt idx="22">
                  <c:v>4.1399999999999997</c:v>
                </c:pt>
                <c:pt idx="23">
                  <c:v>4.3899999999999997</c:v>
                </c:pt>
                <c:pt idx="24">
                  <c:v>4.59</c:v>
                </c:pt>
                <c:pt idx="25">
                  <c:v>5.44</c:v>
                </c:pt>
                <c:pt idx="26">
                  <c:v>5.45</c:v>
                </c:pt>
                <c:pt idx="27">
                  <c:v>6.11</c:v>
                </c:pt>
                <c:pt idx="28" formatCode="#\ ##0.0">
                  <c:v>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2C-41C8-A818-7247BB0A2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2076784"/>
        <c:axId val="1004439184"/>
      </c:barChart>
      <c:catAx>
        <c:axId val="100207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4439184"/>
        <c:crosses val="autoZero"/>
        <c:auto val="1"/>
        <c:lblAlgn val="ctr"/>
        <c:lblOffset val="100"/>
        <c:noMultiLvlLbl val="0"/>
      </c:catAx>
      <c:valAx>
        <c:axId val="100443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počet smrtelných úrazů na 100 000 zaměstnaných osob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207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006C-0DC7-4E1C-810B-C846DE89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5</Pages>
  <Words>1395</Words>
  <Characters>8234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2019-05-30T12:39:00Z</dcterms:created>
  <dcterms:modified xsi:type="dcterms:W3CDTF">2019-05-30T12:39:00Z</dcterms:modified>
</cp:coreProperties>
</file>