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93C3" w14:textId="77777777" w:rsidR="00796E73" w:rsidRDefault="003C629F" w:rsidP="00796E73">
      <w:pPr>
        <w:pStyle w:val="Nadpis1"/>
      </w:pPr>
      <w:bookmarkStart w:id="0" w:name="_Toc10117310"/>
      <w:r>
        <w:t>4</w:t>
      </w:r>
      <w:r w:rsidR="00796E73">
        <w:t xml:space="preserve">. </w:t>
      </w:r>
      <w:r>
        <w:t>Analytická část</w:t>
      </w:r>
      <w:bookmarkEnd w:id="0"/>
    </w:p>
    <w:p w14:paraId="244DB189" w14:textId="5D82AD1F" w:rsidR="00EE4B1B" w:rsidRDefault="003C629F" w:rsidP="00F60790">
      <w:pPr>
        <w:pStyle w:val="Nadpis2"/>
        <w:spacing w:after="100"/>
      </w:pPr>
      <w:bookmarkStart w:id="1" w:name="_Toc10117311"/>
      <w:r>
        <w:t>4.1 Nemocensky pojištěné osoby</w:t>
      </w:r>
      <w:bookmarkEnd w:id="1"/>
    </w:p>
    <w:p w14:paraId="547536EC" w14:textId="77777777" w:rsidR="00F60790" w:rsidRPr="00B55F4A" w:rsidRDefault="00F60790" w:rsidP="00F60790">
      <w:pPr>
        <w:jc w:val="both"/>
      </w:pPr>
      <w:r w:rsidRPr="00B55F4A">
        <w:t>Základním ukazatelem</w:t>
      </w:r>
      <w:r>
        <w:t>, ke kterému se vztahují údaje o pracovní neschopnosti, je ukazatel průměrného počtu nemocensky pojištěných osob.</w:t>
      </w:r>
    </w:p>
    <w:p w14:paraId="53A09A61" w14:textId="77777777" w:rsidR="00972D12" w:rsidRPr="00972D12" w:rsidRDefault="00972D12" w:rsidP="007508FD">
      <w:pPr>
        <w:pStyle w:val="Box1"/>
        <w:jc w:val="both"/>
        <w:rPr>
          <w:i/>
        </w:rPr>
      </w:pPr>
      <w:r w:rsidRPr="00972D12">
        <w:rPr>
          <w:b/>
          <w:i/>
        </w:rPr>
        <w:t xml:space="preserve">Průměrný počet nemocensky pojištěných </w:t>
      </w:r>
      <w:r w:rsidR="00977F2A" w:rsidRPr="00F46EA8">
        <w:rPr>
          <w:i/>
        </w:rPr>
        <w:t xml:space="preserve">– </w:t>
      </w:r>
      <w:r>
        <w:rPr>
          <w:i/>
        </w:rPr>
        <w:t>u</w:t>
      </w:r>
      <w:r w:rsidRPr="00972D12">
        <w:rPr>
          <w:i/>
        </w:rPr>
        <w:t xml:space="preserve">kazatel </w:t>
      </w:r>
      <w:r>
        <w:rPr>
          <w:i/>
        </w:rPr>
        <w:t>udává</w:t>
      </w:r>
      <w:r w:rsidRPr="00972D12">
        <w:rPr>
          <w:i/>
        </w:rPr>
        <w:t xml:space="preserve"> průměrný počet osob, které jsou </w:t>
      </w:r>
      <w:r w:rsidR="00532E6C">
        <w:rPr>
          <w:i/>
        </w:rPr>
        <w:t xml:space="preserve">povinně či dobrovolně </w:t>
      </w:r>
      <w:r w:rsidRPr="00972D12">
        <w:rPr>
          <w:i/>
        </w:rPr>
        <w:t>nemocensky pojištěn</w:t>
      </w:r>
      <w:r w:rsidR="00532E6C">
        <w:rPr>
          <w:i/>
        </w:rPr>
        <w:t>é</w:t>
      </w:r>
      <w:r w:rsidRPr="00972D12">
        <w:rPr>
          <w:i/>
        </w:rPr>
        <w:t xml:space="preserve"> podle zákona č. </w:t>
      </w:r>
      <w:r w:rsidR="00532E6C">
        <w:rPr>
          <w:i/>
        </w:rPr>
        <w:t>187</w:t>
      </w:r>
      <w:r w:rsidRPr="00972D12">
        <w:rPr>
          <w:i/>
        </w:rPr>
        <w:t>/</w:t>
      </w:r>
      <w:r w:rsidR="00532E6C">
        <w:rPr>
          <w:i/>
        </w:rPr>
        <w:t>2006</w:t>
      </w:r>
      <w:r w:rsidRPr="00972D12">
        <w:rPr>
          <w:i/>
        </w:rPr>
        <w:t xml:space="preserve"> Sb., o nemocenském pojištění, ve znění pozdějších předpisů. Zahrnuje </w:t>
      </w:r>
      <w:r w:rsidR="00532E6C">
        <w:rPr>
          <w:i/>
        </w:rPr>
        <w:t>všechny</w:t>
      </w:r>
      <w:r w:rsidRPr="00972D12">
        <w:rPr>
          <w:i/>
        </w:rPr>
        <w:t xml:space="preserve"> osob</w:t>
      </w:r>
      <w:r w:rsidR="00532E6C">
        <w:rPr>
          <w:i/>
        </w:rPr>
        <w:t>y</w:t>
      </w:r>
      <w:r w:rsidRPr="00972D12">
        <w:rPr>
          <w:i/>
        </w:rPr>
        <w:t xml:space="preserve">, které byly alespoň po </w:t>
      </w:r>
      <w:r w:rsidR="00532E6C">
        <w:rPr>
          <w:i/>
        </w:rPr>
        <w:t>jeden</w:t>
      </w:r>
      <w:r w:rsidRPr="00972D12">
        <w:rPr>
          <w:i/>
        </w:rPr>
        <w:t xml:space="preserve"> den vykazovaného období nemocensky pojištěné. Do průměrného počtu nemocensky pojištěných nejsou započteni </w:t>
      </w:r>
      <w:r w:rsidR="00043077" w:rsidRPr="00972D12">
        <w:rPr>
          <w:i/>
        </w:rPr>
        <w:t xml:space="preserve">vojáci z povolání </w:t>
      </w:r>
      <w:r w:rsidR="00043077">
        <w:rPr>
          <w:i/>
        </w:rPr>
        <w:t xml:space="preserve">a </w:t>
      </w:r>
      <w:r w:rsidRPr="00972D12">
        <w:rPr>
          <w:i/>
        </w:rPr>
        <w:t>příslušníci Policie ČR, Hasičského záchranného sboru</w:t>
      </w:r>
      <w:r w:rsidR="00043077">
        <w:rPr>
          <w:i/>
        </w:rPr>
        <w:t xml:space="preserve"> ČR</w:t>
      </w:r>
      <w:r w:rsidRPr="00972D12">
        <w:rPr>
          <w:i/>
        </w:rPr>
        <w:t>, Celní správy</w:t>
      </w:r>
      <w:r w:rsidR="00043077">
        <w:rPr>
          <w:i/>
        </w:rPr>
        <w:t xml:space="preserve"> ČR</w:t>
      </w:r>
      <w:r w:rsidRPr="00972D12">
        <w:rPr>
          <w:i/>
        </w:rPr>
        <w:t>, Vězeňské služby</w:t>
      </w:r>
      <w:r w:rsidR="00043077">
        <w:rPr>
          <w:i/>
        </w:rPr>
        <w:t xml:space="preserve"> ČR</w:t>
      </w:r>
      <w:r w:rsidRPr="00972D12">
        <w:rPr>
          <w:i/>
        </w:rPr>
        <w:t>, Generální inspekce bezpečnostních sborů, Bezpečnostní informační služby a Úřadu pr</w:t>
      </w:r>
      <w:r w:rsidR="00043077">
        <w:rPr>
          <w:i/>
        </w:rPr>
        <w:t>o zahraniční styky a informace</w:t>
      </w:r>
      <w:r w:rsidRPr="00972D12">
        <w:rPr>
          <w:i/>
        </w:rPr>
        <w:t xml:space="preserve">. </w:t>
      </w:r>
    </w:p>
    <w:p w14:paraId="534F56C3" w14:textId="1EEDE824" w:rsidR="00972D12" w:rsidRPr="005F2E14" w:rsidRDefault="00972D12" w:rsidP="007508FD">
      <w:pPr>
        <w:pStyle w:val="Box1"/>
        <w:jc w:val="both"/>
        <w:rPr>
          <w:i/>
        </w:rPr>
      </w:pPr>
      <w:r w:rsidRPr="00783112">
        <w:rPr>
          <w:i/>
        </w:rPr>
        <w:t xml:space="preserve">V případě více překrývajících se </w:t>
      </w:r>
      <w:r w:rsidR="006574B7" w:rsidRPr="00783112">
        <w:rPr>
          <w:i/>
        </w:rPr>
        <w:t>pojistných vztahů</w:t>
      </w:r>
      <w:r w:rsidRPr="00783112">
        <w:rPr>
          <w:i/>
        </w:rPr>
        <w:t xml:space="preserve"> pojištěnce v rámci jednoho zaměstnavatele a</w:t>
      </w:r>
      <w:r w:rsidR="00F547BE">
        <w:rPr>
          <w:i/>
        </w:rPr>
        <w:t> </w:t>
      </w:r>
      <w:r w:rsidRPr="00783112">
        <w:rPr>
          <w:i/>
        </w:rPr>
        <w:t xml:space="preserve">jedné mzdové účtárny se započítává pojištěnec pouze jedenkrát. V ostatních případech je pojištěnec započítáván tolikrát, kolik má </w:t>
      </w:r>
      <w:r w:rsidR="00783112" w:rsidRPr="00783112">
        <w:rPr>
          <w:i/>
        </w:rPr>
        <w:t>pracovně</w:t>
      </w:r>
      <w:r w:rsidR="00783112">
        <w:rPr>
          <w:i/>
        </w:rPr>
        <w:t xml:space="preserve"> </w:t>
      </w:r>
      <w:r w:rsidR="00783112" w:rsidRPr="00783112">
        <w:rPr>
          <w:i/>
        </w:rPr>
        <w:t>právních pojistných vztahů</w:t>
      </w:r>
      <w:r w:rsidRPr="00783112">
        <w:rPr>
          <w:i/>
        </w:rPr>
        <w:t>.</w:t>
      </w:r>
      <w:r w:rsidRPr="005F2E14">
        <w:rPr>
          <w:i/>
        </w:rPr>
        <w:t xml:space="preserve">  </w:t>
      </w:r>
    </w:p>
    <w:p w14:paraId="25C05EFE" w14:textId="77777777" w:rsidR="00972D12" w:rsidRPr="00972D12" w:rsidRDefault="00972D12" w:rsidP="007508FD">
      <w:pPr>
        <w:pStyle w:val="Box1"/>
        <w:jc w:val="both"/>
        <w:rPr>
          <w:i/>
          <w:u w:val="single"/>
        </w:rPr>
      </w:pPr>
      <w:r w:rsidRPr="00972D12">
        <w:rPr>
          <w:i/>
          <w:u w:val="single"/>
        </w:rPr>
        <w:t>Způsob výpočtu:</w:t>
      </w:r>
    </w:p>
    <w:p w14:paraId="6008FC2E" w14:textId="77777777" w:rsidR="00977F2A" w:rsidRPr="00F46EA8" w:rsidRDefault="00972D12" w:rsidP="007508FD">
      <w:pPr>
        <w:pStyle w:val="Box1"/>
        <w:jc w:val="both"/>
        <w:rPr>
          <w:i/>
        </w:rPr>
      </w:pPr>
      <w:r w:rsidRPr="00972D12">
        <w:rPr>
          <w:i/>
        </w:rPr>
        <w:t>Průměrný počet nemocensky pojištěných osob = počet dní nemocenského pojištění jednotlivých pojištěných osob ve vykazovaném období / počet kalendářních dní ve vykazovaném období.</w:t>
      </w:r>
    </w:p>
    <w:p w14:paraId="53BF5C9B" w14:textId="3652944A" w:rsidR="00977F2A" w:rsidRDefault="00F60790" w:rsidP="00287970">
      <w:pPr>
        <w:jc w:val="both"/>
      </w:pPr>
      <w:r>
        <w:t xml:space="preserve">V roce 2018 </w:t>
      </w:r>
      <w:r w:rsidR="00AC42E0">
        <w:t xml:space="preserve">činil </w:t>
      </w:r>
      <w:r w:rsidR="006F687C" w:rsidRPr="006F687C">
        <w:rPr>
          <w:b/>
        </w:rPr>
        <w:t>celkový</w:t>
      </w:r>
      <w:r w:rsidR="006F687C">
        <w:t xml:space="preserve"> </w:t>
      </w:r>
      <w:r w:rsidR="00AC42E0">
        <w:t>průměrný počet nemocensky pojištěných</w:t>
      </w:r>
      <w:r>
        <w:t xml:space="preserve"> 4</w:t>
      </w:r>
      <w:r w:rsidR="000672E0">
        <w:t> 732,7</w:t>
      </w:r>
      <w:r>
        <w:t xml:space="preserve"> </w:t>
      </w:r>
      <w:r w:rsidR="000672E0">
        <w:t>tisíc</w:t>
      </w:r>
      <w:r>
        <w:t xml:space="preserve"> osob, což je o 1,</w:t>
      </w:r>
      <w:r w:rsidR="001E1D5E">
        <w:t>3</w:t>
      </w:r>
      <w:r>
        <w:t xml:space="preserve"> % více než v předchozím roce</w:t>
      </w:r>
      <w:r w:rsidR="00AC42E0">
        <w:t xml:space="preserve"> (</w:t>
      </w:r>
      <w:r w:rsidR="008E1170">
        <w:t>v absolutním vyjádření došlo k navýšení o 61 tisíc</w:t>
      </w:r>
      <w:r w:rsidR="00AC42E0">
        <w:t>)</w:t>
      </w:r>
      <w:r>
        <w:t xml:space="preserve">. </w:t>
      </w:r>
      <w:r w:rsidR="000672E0">
        <w:t>Bylo mezi nimi 50,5 % mužů a</w:t>
      </w:r>
      <w:r w:rsidR="00F547BE">
        <w:t> </w:t>
      </w:r>
      <w:r w:rsidR="00AC42E0">
        <w:t>ženy tvořily</w:t>
      </w:r>
      <w:r w:rsidR="000672E0">
        <w:t xml:space="preserve"> </w:t>
      </w:r>
      <w:r w:rsidR="00AC42E0">
        <w:t>49,5 %</w:t>
      </w:r>
      <w:r w:rsidR="000672E0">
        <w:t xml:space="preserve">. Počty nemocensky pojištěných podle pohlaví se k sobě již od roku 2016 neustále přibližují. </w:t>
      </w:r>
      <w:r w:rsidR="00311EA9" w:rsidRPr="00D41B00">
        <w:t xml:space="preserve">Meziroční </w:t>
      </w:r>
      <w:r w:rsidR="008E1170" w:rsidRPr="00D41B00">
        <w:t>nárůst</w:t>
      </w:r>
      <w:r w:rsidR="008E1170">
        <w:t xml:space="preserve"> p</w:t>
      </w:r>
      <w:r w:rsidR="00311EA9">
        <w:t>očtu nemocensky pojištěných byl</w:t>
      </w:r>
      <w:r w:rsidR="008E1170">
        <w:t xml:space="preserve"> vyšší u žen, a sice 1,7 %. V roce 2017 bylo nemocensky pojištěných 2 301,8 tisíc žen</w:t>
      </w:r>
      <w:r w:rsidR="00311EA9">
        <w:t>, v roce 2018 o 40 tisíc více. Mužů přibylo 21 tisíc na počet 2 391,4</w:t>
      </w:r>
      <w:r w:rsidR="00F547BE">
        <w:t> </w:t>
      </w:r>
      <w:r w:rsidR="00311EA9">
        <w:t xml:space="preserve">tisíc v roce 2018, v procentním vyjádření </w:t>
      </w:r>
      <w:r w:rsidR="001E1D5E">
        <w:t xml:space="preserve">se jednalo o nárůst </w:t>
      </w:r>
      <w:r w:rsidR="00311EA9">
        <w:t>0,9 %</w:t>
      </w:r>
      <w:r w:rsidR="008E1170">
        <w:t xml:space="preserve">. </w:t>
      </w:r>
    </w:p>
    <w:p w14:paraId="2CAD1253" w14:textId="076C4DF1" w:rsidR="00BE67B3" w:rsidRDefault="001E1D5E" w:rsidP="00BE67B3">
      <w:pPr>
        <w:jc w:val="both"/>
      </w:pPr>
      <w:r>
        <w:t xml:space="preserve">Počet dobrovolně nemocensky pojištěných – tedy </w:t>
      </w:r>
      <w:r w:rsidRPr="006F687C">
        <w:rPr>
          <w:b/>
        </w:rPr>
        <w:t>OSVČ</w:t>
      </w:r>
      <w:r>
        <w:t xml:space="preserve"> – poprvé od roku 2014 </w:t>
      </w:r>
      <w:r w:rsidR="00D071D7">
        <w:t>překonal 90tisícovou hranici.</w:t>
      </w:r>
      <w:r>
        <w:t xml:space="preserve"> </w:t>
      </w:r>
      <w:r w:rsidR="00D071D7">
        <w:t>P</w:t>
      </w:r>
      <w:r>
        <w:t xml:space="preserve">růměrný počet nemocensky pojištěných OSVČ </w:t>
      </w:r>
      <w:r w:rsidR="00D071D7">
        <w:t xml:space="preserve">v roce 2018 </w:t>
      </w:r>
      <w:r>
        <w:t xml:space="preserve">dosáhl 91,3 tisíc. </w:t>
      </w:r>
      <w:r w:rsidR="00BE67B3">
        <w:t xml:space="preserve">Přesto podíl těchto pojištěných OSVČ na celkovém počtu osob samostatně výdělečně činných na hlavní pracovní poměr dosáhl necelých 18 %. </w:t>
      </w:r>
      <w:r w:rsidR="00D071D7">
        <w:t xml:space="preserve">Oproti předchozímu roku došlo k nárůstu </w:t>
      </w:r>
      <w:r w:rsidR="00CA440F">
        <w:t xml:space="preserve">počtu nemocensky pojištěných OSVČ </w:t>
      </w:r>
      <w:r w:rsidR="00D071D7">
        <w:t xml:space="preserve">o 1,8 %. </w:t>
      </w:r>
      <w:r>
        <w:t>Muži se na tomto počtu podíleli z 60 %, žen bylo 40 %.</w:t>
      </w:r>
      <w:r w:rsidR="00BE67B3">
        <w:t xml:space="preserve"> Je však třeba zdůraznit, že i přes výše uvedený nárůst, stále nedosahuje počet nemocensky pojištěných OSVČ hodnot z minulosti, kdy např. před deseti lety jich bylo takto pojištěno o 100 tisíc více než v roce 2018.</w:t>
      </w:r>
    </w:p>
    <w:p w14:paraId="522750EC" w14:textId="52ECE984" w:rsidR="00BE67B3" w:rsidRDefault="00BE67B3" w:rsidP="00BE67B3">
      <w:pPr>
        <w:jc w:val="both"/>
      </w:pPr>
      <w:r>
        <w:t xml:space="preserve">S tím jak v posledních letech roste v České republice počet zaměstnanců, roste od roku 2013 i jejich průměrný počet nemocensky pojištěných. Za posledních pět let vzrostl tento ukazatel o </w:t>
      </w:r>
      <w:r w:rsidR="006D09A9">
        <w:t>6,6</w:t>
      </w:r>
      <w:r>
        <w:t xml:space="preserve"> % (</w:t>
      </w:r>
      <w:r w:rsidR="006D09A9">
        <w:t>290</w:t>
      </w:r>
      <w:r>
        <w:t xml:space="preserve"> tisíc) na</w:t>
      </w:r>
      <w:r w:rsidR="00F547BE">
        <w:t> </w:t>
      </w:r>
      <w:r w:rsidR="006D09A9">
        <w:t>4 733</w:t>
      </w:r>
      <w:r>
        <w:t xml:space="preserve"> tis. v roce 2018, s tím, že tento nárůst je rychlej</w:t>
      </w:r>
      <w:r w:rsidR="006D09A9">
        <w:t>ší u žen.</w:t>
      </w:r>
      <w:r>
        <w:t xml:space="preserve"> </w:t>
      </w:r>
    </w:p>
    <w:p w14:paraId="525A7968" w14:textId="502F3B2F" w:rsidR="00287970" w:rsidRDefault="00D071D7" w:rsidP="00287970">
      <w:pPr>
        <w:jc w:val="both"/>
      </w:pPr>
      <w:r>
        <w:t>Z </w:t>
      </w:r>
      <w:r w:rsidRPr="006D09A9">
        <w:rPr>
          <w:b/>
        </w:rPr>
        <w:t>regionálního pohledu</w:t>
      </w:r>
      <w:r>
        <w:t xml:space="preserve"> je </w:t>
      </w:r>
      <w:r w:rsidR="00A37CD1">
        <w:t xml:space="preserve">dlouhodobě </w:t>
      </w:r>
      <w:r>
        <w:t xml:space="preserve">nejvyšší </w:t>
      </w:r>
      <w:r w:rsidR="00475D16">
        <w:t xml:space="preserve">průměrný </w:t>
      </w:r>
      <w:r>
        <w:t>počet nemocensky pojištěných v hlavním městě</w:t>
      </w:r>
      <w:r w:rsidR="00475D16">
        <w:t xml:space="preserve"> Praze</w:t>
      </w:r>
      <w:r w:rsidR="00A37CD1">
        <w:t xml:space="preserve"> – v roce 2018 jich bylo</w:t>
      </w:r>
      <w:r>
        <w:t xml:space="preserve"> 1 267 tisíc</w:t>
      </w:r>
      <w:r w:rsidR="00475D16">
        <w:t xml:space="preserve"> (26,8 % republikové hodnoty)</w:t>
      </w:r>
      <w:r>
        <w:t xml:space="preserve">. </w:t>
      </w:r>
      <w:r w:rsidR="00475D16">
        <w:t xml:space="preserve">Zásadní roli zde sehrává skutečnost, že data v krajském třídění jsou zpracována podle sídla zaměstnavatele, resp. jeho mzdové účtárny, a není výjimkou, aby firma se sídlem v Praze působila v jiných regionech či dokonce celorepublikově. Druhé a třetí místo obsadily Jihomoravský kraj s 503 tis. pojištěnců (10,6% podíl) a Moravskoslezský kraj s 479 tisíci pojištěnců (10,1% podíl). </w:t>
      </w:r>
      <w:r w:rsidR="009A38E3">
        <w:t>Středočeský kraj, jakožto nejlidnatější kraj ČR, se umístil až na čtvrté příčce s 449 tis. pojištěnců (9,5</w:t>
      </w:r>
      <w:r w:rsidR="00F547BE">
        <w:t> </w:t>
      </w:r>
      <w:r w:rsidR="009A38E3">
        <w:t>%). Jedním z faktorů, který toto ovlivňuje, je bezesporu dojíždění Středočechů za zaměstnáním do</w:t>
      </w:r>
      <w:r w:rsidR="00F547BE">
        <w:t> </w:t>
      </w:r>
      <w:r w:rsidR="009A38E3">
        <w:t>Prahy.</w:t>
      </w:r>
    </w:p>
    <w:p w14:paraId="040F667C" w14:textId="056D8733" w:rsidR="00493A71" w:rsidRDefault="00D23A2A" w:rsidP="00F547BE">
      <w:pPr>
        <w:jc w:val="both"/>
      </w:pPr>
      <w:r>
        <w:t xml:space="preserve">Třetina nemocensky </w:t>
      </w:r>
      <w:r w:rsidR="0030013F">
        <w:t xml:space="preserve">pojištěných osob </w:t>
      </w:r>
      <w:r w:rsidR="00BF1975">
        <w:t xml:space="preserve">(1 578,8 tis.) </w:t>
      </w:r>
      <w:r>
        <w:t xml:space="preserve">pracuje </w:t>
      </w:r>
      <w:r w:rsidRPr="00A37CD1">
        <w:rPr>
          <w:b/>
        </w:rPr>
        <w:t>ve velkých firmách s </w:t>
      </w:r>
      <w:r w:rsidR="00C30020" w:rsidRPr="00A37CD1">
        <w:rPr>
          <w:b/>
        </w:rPr>
        <w:t xml:space="preserve">500 a více </w:t>
      </w:r>
      <w:r w:rsidRPr="00A37CD1">
        <w:rPr>
          <w:b/>
        </w:rPr>
        <w:t>zaměstnanci</w:t>
      </w:r>
      <w:r>
        <w:t>, obdobný podíl</w:t>
      </w:r>
      <w:r w:rsidR="00BF1975">
        <w:t xml:space="preserve"> </w:t>
      </w:r>
      <w:r w:rsidR="00E5331D">
        <w:t xml:space="preserve">(32 %) </w:t>
      </w:r>
      <w:r>
        <w:t xml:space="preserve">je i </w:t>
      </w:r>
      <w:r w:rsidR="00BF1975">
        <w:t xml:space="preserve">pojištěných </w:t>
      </w:r>
      <w:r>
        <w:t>pracujících ve firmách do 50 zaměstnanců</w:t>
      </w:r>
      <w:r w:rsidR="00BF1975">
        <w:t xml:space="preserve"> (1</w:t>
      </w:r>
      <w:r w:rsidR="00CB7336">
        <w:t xml:space="preserve"> </w:t>
      </w:r>
      <w:r w:rsidR="00BF1975">
        <w:t>497,9 tis.)</w:t>
      </w:r>
      <w:r>
        <w:t xml:space="preserve">. </w:t>
      </w:r>
      <w:r w:rsidR="00BF1975">
        <w:t xml:space="preserve">Nejnižší podíl mezi nemocensky pojištěnými osobami představují </w:t>
      </w:r>
      <w:r w:rsidR="00BF1975" w:rsidRPr="00A37CD1">
        <w:rPr>
          <w:b/>
        </w:rPr>
        <w:t>OSVČ</w:t>
      </w:r>
      <w:r w:rsidR="00E5331D">
        <w:t xml:space="preserve"> (2 %; 91,3 tis.)</w:t>
      </w:r>
      <w:r w:rsidR="00BF1975">
        <w:t>, kte</w:t>
      </w:r>
      <w:r w:rsidR="00CB7336">
        <w:t>ří</w:t>
      </w:r>
      <w:r w:rsidR="00BF1975">
        <w:t xml:space="preserve"> jsou pojištěn</w:t>
      </w:r>
      <w:r w:rsidR="00CB7336">
        <w:t>i</w:t>
      </w:r>
      <w:r w:rsidR="00BF1975">
        <w:t xml:space="preserve"> dobrovolně.</w:t>
      </w:r>
      <w:bookmarkStart w:id="2" w:name="_GoBack"/>
      <w:bookmarkEnd w:id="2"/>
      <w:r w:rsidR="00493A71">
        <w:br w:type="page"/>
      </w:r>
    </w:p>
    <w:p w14:paraId="5159BC13" w14:textId="44EA33C1" w:rsidR="00BC3FF5" w:rsidRPr="00BC3FF5" w:rsidRDefault="00BC3FF5" w:rsidP="00BC3FF5">
      <w:pPr>
        <w:pStyle w:val="Titulek"/>
        <w:keepNext/>
        <w:rPr>
          <w:b/>
          <w:i w:val="0"/>
          <w:color w:val="auto"/>
          <w:sz w:val="20"/>
        </w:rPr>
      </w:pPr>
      <w:bookmarkStart w:id="3" w:name="_Toc10112619"/>
      <w:r w:rsidRPr="00BC3FF5">
        <w:rPr>
          <w:b/>
          <w:i w:val="0"/>
          <w:color w:val="auto"/>
          <w:sz w:val="20"/>
        </w:rPr>
        <w:lastRenderedPageBreak/>
        <w:t>Tab</w:t>
      </w:r>
      <w:r w:rsidR="00381067">
        <w:rPr>
          <w:b/>
          <w:i w:val="0"/>
          <w:color w:val="auto"/>
          <w:sz w:val="20"/>
        </w:rPr>
        <w:t>.</w:t>
      </w:r>
      <w:r w:rsidRPr="00BC3FF5">
        <w:rPr>
          <w:b/>
          <w:i w:val="0"/>
          <w:color w:val="auto"/>
          <w:sz w:val="20"/>
        </w:rPr>
        <w:t xml:space="preserve"> </w:t>
      </w:r>
      <w:r w:rsidRPr="00BC3FF5">
        <w:rPr>
          <w:b/>
          <w:i w:val="0"/>
          <w:color w:val="auto"/>
          <w:sz w:val="20"/>
        </w:rPr>
        <w:fldChar w:fldCharType="begin"/>
      </w:r>
      <w:r w:rsidRPr="00BC3FF5">
        <w:rPr>
          <w:b/>
          <w:i w:val="0"/>
          <w:color w:val="auto"/>
          <w:sz w:val="20"/>
        </w:rPr>
        <w:instrText xml:space="preserve"> SEQ Tabulka \* ARABIC </w:instrText>
      </w:r>
      <w:r w:rsidRPr="00BC3FF5">
        <w:rPr>
          <w:b/>
          <w:i w:val="0"/>
          <w:color w:val="auto"/>
          <w:sz w:val="20"/>
        </w:rPr>
        <w:fldChar w:fldCharType="separate"/>
      </w:r>
      <w:r w:rsidR="00333C53">
        <w:rPr>
          <w:b/>
          <w:i w:val="0"/>
          <w:noProof/>
          <w:color w:val="auto"/>
          <w:sz w:val="20"/>
        </w:rPr>
        <w:t>1</w:t>
      </w:r>
      <w:r w:rsidRPr="00BC3FF5">
        <w:rPr>
          <w:b/>
          <w:i w:val="0"/>
          <w:color w:val="auto"/>
          <w:sz w:val="20"/>
        </w:rPr>
        <w:fldChar w:fldCharType="end"/>
      </w:r>
      <w:r w:rsidRPr="00BC3FF5">
        <w:rPr>
          <w:b/>
          <w:i w:val="0"/>
          <w:color w:val="auto"/>
          <w:sz w:val="20"/>
        </w:rPr>
        <w:t>.1: Nemocensky pojištěné osoby v letech 200</w:t>
      </w:r>
      <w:r w:rsidR="00950005">
        <w:rPr>
          <w:b/>
          <w:i w:val="0"/>
          <w:color w:val="auto"/>
          <w:sz w:val="20"/>
        </w:rPr>
        <w:t>8</w:t>
      </w:r>
      <w:r w:rsidRPr="00BC3FF5">
        <w:rPr>
          <w:b/>
          <w:i w:val="0"/>
          <w:color w:val="auto"/>
          <w:sz w:val="20"/>
        </w:rPr>
        <w:t>–2018 (</w:t>
      </w:r>
      <w:r>
        <w:rPr>
          <w:b/>
          <w:i w:val="0"/>
          <w:color w:val="auto"/>
          <w:sz w:val="20"/>
        </w:rPr>
        <w:t xml:space="preserve">v </w:t>
      </w:r>
      <w:r w:rsidRPr="00BC3FF5">
        <w:rPr>
          <w:b/>
          <w:i w:val="0"/>
          <w:color w:val="auto"/>
          <w:sz w:val="20"/>
        </w:rPr>
        <w:t>tis</w:t>
      </w:r>
      <w:r>
        <w:rPr>
          <w:b/>
          <w:i w:val="0"/>
          <w:color w:val="auto"/>
          <w:sz w:val="20"/>
        </w:rPr>
        <w:t>.</w:t>
      </w:r>
      <w:r w:rsidRPr="00BC3FF5">
        <w:rPr>
          <w:b/>
          <w:i w:val="0"/>
          <w:color w:val="auto"/>
          <w:sz w:val="20"/>
        </w:rPr>
        <w:t xml:space="preserve"> osob</w:t>
      </w:r>
      <w:r>
        <w:rPr>
          <w:b/>
          <w:i w:val="0"/>
          <w:color w:val="auto"/>
          <w:sz w:val="20"/>
        </w:rPr>
        <w:t>ách</w:t>
      </w:r>
      <w:r w:rsidRPr="00BC3FF5">
        <w:rPr>
          <w:b/>
          <w:i w:val="0"/>
          <w:color w:val="auto"/>
          <w:sz w:val="20"/>
        </w:rPr>
        <w:t>)</w:t>
      </w:r>
      <w:bookmarkEnd w:id="3"/>
    </w:p>
    <w:tbl>
      <w:tblPr>
        <w:tblW w:w="94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966"/>
        <w:gridCol w:w="963"/>
        <w:gridCol w:w="964"/>
        <w:gridCol w:w="1054"/>
        <w:gridCol w:w="963"/>
        <w:gridCol w:w="964"/>
        <w:gridCol w:w="966"/>
        <w:gridCol w:w="963"/>
        <w:gridCol w:w="965"/>
      </w:tblGrid>
      <w:tr w:rsidR="00BC3FF5" w:rsidRPr="00BC3FF5" w14:paraId="0063F25E" w14:textId="77777777" w:rsidTr="00BC3FF5">
        <w:trPr>
          <w:trHeight w:val="315"/>
        </w:trPr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7A498EE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Rok</w:t>
            </w:r>
          </w:p>
        </w:tc>
        <w:tc>
          <w:tcPr>
            <w:tcW w:w="8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DBDB"/>
            <w:vAlign w:val="center"/>
            <w:hideMark/>
          </w:tcPr>
          <w:p w14:paraId="308BDB2C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Průměrný počet nemocensky pojištěných osob (v tis.)</w:t>
            </w:r>
          </w:p>
        </w:tc>
      </w:tr>
      <w:tr w:rsidR="00BC3FF5" w:rsidRPr="00BC3FF5" w14:paraId="1C1D49EE" w14:textId="77777777" w:rsidTr="00BC3FF5">
        <w:trPr>
          <w:trHeight w:val="315"/>
        </w:trPr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5A949" w14:textId="77777777" w:rsidR="00BC3FF5" w:rsidRPr="00BC3FF5" w:rsidRDefault="00BC3FF5" w:rsidP="00BC3FF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24C24A6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Celkem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E26AEF5" w14:textId="79C9AD9A" w:rsidR="00BC3FF5" w:rsidRPr="00BC3FF5" w:rsidRDefault="0014571B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D12B0F1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Celkem zaměstnanci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11B0BEF" w14:textId="0E6B6E8F" w:rsidR="00BC3FF5" w:rsidRPr="00BC3FF5" w:rsidRDefault="0014571B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5A5C1F1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Celkem OSVČ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DBDB"/>
            <w:vAlign w:val="center"/>
            <w:hideMark/>
          </w:tcPr>
          <w:p w14:paraId="130E0688" w14:textId="6F30799B" w:rsidR="00BC3FF5" w:rsidRPr="00BC3FF5" w:rsidRDefault="0014571B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podle pohlaví</w:t>
            </w:r>
          </w:p>
        </w:tc>
      </w:tr>
      <w:tr w:rsidR="00BC3FF5" w:rsidRPr="00BC3FF5" w14:paraId="0DFD7FD7" w14:textId="77777777" w:rsidTr="007E7B35">
        <w:trPr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9DD9E" w14:textId="77777777" w:rsidR="00BC3FF5" w:rsidRPr="00BC3FF5" w:rsidRDefault="00BC3FF5" w:rsidP="00BC3FF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7CC0A" w14:textId="77777777" w:rsidR="00BC3FF5" w:rsidRPr="00BC3FF5" w:rsidRDefault="00BC3FF5" w:rsidP="00BC3FF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D4B8D13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66FEBE4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96970" w14:textId="77777777" w:rsidR="00BC3FF5" w:rsidRPr="00BC3FF5" w:rsidRDefault="00BC3FF5" w:rsidP="00BC3FF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A0EBED6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2BBE6B7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EE58D" w14:textId="77777777" w:rsidR="00BC3FF5" w:rsidRPr="00BC3FF5" w:rsidRDefault="00BC3FF5" w:rsidP="00BC3FF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E0941B7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BDB"/>
            <w:vAlign w:val="center"/>
            <w:hideMark/>
          </w:tcPr>
          <w:p w14:paraId="542AEE1C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ženy</w:t>
            </w:r>
          </w:p>
        </w:tc>
      </w:tr>
      <w:tr w:rsidR="00950005" w:rsidRPr="00BC3FF5" w14:paraId="373B3F22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646B0" w14:textId="4237F486" w:rsidR="00950005" w:rsidRPr="00BC3FF5" w:rsidRDefault="00950005" w:rsidP="0095000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2C839" w14:textId="126D798A" w:rsidR="00950005" w:rsidRPr="00BC3FF5" w:rsidRDefault="0095000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005">
              <w:rPr>
                <w:rFonts w:cs="Arial"/>
                <w:sz w:val="16"/>
                <w:szCs w:val="16"/>
              </w:rPr>
              <w:t>4</w:t>
            </w:r>
            <w:r w:rsidR="00CB7336">
              <w:rPr>
                <w:rFonts w:cs="Arial"/>
                <w:sz w:val="16"/>
                <w:szCs w:val="16"/>
              </w:rPr>
              <w:t xml:space="preserve"> </w:t>
            </w:r>
            <w:r w:rsidRPr="00950005">
              <w:rPr>
                <w:rFonts w:cs="Arial"/>
                <w:sz w:val="16"/>
                <w:szCs w:val="16"/>
              </w:rPr>
              <w:t>572,4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7F6F8" w14:textId="0C8E75FE" w:rsidR="00950005" w:rsidRPr="00BC3FF5" w:rsidRDefault="00950005" w:rsidP="0095000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2 423,8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A4DC8" w14:textId="76470952" w:rsidR="00950005" w:rsidRPr="00BC3FF5" w:rsidRDefault="0095000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00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50005">
              <w:rPr>
                <w:rFonts w:cs="Arial"/>
                <w:sz w:val="16"/>
                <w:szCs w:val="16"/>
              </w:rPr>
              <w:t>148,6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16A248" w14:textId="62C906B9" w:rsidR="00950005" w:rsidRPr="00BC3FF5" w:rsidRDefault="00950005" w:rsidP="0095000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005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 </w:t>
            </w:r>
            <w:r w:rsidRPr="00950005">
              <w:rPr>
                <w:rFonts w:cs="Arial"/>
                <w:sz w:val="16"/>
                <w:szCs w:val="16"/>
              </w:rPr>
              <w:t>381</w:t>
            </w:r>
            <w:r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C9FF1" w14:textId="3B54FA01" w:rsidR="00950005" w:rsidRPr="00BC3FF5" w:rsidRDefault="0095000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00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50005">
              <w:rPr>
                <w:rFonts w:cs="Arial"/>
                <w:sz w:val="16"/>
                <w:szCs w:val="16"/>
              </w:rPr>
              <w:t>293</w:t>
            </w:r>
            <w:r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096BA" w14:textId="472CC9E2" w:rsidR="00950005" w:rsidRPr="00BC3FF5" w:rsidRDefault="0095000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005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50005">
              <w:rPr>
                <w:rFonts w:cs="Arial"/>
                <w:sz w:val="16"/>
                <w:szCs w:val="16"/>
              </w:rPr>
              <w:t>088</w:t>
            </w:r>
            <w:r>
              <w:rPr>
                <w:rFonts w:cs="Arial"/>
                <w:sz w:val="16"/>
                <w:szCs w:val="16"/>
              </w:rPr>
              <w:t>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531D90" w14:textId="0766CEE4" w:rsidR="00950005" w:rsidRPr="00BC3FF5" w:rsidRDefault="0095000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005">
              <w:rPr>
                <w:rFonts w:cs="Arial"/>
                <w:sz w:val="16"/>
                <w:szCs w:val="16"/>
              </w:rPr>
              <w:t>191,4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1EC70" w14:textId="2CA7DB79" w:rsidR="00950005" w:rsidRPr="00BC3FF5" w:rsidRDefault="0095000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005">
              <w:rPr>
                <w:rFonts w:cs="Arial"/>
                <w:sz w:val="16"/>
                <w:szCs w:val="16"/>
              </w:rPr>
              <w:t>130,8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85756" w14:textId="3EBC3BE7" w:rsidR="00950005" w:rsidRPr="00BC3FF5" w:rsidRDefault="0095000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50005">
              <w:rPr>
                <w:rFonts w:cs="Arial"/>
                <w:sz w:val="16"/>
                <w:szCs w:val="16"/>
              </w:rPr>
              <w:t>60,7</w:t>
            </w:r>
          </w:p>
        </w:tc>
      </w:tr>
      <w:tr w:rsidR="00BC3FF5" w:rsidRPr="00BC3FF5" w14:paraId="3CC88042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F15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6401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4 253,1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3901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2 234,1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AF82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2 019,0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E765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4 079,2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C703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2 121,5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635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1 957,7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3A1B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173,9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0941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112,6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EEBD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61,3</w:t>
            </w:r>
          </w:p>
        </w:tc>
      </w:tr>
      <w:tr w:rsidR="00BC3FF5" w:rsidRPr="00BC3FF5" w14:paraId="5996F1D0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3545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9B58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4 311,0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3B6F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2 234,1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0191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2 076,8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2F543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4 132,8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E028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2 121,9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00D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2 010,9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BD50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178,2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1A7EA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112,2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9925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66,0</w:t>
            </w:r>
          </w:p>
        </w:tc>
      </w:tr>
      <w:tr w:rsidR="00BC3FF5" w:rsidRPr="00BC3FF5" w14:paraId="6F7EB2E7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C72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79C3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4 211,5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0F818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2 148,4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8AC8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2 063,2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013C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4 061,8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B27D3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2 053,8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900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2 008,0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7C8E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149,7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081C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94,6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800AD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55,2</w:t>
            </w:r>
          </w:p>
        </w:tc>
      </w:tr>
      <w:tr w:rsidR="00BC3FF5" w:rsidRPr="00BC3FF5" w14:paraId="78DAB1D3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1C0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4A13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4 471,9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A740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2 281,4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0EE6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2 190,5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86CA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4 366,2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C92E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2 216,3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9C5D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2 149,9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86D88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105,7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DAC3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65,1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5B4E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40,6</w:t>
            </w:r>
          </w:p>
        </w:tc>
      </w:tr>
      <w:tr w:rsidR="00BC3FF5" w:rsidRPr="00BC3FF5" w14:paraId="56309E6E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A78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204E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4 440,3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5423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2 260,7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89AD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2 179,6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65D9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4 331,2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11EC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2 194,2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4747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2 136,9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3FA4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109,2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500C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66,5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8B30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42,7</w:t>
            </w:r>
          </w:p>
        </w:tc>
      </w:tr>
      <w:tr w:rsidR="00BC3FF5" w:rsidRPr="00BC3FF5" w14:paraId="0A4D56F6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4AE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CE35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4 464,1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AD88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2 272,9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11ED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2 191,2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6A91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4 358,3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22BA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2 207,8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28B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2 150,6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1AB1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105,7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DD3B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65,1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ED9C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40,6</w:t>
            </w:r>
          </w:p>
        </w:tc>
      </w:tr>
      <w:tr w:rsidR="00BC3FF5" w:rsidRPr="00BC3FF5" w14:paraId="57888AF4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D450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DCB3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4 507,0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9E7D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2 301,3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49F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2 205,7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7EFB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4 417,6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42724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2 252,8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869D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2 164,8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1C82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89,4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A182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48,5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E2DA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40,9</w:t>
            </w:r>
          </w:p>
        </w:tc>
      </w:tr>
      <w:tr w:rsidR="00BC3FF5" w:rsidRPr="00BC3FF5" w14:paraId="3264C9A0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09A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353E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4 571,3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686F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2 328,5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D27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2 242,8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1C169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4 481,8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5B6BB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2 273,5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F8C1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2 208,3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6CF45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89,5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44AA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E2E2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34,5</w:t>
            </w:r>
          </w:p>
        </w:tc>
      </w:tr>
      <w:tr w:rsidR="00BC3FF5" w:rsidRPr="00BC3FF5" w14:paraId="3202FBF8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CA94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3663B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4 671,8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5D6CC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2 370,0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97E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2 301,8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4A82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4 582,2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07A3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2 315,8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CAB7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2 266,4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7816E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89,7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D4695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54,2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9201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35,4</w:t>
            </w:r>
          </w:p>
        </w:tc>
      </w:tr>
      <w:tr w:rsidR="00BC3FF5" w:rsidRPr="00BC3FF5" w14:paraId="19A254DF" w14:textId="77777777" w:rsidTr="007E7B35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723" w14:textId="77777777" w:rsidR="00BC3FF5" w:rsidRPr="00BC3FF5" w:rsidRDefault="00BC3FF5" w:rsidP="00BC3FF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5C7A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4 732,7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8818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2 391,4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B70C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2 341,3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EEEC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4 641,5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A9FA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2 336,8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F4A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2 304,6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F9D6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91,3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6A2C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54,5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F53F" w14:textId="77777777" w:rsidR="00BC3FF5" w:rsidRPr="00BC3FF5" w:rsidRDefault="00BC3FF5" w:rsidP="00BC3FF5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BC3FF5">
              <w:rPr>
                <w:rFonts w:cs="Arial"/>
                <w:sz w:val="16"/>
                <w:szCs w:val="16"/>
              </w:rPr>
              <w:t>36,7</w:t>
            </w:r>
          </w:p>
        </w:tc>
      </w:tr>
    </w:tbl>
    <w:p w14:paraId="05E46884" w14:textId="5872D241" w:rsidR="001C0339" w:rsidRDefault="001C0339" w:rsidP="00D112A7">
      <w:pPr>
        <w:spacing w:after="0"/>
      </w:pPr>
    </w:p>
    <w:p w14:paraId="6C155CD2" w14:textId="77777777" w:rsidR="0084688F" w:rsidRDefault="00BC3FF5" w:rsidP="0084688F">
      <w:pPr>
        <w:rPr>
          <w:sz w:val="18"/>
        </w:rPr>
      </w:pPr>
      <w:r w:rsidRPr="00BC3FF5">
        <w:rPr>
          <w:sz w:val="18"/>
        </w:rPr>
        <w:t>Zdroj: ČSÚ</w:t>
      </w:r>
    </w:p>
    <w:p w14:paraId="23F80E86" w14:textId="7B4C948A" w:rsidR="006D09A9" w:rsidRPr="0084688F" w:rsidRDefault="007A3D44" w:rsidP="0084688F">
      <w:pPr>
        <w:jc w:val="both"/>
        <w:rPr>
          <w:sz w:val="18"/>
        </w:rPr>
      </w:pPr>
      <w:r w:rsidRPr="007A3D44">
        <w:t xml:space="preserve">Nejvíce zastoupenými </w:t>
      </w:r>
      <w:r w:rsidRPr="00A37CD1">
        <w:rPr>
          <w:b/>
        </w:rPr>
        <w:t>odvětvími</w:t>
      </w:r>
      <w:r w:rsidR="0084688F">
        <w:t>,</w:t>
      </w:r>
      <w:r w:rsidRPr="007A3D44">
        <w:t xml:space="preserve"> co do počtu nemocensky pojištěných</w:t>
      </w:r>
      <w:r w:rsidR="0084688F">
        <w:t>,</w:t>
      </w:r>
      <w:r w:rsidRPr="007A3D44">
        <w:t xml:space="preserve"> jsou Zpracovatelský průmysl a</w:t>
      </w:r>
      <w:r w:rsidR="00F547BE">
        <w:t> </w:t>
      </w:r>
      <w:r w:rsidRPr="007A3D44">
        <w:t>Velkoobchod a maloobchod; opravy a údržba motorových vozidel</w:t>
      </w:r>
      <w:r w:rsidR="0084688F">
        <w:t>, což kopíruje strukturu české ekonomiky</w:t>
      </w:r>
      <w:r w:rsidRPr="007A3D44">
        <w:t>. Tato dvě odvětví dohromady zaměstnávají 40 % všech nemocensky pojištěných osob.</w:t>
      </w:r>
    </w:p>
    <w:p w14:paraId="59523560" w14:textId="587654EF" w:rsidR="001C0339" w:rsidRPr="001C0339" w:rsidRDefault="001C0339" w:rsidP="001C0339">
      <w:pPr>
        <w:pStyle w:val="Titulek"/>
        <w:keepNext/>
        <w:rPr>
          <w:b/>
          <w:i w:val="0"/>
          <w:color w:val="auto"/>
          <w:sz w:val="20"/>
        </w:rPr>
      </w:pPr>
      <w:r w:rsidRPr="001C0339">
        <w:rPr>
          <w:b/>
          <w:i w:val="0"/>
          <w:color w:val="auto"/>
          <w:sz w:val="20"/>
        </w:rPr>
        <w:t xml:space="preserve">Graf </w:t>
      </w:r>
      <w:r w:rsidRPr="001C0339">
        <w:rPr>
          <w:b/>
          <w:i w:val="0"/>
          <w:color w:val="auto"/>
          <w:sz w:val="20"/>
        </w:rPr>
        <w:fldChar w:fldCharType="begin"/>
      </w:r>
      <w:r w:rsidRPr="001C0339">
        <w:rPr>
          <w:b/>
          <w:i w:val="0"/>
          <w:color w:val="auto"/>
          <w:sz w:val="20"/>
        </w:rPr>
        <w:instrText xml:space="preserve"> SEQ Graf \* ARABIC </w:instrText>
      </w:r>
      <w:r w:rsidRPr="001C0339">
        <w:rPr>
          <w:b/>
          <w:i w:val="0"/>
          <w:color w:val="auto"/>
          <w:sz w:val="20"/>
        </w:rPr>
        <w:fldChar w:fldCharType="separate"/>
      </w:r>
      <w:r w:rsidR="0058606B">
        <w:rPr>
          <w:b/>
          <w:i w:val="0"/>
          <w:noProof/>
          <w:color w:val="auto"/>
          <w:sz w:val="20"/>
        </w:rPr>
        <w:t>1</w:t>
      </w:r>
      <w:r w:rsidRPr="001C0339">
        <w:rPr>
          <w:b/>
          <w:i w:val="0"/>
          <w:color w:val="auto"/>
          <w:sz w:val="20"/>
        </w:rPr>
        <w:fldChar w:fldCharType="end"/>
      </w:r>
      <w:r w:rsidRPr="001C0339">
        <w:rPr>
          <w:b/>
          <w:i w:val="0"/>
          <w:color w:val="auto"/>
          <w:sz w:val="20"/>
        </w:rPr>
        <w:t>.1: Struktura nemocensky pojištěných osob podle velikosti podniku v letech 200</w:t>
      </w:r>
      <w:r w:rsidR="00F4354F">
        <w:rPr>
          <w:b/>
          <w:i w:val="0"/>
          <w:color w:val="auto"/>
          <w:sz w:val="20"/>
        </w:rPr>
        <w:t>8</w:t>
      </w:r>
      <w:r w:rsidRPr="001C0339">
        <w:rPr>
          <w:b/>
          <w:i w:val="0"/>
          <w:color w:val="auto"/>
          <w:sz w:val="20"/>
        </w:rPr>
        <w:t>–201</w:t>
      </w:r>
      <w:r w:rsidR="00BC3FF5">
        <w:rPr>
          <w:b/>
          <w:i w:val="0"/>
          <w:color w:val="auto"/>
          <w:sz w:val="20"/>
        </w:rPr>
        <w:t>8</w:t>
      </w:r>
      <w:r w:rsidRPr="001C0339">
        <w:rPr>
          <w:b/>
          <w:i w:val="0"/>
          <w:color w:val="auto"/>
          <w:sz w:val="20"/>
        </w:rPr>
        <w:t xml:space="preserve"> (v %)</w:t>
      </w:r>
    </w:p>
    <w:p w14:paraId="0A98D062" w14:textId="414DF072" w:rsidR="00992FBA" w:rsidRDefault="006F687C" w:rsidP="008E048A">
      <w:r w:rsidRPr="006F687C">
        <w:rPr>
          <w:rFonts w:cs="Arial"/>
          <w:noProof/>
          <w:sz w:val="16"/>
        </w:rPr>
        <w:drawing>
          <wp:inline distT="0" distB="0" distL="0" distR="0" wp14:anchorId="78B73B2E" wp14:editId="11E0191F">
            <wp:extent cx="6086475" cy="22764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DB6146" w14:textId="7ED9D5CD" w:rsidR="003C629F" w:rsidRDefault="001C0339" w:rsidP="00D112A7">
      <w:pPr>
        <w:spacing w:after="0"/>
        <w:rPr>
          <w:sz w:val="18"/>
        </w:rPr>
      </w:pPr>
      <w:r w:rsidRPr="00BC3FF5">
        <w:rPr>
          <w:sz w:val="18"/>
        </w:rPr>
        <w:t>Zdroj: ČSÚ</w:t>
      </w:r>
    </w:p>
    <w:p w14:paraId="2203DCC9" w14:textId="4242071A" w:rsidR="00493A71" w:rsidRPr="008E048A" w:rsidRDefault="00493A71" w:rsidP="00493A71">
      <w:pPr>
        <w:pStyle w:val="Box1"/>
        <w:jc w:val="both"/>
        <w:rPr>
          <w:i/>
        </w:rPr>
      </w:pPr>
      <w:r w:rsidRPr="008E048A">
        <w:rPr>
          <w:b/>
          <w:i/>
        </w:rPr>
        <w:t xml:space="preserve">Průměrný počet nemocensky pojištěných mladistvých </w:t>
      </w:r>
      <w:r w:rsidRPr="00F46EA8">
        <w:rPr>
          <w:i/>
        </w:rPr>
        <w:t xml:space="preserve">– </w:t>
      </w:r>
      <w:r>
        <w:rPr>
          <w:i/>
        </w:rPr>
        <w:t>u</w:t>
      </w:r>
      <w:r w:rsidRPr="008E048A">
        <w:rPr>
          <w:i/>
        </w:rPr>
        <w:t xml:space="preserve">kazatel </w:t>
      </w:r>
      <w:r>
        <w:rPr>
          <w:i/>
        </w:rPr>
        <w:t>udává</w:t>
      </w:r>
      <w:r w:rsidRPr="008E048A">
        <w:rPr>
          <w:i/>
        </w:rPr>
        <w:t xml:space="preserve"> průměrný počet nemocensky pojištěných </w:t>
      </w:r>
      <w:r>
        <w:rPr>
          <w:i/>
        </w:rPr>
        <w:t xml:space="preserve">osob mladších </w:t>
      </w:r>
      <w:r w:rsidRPr="008E048A">
        <w:rPr>
          <w:i/>
        </w:rPr>
        <w:t xml:space="preserve">18 let </w:t>
      </w:r>
      <w:r w:rsidRPr="002C394F">
        <w:rPr>
          <w:i/>
        </w:rPr>
        <w:t>(</w:t>
      </w:r>
      <w:r>
        <w:rPr>
          <w:i/>
        </w:rPr>
        <w:t xml:space="preserve">viz </w:t>
      </w:r>
      <w:r w:rsidRPr="002C394F">
        <w:rPr>
          <w:i/>
        </w:rPr>
        <w:t>§ 350 odst. 2 zákona č. 262/2006 Sb., zákoník práce, ve znění pozdějších předpisů).</w:t>
      </w:r>
    </w:p>
    <w:p w14:paraId="0939CDC9" w14:textId="77777777" w:rsidR="00493A71" w:rsidRPr="008E048A" w:rsidRDefault="00493A71" w:rsidP="00493A71">
      <w:pPr>
        <w:pStyle w:val="Box1"/>
        <w:jc w:val="both"/>
        <w:rPr>
          <w:i/>
          <w:u w:val="single"/>
        </w:rPr>
      </w:pPr>
      <w:r w:rsidRPr="008E048A">
        <w:rPr>
          <w:i/>
          <w:u w:val="single"/>
        </w:rPr>
        <w:t>Způsob výpočtu:</w:t>
      </w:r>
    </w:p>
    <w:p w14:paraId="0998456E" w14:textId="00D5EB90" w:rsidR="00493A71" w:rsidRPr="00F46EA8" w:rsidRDefault="00493A71" w:rsidP="00493A71">
      <w:pPr>
        <w:pStyle w:val="Box1"/>
        <w:jc w:val="both"/>
        <w:rPr>
          <w:i/>
        </w:rPr>
      </w:pPr>
      <w:r w:rsidRPr="008E048A">
        <w:rPr>
          <w:i/>
        </w:rPr>
        <w:t xml:space="preserve">Průměrný počet nemocensky pojištěných mladistvých = počet dní nemocenského pojištění </w:t>
      </w:r>
      <w:r>
        <w:rPr>
          <w:i/>
        </w:rPr>
        <w:t xml:space="preserve">jednotlivých pojištěných </w:t>
      </w:r>
      <w:r w:rsidRPr="008E048A">
        <w:rPr>
          <w:i/>
        </w:rPr>
        <w:t>mladistvých ve vykazovaném období / počet kalendářních dní ve</w:t>
      </w:r>
      <w:r w:rsidR="00F547BE">
        <w:rPr>
          <w:i/>
        </w:rPr>
        <w:t> </w:t>
      </w:r>
      <w:r w:rsidRPr="008E048A">
        <w:rPr>
          <w:i/>
        </w:rPr>
        <w:t>vykazovaném období.</w:t>
      </w:r>
    </w:p>
    <w:p w14:paraId="31BC6F40" w14:textId="1A474BAF" w:rsidR="0047139E" w:rsidRPr="00C76A59" w:rsidRDefault="00493A71" w:rsidP="003F0B1B">
      <w:pPr>
        <w:jc w:val="both"/>
        <w:rPr>
          <w:rFonts w:eastAsia="MS Gothic"/>
          <w:b/>
          <w:bCs/>
          <w:color w:val="C00000"/>
          <w:sz w:val="32"/>
          <w:szCs w:val="28"/>
        </w:rPr>
      </w:pPr>
      <w:r w:rsidRPr="00493A71">
        <w:lastRenderedPageBreak/>
        <w:t xml:space="preserve">V roce 2018 bylo </w:t>
      </w:r>
      <w:r>
        <w:t xml:space="preserve">evidováno </w:t>
      </w:r>
      <w:r w:rsidRPr="00493A71">
        <w:t xml:space="preserve">12,7 tis. nemocensky pojištěných </w:t>
      </w:r>
      <w:r w:rsidRPr="00A37CD1">
        <w:rPr>
          <w:b/>
        </w:rPr>
        <w:t>mladistvých</w:t>
      </w:r>
      <w:r w:rsidRPr="00493A71">
        <w:t>,</w:t>
      </w:r>
      <w:r>
        <w:t xml:space="preserve"> tedy osob mladších 18 let. Na</w:t>
      </w:r>
      <w:r w:rsidR="00F547BE">
        <w:t> </w:t>
      </w:r>
      <w:r>
        <w:t xml:space="preserve">celkovém počtu pojištěnců se podíleli 0,27 %. </w:t>
      </w:r>
      <w:r w:rsidR="000D281A">
        <w:t>Jejich počet meziročně vzrostl z 11 tisíc o 1,7 tisíc, tj. o 0,3 </w:t>
      </w:r>
      <w:r w:rsidR="00CB7336">
        <w:t>%</w:t>
      </w:r>
      <w:r w:rsidR="000D281A">
        <w:t>.</w:t>
      </w:r>
      <w:r>
        <w:t xml:space="preserve"> </w:t>
      </w:r>
    </w:p>
    <w:p w14:paraId="48867094" w14:textId="528C55B3" w:rsidR="00C62BD6" w:rsidRDefault="00C62BD6" w:rsidP="00A16413"/>
    <w:sectPr w:rsidR="00C62BD6" w:rsidSect="003F0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0D4E" w14:textId="77777777" w:rsidR="00A9701F" w:rsidRDefault="00A9701F" w:rsidP="00E71A58">
      <w:r>
        <w:separator/>
      </w:r>
    </w:p>
  </w:endnote>
  <w:endnote w:type="continuationSeparator" w:id="0">
    <w:p w14:paraId="6C91D236" w14:textId="77777777" w:rsidR="00A9701F" w:rsidRDefault="00A9701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3E96653B" w:rsidR="00A37CD1" w:rsidRPr="00932443" w:rsidRDefault="00A37C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F0B1B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7DD7CCFC" w:rsidR="00A37CD1" w:rsidRPr="00932443" w:rsidRDefault="00A37C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F0B1B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9395" w14:textId="77777777" w:rsidR="003F0B1B" w:rsidRDefault="003F0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F49E" w14:textId="77777777" w:rsidR="00A9701F" w:rsidRDefault="00A9701F" w:rsidP="00E71A58">
      <w:r>
        <w:separator/>
      </w:r>
    </w:p>
  </w:footnote>
  <w:footnote w:type="continuationSeparator" w:id="0">
    <w:p w14:paraId="33AA3252" w14:textId="77777777" w:rsidR="00A9701F" w:rsidRDefault="00A9701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A37CD1" w:rsidRPr="00C62BD6" w:rsidRDefault="00A37CD1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A37CD1" w:rsidRPr="00C62BD6" w:rsidRDefault="00A37CD1" w:rsidP="00C62BD6">
    <w:pPr>
      <w:pStyle w:val="Zhlav"/>
    </w:pPr>
    <w:r>
      <w:t>Pracovní neschopnost pro nemoc a úraz v České republice za rok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5F2B" w14:textId="77777777" w:rsidR="003F0B1B" w:rsidRDefault="003F0B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63D7"/>
    <w:rsid w:val="002C7BFB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0B1B"/>
    <w:rsid w:val="003F132D"/>
    <w:rsid w:val="003F313C"/>
    <w:rsid w:val="003F3CA8"/>
    <w:rsid w:val="003F4B2C"/>
    <w:rsid w:val="003F551C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CE8"/>
    <w:rsid w:val="006846A7"/>
    <w:rsid w:val="00695BEF"/>
    <w:rsid w:val="00695EF9"/>
    <w:rsid w:val="006977F6"/>
    <w:rsid w:val="00697A13"/>
    <w:rsid w:val="006A109C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773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2E22"/>
    <w:rsid w:val="007C60B5"/>
    <w:rsid w:val="007D00CE"/>
    <w:rsid w:val="007D40DF"/>
    <w:rsid w:val="007E69A2"/>
    <w:rsid w:val="007E7390"/>
    <w:rsid w:val="007E7B35"/>
    <w:rsid w:val="007E7E61"/>
    <w:rsid w:val="007F0845"/>
    <w:rsid w:val="007F799E"/>
    <w:rsid w:val="00801735"/>
    <w:rsid w:val="008021F7"/>
    <w:rsid w:val="0080331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37CD1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9701F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D1E"/>
    <w:rsid w:val="00B80EC6"/>
    <w:rsid w:val="00B90ADC"/>
    <w:rsid w:val="00B92D1D"/>
    <w:rsid w:val="00B938C5"/>
    <w:rsid w:val="00B93A40"/>
    <w:rsid w:val="00B94BD1"/>
    <w:rsid w:val="00B95940"/>
    <w:rsid w:val="00BA3658"/>
    <w:rsid w:val="00BA72CF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4FA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2E5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1\1_Zdravotnictv&#237;\ADMNEMUR_Statistika%20pracovn&#237;%20neschopnosti%20pro%20nemoc%20a%20&#250;raz_Hriv&#237;kov&#225;\E-PUBLIKACE_PRACOVN&#205;%20NESCHOPNOST%20PRO%20NEMOC%20A%20&#218;RAZ%20V%20&#268;R\ADMNEMUR_ROK%202018\nov&#233;\podklady_tabulky%20do%20textov&#233;%20&#269;&#225;sti_nov&#23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List2!$A$53</c:f>
              <c:strCache>
                <c:ptCount val="1"/>
                <c:pt idx="0">
                  <c:v> OSVČ</c:v>
                </c:pt>
              </c:strCache>
            </c:strRef>
          </c:tx>
          <c:spPr>
            <a:solidFill>
              <a:srgbClr val="632827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7778118998775699E-3"/>
                  <c:y val="-2.3148127610809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10-4F04-9286-85D2791364D1}"/>
                </c:ext>
              </c:extLst>
            </c:dLbl>
            <c:dLbl>
              <c:idx val="2"/>
              <c:layout>
                <c:manualLayout>
                  <c:x val="2.777777777777676E-3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10-4F04-9286-85D2791364D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List2!$B$52:$D$52</c:f>
              <c:numCache>
                <c:formatCode>General</c:formatCode>
                <c:ptCount val="3"/>
                <c:pt idx="0">
                  <c:v>2008</c:v>
                </c:pt>
                <c:pt idx="1">
                  <c:v>2013</c:v>
                </c:pt>
                <c:pt idx="2">
                  <c:v>2018</c:v>
                </c:pt>
              </c:numCache>
            </c:numRef>
          </c:cat>
          <c:val>
            <c:numRef>
              <c:f>List2!$B$53:$D$53</c:f>
              <c:numCache>
                <c:formatCode>0.00</c:formatCode>
                <c:ptCount val="3"/>
                <c:pt idx="0">
                  <c:v>4.1866678272424608E-2</c:v>
                </c:pt>
                <c:pt idx="1">
                  <c:v>2.4585807438462851E-2</c:v>
                </c:pt>
                <c:pt idx="2">
                  <c:v>1.9286573082186852E-2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10-4F04-9286-85D2791364D1}"/>
            </c:ext>
          </c:extLst>
        </c:ser>
        <c:ser>
          <c:idx val="1"/>
          <c:order val="1"/>
          <c:tx>
            <c:strRef>
              <c:f>List2!$A$54</c:f>
              <c:strCache>
                <c:ptCount val="1"/>
                <c:pt idx="0">
                  <c:v> 1–49 zaměstnanců</c:v>
                </c:pt>
              </c:strCache>
            </c:strRef>
          </c:tx>
          <c:spPr>
            <a:solidFill>
              <a:srgbClr val="B44946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List2!$B$52:$D$52</c:f>
              <c:numCache>
                <c:formatCode>General</c:formatCode>
                <c:ptCount val="3"/>
                <c:pt idx="0">
                  <c:v>2008</c:v>
                </c:pt>
                <c:pt idx="1">
                  <c:v>2013</c:v>
                </c:pt>
                <c:pt idx="2">
                  <c:v>2018</c:v>
                </c:pt>
              </c:numCache>
            </c:numRef>
          </c:cat>
          <c:val>
            <c:numRef>
              <c:f>List2!$B$54:$D$54</c:f>
              <c:numCache>
                <c:formatCode>0.00</c:formatCode>
                <c:ptCount val="3"/>
                <c:pt idx="0">
                  <c:v>0.32362394222243901</c:v>
                </c:pt>
                <c:pt idx="1">
                  <c:v>0.3310133084823052</c:v>
                </c:pt>
                <c:pt idx="2">
                  <c:v>0.31648748323638221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10-4F04-9286-85D2791364D1}"/>
            </c:ext>
          </c:extLst>
        </c:ser>
        <c:ser>
          <c:idx val="2"/>
          <c:order val="2"/>
          <c:tx>
            <c:strRef>
              <c:f>List2!$A$55</c:f>
              <c:strCache>
                <c:ptCount val="1"/>
                <c:pt idx="0">
                  <c:v> 50–249 zaměstnanců</c:v>
                </c:pt>
              </c:strCache>
            </c:strRef>
          </c:tx>
          <c:spPr>
            <a:solidFill>
              <a:srgbClr val="C46A68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List2!$B$52:$D$52</c:f>
              <c:numCache>
                <c:formatCode>General</c:formatCode>
                <c:ptCount val="3"/>
                <c:pt idx="0">
                  <c:v>2008</c:v>
                </c:pt>
                <c:pt idx="1">
                  <c:v>2013</c:v>
                </c:pt>
                <c:pt idx="2">
                  <c:v>2018</c:v>
                </c:pt>
              </c:numCache>
            </c:numRef>
          </c:cat>
          <c:val>
            <c:numRef>
              <c:f>List2!$B$55:$D$55</c:f>
              <c:numCache>
                <c:formatCode>0.00</c:formatCode>
                <c:ptCount val="3"/>
                <c:pt idx="0">
                  <c:v>0.24148884961496514</c:v>
                </c:pt>
                <c:pt idx="1">
                  <c:v>0.23424226059077644</c:v>
                </c:pt>
                <c:pt idx="2">
                  <c:v>0.23368736284066025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10-4F04-9286-85D2791364D1}"/>
            </c:ext>
          </c:extLst>
        </c:ser>
        <c:ser>
          <c:idx val="3"/>
          <c:order val="3"/>
          <c:tx>
            <c:strRef>
              <c:f>List2!$A$56</c:f>
              <c:strCache>
                <c:ptCount val="1"/>
                <c:pt idx="0">
                  <c:v> 250 a více zaměstnanců</c:v>
                </c:pt>
              </c:strCache>
            </c:strRef>
          </c:tx>
          <c:spPr>
            <a:solidFill>
              <a:srgbClr val="EEDADA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List2!$B$52:$D$52</c:f>
              <c:numCache>
                <c:formatCode>General</c:formatCode>
                <c:ptCount val="3"/>
                <c:pt idx="0">
                  <c:v>2008</c:v>
                </c:pt>
                <c:pt idx="1">
                  <c:v>2013</c:v>
                </c:pt>
                <c:pt idx="2">
                  <c:v>2018</c:v>
                </c:pt>
              </c:numCache>
            </c:numRef>
          </c:cat>
          <c:val>
            <c:numRef>
              <c:f>List2!$B$56:$D$56</c:f>
              <c:numCache>
                <c:formatCode>0.00</c:formatCode>
                <c:ptCount val="3"/>
                <c:pt idx="0">
                  <c:v>0.3817256989316215</c:v>
                </c:pt>
                <c:pt idx="1">
                  <c:v>0.41015862348845561</c:v>
                </c:pt>
                <c:pt idx="2">
                  <c:v>0.43053858084077062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810-4F04-9286-85D279136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6128928"/>
        <c:axId val="946129760"/>
      </c:barChart>
      <c:catAx>
        <c:axId val="94612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46129760"/>
        <c:crosses val="autoZero"/>
        <c:auto val="1"/>
        <c:lblAlgn val="ctr"/>
        <c:lblOffset val="100"/>
        <c:noMultiLvlLbl val="0"/>
      </c:catAx>
      <c:valAx>
        <c:axId val="9461297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4612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AFF2-5E66-4C59-B7CB-49FE75BC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865</Words>
  <Characters>5108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Alena Kotrbatá</cp:lastModifiedBy>
  <cp:revision>2</cp:revision>
  <cp:lastPrinted>2019-05-30T11:27:00Z</cp:lastPrinted>
  <dcterms:created xsi:type="dcterms:W3CDTF">2019-05-30T14:10:00Z</dcterms:created>
  <dcterms:modified xsi:type="dcterms:W3CDTF">2019-05-30T14:10:00Z</dcterms:modified>
</cp:coreProperties>
</file>