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12B" w:rsidRDefault="00A365B0" w:rsidP="006360DB">
      <w:pPr>
        <w:pStyle w:val="Nzev"/>
        <w:rPr>
          <w:noProof/>
        </w:rPr>
      </w:pPr>
      <w:bookmarkStart w:id="0" w:name="_Toc523408593"/>
      <w:bookmarkStart w:id="1" w:name="_Toc523464567"/>
      <w:r w:rsidRPr="00A365B0">
        <w:t>Analytická část</w:t>
      </w:r>
      <w:bookmarkEnd w:id="0"/>
      <w:bookmarkEnd w:id="1"/>
      <w:r w:rsidR="006360DB">
        <w:fldChar w:fldCharType="begin"/>
      </w:r>
      <w:r w:rsidR="006360DB">
        <w:instrText xml:space="preserve"> TOC \o "1-3" \h \z \u </w:instrText>
      </w:r>
      <w:r w:rsidR="006360DB">
        <w:fldChar w:fldCharType="separate"/>
      </w:r>
    </w:p>
    <w:p w:rsidR="002C012B" w:rsidRDefault="001C064A">
      <w:pPr>
        <w:pStyle w:val="Obsah1"/>
        <w:rPr>
          <w:rFonts w:asciiTheme="minorHAnsi" w:eastAsiaTheme="minorEastAsia" w:hAnsiTheme="minorHAnsi" w:cstheme="minorBidi"/>
          <w:noProof/>
          <w:sz w:val="22"/>
          <w:szCs w:val="22"/>
        </w:rPr>
      </w:pPr>
      <w:hyperlink w:anchor="_Toc523466180" w:history="1">
        <w:r w:rsidR="002C012B" w:rsidRPr="00A316A0">
          <w:rPr>
            <w:rStyle w:val="Hypertextovodkaz"/>
            <w:noProof/>
          </w:rPr>
          <w:t>1. Předškolní vzdělávání</w:t>
        </w:r>
        <w:r w:rsidR="002C012B">
          <w:rPr>
            <w:noProof/>
            <w:webHidden/>
          </w:rPr>
          <w:tab/>
        </w:r>
        <w:r w:rsidR="002C012B">
          <w:rPr>
            <w:noProof/>
            <w:webHidden/>
          </w:rPr>
          <w:fldChar w:fldCharType="begin"/>
        </w:r>
        <w:r w:rsidR="002C012B">
          <w:rPr>
            <w:noProof/>
            <w:webHidden/>
          </w:rPr>
          <w:instrText xml:space="preserve"> PAGEREF _Toc523466180 \h </w:instrText>
        </w:r>
        <w:r w:rsidR="002C012B">
          <w:rPr>
            <w:noProof/>
            <w:webHidden/>
          </w:rPr>
        </w:r>
        <w:r w:rsidR="002C012B">
          <w:rPr>
            <w:noProof/>
            <w:webHidden/>
          </w:rPr>
          <w:fldChar w:fldCharType="separate"/>
        </w:r>
        <w:r w:rsidR="002C012B">
          <w:rPr>
            <w:noProof/>
            <w:webHidden/>
          </w:rPr>
          <w:t>2</w:t>
        </w:r>
        <w:r w:rsidR="002C012B">
          <w:rPr>
            <w:noProof/>
            <w:webHidden/>
          </w:rPr>
          <w:fldChar w:fldCharType="end"/>
        </w:r>
      </w:hyperlink>
    </w:p>
    <w:p w:rsidR="002C012B" w:rsidRDefault="001C064A">
      <w:pPr>
        <w:pStyle w:val="Obsah2"/>
        <w:rPr>
          <w:rFonts w:asciiTheme="minorHAnsi" w:eastAsiaTheme="minorEastAsia" w:hAnsiTheme="minorHAnsi" w:cstheme="minorBidi"/>
          <w:noProof/>
          <w:sz w:val="22"/>
          <w:szCs w:val="22"/>
        </w:rPr>
      </w:pPr>
      <w:hyperlink w:anchor="_Toc523466181" w:history="1">
        <w:r w:rsidR="002C012B" w:rsidRPr="00A316A0">
          <w:rPr>
            <w:rStyle w:val="Hypertextovodkaz"/>
            <w:noProof/>
          </w:rPr>
          <w:t>1.1 Mateřské školy – počty škol a jejich tříd</w:t>
        </w:r>
        <w:r w:rsidR="002C012B">
          <w:rPr>
            <w:noProof/>
            <w:webHidden/>
          </w:rPr>
          <w:tab/>
        </w:r>
        <w:r w:rsidR="002C012B">
          <w:rPr>
            <w:noProof/>
            <w:webHidden/>
          </w:rPr>
          <w:fldChar w:fldCharType="begin"/>
        </w:r>
        <w:r w:rsidR="002C012B">
          <w:rPr>
            <w:noProof/>
            <w:webHidden/>
          </w:rPr>
          <w:instrText xml:space="preserve"> PAGEREF _Toc523466181 \h </w:instrText>
        </w:r>
        <w:r w:rsidR="002C012B">
          <w:rPr>
            <w:noProof/>
            <w:webHidden/>
          </w:rPr>
        </w:r>
        <w:r w:rsidR="002C012B">
          <w:rPr>
            <w:noProof/>
            <w:webHidden/>
          </w:rPr>
          <w:fldChar w:fldCharType="separate"/>
        </w:r>
        <w:r w:rsidR="002C012B">
          <w:rPr>
            <w:noProof/>
            <w:webHidden/>
          </w:rPr>
          <w:t>2</w:t>
        </w:r>
        <w:r w:rsidR="002C012B">
          <w:rPr>
            <w:noProof/>
            <w:webHidden/>
          </w:rPr>
          <w:fldChar w:fldCharType="end"/>
        </w:r>
      </w:hyperlink>
    </w:p>
    <w:p w:rsidR="002C012B" w:rsidRDefault="001C064A">
      <w:pPr>
        <w:pStyle w:val="Obsah2"/>
        <w:rPr>
          <w:rFonts w:asciiTheme="minorHAnsi" w:eastAsiaTheme="minorEastAsia" w:hAnsiTheme="minorHAnsi" w:cstheme="minorBidi"/>
          <w:noProof/>
          <w:sz w:val="22"/>
          <w:szCs w:val="22"/>
        </w:rPr>
      </w:pPr>
      <w:hyperlink w:anchor="_Toc523466182" w:history="1">
        <w:r w:rsidR="002C012B" w:rsidRPr="00A316A0">
          <w:rPr>
            <w:rStyle w:val="Hypertextovodkaz"/>
            <w:noProof/>
          </w:rPr>
          <w:t>1.2 Počty dětí v mateřských školách – základní údaje</w:t>
        </w:r>
        <w:r w:rsidR="002C012B">
          <w:rPr>
            <w:noProof/>
            <w:webHidden/>
          </w:rPr>
          <w:tab/>
        </w:r>
        <w:r w:rsidR="002C012B">
          <w:rPr>
            <w:noProof/>
            <w:webHidden/>
          </w:rPr>
          <w:fldChar w:fldCharType="begin"/>
        </w:r>
        <w:r w:rsidR="002C012B">
          <w:rPr>
            <w:noProof/>
            <w:webHidden/>
          </w:rPr>
          <w:instrText xml:space="preserve"> PAGEREF _Toc523466182 \h </w:instrText>
        </w:r>
        <w:r w:rsidR="002C012B">
          <w:rPr>
            <w:noProof/>
            <w:webHidden/>
          </w:rPr>
        </w:r>
        <w:r w:rsidR="002C012B">
          <w:rPr>
            <w:noProof/>
            <w:webHidden/>
          </w:rPr>
          <w:fldChar w:fldCharType="separate"/>
        </w:r>
        <w:r w:rsidR="002C012B">
          <w:rPr>
            <w:noProof/>
            <w:webHidden/>
          </w:rPr>
          <w:t>3</w:t>
        </w:r>
        <w:r w:rsidR="002C012B">
          <w:rPr>
            <w:noProof/>
            <w:webHidden/>
          </w:rPr>
          <w:fldChar w:fldCharType="end"/>
        </w:r>
      </w:hyperlink>
    </w:p>
    <w:p w:rsidR="002C012B" w:rsidRDefault="001C064A">
      <w:pPr>
        <w:pStyle w:val="Obsah2"/>
        <w:rPr>
          <w:rFonts w:asciiTheme="minorHAnsi" w:eastAsiaTheme="minorEastAsia" w:hAnsiTheme="minorHAnsi" w:cstheme="minorBidi"/>
          <w:noProof/>
          <w:sz w:val="22"/>
          <w:szCs w:val="22"/>
        </w:rPr>
      </w:pPr>
      <w:hyperlink w:anchor="_Toc523466183" w:history="1">
        <w:r w:rsidR="002C012B" w:rsidRPr="00A316A0">
          <w:rPr>
            <w:rStyle w:val="Hypertextovodkaz"/>
            <w:noProof/>
          </w:rPr>
          <w:t>1.3 Počty učitelů v mateřských školách a jejich průměrné mzdy</w:t>
        </w:r>
        <w:r w:rsidR="002C012B">
          <w:rPr>
            <w:noProof/>
            <w:webHidden/>
          </w:rPr>
          <w:tab/>
        </w:r>
        <w:r w:rsidR="002C012B">
          <w:rPr>
            <w:noProof/>
            <w:webHidden/>
          </w:rPr>
          <w:fldChar w:fldCharType="begin"/>
        </w:r>
        <w:r w:rsidR="002C012B">
          <w:rPr>
            <w:noProof/>
            <w:webHidden/>
          </w:rPr>
          <w:instrText xml:space="preserve"> PAGEREF _Toc523466183 \h </w:instrText>
        </w:r>
        <w:r w:rsidR="002C012B">
          <w:rPr>
            <w:noProof/>
            <w:webHidden/>
          </w:rPr>
        </w:r>
        <w:r w:rsidR="002C012B">
          <w:rPr>
            <w:noProof/>
            <w:webHidden/>
          </w:rPr>
          <w:fldChar w:fldCharType="separate"/>
        </w:r>
        <w:r w:rsidR="002C012B">
          <w:rPr>
            <w:noProof/>
            <w:webHidden/>
          </w:rPr>
          <w:t>5</w:t>
        </w:r>
        <w:r w:rsidR="002C012B">
          <w:rPr>
            <w:noProof/>
            <w:webHidden/>
          </w:rPr>
          <w:fldChar w:fldCharType="end"/>
        </w:r>
      </w:hyperlink>
    </w:p>
    <w:p w:rsidR="002C012B" w:rsidRDefault="001C064A">
      <w:pPr>
        <w:pStyle w:val="Obsah2"/>
        <w:rPr>
          <w:rFonts w:asciiTheme="minorHAnsi" w:eastAsiaTheme="minorEastAsia" w:hAnsiTheme="minorHAnsi" w:cstheme="minorBidi"/>
          <w:noProof/>
          <w:sz w:val="22"/>
          <w:szCs w:val="22"/>
        </w:rPr>
      </w:pPr>
      <w:hyperlink w:anchor="_Toc523466184" w:history="1">
        <w:r w:rsidR="002C012B" w:rsidRPr="00A316A0">
          <w:rPr>
            <w:rStyle w:val="Hypertextovodkaz"/>
            <w:noProof/>
          </w:rPr>
          <w:t>1.4 Základní poměrové ukazatele</w:t>
        </w:r>
        <w:r w:rsidR="002C012B">
          <w:rPr>
            <w:noProof/>
            <w:webHidden/>
          </w:rPr>
          <w:tab/>
        </w:r>
        <w:r w:rsidR="002C012B">
          <w:rPr>
            <w:noProof/>
            <w:webHidden/>
          </w:rPr>
          <w:fldChar w:fldCharType="begin"/>
        </w:r>
        <w:r w:rsidR="002C012B">
          <w:rPr>
            <w:noProof/>
            <w:webHidden/>
          </w:rPr>
          <w:instrText xml:space="preserve"> PAGEREF _Toc523466184 \h </w:instrText>
        </w:r>
        <w:r w:rsidR="002C012B">
          <w:rPr>
            <w:noProof/>
            <w:webHidden/>
          </w:rPr>
        </w:r>
        <w:r w:rsidR="002C012B">
          <w:rPr>
            <w:noProof/>
            <w:webHidden/>
          </w:rPr>
          <w:fldChar w:fldCharType="separate"/>
        </w:r>
        <w:r w:rsidR="002C012B">
          <w:rPr>
            <w:noProof/>
            <w:webHidden/>
          </w:rPr>
          <w:t>7</w:t>
        </w:r>
        <w:r w:rsidR="002C012B">
          <w:rPr>
            <w:noProof/>
            <w:webHidden/>
          </w:rPr>
          <w:fldChar w:fldCharType="end"/>
        </w:r>
      </w:hyperlink>
    </w:p>
    <w:p w:rsidR="002C012B" w:rsidRDefault="001C064A">
      <w:pPr>
        <w:pStyle w:val="Obsah2"/>
        <w:rPr>
          <w:rFonts w:asciiTheme="minorHAnsi" w:eastAsiaTheme="minorEastAsia" w:hAnsiTheme="minorHAnsi" w:cstheme="minorBidi"/>
          <w:noProof/>
          <w:sz w:val="22"/>
          <w:szCs w:val="22"/>
        </w:rPr>
      </w:pPr>
      <w:hyperlink w:anchor="_Toc523466185" w:history="1">
        <w:r w:rsidR="002C012B" w:rsidRPr="00A316A0">
          <w:rPr>
            <w:rStyle w:val="Hypertextovodkaz"/>
            <w:noProof/>
          </w:rPr>
          <w:t>1.5 Soukromé mateřské školy</w:t>
        </w:r>
        <w:r w:rsidR="002C012B">
          <w:rPr>
            <w:noProof/>
            <w:webHidden/>
          </w:rPr>
          <w:tab/>
        </w:r>
        <w:r w:rsidR="002C012B">
          <w:rPr>
            <w:noProof/>
            <w:webHidden/>
          </w:rPr>
          <w:fldChar w:fldCharType="begin"/>
        </w:r>
        <w:r w:rsidR="002C012B">
          <w:rPr>
            <w:noProof/>
            <w:webHidden/>
          </w:rPr>
          <w:instrText xml:space="preserve"> PAGEREF _Toc523466185 \h </w:instrText>
        </w:r>
        <w:r w:rsidR="002C012B">
          <w:rPr>
            <w:noProof/>
            <w:webHidden/>
          </w:rPr>
        </w:r>
        <w:r w:rsidR="002C012B">
          <w:rPr>
            <w:noProof/>
            <w:webHidden/>
          </w:rPr>
          <w:fldChar w:fldCharType="separate"/>
        </w:r>
        <w:r w:rsidR="002C012B">
          <w:rPr>
            <w:noProof/>
            <w:webHidden/>
          </w:rPr>
          <w:t>8</w:t>
        </w:r>
        <w:r w:rsidR="002C012B">
          <w:rPr>
            <w:noProof/>
            <w:webHidden/>
          </w:rPr>
          <w:fldChar w:fldCharType="end"/>
        </w:r>
      </w:hyperlink>
    </w:p>
    <w:p w:rsidR="002C012B" w:rsidRDefault="001C064A">
      <w:pPr>
        <w:pStyle w:val="Obsah2"/>
        <w:rPr>
          <w:rFonts w:asciiTheme="minorHAnsi" w:eastAsiaTheme="minorEastAsia" w:hAnsiTheme="minorHAnsi" w:cstheme="minorBidi"/>
          <w:noProof/>
          <w:sz w:val="22"/>
          <w:szCs w:val="22"/>
        </w:rPr>
      </w:pPr>
      <w:hyperlink w:anchor="_Toc523466186" w:history="1">
        <w:r w:rsidR="002C012B" w:rsidRPr="00A316A0">
          <w:rPr>
            <w:rStyle w:val="Hypertextovodkaz"/>
            <w:noProof/>
          </w:rPr>
          <w:t>1.6 Věkové složení dětí v mateřských školách</w:t>
        </w:r>
        <w:r w:rsidR="002C012B">
          <w:rPr>
            <w:noProof/>
            <w:webHidden/>
          </w:rPr>
          <w:tab/>
        </w:r>
        <w:r w:rsidR="002C012B">
          <w:rPr>
            <w:noProof/>
            <w:webHidden/>
          </w:rPr>
          <w:fldChar w:fldCharType="begin"/>
        </w:r>
        <w:r w:rsidR="002C012B">
          <w:rPr>
            <w:noProof/>
            <w:webHidden/>
          </w:rPr>
          <w:instrText xml:space="preserve"> PAGEREF _Toc523466186 \h </w:instrText>
        </w:r>
        <w:r w:rsidR="002C012B">
          <w:rPr>
            <w:noProof/>
            <w:webHidden/>
          </w:rPr>
        </w:r>
        <w:r w:rsidR="002C012B">
          <w:rPr>
            <w:noProof/>
            <w:webHidden/>
          </w:rPr>
          <w:fldChar w:fldCharType="separate"/>
        </w:r>
        <w:r w:rsidR="002C012B">
          <w:rPr>
            <w:noProof/>
            <w:webHidden/>
          </w:rPr>
          <w:t>9</w:t>
        </w:r>
        <w:r w:rsidR="002C012B">
          <w:rPr>
            <w:noProof/>
            <w:webHidden/>
          </w:rPr>
          <w:fldChar w:fldCharType="end"/>
        </w:r>
      </w:hyperlink>
    </w:p>
    <w:p w:rsidR="002C012B" w:rsidRDefault="001C064A">
      <w:pPr>
        <w:pStyle w:val="Obsah2"/>
        <w:rPr>
          <w:rFonts w:asciiTheme="minorHAnsi" w:eastAsiaTheme="minorEastAsia" w:hAnsiTheme="minorHAnsi" w:cstheme="minorBidi"/>
          <w:noProof/>
          <w:sz w:val="22"/>
          <w:szCs w:val="22"/>
        </w:rPr>
      </w:pPr>
      <w:hyperlink w:anchor="_Toc523466187" w:history="1">
        <w:r w:rsidR="002C012B" w:rsidRPr="00A316A0">
          <w:rPr>
            <w:rStyle w:val="Hypertextovodkaz"/>
            <w:noProof/>
          </w:rPr>
          <w:t>1.7 Děti s cizím státním občanstvím v mateřských školách</w:t>
        </w:r>
        <w:r w:rsidR="002C012B">
          <w:rPr>
            <w:noProof/>
            <w:webHidden/>
          </w:rPr>
          <w:tab/>
        </w:r>
        <w:r w:rsidR="002C012B">
          <w:rPr>
            <w:noProof/>
            <w:webHidden/>
          </w:rPr>
          <w:fldChar w:fldCharType="begin"/>
        </w:r>
        <w:r w:rsidR="002C012B">
          <w:rPr>
            <w:noProof/>
            <w:webHidden/>
          </w:rPr>
          <w:instrText xml:space="preserve"> PAGEREF _Toc523466187 \h </w:instrText>
        </w:r>
        <w:r w:rsidR="002C012B">
          <w:rPr>
            <w:noProof/>
            <w:webHidden/>
          </w:rPr>
        </w:r>
        <w:r w:rsidR="002C012B">
          <w:rPr>
            <w:noProof/>
            <w:webHidden/>
          </w:rPr>
          <w:fldChar w:fldCharType="separate"/>
        </w:r>
        <w:r w:rsidR="002C012B">
          <w:rPr>
            <w:noProof/>
            <w:webHidden/>
          </w:rPr>
          <w:t>10</w:t>
        </w:r>
        <w:r w:rsidR="002C012B">
          <w:rPr>
            <w:noProof/>
            <w:webHidden/>
          </w:rPr>
          <w:fldChar w:fldCharType="end"/>
        </w:r>
      </w:hyperlink>
    </w:p>
    <w:p w:rsidR="002C012B" w:rsidRDefault="001C064A">
      <w:pPr>
        <w:pStyle w:val="Obsah2"/>
        <w:rPr>
          <w:rFonts w:asciiTheme="minorHAnsi" w:eastAsiaTheme="minorEastAsia" w:hAnsiTheme="minorHAnsi" w:cstheme="minorBidi"/>
          <w:noProof/>
          <w:sz w:val="22"/>
          <w:szCs w:val="22"/>
        </w:rPr>
      </w:pPr>
      <w:hyperlink w:anchor="_Toc523466188" w:history="1">
        <w:r w:rsidR="002C012B" w:rsidRPr="00A316A0">
          <w:rPr>
            <w:rStyle w:val="Hypertextovodkaz"/>
            <w:noProof/>
          </w:rPr>
          <w:t>1.8 Děti se speciálními vzdělávacími potřebami v mateřských školách</w:t>
        </w:r>
        <w:r w:rsidR="002C012B">
          <w:rPr>
            <w:noProof/>
            <w:webHidden/>
          </w:rPr>
          <w:tab/>
        </w:r>
        <w:r w:rsidR="002C012B">
          <w:rPr>
            <w:noProof/>
            <w:webHidden/>
          </w:rPr>
          <w:fldChar w:fldCharType="begin"/>
        </w:r>
        <w:r w:rsidR="002C012B">
          <w:rPr>
            <w:noProof/>
            <w:webHidden/>
          </w:rPr>
          <w:instrText xml:space="preserve"> PAGEREF _Toc523466188 \h </w:instrText>
        </w:r>
        <w:r w:rsidR="002C012B">
          <w:rPr>
            <w:noProof/>
            <w:webHidden/>
          </w:rPr>
        </w:r>
        <w:r w:rsidR="002C012B">
          <w:rPr>
            <w:noProof/>
            <w:webHidden/>
          </w:rPr>
          <w:fldChar w:fldCharType="separate"/>
        </w:r>
        <w:r w:rsidR="002C012B">
          <w:rPr>
            <w:noProof/>
            <w:webHidden/>
          </w:rPr>
          <w:t>11</w:t>
        </w:r>
        <w:r w:rsidR="002C012B">
          <w:rPr>
            <w:noProof/>
            <w:webHidden/>
          </w:rPr>
          <w:fldChar w:fldCharType="end"/>
        </w:r>
      </w:hyperlink>
    </w:p>
    <w:p w:rsidR="002C012B" w:rsidRDefault="001C064A">
      <w:pPr>
        <w:pStyle w:val="Obsah2"/>
        <w:rPr>
          <w:rFonts w:asciiTheme="minorHAnsi" w:eastAsiaTheme="minorEastAsia" w:hAnsiTheme="minorHAnsi" w:cstheme="minorBidi"/>
          <w:noProof/>
          <w:sz w:val="22"/>
          <w:szCs w:val="22"/>
        </w:rPr>
      </w:pPr>
      <w:hyperlink w:anchor="_Toc523466189" w:history="1">
        <w:r w:rsidR="002C012B" w:rsidRPr="00A316A0">
          <w:rPr>
            <w:rStyle w:val="Hypertextovodkaz"/>
            <w:noProof/>
          </w:rPr>
          <w:t>1.9 Předškolní vzdělávání v základních školách</w:t>
        </w:r>
        <w:r w:rsidR="002C012B">
          <w:rPr>
            <w:noProof/>
            <w:webHidden/>
          </w:rPr>
          <w:tab/>
        </w:r>
        <w:r w:rsidR="002C012B">
          <w:rPr>
            <w:noProof/>
            <w:webHidden/>
          </w:rPr>
          <w:fldChar w:fldCharType="begin"/>
        </w:r>
        <w:r w:rsidR="002C012B">
          <w:rPr>
            <w:noProof/>
            <w:webHidden/>
          </w:rPr>
          <w:instrText xml:space="preserve"> PAGEREF _Toc523466189 \h </w:instrText>
        </w:r>
        <w:r w:rsidR="002C012B">
          <w:rPr>
            <w:noProof/>
            <w:webHidden/>
          </w:rPr>
        </w:r>
        <w:r w:rsidR="002C012B">
          <w:rPr>
            <w:noProof/>
            <w:webHidden/>
          </w:rPr>
          <w:fldChar w:fldCharType="separate"/>
        </w:r>
        <w:r w:rsidR="002C012B">
          <w:rPr>
            <w:noProof/>
            <w:webHidden/>
          </w:rPr>
          <w:t>12</w:t>
        </w:r>
        <w:r w:rsidR="002C012B">
          <w:rPr>
            <w:noProof/>
            <w:webHidden/>
          </w:rPr>
          <w:fldChar w:fldCharType="end"/>
        </w:r>
      </w:hyperlink>
    </w:p>
    <w:p w:rsidR="002C012B" w:rsidRDefault="001C064A">
      <w:pPr>
        <w:pStyle w:val="Obsah1"/>
        <w:rPr>
          <w:rFonts w:asciiTheme="minorHAnsi" w:eastAsiaTheme="minorEastAsia" w:hAnsiTheme="minorHAnsi" w:cstheme="minorBidi"/>
          <w:noProof/>
          <w:sz w:val="22"/>
          <w:szCs w:val="22"/>
        </w:rPr>
      </w:pPr>
      <w:hyperlink w:anchor="_Toc523466190" w:history="1">
        <w:r w:rsidR="002C012B" w:rsidRPr="00A316A0">
          <w:rPr>
            <w:rStyle w:val="Hypertextovodkaz"/>
            <w:noProof/>
          </w:rPr>
          <w:t>2. Základní vzdělávání</w:t>
        </w:r>
        <w:r w:rsidR="002C012B">
          <w:rPr>
            <w:noProof/>
            <w:webHidden/>
          </w:rPr>
          <w:tab/>
        </w:r>
        <w:r w:rsidR="002C012B">
          <w:rPr>
            <w:noProof/>
            <w:webHidden/>
          </w:rPr>
          <w:fldChar w:fldCharType="begin"/>
        </w:r>
        <w:r w:rsidR="002C012B">
          <w:rPr>
            <w:noProof/>
            <w:webHidden/>
          </w:rPr>
          <w:instrText xml:space="preserve"> PAGEREF _Toc523466190 \h </w:instrText>
        </w:r>
        <w:r w:rsidR="002C012B">
          <w:rPr>
            <w:noProof/>
            <w:webHidden/>
          </w:rPr>
        </w:r>
        <w:r w:rsidR="002C012B">
          <w:rPr>
            <w:noProof/>
            <w:webHidden/>
          </w:rPr>
          <w:fldChar w:fldCharType="separate"/>
        </w:r>
        <w:r w:rsidR="002C012B">
          <w:rPr>
            <w:noProof/>
            <w:webHidden/>
          </w:rPr>
          <w:t>12</w:t>
        </w:r>
        <w:r w:rsidR="002C012B">
          <w:rPr>
            <w:noProof/>
            <w:webHidden/>
          </w:rPr>
          <w:fldChar w:fldCharType="end"/>
        </w:r>
      </w:hyperlink>
    </w:p>
    <w:p w:rsidR="002C012B" w:rsidRDefault="001C064A">
      <w:pPr>
        <w:pStyle w:val="Obsah2"/>
        <w:rPr>
          <w:rFonts w:asciiTheme="minorHAnsi" w:eastAsiaTheme="minorEastAsia" w:hAnsiTheme="minorHAnsi" w:cstheme="minorBidi"/>
          <w:noProof/>
          <w:sz w:val="22"/>
          <w:szCs w:val="22"/>
        </w:rPr>
      </w:pPr>
      <w:hyperlink w:anchor="_Toc523466191" w:history="1">
        <w:r w:rsidR="002C012B" w:rsidRPr="00A316A0">
          <w:rPr>
            <w:rStyle w:val="Hypertextovodkaz"/>
            <w:noProof/>
          </w:rPr>
          <w:t>2.1 Základní školy – počty škol a jejich tříd</w:t>
        </w:r>
        <w:r w:rsidR="002C012B">
          <w:rPr>
            <w:noProof/>
            <w:webHidden/>
          </w:rPr>
          <w:tab/>
        </w:r>
        <w:r w:rsidR="002C012B">
          <w:rPr>
            <w:noProof/>
            <w:webHidden/>
          </w:rPr>
          <w:fldChar w:fldCharType="begin"/>
        </w:r>
        <w:r w:rsidR="002C012B">
          <w:rPr>
            <w:noProof/>
            <w:webHidden/>
          </w:rPr>
          <w:instrText xml:space="preserve"> PAGEREF _Toc523466191 \h </w:instrText>
        </w:r>
        <w:r w:rsidR="002C012B">
          <w:rPr>
            <w:noProof/>
            <w:webHidden/>
          </w:rPr>
        </w:r>
        <w:r w:rsidR="002C012B">
          <w:rPr>
            <w:noProof/>
            <w:webHidden/>
          </w:rPr>
          <w:fldChar w:fldCharType="separate"/>
        </w:r>
        <w:r w:rsidR="002C012B">
          <w:rPr>
            <w:noProof/>
            <w:webHidden/>
          </w:rPr>
          <w:t>13</w:t>
        </w:r>
        <w:r w:rsidR="002C012B">
          <w:rPr>
            <w:noProof/>
            <w:webHidden/>
          </w:rPr>
          <w:fldChar w:fldCharType="end"/>
        </w:r>
      </w:hyperlink>
    </w:p>
    <w:p w:rsidR="002C012B" w:rsidRDefault="001C064A">
      <w:pPr>
        <w:pStyle w:val="Obsah2"/>
        <w:rPr>
          <w:rFonts w:asciiTheme="minorHAnsi" w:eastAsiaTheme="minorEastAsia" w:hAnsiTheme="minorHAnsi" w:cstheme="minorBidi"/>
          <w:noProof/>
          <w:sz w:val="22"/>
          <w:szCs w:val="22"/>
        </w:rPr>
      </w:pPr>
      <w:hyperlink w:anchor="_Toc523466192" w:history="1">
        <w:r w:rsidR="002C012B" w:rsidRPr="00A316A0">
          <w:rPr>
            <w:rStyle w:val="Hypertextovodkaz"/>
            <w:noProof/>
          </w:rPr>
          <w:t>2.2 Žáci na základních školách – základní údaje</w:t>
        </w:r>
        <w:r w:rsidR="002C012B">
          <w:rPr>
            <w:noProof/>
            <w:webHidden/>
          </w:rPr>
          <w:tab/>
        </w:r>
        <w:r w:rsidR="002C012B">
          <w:rPr>
            <w:noProof/>
            <w:webHidden/>
          </w:rPr>
          <w:fldChar w:fldCharType="begin"/>
        </w:r>
        <w:r w:rsidR="002C012B">
          <w:rPr>
            <w:noProof/>
            <w:webHidden/>
          </w:rPr>
          <w:instrText xml:space="preserve"> PAGEREF _Toc523466192 \h </w:instrText>
        </w:r>
        <w:r w:rsidR="002C012B">
          <w:rPr>
            <w:noProof/>
            <w:webHidden/>
          </w:rPr>
        </w:r>
        <w:r w:rsidR="002C012B">
          <w:rPr>
            <w:noProof/>
            <w:webHidden/>
          </w:rPr>
          <w:fldChar w:fldCharType="separate"/>
        </w:r>
        <w:r w:rsidR="002C012B">
          <w:rPr>
            <w:noProof/>
            <w:webHidden/>
          </w:rPr>
          <w:t>14</w:t>
        </w:r>
        <w:r w:rsidR="002C012B">
          <w:rPr>
            <w:noProof/>
            <w:webHidden/>
          </w:rPr>
          <w:fldChar w:fldCharType="end"/>
        </w:r>
      </w:hyperlink>
    </w:p>
    <w:p w:rsidR="002C012B" w:rsidRDefault="001C064A">
      <w:pPr>
        <w:pStyle w:val="Obsah2"/>
        <w:rPr>
          <w:rFonts w:asciiTheme="minorHAnsi" w:eastAsiaTheme="minorEastAsia" w:hAnsiTheme="minorHAnsi" w:cstheme="minorBidi"/>
          <w:noProof/>
          <w:sz w:val="22"/>
          <w:szCs w:val="22"/>
        </w:rPr>
      </w:pPr>
      <w:hyperlink w:anchor="_Toc523466193" w:history="1">
        <w:r w:rsidR="002C012B" w:rsidRPr="00A316A0">
          <w:rPr>
            <w:rStyle w:val="Hypertextovodkaz"/>
            <w:noProof/>
          </w:rPr>
          <w:t>2.3 Zápisy do prvních tříd základních škol</w:t>
        </w:r>
        <w:r w:rsidR="002C012B">
          <w:rPr>
            <w:noProof/>
            <w:webHidden/>
          </w:rPr>
          <w:tab/>
        </w:r>
        <w:r w:rsidR="002C012B">
          <w:rPr>
            <w:noProof/>
            <w:webHidden/>
          </w:rPr>
          <w:fldChar w:fldCharType="begin"/>
        </w:r>
        <w:r w:rsidR="002C012B">
          <w:rPr>
            <w:noProof/>
            <w:webHidden/>
          </w:rPr>
          <w:instrText xml:space="preserve"> PAGEREF _Toc523466193 \h </w:instrText>
        </w:r>
        <w:r w:rsidR="002C012B">
          <w:rPr>
            <w:noProof/>
            <w:webHidden/>
          </w:rPr>
        </w:r>
        <w:r w:rsidR="002C012B">
          <w:rPr>
            <w:noProof/>
            <w:webHidden/>
          </w:rPr>
          <w:fldChar w:fldCharType="separate"/>
        </w:r>
        <w:r w:rsidR="002C012B">
          <w:rPr>
            <w:noProof/>
            <w:webHidden/>
          </w:rPr>
          <w:t>16</w:t>
        </w:r>
        <w:r w:rsidR="002C012B">
          <w:rPr>
            <w:noProof/>
            <w:webHidden/>
          </w:rPr>
          <w:fldChar w:fldCharType="end"/>
        </w:r>
      </w:hyperlink>
    </w:p>
    <w:p w:rsidR="002C012B" w:rsidRDefault="001C064A">
      <w:pPr>
        <w:pStyle w:val="Obsah2"/>
        <w:rPr>
          <w:rFonts w:asciiTheme="minorHAnsi" w:eastAsiaTheme="minorEastAsia" w:hAnsiTheme="minorHAnsi" w:cstheme="minorBidi"/>
          <w:noProof/>
          <w:sz w:val="22"/>
          <w:szCs w:val="22"/>
        </w:rPr>
      </w:pPr>
      <w:hyperlink w:anchor="_Toc523466194" w:history="1">
        <w:r w:rsidR="002C012B" w:rsidRPr="00A316A0">
          <w:rPr>
            <w:rStyle w:val="Hypertextovodkaz"/>
            <w:noProof/>
          </w:rPr>
          <w:t>2.4 Žáci s cizím státním občanstvím na základních školách</w:t>
        </w:r>
        <w:r w:rsidR="002C012B">
          <w:rPr>
            <w:noProof/>
            <w:webHidden/>
          </w:rPr>
          <w:tab/>
        </w:r>
        <w:r w:rsidR="002C012B">
          <w:rPr>
            <w:noProof/>
            <w:webHidden/>
          </w:rPr>
          <w:fldChar w:fldCharType="begin"/>
        </w:r>
        <w:r w:rsidR="002C012B">
          <w:rPr>
            <w:noProof/>
            <w:webHidden/>
          </w:rPr>
          <w:instrText xml:space="preserve"> PAGEREF _Toc523466194 \h </w:instrText>
        </w:r>
        <w:r w:rsidR="002C012B">
          <w:rPr>
            <w:noProof/>
            <w:webHidden/>
          </w:rPr>
        </w:r>
        <w:r w:rsidR="002C012B">
          <w:rPr>
            <w:noProof/>
            <w:webHidden/>
          </w:rPr>
          <w:fldChar w:fldCharType="separate"/>
        </w:r>
        <w:r w:rsidR="002C012B">
          <w:rPr>
            <w:noProof/>
            <w:webHidden/>
          </w:rPr>
          <w:t>16</w:t>
        </w:r>
        <w:r w:rsidR="002C012B">
          <w:rPr>
            <w:noProof/>
            <w:webHidden/>
          </w:rPr>
          <w:fldChar w:fldCharType="end"/>
        </w:r>
      </w:hyperlink>
    </w:p>
    <w:p w:rsidR="002C012B" w:rsidRDefault="001C064A">
      <w:pPr>
        <w:pStyle w:val="Obsah2"/>
        <w:rPr>
          <w:rFonts w:asciiTheme="minorHAnsi" w:eastAsiaTheme="minorEastAsia" w:hAnsiTheme="minorHAnsi" w:cstheme="minorBidi"/>
          <w:noProof/>
          <w:sz w:val="22"/>
          <w:szCs w:val="22"/>
        </w:rPr>
      </w:pPr>
      <w:hyperlink w:anchor="_Toc523466195" w:history="1">
        <w:r w:rsidR="002C012B" w:rsidRPr="00A316A0">
          <w:rPr>
            <w:rStyle w:val="Hypertextovodkaz"/>
            <w:noProof/>
          </w:rPr>
          <w:t>2.5 Žáci se speciálními vzdělávacími potřebami</w:t>
        </w:r>
        <w:r w:rsidR="002C012B">
          <w:rPr>
            <w:noProof/>
            <w:webHidden/>
          </w:rPr>
          <w:tab/>
        </w:r>
        <w:r w:rsidR="002C012B">
          <w:rPr>
            <w:noProof/>
            <w:webHidden/>
          </w:rPr>
          <w:fldChar w:fldCharType="begin"/>
        </w:r>
        <w:r w:rsidR="002C012B">
          <w:rPr>
            <w:noProof/>
            <w:webHidden/>
          </w:rPr>
          <w:instrText xml:space="preserve"> PAGEREF _Toc523466195 \h </w:instrText>
        </w:r>
        <w:r w:rsidR="002C012B">
          <w:rPr>
            <w:noProof/>
            <w:webHidden/>
          </w:rPr>
        </w:r>
        <w:r w:rsidR="002C012B">
          <w:rPr>
            <w:noProof/>
            <w:webHidden/>
          </w:rPr>
          <w:fldChar w:fldCharType="separate"/>
        </w:r>
        <w:r w:rsidR="002C012B">
          <w:rPr>
            <w:noProof/>
            <w:webHidden/>
          </w:rPr>
          <w:t>18</w:t>
        </w:r>
        <w:r w:rsidR="002C012B">
          <w:rPr>
            <w:noProof/>
            <w:webHidden/>
          </w:rPr>
          <w:fldChar w:fldCharType="end"/>
        </w:r>
      </w:hyperlink>
    </w:p>
    <w:p w:rsidR="002C012B" w:rsidRDefault="001C064A">
      <w:pPr>
        <w:pStyle w:val="Obsah2"/>
        <w:rPr>
          <w:rFonts w:asciiTheme="minorHAnsi" w:eastAsiaTheme="minorEastAsia" w:hAnsiTheme="minorHAnsi" w:cstheme="minorBidi"/>
          <w:noProof/>
          <w:sz w:val="22"/>
          <w:szCs w:val="22"/>
        </w:rPr>
      </w:pPr>
      <w:hyperlink w:anchor="_Toc523466196" w:history="1">
        <w:r w:rsidR="002C012B" w:rsidRPr="00A316A0">
          <w:rPr>
            <w:rStyle w:val="Hypertextovodkaz"/>
            <w:noProof/>
          </w:rPr>
          <w:t>2.6 Jazykové vzdělávání na základných školách</w:t>
        </w:r>
        <w:r w:rsidR="002C012B">
          <w:rPr>
            <w:noProof/>
            <w:webHidden/>
          </w:rPr>
          <w:tab/>
        </w:r>
        <w:r w:rsidR="002C012B">
          <w:rPr>
            <w:noProof/>
            <w:webHidden/>
          </w:rPr>
          <w:fldChar w:fldCharType="begin"/>
        </w:r>
        <w:r w:rsidR="002C012B">
          <w:rPr>
            <w:noProof/>
            <w:webHidden/>
          </w:rPr>
          <w:instrText xml:space="preserve"> PAGEREF _Toc523466196 \h </w:instrText>
        </w:r>
        <w:r w:rsidR="002C012B">
          <w:rPr>
            <w:noProof/>
            <w:webHidden/>
          </w:rPr>
        </w:r>
        <w:r w:rsidR="002C012B">
          <w:rPr>
            <w:noProof/>
            <w:webHidden/>
          </w:rPr>
          <w:fldChar w:fldCharType="separate"/>
        </w:r>
        <w:r w:rsidR="002C012B">
          <w:rPr>
            <w:noProof/>
            <w:webHidden/>
          </w:rPr>
          <w:t>19</w:t>
        </w:r>
        <w:r w:rsidR="002C012B">
          <w:rPr>
            <w:noProof/>
            <w:webHidden/>
          </w:rPr>
          <w:fldChar w:fldCharType="end"/>
        </w:r>
      </w:hyperlink>
    </w:p>
    <w:p w:rsidR="002C012B" w:rsidRDefault="001C064A">
      <w:pPr>
        <w:pStyle w:val="Obsah2"/>
        <w:rPr>
          <w:rFonts w:asciiTheme="minorHAnsi" w:eastAsiaTheme="minorEastAsia" w:hAnsiTheme="minorHAnsi" w:cstheme="minorBidi"/>
          <w:noProof/>
          <w:sz w:val="22"/>
          <w:szCs w:val="22"/>
        </w:rPr>
      </w:pPr>
      <w:hyperlink w:anchor="_Toc523466197" w:history="1">
        <w:r w:rsidR="002C012B" w:rsidRPr="00A316A0">
          <w:rPr>
            <w:rStyle w:val="Hypertextovodkaz"/>
            <w:noProof/>
          </w:rPr>
          <w:t>2.7 Počty učitelů a jejich průměrné mzdy</w:t>
        </w:r>
        <w:r w:rsidR="002C012B">
          <w:rPr>
            <w:noProof/>
            <w:webHidden/>
          </w:rPr>
          <w:tab/>
        </w:r>
        <w:r w:rsidR="002C012B">
          <w:rPr>
            <w:noProof/>
            <w:webHidden/>
          </w:rPr>
          <w:fldChar w:fldCharType="begin"/>
        </w:r>
        <w:r w:rsidR="002C012B">
          <w:rPr>
            <w:noProof/>
            <w:webHidden/>
          </w:rPr>
          <w:instrText xml:space="preserve"> PAGEREF _Toc523466197 \h </w:instrText>
        </w:r>
        <w:r w:rsidR="002C012B">
          <w:rPr>
            <w:noProof/>
            <w:webHidden/>
          </w:rPr>
        </w:r>
        <w:r w:rsidR="002C012B">
          <w:rPr>
            <w:noProof/>
            <w:webHidden/>
          </w:rPr>
          <w:fldChar w:fldCharType="separate"/>
        </w:r>
        <w:r w:rsidR="002C012B">
          <w:rPr>
            <w:noProof/>
            <w:webHidden/>
          </w:rPr>
          <w:t>20</w:t>
        </w:r>
        <w:r w:rsidR="002C012B">
          <w:rPr>
            <w:noProof/>
            <w:webHidden/>
          </w:rPr>
          <w:fldChar w:fldCharType="end"/>
        </w:r>
      </w:hyperlink>
    </w:p>
    <w:p w:rsidR="002C012B" w:rsidRDefault="001C064A">
      <w:pPr>
        <w:pStyle w:val="Obsah3"/>
        <w:rPr>
          <w:rFonts w:asciiTheme="minorHAnsi" w:eastAsiaTheme="minorEastAsia" w:hAnsiTheme="minorHAnsi" w:cstheme="minorBidi"/>
          <w:noProof/>
          <w:sz w:val="22"/>
          <w:szCs w:val="22"/>
        </w:rPr>
      </w:pPr>
      <w:hyperlink w:anchor="_Toc523466198" w:history="1">
        <w:r w:rsidR="002C012B" w:rsidRPr="00A316A0">
          <w:rPr>
            <w:rStyle w:val="Hypertextovodkaz"/>
            <w:noProof/>
          </w:rPr>
          <w:t>2.8 Základní poměrové ukazatele</w:t>
        </w:r>
        <w:r w:rsidR="002C012B">
          <w:rPr>
            <w:noProof/>
            <w:webHidden/>
          </w:rPr>
          <w:tab/>
        </w:r>
        <w:r w:rsidR="002C012B">
          <w:rPr>
            <w:noProof/>
            <w:webHidden/>
          </w:rPr>
          <w:fldChar w:fldCharType="begin"/>
        </w:r>
        <w:r w:rsidR="002C012B">
          <w:rPr>
            <w:noProof/>
            <w:webHidden/>
          </w:rPr>
          <w:instrText xml:space="preserve"> PAGEREF _Toc523466198 \h </w:instrText>
        </w:r>
        <w:r w:rsidR="002C012B">
          <w:rPr>
            <w:noProof/>
            <w:webHidden/>
          </w:rPr>
        </w:r>
        <w:r w:rsidR="002C012B">
          <w:rPr>
            <w:noProof/>
            <w:webHidden/>
          </w:rPr>
          <w:fldChar w:fldCharType="separate"/>
        </w:r>
        <w:r w:rsidR="002C012B">
          <w:rPr>
            <w:noProof/>
            <w:webHidden/>
          </w:rPr>
          <w:t>23</w:t>
        </w:r>
        <w:r w:rsidR="002C012B">
          <w:rPr>
            <w:noProof/>
            <w:webHidden/>
          </w:rPr>
          <w:fldChar w:fldCharType="end"/>
        </w:r>
      </w:hyperlink>
    </w:p>
    <w:p w:rsidR="002C012B" w:rsidRDefault="001C064A">
      <w:pPr>
        <w:pStyle w:val="Obsah1"/>
        <w:rPr>
          <w:rFonts w:asciiTheme="minorHAnsi" w:eastAsiaTheme="minorEastAsia" w:hAnsiTheme="minorHAnsi" w:cstheme="minorBidi"/>
          <w:noProof/>
          <w:sz w:val="22"/>
          <w:szCs w:val="22"/>
        </w:rPr>
      </w:pPr>
      <w:hyperlink w:anchor="_Toc523466199" w:history="1">
        <w:r w:rsidR="002C012B" w:rsidRPr="00A316A0">
          <w:rPr>
            <w:rStyle w:val="Hypertextovodkaz"/>
            <w:noProof/>
          </w:rPr>
          <w:t>3. Střední vzdělávání</w:t>
        </w:r>
        <w:r w:rsidR="002C012B">
          <w:rPr>
            <w:noProof/>
            <w:webHidden/>
          </w:rPr>
          <w:tab/>
        </w:r>
        <w:r w:rsidR="002C012B">
          <w:rPr>
            <w:noProof/>
            <w:webHidden/>
          </w:rPr>
          <w:fldChar w:fldCharType="begin"/>
        </w:r>
        <w:r w:rsidR="002C012B">
          <w:rPr>
            <w:noProof/>
            <w:webHidden/>
          </w:rPr>
          <w:instrText xml:space="preserve"> PAGEREF _Toc523466199 \h </w:instrText>
        </w:r>
        <w:r w:rsidR="002C012B">
          <w:rPr>
            <w:noProof/>
            <w:webHidden/>
          </w:rPr>
        </w:r>
        <w:r w:rsidR="002C012B">
          <w:rPr>
            <w:noProof/>
            <w:webHidden/>
          </w:rPr>
          <w:fldChar w:fldCharType="separate"/>
        </w:r>
        <w:r w:rsidR="002C012B">
          <w:rPr>
            <w:noProof/>
            <w:webHidden/>
          </w:rPr>
          <w:t>25</w:t>
        </w:r>
        <w:r w:rsidR="002C012B">
          <w:rPr>
            <w:noProof/>
            <w:webHidden/>
          </w:rPr>
          <w:fldChar w:fldCharType="end"/>
        </w:r>
      </w:hyperlink>
    </w:p>
    <w:p w:rsidR="002C012B" w:rsidRDefault="001C064A">
      <w:pPr>
        <w:pStyle w:val="Obsah2"/>
        <w:rPr>
          <w:rFonts w:asciiTheme="minorHAnsi" w:eastAsiaTheme="minorEastAsia" w:hAnsiTheme="minorHAnsi" w:cstheme="minorBidi"/>
          <w:noProof/>
          <w:sz w:val="22"/>
          <w:szCs w:val="22"/>
        </w:rPr>
      </w:pPr>
      <w:hyperlink w:anchor="_Toc523466200" w:history="1">
        <w:r w:rsidR="002C012B" w:rsidRPr="00A316A0">
          <w:rPr>
            <w:rStyle w:val="Hypertextovodkaz"/>
            <w:noProof/>
          </w:rPr>
          <w:t>3.1 Střední školy – základní ukazatele</w:t>
        </w:r>
        <w:r w:rsidR="002C012B">
          <w:rPr>
            <w:noProof/>
            <w:webHidden/>
          </w:rPr>
          <w:tab/>
        </w:r>
        <w:r w:rsidR="002C012B">
          <w:rPr>
            <w:noProof/>
            <w:webHidden/>
          </w:rPr>
          <w:fldChar w:fldCharType="begin"/>
        </w:r>
        <w:r w:rsidR="002C012B">
          <w:rPr>
            <w:noProof/>
            <w:webHidden/>
          </w:rPr>
          <w:instrText xml:space="preserve"> PAGEREF _Toc523466200 \h </w:instrText>
        </w:r>
        <w:r w:rsidR="002C012B">
          <w:rPr>
            <w:noProof/>
            <w:webHidden/>
          </w:rPr>
        </w:r>
        <w:r w:rsidR="002C012B">
          <w:rPr>
            <w:noProof/>
            <w:webHidden/>
          </w:rPr>
          <w:fldChar w:fldCharType="separate"/>
        </w:r>
        <w:r w:rsidR="002C012B">
          <w:rPr>
            <w:noProof/>
            <w:webHidden/>
          </w:rPr>
          <w:t>25</w:t>
        </w:r>
        <w:r w:rsidR="002C012B">
          <w:rPr>
            <w:noProof/>
            <w:webHidden/>
          </w:rPr>
          <w:fldChar w:fldCharType="end"/>
        </w:r>
      </w:hyperlink>
    </w:p>
    <w:p w:rsidR="002C012B" w:rsidRDefault="001C064A">
      <w:pPr>
        <w:pStyle w:val="Obsah2"/>
        <w:rPr>
          <w:rFonts w:asciiTheme="minorHAnsi" w:eastAsiaTheme="minorEastAsia" w:hAnsiTheme="minorHAnsi" w:cstheme="minorBidi"/>
          <w:noProof/>
          <w:sz w:val="22"/>
          <w:szCs w:val="22"/>
        </w:rPr>
      </w:pPr>
      <w:hyperlink w:anchor="_Toc523466201" w:history="1">
        <w:r w:rsidR="002C012B" w:rsidRPr="00A316A0">
          <w:rPr>
            <w:rStyle w:val="Hypertextovodkaz"/>
            <w:noProof/>
          </w:rPr>
          <w:t>3.2 Typy středního vzdělávání</w:t>
        </w:r>
        <w:r w:rsidR="002C012B">
          <w:rPr>
            <w:noProof/>
            <w:webHidden/>
          </w:rPr>
          <w:tab/>
        </w:r>
        <w:r w:rsidR="002C012B">
          <w:rPr>
            <w:noProof/>
            <w:webHidden/>
          </w:rPr>
          <w:fldChar w:fldCharType="begin"/>
        </w:r>
        <w:r w:rsidR="002C012B">
          <w:rPr>
            <w:noProof/>
            <w:webHidden/>
          </w:rPr>
          <w:instrText xml:space="preserve"> PAGEREF _Toc523466201 \h </w:instrText>
        </w:r>
        <w:r w:rsidR="002C012B">
          <w:rPr>
            <w:noProof/>
            <w:webHidden/>
          </w:rPr>
        </w:r>
        <w:r w:rsidR="002C012B">
          <w:rPr>
            <w:noProof/>
            <w:webHidden/>
          </w:rPr>
          <w:fldChar w:fldCharType="separate"/>
        </w:r>
        <w:r w:rsidR="002C012B">
          <w:rPr>
            <w:noProof/>
            <w:webHidden/>
          </w:rPr>
          <w:t>26</w:t>
        </w:r>
        <w:r w:rsidR="002C012B">
          <w:rPr>
            <w:noProof/>
            <w:webHidden/>
          </w:rPr>
          <w:fldChar w:fldCharType="end"/>
        </w:r>
      </w:hyperlink>
    </w:p>
    <w:p w:rsidR="002C012B" w:rsidRDefault="001C064A">
      <w:pPr>
        <w:pStyle w:val="Obsah2"/>
        <w:rPr>
          <w:rFonts w:asciiTheme="minorHAnsi" w:eastAsiaTheme="minorEastAsia" w:hAnsiTheme="minorHAnsi" w:cstheme="minorBidi"/>
          <w:noProof/>
          <w:sz w:val="22"/>
          <w:szCs w:val="22"/>
        </w:rPr>
      </w:pPr>
      <w:hyperlink w:anchor="_Toc523466202" w:history="1">
        <w:r w:rsidR="002C012B" w:rsidRPr="00A316A0">
          <w:rPr>
            <w:rStyle w:val="Hypertextovodkaz"/>
            <w:noProof/>
          </w:rPr>
          <w:t>3.3 Střední vzdělávání s výučním listem</w:t>
        </w:r>
        <w:r w:rsidR="002C012B">
          <w:rPr>
            <w:noProof/>
            <w:webHidden/>
          </w:rPr>
          <w:tab/>
        </w:r>
        <w:r w:rsidR="002C012B">
          <w:rPr>
            <w:noProof/>
            <w:webHidden/>
          </w:rPr>
          <w:fldChar w:fldCharType="begin"/>
        </w:r>
        <w:r w:rsidR="002C012B">
          <w:rPr>
            <w:noProof/>
            <w:webHidden/>
          </w:rPr>
          <w:instrText xml:space="preserve"> PAGEREF _Toc523466202 \h </w:instrText>
        </w:r>
        <w:r w:rsidR="002C012B">
          <w:rPr>
            <w:noProof/>
            <w:webHidden/>
          </w:rPr>
        </w:r>
        <w:r w:rsidR="002C012B">
          <w:rPr>
            <w:noProof/>
            <w:webHidden/>
          </w:rPr>
          <w:fldChar w:fldCharType="separate"/>
        </w:r>
        <w:r w:rsidR="002C012B">
          <w:rPr>
            <w:noProof/>
            <w:webHidden/>
          </w:rPr>
          <w:t>27</w:t>
        </w:r>
        <w:r w:rsidR="002C012B">
          <w:rPr>
            <w:noProof/>
            <w:webHidden/>
          </w:rPr>
          <w:fldChar w:fldCharType="end"/>
        </w:r>
      </w:hyperlink>
    </w:p>
    <w:p w:rsidR="002C012B" w:rsidRDefault="001C064A">
      <w:pPr>
        <w:pStyle w:val="Obsah2"/>
        <w:rPr>
          <w:rFonts w:asciiTheme="minorHAnsi" w:eastAsiaTheme="minorEastAsia" w:hAnsiTheme="minorHAnsi" w:cstheme="minorBidi"/>
          <w:noProof/>
          <w:sz w:val="22"/>
          <w:szCs w:val="22"/>
        </w:rPr>
      </w:pPr>
      <w:hyperlink w:anchor="_Toc523466203" w:history="1">
        <w:r w:rsidR="002C012B" w:rsidRPr="00A316A0">
          <w:rPr>
            <w:rStyle w:val="Hypertextovodkaz"/>
            <w:noProof/>
          </w:rPr>
          <w:t>3.4 Střední vzdělávání s maturitní zkouškou</w:t>
        </w:r>
        <w:r w:rsidR="002C012B">
          <w:rPr>
            <w:noProof/>
            <w:webHidden/>
          </w:rPr>
          <w:tab/>
        </w:r>
        <w:r w:rsidR="002C012B">
          <w:rPr>
            <w:noProof/>
            <w:webHidden/>
          </w:rPr>
          <w:fldChar w:fldCharType="begin"/>
        </w:r>
        <w:r w:rsidR="002C012B">
          <w:rPr>
            <w:noProof/>
            <w:webHidden/>
          </w:rPr>
          <w:instrText xml:space="preserve"> PAGEREF _Toc523466203 \h </w:instrText>
        </w:r>
        <w:r w:rsidR="002C012B">
          <w:rPr>
            <w:noProof/>
            <w:webHidden/>
          </w:rPr>
        </w:r>
        <w:r w:rsidR="002C012B">
          <w:rPr>
            <w:noProof/>
            <w:webHidden/>
          </w:rPr>
          <w:fldChar w:fldCharType="separate"/>
        </w:r>
        <w:r w:rsidR="002C012B">
          <w:rPr>
            <w:noProof/>
            <w:webHidden/>
          </w:rPr>
          <w:t>28</w:t>
        </w:r>
        <w:r w:rsidR="002C012B">
          <w:rPr>
            <w:noProof/>
            <w:webHidden/>
          </w:rPr>
          <w:fldChar w:fldCharType="end"/>
        </w:r>
      </w:hyperlink>
    </w:p>
    <w:p w:rsidR="002C012B" w:rsidRDefault="001C064A">
      <w:pPr>
        <w:pStyle w:val="Obsah3"/>
        <w:rPr>
          <w:rFonts w:asciiTheme="minorHAnsi" w:eastAsiaTheme="minorEastAsia" w:hAnsiTheme="minorHAnsi" w:cstheme="minorBidi"/>
          <w:noProof/>
          <w:sz w:val="22"/>
          <w:szCs w:val="22"/>
        </w:rPr>
      </w:pPr>
      <w:hyperlink w:anchor="_Toc523466204" w:history="1">
        <w:r w:rsidR="002C012B" w:rsidRPr="00A316A0">
          <w:rPr>
            <w:rStyle w:val="Hypertextovodkaz"/>
            <w:noProof/>
          </w:rPr>
          <w:t>Střední vzdělávání s maturitní zkouškou odborné</w:t>
        </w:r>
        <w:r w:rsidR="002C012B">
          <w:rPr>
            <w:noProof/>
            <w:webHidden/>
          </w:rPr>
          <w:tab/>
        </w:r>
        <w:r w:rsidR="002C012B">
          <w:rPr>
            <w:noProof/>
            <w:webHidden/>
          </w:rPr>
          <w:fldChar w:fldCharType="begin"/>
        </w:r>
        <w:r w:rsidR="002C012B">
          <w:rPr>
            <w:noProof/>
            <w:webHidden/>
          </w:rPr>
          <w:instrText xml:space="preserve"> PAGEREF _Toc523466204 \h </w:instrText>
        </w:r>
        <w:r w:rsidR="002C012B">
          <w:rPr>
            <w:noProof/>
            <w:webHidden/>
          </w:rPr>
        </w:r>
        <w:r w:rsidR="002C012B">
          <w:rPr>
            <w:noProof/>
            <w:webHidden/>
          </w:rPr>
          <w:fldChar w:fldCharType="separate"/>
        </w:r>
        <w:r w:rsidR="002C012B">
          <w:rPr>
            <w:noProof/>
            <w:webHidden/>
          </w:rPr>
          <w:t>28</w:t>
        </w:r>
        <w:r w:rsidR="002C012B">
          <w:rPr>
            <w:noProof/>
            <w:webHidden/>
          </w:rPr>
          <w:fldChar w:fldCharType="end"/>
        </w:r>
      </w:hyperlink>
    </w:p>
    <w:p w:rsidR="002C012B" w:rsidRDefault="001C064A">
      <w:pPr>
        <w:pStyle w:val="Obsah3"/>
        <w:rPr>
          <w:rFonts w:asciiTheme="minorHAnsi" w:eastAsiaTheme="minorEastAsia" w:hAnsiTheme="minorHAnsi" w:cstheme="minorBidi"/>
          <w:noProof/>
          <w:sz w:val="22"/>
          <w:szCs w:val="22"/>
        </w:rPr>
      </w:pPr>
      <w:hyperlink w:anchor="_Toc523466205" w:history="1">
        <w:r w:rsidR="002C012B" w:rsidRPr="00A316A0">
          <w:rPr>
            <w:rStyle w:val="Hypertextovodkaz"/>
            <w:noProof/>
          </w:rPr>
          <w:t>Střední vzdělávání s maturitní zkouškou všeobecné</w:t>
        </w:r>
        <w:r w:rsidR="002C012B">
          <w:rPr>
            <w:noProof/>
            <w:webHidden/>
          </w:rPr>
          <w:tab/>
        </w:r>
        <w:r w:rsidR="002C012B">
          <w:rPr>
            <w:noProof/>
            <w:webHidden/>
          </w:rPr>
          <w:fldChar w:fldCharType="begin"/>
        </w:r>
        <w:r w:rsidR="002C012B">
          <w:rPr>
            <w:noProof/>
            <w:webHidden/>
          </w:rPr>
          <w:instrText xml:space="preserve"> PAGEREF _Toc523466205 \h </w:instrText>
        </w:r>
        <w:r w:rsidR="002C012B">
          <w:rPr>
            <w:noProof/>
            <w:webHidden/>
          </w:rPr>
        </w:r>
        <w:r w:rsidR="002C012B">
          <w:rPr>
            <w:noProof/>
            <w:webHidden/>
          </w:rPr>
          <w:fldChar w:fldCharType="separate"/>
        </w:r>
        <w:r w:rsidR="002C012B">
          <w:rPr>
            <w:noProof/>
            <w:webHidden/>
          </w:rPr>
          <w:t>29</w:t>
        </w:r>
        <w:r w:rsidR="002C012B">
          <w:rPr>
            <w:noProof/>
            <w:webHidden/>
          </w:rPr>
          <w:fldChar w:fldCharType="end"/>
        </w:r>
      </w:hyperlink>
    </w:p>
    <w:p w:rsidR="002C012B" w:rsidRDefault="001C064A">
      <w:pPr>
        <w:pStyle w:val="Obsah2"/>
        <w:rPr>
          <w:rFonts w:asciiTheme="minorHAnsi" w:eastAsiaTheme="minorEastAsia" w:hAnsiTheme="minorHAnsi" w:cstheme="minorBidi"/>
          <w:noProof/>
          <w:sz w:val="22"/>
          <w:szCs w:val="22"/>
        </w:rPr>
      </w:pPr>
      <w:hyperlink w:anchor="_Toc523466206" w:history="1">
        <w:r w:rsidR="002C012B" w:rsidRPr="00A316A0">
          <w:rPr>
            <w:rStyle w:val="Hypertextovodkaz"/>
            <w:noProof/>
          </w:rPr>
          <w:t>3.5 Nástavbové studium</w:t>
        </w:r>
        <w:r w:rsidR="002C012B">
          <w:rPr>
            <w:noProof/>
            <w:webHidden/>
          </w:rPr>
          <w:tab/>
        </w:r>
        <w:r w:rsidR="002C012B">
          <w:rPr>
            <w:noProof/>
            <w:webHidden/>
          </w:rPr>
          <w:fldChar w:fldCharType="begin"/>
        </w:r>
        <w:r w:rsidR="002C012B">
          <w:rPr>
            <w:noProof/>
            <w:webHidden/>
          </w:rPr>
          <w:instrText xml:space="preserve"> PAGEREF _Toc523466206 \h </w:instrText>
        </w:r>
        <w:r w:rsidR="002C012B">
          <w:rPr>
            <w:noProof/>
            <w:webHidden/>
          </w:rPr>
        </w:r>
        <w:r w:rsidR="002C012B">
          <w:rPr>
            <w:noProof/>
            <w:webHidden/>
          </w:rPr>
          <w:fldChar w:fldCharType="separate"/>
        </w:r>
        <w:r w:rsidR="002C012B">
          <w:rPr>
            <w:noProof/>
            <w:webHidden/>
          </w:rPr>
          <w:t>29</w:t>
        </w:r>
        <w:r w:rsidR="002C012B">
          <w:rPr>
            <w:noProof/>
            <w:webHidden/>
          </w:rPr>
          <w:fldChar w:fldCharType="end"/>
        </w:r>
      </w:hyperlink>
    </w:p>
    <w:p w:rsidR="002C012B" w:rsidRDefault="001C064A">
      <w:pPr>
        <w:pStyle w:val="Obsah1"/>
        <w:rPr>
          <w:rFonts w:asciiTheme="minorHAnsi" w:eastAsiaTheme="minorEastAsia" w:hAnsiTheme="minorHAnsi" w:cstheme="minorBidi"/>
          <w:noProof/>
          <w:sz w:val="22"/>
          <w:szCs w:val="22"/>
        </w:rPr>
      </w:pPr>
      <w:hyperlink w:anchor="_Toc523466207" w:history="1">
        <w:r w:rsidR="002C012B" w:rsidRPr="00A316A0">
          <w:rPr>
            <w:rStyle w:val="Hypertextovodkaz"/>
            <w:noProof/>
          </w:rPr>
          <w:t>4. Vysoké školy</w:t>
        </w:r>
        <w:r w:rsidR="002C012B">
          <w:rPr>
            <w:noProof/>
            <w:webHidden/>
          </w:rPr>
          <w:tab/>
        </w:r>
        <w:r w:rsidR="002C012B">
          <w:rPr>
            <w:noProof/>
            <w:webHidden/>
          </w:rPr>
          <w:fldChar w:fldCharType="begin"/>
        </w:r>
        <w:r w:rsidR="002C012B">
          <w:rPr>
            <w:noProof/>
            <w:webHidden/>
          </w:rPr>
          <w:instrText xml:space="preserve"> PAGEREF _Toc523466207 \h </w:instrText>
        </w:r>
        <w:r w:rsidR="002C012B">
          <w:rPr>
            <w:noProof/>
            <w:webHidden/>
          </w:rPr>
        </w:r>
        <w:r w:rsidR="002C012B">
          <w:rPr>
            <w:noProof/>
            <w:webHidden/>
          </w:rPr>
          <w:fldChar w:fldCharType="separate"/>
        </w:r>
        <w:r w:rsidR="002C012B">
          <w:rPr>
            <w:noProof/>
            <w:webHidden/>
          </w:rPr>
          <w:t>30</w:t>
        </w:r>
        <w:r w:rsidR="002C012B">
          <w:rPr>
            <w:noProof/>
            <w:webHidden/>
          </w:rPr>
          <w:fldChar w:fldCharType="end"/>
        </w:r>
      </w:hyperlink>
    </w:p>
    <w:p w:rsidR="002C012B" w:rsidRDefault="001C064A">
      <w:pPr>
        <w:pStyle w:val="Obsah2"/>
        <w:rPr>
          <w:rFonts w:asciiTheme="minorHAnsi" w:eastAsiaTheme="minorEastAsia" w:hAnsiTheme="minorHAnsi" w:cstheme="minorBidi"/>
          <w:noProof/>
          <w:sz w:val="22"/>
          <w:szCs w:val="22"/>
        </w:rPr>
      </w:pPr>
      <w:hyperlink w:anchor="_Toc523466208" w:history="1">
        <w:r w:rsidR="002C012B" w:rsidRPr="00A316A0">
          <w:rPr>
            <w:rStyle w:val="Hypertextovodkaz"/>
            <w:noProof/>
          </w:rPr>
          <w:t>4.1 Studijní programy</w:t>
        </w:r>
        <w:r w:rsidR="002C012B">
          <w:rPr>
            <w:noProof/>
            <w:webHidden/>
          </w:rPr>
          <w:tab/>
        </w:r>
        <w:r w:rsidR="002C012B">
          <w:rPr>
            <w:noProof/>
            <w:webHidden/>
          </w:rPr>
          <w:fldChar w:fldCharType="begin"/>
        </w:r>
        <w:r w:rsidR="002C012B">
          <w:rPr>
            <w:noProof/>
            <w:webHidden/>
          </w:rPr>
          <w:instrText xml:space="preserve"> PAGEREF _Toc523466208 \h </w:instrText>
        </w:r>
        <w:r w:rsidR="002C012B">
          <w:rPr>
            <w:noProof/>
            <w:webHidden/>
          </w:rPr>
        </w:r>
        <w:r w:rsidR="002C012B">
          <w:rPr>
            <w:noProof/>
            <w:webHidden/>
          </w:rPr>
          <w:fldChar w:fldCharType="separate"/>
        </w:r>
        <w:r w:rsidR="002C012B">
          <w:rPr>
            <w:noProof/>
            <w:webHidden/>
          </w:rPr>
          <w:t>30</w:t>
        </w:r>
        <w:r w:rsidR="002C012B">
          <w:rPr>
            <w:noProof/>
            <w:webHidden/>
          </w:rPr>
          <w:fldChar w:fldCharType="end"/>
        </w:r>
      </w:hyperlink>
    </w:p>
    <w:p w:rsidR="002C012B" w:rsidRDefault="001C064A">
      <w:pPr>
        <w:pStyle w:val="Obsah2"/>
        <w:rPr>
          <w:rFonts w:asciiTheme="minorHAnsi" w:eastAsiaTheme="minorEastAsia" w:hAnsiTheme="minorHAnsi" w:cstheme="minorBidi"/>
          <w:noProof/>
          <w:sz w:val="22"/>
          <w:szCs w:val="22"/>
        </w:rPr>
      </w:pPr>
      <w:hyperlink w:anchor="_Toc523466209" w:history="1">
        <w:r w:rsidR="002C012B" w:rsidRPr="00A316A0">
          <w:rPr>
            <w:rStyle w:val="Hypertextovodkaz"/>
            <w:noProof/>
          </w:rPr>
          <w:t>4.2 Studenti vysokých škol v ČR s cizím státním občanstvím</w:t>
        </w:r>
        <w:r w:rsidR="002C012B">
          <w:rPr>
            <w:noProof/>
            <w:webHidden/>
          </w:rPr>
          <w:tab/>
        </w:r>
        <w:r w:rsidR="002C012B">
          <w:rPr>
            <w:noProof/>
            <w:webHidden/>
          </w:rPr>
          <w:fldChar w:fldCharType="begin"/>
        </w:r>
        <w:r w:rsidR="002C012B">
          <w:rPr>
            <w:noProof/>
            <w:webHidden/>
          </w:rPr>
          <w:instrText xml:space="preserve"> PAGEREF _Toc523466209 \h </w:instrText>
        </w:r>
        <w:r w:rsidR="002C012B">
          <w:rPr>
            <w:noProof/>
            <w:webHidden/>
          </w:rPr>
        </w:r>
        <w:r w:rsidR="002C012B">
          <w:rPr>
            <w:noProof/>
            <w:webHidden/>
          </w:rPr>
          <w:fldChar w:fldCharType="separate"/>
        </w:r>
        <w:r w:rsidR="002C012B">
          <w:rPr>
            <w:noProof/>
            <w:webHidden/>
          </w:rPr>
          <w:t>31</w:t>
        </w:r>
        <w:r w:rsidR="002C012B">
          <w:rPr>
            <w:noProof/>
            <w:webHidden/>
          </w:rPr>
          <w:fldChar w:fldCharType="end"/>
        </w:r>
      </w:hyperlink>
    </w:p>
    <w:p w:rsidR="002C012B" w:rsidRDefault="001C064A">
      <w:pPr>
        <w:pStyle w:val="Obsah2"/>
        <w:rPr>
          <w:rFonts w:asciiTheme="minorHAnsi" w:eastAsiaTheme="minorEastAsia" w:hAnsiTheme="minorHAnsi" w:cstheme="minorBidi"/>
          <w:noProof/>
          <w:sz w:val="22"/>
          <w:szCs w:val="22"/>
        </w:rPr>
      </w:pPr>
      <w:hyperlink w:anchor="_Toc523466210" w:history="1">
        <w:r w:rsidR="002C012B" w:rsidRPr="00A316A0">
          <w:rPr>
            <w:rStyle w:val="Hypertextovodkaz"/>
            <w:noProof/>
          </w:rPr>
          <w:t>4.3 Studenti doktorského studia</w:t>
        </w:r>
        <w:r w:rsidR="002C012B">
          <w:rPr>
            <w:noProof/>
            <w:webHidden/>
          </w:rPr>
          <w:tab/>
        </w:r>
        <w:r w:rsidR="002C012B">
          <w:rPr>
            <w:noProof/>
            <w:webHidden/>
          </w:rPr>
          <w:fldChar w:fldCharType="begin"/>
        </w:r>
        <w:r w:rsidR="002C012B">
          <w:rPr>
            <w:noProof/>
            <w:webHidden/>
          </w:rPr>
          <w:instrText xml:space="preserve"> PAGEREF _Toc523466210 \h </w:instrText>
        </w:r>
        <w:r w:rsidR="002C012B">
          <w:rPr>
            <w:noProof/>
            <w:webHidden/>
          </w:rPr>
        </w:r>
        <w:r w:rsidR="002C012B">
          <w:rPr>
            <w:noProof/>
            <w:webHidden/>
          </w:rPr>
          <w:fldChar w:fldCharType="separate"/>
        </w:r>
        <w:r w:rsidR="002C012B">
          <w:rPr>
            <w:noProof/>
            <w:webHidden/>
          </w:rPr>
          <w:t>32</w:t>
        </w:r>
        <w:r w:rsidR="002C012B">
          <w:rPr>
            <w:noProof/>
            <w:webHidden/>
          </w:rPr>
          <w:fldChar w:fldCharType="end"/>
        </w:r>
      </w:hyperlink>
    </w:p>
    <w:p w:rsidR="00A365B0" w:rsidRPr="00A365B0" w:rsidRDefault="006360DB" w:rsidP="006360DB">
      <w:r>
        <w:fldChar w:fldCharType="end"/>
      </w:r>
    </w:p>
    <w:p w:rsidR="004F7BA7" w:rsidRPr="004F7BA7" w:rsidRDefault="006360DB" w:rsidP="004F7BA7">
      <w:pPr>
        <w:pStyle w:val="Nadpis1"/>
      </w:pPr>
      <w:bookmarkStart w:id="2" w:name="_Toc523408594"/>
      <w:r>
        <w:br w:type="page"/>
      </w:r>
      <w:bookmarkStart w:id="3" w:name="_Toc523466180"/>
      <w:r w:rsidR="004F7BA7" w:rsidRPr="004F7BA7">
        <w:lastRenderedPageBreak/>
        <w:t>1. Předškolní vzdělávání</w:t>
      </w:r>
      <w:bookmarkEnd w:id="2"/>
      <w:bookmarkEnd w:id="3"/>
    </w:p>
    <w:p w:rsidR="004F7BA7" w:rsidRDefault="004F7BA7" w:rsidP="00695F91">
      <w:pPr>
        <w:spacing w:after="120" w:line="276" w:lineRule="auto"/>
        <w:jc w:val="both"/>
        <w:rPr>
          <w:rFonts w:cs="Arial"/>
          <w:szCs w:val="20"/>
        </w:rPr>
      </w:pPr>
      <w:r>
        <w:rPr>
          <w:rFonts w:cs="Arial"/>
          <w:szCs w:val="20"/>
        </w:rPr>
        <w:t>Úloha p</w:t>
      </w:r>
      <w:r w:rsidRPr="0073133B">
        <w:rPr>
          <w:rFonts w:cs="Arial"/>
          <w:szCs w:val="20"/>
        </w:rPr>
        <w:t>ředškolní</w:t>
      </w:r>
      <w:r>
        <w:rPr>
          <w:rFonts w:cs="Arial"/>
          <w:szCs w:val="20"/>
        </w:rPr>
        <w:t>ho</w:t>
      </w:r>
      <w:r w:rsidRPr="0073133B">
        <w:rPr>
          <w:rFonts w:cs="Arial"/>
          <w:szCs w:val="20"/>
        </w:rPr>
        <w:t xml:space="preserve"> vzdělávání</w:t>
      </w:r>
      <w:r>
        <w:rPr>
          <w:rFonts w:cs="Arial"/>
          <w:szCs w:val="20"/>
        </w:rPr>
        <w:t xml:space="preserve"> </w:t>
      </w:r>
      <w:r w:rsidRPr="0073133B">
        <w:rPr>
          <w:rFonts w:cs="Arial"/>
          <w:szCs w:val="20"/>
        </w:rPr>
        <w:t>spočívá</w:t>
      </w:r>
      <w:r>
        <w:rPr>
          <w:rFonts w:cs="Arial"/>
          <w:szCs w:val="20"/>
        </w:rPr>
        <w:t xml:space="preserve"> v </w:t>
      </w:r>
      <w:r w:rsidRPr="0073133B">
        <w:rPr>
          <w:rFonts w:cs="Arial"/>
          <w:szCs w:val="20"/>
        </w:rPr>
        <w:t>podpoře kognitivního, sociálního, č</w:t>
      </w:r>
      <w:r>
        <w:rPr>
          <w:rFonts w:cs="Arial"/>
          <w:szCs w:val="20"/>
        </w:rPr>
        <w:t>i </w:t>
      </w:r>
      <w:r w:rsidRPr="0073133B">
        <w:rPr>
          <w:rFonts w:cs="Arial"/>
          <w:szCs w:val="20"/>
        </w:rPr>
        <w:t>emočníh</w:t>
      </w:r>
      <w:r>
        <w:rPr>
          <w:rFonts w:cs="Arial"/>
          <w:szCs w:val="20"/>
        </w:rPr>
        <w:t xml:space="preserve">o </w:t>
      </w:r>
      <w:r w:rsidRPr="0073133B">
        <w:rPr>
          <w:rFonts w:cs="Arial"/>
          <w:szCs w:val="20"/>
        </w:rPr>
        <w:t>rozvoje dětí</w:t>
      </w:r>
      <w:r>
        <w:rPr>
          <w:rFonts w:cs="Arial"/>
          <w:szCs w:val="20"/>
        </w:rPr>
        <w:t xml:space="preserve"> a v</w:t>
      </w:r>
      <w:r w:rsidR="00C55813">
        <w:rPr>
          <w:rFonts w:cs="Arial"/>
          <w:szCs w:val="20"/>
        </w:rPr>
        <w:t> </w:t>
      </w:r>
      <w:r>
        <w:rPr>
          <w:rFonts w:cs="Arial"/>
          <w:szCs w:val="20"/>
        </w:rPr>
        <w:t>poskytnutí základní přípravy na navazující školní vzdělávání</w:t>
      </w:r>
      <w:r w:rsidRPr="0073133B">
        <w:rPr>
          <w:rFonts w:cs="Arial"/>
          <w:szCs w:val="20"/>
        </w:rPr>
        <w:t xml:space="preserve">. </w:t>
      </w:r>
      <w:r w:rsidRPr="00F701A9">
        <w:rPr>
          <w:rFonts w:cs="Arial"/>
          <w:szCs w:val="20"/>
        </w:rPr>
        <w:t>Novela školského zákona, zákon č.</w:t>
      </w:r>
      <w:r>
        <w:rPr>
          <w:rFonts w:cs="Arial"/>
          <w:szCs w:val="20"/>
        </w:rPr>
        <w:t> </w:t>
      </w:r>
      <w:r w:rsidRPr="00F701A9">
        <w:rPr>
          <w:rFonts w:cs="Arial"/>
          <w:szCs w:val="20"/>
        </w:rPr>
        <w:t>178/2016 Sb.</w:t>
      </w:r>
      <w:r>
        <w:rPr>
          <w:rFonts w:cs="Arial"/>
          <w:szCs w:val="20"/>
        </w:rPr>
        <w:t>,</w:t>
      </w:r>
      <w:r w:rsidRPr="00F701A9">
        <w:rPr>
          <w:rFonts w:cs="Arial"/>
          <w:szCs w:val="20"/>
        </w:rPr>
        <w:t xml:space="preserve"> zavedla s účinností od září 2017 povinné předškolní vzdělávání.</w:t>
      </w:r>
      <w:r>
        <w:rPr>
          <w:rFonts w:cs="Arial"/>
          <w:szCs w:val="20"/>
        </w:rPr>
        <w:t xml:space="preserve"> </w:t>
      </w:r>
      <w:r w:rsidRPr="00F701A9">
        <w:rPr>
          <w:rFonts w:cs="Arial"/>
          <w:szCs w:val="20"/>
        </w:rPr>
        <w:t xml:space="preserve">Děti, které dosáhnou pěti let věku do 31. 8., musí v následujícím školním roce </w:t>
      </w:r>
      <w:r>
        <w:rPr>
          <w:rFonts w:cs="Arial"/>
          <w:szCs w:val="20"/>
        </w:rPr>
        <w:t>absolvovat</w:t>
      </w:r>
      <w:r w:rsidRPr="00F701A9">
        <w:rPr>
          <w:rFonts w:cs="Arial"/>
          <w:szCs w:val="20"/>
        </w:rPr>
        <w:t xml:space="preserve"> povinné předškolní</w:t>
      </w:r>
      <w:r>
        <w:rPr>
          <w:rFonts w:cs="Arial"/>
          <w:szCs w:val="20"/>
        </w:rPr>
        <w:t xml:space="preserve"> </w:t>
      </w:r>
      <w:r w:rsidRPr="00F701A9">
        <w:rPr>
          <w:rFonts w:cs="Arial"/>
          <w:szCs w:val="20"/>
        </w:rPr>
        <w:t>vzdělávání.</w:t>
      </w:r>
    </w:p>
    <w:p w:rsidR="004F7BA7" w:rsidRPr="0076068B" w:rsidRDefault="004F7BA7" w:rsidP="00695F91">
      <w:pPr>
        <w:spacing w:after="120" w:line="276" w:lineRule="auto"/>
        <w:jc w:val="both"/>
        <w:rPr>
          <w:rFonts w:cs="Arial"/>
          <w:szCs w:val="20"/>
        </w:rPr>
      </w:pPr>
      <w:r w:rsidRPr="00215E55">
        <w:rPr>
          <w:rFonts w:cs="Arial"/>
          <w:szCs w:val="20"/>
        </w:rPr>
        <w:t>Předškolní vzdělávání poskytují mateřské školy, mateřské školy při zdravotnických zařízeních, přípravné třídy na</w:t>
      </w:r>
      <w:r>
        <w:rPr>
          <w:rFonts w:cs="Arial"/>
          <w:szCs w:val="20"/>
        </w:rPr>
        <w:t xml:space="preserve"> </w:t>
      </w:r>
      <w:r w:rsidRPr="00215E55">
        <w:rPr>
          <w:rFonts w:cs="Arial"/>
          <w:szCs w:val="20"/>
        </w:rPr>
        <w:t>základních školách a přípravný stupeň základních škol speciálních a je určeno zpravidla dětem od dvou do šesti let,</w:t>
      </w:r>
      <w:r>
        <w:rPr>
          <w:rFonts w:cs="Arial"/>
          <w:szCs w:val="20"/>
        </w:rPr>
        <w:t xml:space="preserve"> </w:t>
      </w:r>
      <w:r w:rsidRPr="00215E55">
        <w:rPr>
          <w:rFonts w:cs="Arial"/>
          <w:szCs w:val="20"/>
        </w:rPr>
        <w:t xml:space="preserve">případně do doby jejich </w:t>
      </w:r>
      <w:r>
        <w:rPr>
          <w:rFonts w:cs="Arial"/>
          <w:szCs w:val="20"/>
        </w:rPr>
        <w:t>nástupu</w:t>
      </w:r>
      <w:r w:rsidRPr="00215E55">
        <w:rPr>
          <w:rFonts w:cs="Arial"/>
          <w:szCs w:val="20"/>
        </w:rPr>
        <w:t xml:space="preserve"> na základní školu. </w:t>
      </w:r>
      <w:r w:rsidRPr="001D7FDF">
        <w:rPr>
          <w:rFonts w:cs="Arial"/>
          <w:szCs w:val="20"/>
        </w:rPr>
        <w:t>V předškolním vzdělávání bylo ve školním roce 2017/18 celkem 366 391 dětí, z toho většina v mateřských školách</w:t>
      </w:r>
      <w:r>
        <w:rPr>
          <w:rFonts w:cs="Arial"/>
          <w:szCs w:val="20"/>
        </w:rPr>
        <w:t xml:space="preserve"> </w:t>
      </w:r>
      <w:r w:rsidRPr="001D7FDF">
        <w:rPr>
          <w:rFonts w:cs="Arial"/>
          <w:szCs w:val="20"/>
        </w:rPr>
        <w:t>(99,0 %, 362 756 dětí), zbytek docházel do přípravných tříd základních škol (3 407 dětí) nebo do přípravného stupně</w:t>
      </w:r>
      <w:r>
        <w:rPr>
          <w:rFonts w:cs="Arial"/>
          <w:szCs w:val="20"/>
        </w:rPr>
        <w:t xml:space="preserve"> </w:t>
      </w:r>
      <w:r w:rsidRPr="001D7FDF">
        <w:rPr>
          <w:rFonts w:cs="Arial"/>
          <w:szCs w:val="20"/>
        </w:rPr>
        <w:t>základních škol speciálních (228 dětí).</w:t>
      </w:r>
    </w:p>
    <w:p w:rsidR="004F7BA7" w:rsidRPr="00424EB4" w:rsidRDefault="004F7BA7" w:rsidP="00695F91">
      <w:pPr>
        <w:pStyle w:val="Nadpis2"/>
      </w:pPr>
      <w:bookmarkStart w:id="4" w:name="_Toc523408595"/>
      <w:bookmarkStart w:id="5" w:name="_Toc523466181"/>
      <w:r w:rsidRPr="00B34465">
        <w:t>1.1 Mateřské školy</w:t>
      </w:r>
      <w:r>
        <w:t xml:space="preserve"> – </w:t>
      </w:r>
      <w:r w:rsidR="00695F91">
        <w:t>počty škol a jejich tříd</w:t>
      </w:r>
      <w:bookmarkEnd w:id="4"/>
      <w:bookmarkEnd w:id="5"/>
    </w:p>
    <w:p w:rsidR="004F7BA7" w:rsidRPr="00481FB7" w:rsidRDefault="004F7BA7" w:rsidP="00695F91">
      <w:pPr>
        <w:spacing w:after="120" w:line="276" w:lineRule="auto"/>
        <w:jc w:val="both"/>
        <w:rPr>
          <w:rFonts w:cs="Arial"/>
          <w:szCs w:val="20"/>
        </w:rPr>
      </w:pPr>
      <w:r w:rsidRPr="00DA5962">
        <w:rPr>
          <w:rFonts w:cs="Arial"/>
          <w:szCs w:val="20"/>
        </w:rPr>
        <w:t xml:space="preserve">V České republice zajišťovalo ve školním </w:t>
      </w:r>
      <w:r w:rsidRPr="00481FB7">
        <w:rPr>
          <w:rFonts w:cs="Arial"/>
          <w:szCs w:val="20"/>
        </w:rPr>
        <w:t xml:space="preserve">roce 2017/18 předškolní vzdělávání </w:t>
      </w:r>
      <w:r w:rsidRPr="00CC0FAD">
        <w:rPr>
          <w:rFonts w:cs="Arial"/>
          <w:b/>
          <w:szCs w:val="20"/>
        </w:rPr>
        <w:t>celkem 5 269 mateřských škol</w:t>
      </w:r>
      <w:r w:rsidRPr="00481FB7">
        <w:rPr>
          <w:rFonts w:cs="Arial"/>
          <w:szCs w:val="20"/>
        </w:rPr>
        <w:t xml:space="preserve"> – o 60 více než v předchozím školním roce. Stále nejvíce je malých mateřských škol s kapacitou do 50</w:t>
      </w:r>
      <w:r w:rsidR="00C55813">
        <w:rPr>
          <w:rFonts w:cs="Arial"/>
          <w:szCs w:val="20"/>
        </w:rPr>
        <w:t> </w:t>
      </w:r>
      <w:r w:rsidRPr="00481FB7">
        <w:rPr>
          <w:rFonts w:cs="Arial"/>
          <w:szCs w:val="20"/>
        </w:rPr>
        <w:t xml:space="preserve">dětí, kterých za posledních 5 let také nejvíce přibylo. Ve školním roce 2012/13 jich bylo 2 603 o pět let později již 2 841, v mnoha případech jde tento nárůst na vrub soukromých mateřských škol. Protože leckde nevznikaly nové školky a jen se zvětšovaly ty stávající, roste počet velkých školek se 100 až 150 nebo více než 150 dětmi. </w:t>
      </w:r>
    </w:p>
    <w:p w:rsidR="004F7BA7" w:rsidRDefault="004F7BA7" w:rsidP="00695F91">
      <w:pPr>
        <w:spacing w:after="120" w:line="276" w:lineRule="auto"/>
        <w:jc w:val="both"/>
        <w:rPr>
          <w:rFonts w:cs="Arial"/>
          <w:szCs w:val="20"/>
        </w:rPr>
      </w:pPr>
      <w:r w:rsidRPr="00481FB7">
        <w:rPr>
          <w:rFonts w:cs="Arial"/>
          <w:szCs w:val="20"/>
        </w:rPr>
        <w:t xml:space="preserve">Většina mateřských škol (4 832; 92,7 %) </w:t>
      </w:r>
      <w:proofErr w:type="gramStart"/>
      <w:r w:rsidRPr="00481FB7">
        <w:rPr>
          <w:rFonts w:cs="Arial"/>
          <w:szCs w:val="20"/>
        </w:rPr>
        <w:t>je</w:t>
      </w:r>
      <w:proofErr w:type="gramEnd"/>
      <w:r w:rsidRPr="00481FB7">
        <w:rPr>
          <w:rFonts w:cs="Arial"/>
          <w:szCs w:val="20"/>
        </w:rPr>
        <w:t xml:space="preserve"> v České republice </w:t>
      </w:r>
      <w:r w:rsidRPr="00481FB7">
        <w:rPr>
          <w:rFonts w:cs="Arial"/>
          <w:b/>
          <w:szCs w:val="20"/>
        </w:rPr>
        <w:t>veřejná</w:t>
      </w:r>
      <w:r w:rsidRPr="00481FB7">
        <w:rPr>
          <w:rFonts w:cs="Arial"/>
          <w:szCs w:val="20"/>
        </w:rPr>
        <w:t xml:space="preserve"> z toho 4 743 mateřských škol bylo zřízeno obcemi, 82 kraji a 7 MŠMT. Kromě veřejných mateřských škol se mohou děti vzdělávat i</w:t>
      </w:r>
      <w:r w:rsidR="00695F91">
        <w:rPr>
          <w:rFonts w:cs="Arial"/>
          <w:szCs w:val="20"/>
        </w:rPr>
        <w:t> </w:t>
      </w:r>
      <w:r w:rsidRPr="00481FB7">
        <w:rPr>
          <w:rFonts w:cs="Arial"/>
          <w:szCs w:val="20"/>
        </w:rPr>
        <w:t>v </w:t>
      </w:r>
      <w:r w:rsidRPr="00481FB7">
        <w:rPr>
          <w:rFonts w:cs="Arial"/>
          <w:b/>
          <w:szCs w:val="20"/>
        </w:rPr>
        <w:t>soukromých a církevních</w:t>
      </w:r>
      <w:r w:rsidRPr="00481FB7">
        <w:rPr>
          <w:rFonts w:cs="Arial"/>
          <w:szCs w:val="20"/>
        </w:rPr>
        <w:t xml:space="preserve"> mateřských školách. Tyto alternativy však tvoří poměrně malý podíl z celkového počtu mateřských škol v České republice, i když jich v posledních letech výrazně přibývá – především těch soukromých. Ve školním roce 2017/18 bylo v Česku oficiálně uvedeno v Rejstříku škol a</w:t>
      </w:r>
      <w:r w:rsidR="00695F91">
        <w:rPr>
          <w:rFonts w:cs="Arial"/>
          <w:szCs w:val="20"/>
        </w:rPr>
        <w:t> </w:t>
      </w:r>
      <w:r w:rsidRPr="00481FB7">
        <w:rPr>
          <w:rFonts w:cs="Arial"/>
          <w:szCs w:val="20"/>
        </w:rPr>
        <w:t>školských zařízení 386 soukromých a 50 církevních mateřských škol. Tyto školy se sice podílely 8,3 % na celkovém počtu škol v ČR, ale chodilo do nich „jen“ 4,9 % (14 148) dětí, jelikož jde ve většině případů o</w:t>
      </w:r>
      <w:r w:rsidR="00695F91">
        <w:rPr>
          <w:rFonts w:cs="Arial"/>
          <w:szCs w:val="20"/>
        </w:rPr>
        <w:t> </w:t>
      </w:r>
      <w:r w:rsidRPr="00481FB7">
        <w:rPr>
          <w:rFonts w:cs="Arial"/>
          <w:szCs w:val="20"/>
        </w:rPr>
        <w:t xml:space="preserve">menší zařízení. Statistika mateřských škol neobsahuje údaje za zařízení neuvedená v Rejstříku škol, jako jsou například dětské skupiny, dětské kluby a </w:t>
      </w:r>
      <w:proofErr w:type="spellStart"/>
      <w:r w:rsidRPr="00481FB7">
        <w:rPr>
          <w:rFonts w:cs="Arial"/>
          <w:szCs w:val="20"/>
        </w:rPr>
        <w:t>Montessori</w:t>
      </w:r>
      <w:proofErr w:type="spellEnd"/>
      <w:r w:rsidRPr="00481FB7">
        <w:rPr>
          <w:rFonts w:cs="Arial"/>
          <w:szCs w:val="20"/>
        </w:rPr>
        <w:t xml:space="preserve"> domy, které jsou často soukromé, a většina z nich se nachází v Praze.</w:t>
      </w:r>
    </w:p>
    <w:p w:rsidR="004F7BA7" w:rsidRPr="00B34465" w:rsidRDefault="004F7BA7" w:rsidP="004F7BA7">
      <w:pPr>
        <w:spacing w:line="276" w:lineRule="auto"/>
        <w:rPr>
          <w:rFonts w:cs="Arial"/>
          <w:b/>
          <w:noProof/>
          <w:szCs w:val="20"/>
        </w:rPr>
      </w:pPr>
      <w:r>
        <w:rPr>
          <w:rFonts w:cs="Arial"/>
          <w:b/>
          <w:noProof/>
          <w:szCs w:val="20"/>
        </w:rPr>
        <w:t>Obrázek 1:</w:t>
      </w:r>
      <w:r w:rsidRPr="00B34465">
        <w:rPr>
          <w:rFonts w:cs="Arial"/>
          <w:b/>
          <w:noProof/>
          <w:szCs w:val="20"/>
        </w:rPr>
        <w:t xml:space="preserve"> Počet </w:t>
      </w:r>
      <w:r>
        <w:rPr>
          <w:rFonts w:cs="Arial"/>
          <w:b/>
          <w:noProof/>
          <w:szCs w:val="20"/>
        </w:rPr>
        <w:t xml:space="preserve">mateřských </w:t>
      </w:r>
      <w:r w:rsidRPr="00B34465">
        <w:rPr>
          <w:rFonts w:cs="Arial"/>
          <w:b/>
          <w:noProof/>
          <w:szCs w:val="20"/>
        </w:rPr>
        <w:t xml:space="preserve">škol </w:t>
      </w:r>
      <w:r>
        <w:rPr>
          <w:rFonts w:cs="Arial"/>
          <w:b/>
          <w:noProof/>
          <w:szCs w:val="20"/>
        </w:rPr>
        <w:t>v ČR podle zřizovatele ve školním roce 2007/08 a 2017/18</w:t>
      </w:r>
      <w:r w:rsidRPr="00B34465">
        <w:rPr>
          <w:rFonts w:cs="Arial"/>
          <w:b/>
          <w:noProof/>
          <w:szCs w:val="20"/>
        </w:rPr>
        <w:t xml:space="preserve">  </w:t>
      </w:r>
    </w:p>
    <w:p w:rsidR="004F7BA7" w:rsidRPr="00CF731B" w:rsidRDefault="004F7BA7" w:rsidP="004F7BA7">
      <w:pPr>
        <w:spacing w:after="0" w:line="276" w:lineRule="auto"/>
        <w:rPr>
          <w:rFonts w:cs="Arial"/>
          <w:b/>
          <w:i/>
          <w:noProof/>
          <w:szCs w:val="20"/>
        </w:rPr>
      </w:pPr>
      <w:r w:rsidRPr="00EB2ABF">
        <w:rPr>
          <w:rFonts w:cs="Arial"/>
          <w:b/>
          <w:i/>
          <w:noProof/>
          <w:szCs w:val="20"/>
        </w:rPr>
        <w:t>Školní rok 2007/2008</w:t>
      </w:r>
    </w:p>
    <w:p w:rsidR="004F7BA7" w:rsidRPr="00646642" w:rsidRDefault="004F7BA7" w:rsidP="004F7BA7">
      <w:pPr>
        <w:spacing w:after="120" w:line="276" w:lineRule="auto"/>
        <w:jc w:val="both"/>
        <w:rPr>
          <w:rFonts w:cs="Arial"/>
          <w:szCs w:val="20"/>
        </w:rPr>
      </w:pPr>
      <w:r w:rsidRPr="00CF731B">
        <w:rPr>
          <w:rFonts w:cs="Arial"/>
          <w:b/>
          <w:noProof/>
          <w:szCs w:val="20"/>
        </w:rPr>
        <w:t xml:space="preserve"> </w:t>
      </w:r>
      <w:r w:rsidRPr="00CF731B">
        <w:rPr>
          <w:rFonts w:cs="Arial"/>
          <w:b/>
          <w:noProof/>
          <w:szCs w:val="20"/>
        </w:rPr>
        <w:drawing>
          <wp:inline distT="0" distB="0" distL="0" distR="0" wp14:anchorId="1001918E" wp14:editId="2739B434">
            <wp:extent cx="5351228" cy="485029"/>
            <wp:effectExtent l="0" t="0" r="0" b="10795"/>
            <wp:docPr id="36" name="Diagram 3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4F7BA7" w:rsidRPr="00CF731B" w:rsidRDefault="004F7BA7" w:rsidP="004F7BA7">
      <w:pPr>
        <w:spacing w:after="0" w:line="276" w:lineRule="auto"/>
        <w:rPr>
          <w:rFonts w:cs="Arial"/>
          <w:b/>
          <w:i/>
          <w:noProof/>
          <w:szCs w:val="20"/>
        </w:rPr>
      </w:pPr>
      <w:r w:rsidRPr="00CF731B">
        <w:rPr>
          <w:rFonts w:cs="Arial"/>
          <w:b/>
          <w:i/>
          <w:noProof/>
          <w:szCs w:val="20"/>
        </w:rPr>
        <w:t>Školní rok 2017/2018</w:t>
      </w:r>
    </w:p>
    <w:p w:rsidR="004F7BA7" w:rsidRPr="00646642" w:rsidRDefault="004F7BA7" w:rsidP="004F7BA7">
      <w:pPr>
        <w:spacing w:after="120" w:line="276" w:lineRule="auto"/>
        <w:jc w:val="both"/>
        <w:rPr>
          <w:rFonts w:cs="Arial"/>
          <w:szCs w:val="20"/>
        </w:rPr>
      </w:pPr>
      <w:r w:rsidRPr="00CF731B">
        <w:rPr>
          <w:rFonts w:cs="Arial"/>
          <w:b/>
          <w:noProof/>
          <w:szCs w:val="20"/>
        </w:rPr>
        <w:drawing>
          <wp:inline distT="0" distB="0" distL="0" distR="0" wp14:anchorId="6BC2EA88" wp14:editId="2FAC53BA">
            <wp:extent cx="5351228" cy="485029"/>
            <wp:effectExtent l="0" t="0" r="0" b="10795"/>
            <wp:docPr id="25" name="Diagram 2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4F7BA7" w:rsidRDefault="004F7BA7" w:rsidP="00695F91">
      <w:pPr>
        <w:spacing w:after="120" w:line="276" w:lineRule="auto"/>
        <w:jc w:val="both"/>
        <w:rPr>
          <w:rFonts w:cs="Arial"/>
          <w:szCs w:val="20"/>
        </w:rPr>
      </w:pPr>
      <w:r w:rsidRPr="00DA5962">
        <w:rPr>
          <w:rFonts w:cs="Arial"/>
          <w:szCs w:val="20"/>
        </w:rPr>
        <w:t xml:space="preserve">Téměř polovina soukromých mateřských škol </w:t>
      </w:r>
      <w:r>
        <w:rPr>
          <w:rFonts w:cs="Arial"/>
          <w:szCs w:val="20"/>
        </w:rPr>
        <w:t xml:space="preserve">se dohromady nachází </w:t>
      </w:r>
      <w:r w:rsidRPr="00DA5962">
        <w:rPr>
          <w:rFonts w:cs="Arial"/>
          <w:szCs w:val="20"/>
        </w:rPr>
        <w:t xml:space="preserve">v Praze (101 škol) </w:t>
      </w:r>
      <w:r>
        <w:rPr>
          <w:rFonts w:cs="Arial"/>
          <w:szCs w:val="20"/>
        </w:rPr>
        <w:t xml:space="preserve">a </w:t>
      </w:r>
      <w:r w:rsidRPr="00DA5962">
        <w:rPr>
          <w:rFonts w:cs="Arial"/>
          <w:szCs w:val="20"/>
        </w:rPr>
        <w:t>ve Středočeském kraji (85 škol). V Praze se soukromé mateřské školy ve školním roce 2017/18 podílely 24 % na celkovém počtu škol a chodilo do nich 7,6 % dětí ze všech pražských MŠ. Naopak v Pardubickém kraji tyto soukromé školy tvořily jen 1,3 % a chodilo do nich 0,6 % dětí.</w:t>
      </w:r>
      <w:r w:rsidRPr="00EB2ABF">
        <w:rPr>
          <w:rFonts w:cs="Arial"/>
          <w:szCs w:val="20"/>
        </w:rPr>
        <w:t xml:space="preserve"> </w:t>
      </w:r>
      <w:r>
        <w:rPr>
          <w:rFonts w:cs="Arial"/>
          <w:szCs w:val="20"/>
        </w:rPr>
        <w:t>P</w:t>
      </w:r>
      <w:r w:rsidRPr="00DA5962">
        <w:rPr>
          <w:rFonts w:cs="Arial"/>
          <w:szCs w:val="20"/>
        </w:rPr>
        <w:t xml:space="preserve">odrobněji v kapitole </w:t>
      </w:r>
      <w:r w:rsidR="00676DC7" w:rsidRPr="00676DC7">
        <w:rPr>
          <w:rFonts w:cs="Arial"/>
          <w:i/>
          <w:szCs w:val="20"/>
        </w:rPr>
        <w:t>1.5</w:t>
      </w:r>
      <w:r w:rsidRPr="00676DC7">
        <w:rPr>
          <w:rFonts w:cs="Arial"/>
          <w:i/>
          <w:szCs w:val="20"/>
        </w:rPr>
        <w:t xml:space="preserve"> Soukromé mateřské školy</w:t>
      </w:r>
      <w:r w:rsidRPr="00676DC7">
        <w:rPr>
          <w:rFonts w:cs="Arial"/>
          <w:szCs w:val="20"/>
        </w:rPr>
        <w:t>.</w:t>
      </w:r>
    </w:p>
    <w:p w:rsidR="00B1475D" w:rsidRDefault="004F7BA7" w:rsidP="001102CB">
      <w:pPr>
        <w:spacing w:after="120" w:line="276" w:lineRule="auto"/>
        <w:jc w:val="both"/>
        <w:rPr>
          <w:rFonts w:cs="Arial"/>
          <w:szCs w:val="20"/>
        </w:rPr>
      </w:pPr>
      <w:r>
        <w:rPr>
          <w:rFonts w:cs="Arial"/>
          <w:szCs w:val="20"/>
        </w:rPr>
        <w:t xml:space="preserve">V mateřských školách bylo v </w:t>
      </w:r>
      <w:r w:rsidRPr="0073133B">
        <w:rPr>
          <w:rFonts w:cs="Arial"/>
          <w:szCs w:val="20"/>
        </w:rPr>
        <w:t>minulém školním roce</w:t>
      </w:r>
      <w:r>
        <w:rPr>
          <w:rFonts w:cs="Arial"/>
          <w:szCs w:val="20"/>
        </w:rPr>
        <w:t xml:space="preserve"> zřízeno celkem </w:t>
      </w:r>
      <w:r w:rsidRPr="000C2E57">
        <w:rPr>
          <w:rFonts w:cs="Arial"/>
          <w:b/>
          <w:szCs w:val="20"/>
        </w:rPr>
        <w:t>15 969</w:t>
      </w:r>
      <w:r w:rsidRPr="00DB0EA9">
        <w:rPr>
          <w:rFonts w:cs="Arial"/>
          <w:b/>
          <w:szCs w:val="20"/>
        </w:rPr>
        <w:t> tříd</w:t>
      </w:r>
      <w:r>
        <w:rPr>
          <w:rFonts w:cs="Arial"/>
          <w:b/>
          <w:szCs w:val="20"/>
        </w:rPr>
        <w:t xml:space="preserve">, </w:t>
      </w:r>
      <w:r w:rsidRPr="00215E55">
        <w:rPr>
          <w:rFonts w:cs="Arial"/>
          <w:szCs w:val="20"/>
        </w:rPr>
        <w:t>tj</w:t>
      </w:r>
      <w:r>
        <w:rPr>
          <w:rFonts w:cs="Arial"/>
          <w:szCs w:val="20"/>
        </w:rPr>
        <w:t>.</w:t>
      </w:r>
      <w:r w:rsidRPr="00215E55">
        <w:rPr>
          <w:rFonts w:cs="Arial"/>
          <w:szCs w:val="20"/>
        </w:rPr>
        <w:t xml:space="preserve"> o</w:t>
      </w:r>
      <w:r>
        <w:rPr>
          <w:rFonts w:cs="Arial"/>
          <w:b/>
          <w:szCs w:val="20"/>
        </w:rPr>
        <w:t xml:space="preserve"> </w:t>
      </w:r>
      <w:r w:rsidRPr="002D0251">
        <w:rPr>
          <w:rFonts w:cs="Arial"/>
          <w:szCs w:val="20"/>
        </w:rPr>
        <w:t xml:space="preserve">113 </w:t>
      </w:r>
      <w:r>
        <w:rPr>
          <w:rFonts w:cs="Arial"/>
          <w:szCs w:val="20"/>
        </w:rPr>
        <w:t xml:space="preserve">tříd </w:t>
      </w:r>
      <w:r w:rsidRPr="002D0251">
        <w:rPr>
          <w:rFonts w:cs="Arial"/>
          <w:szCs w:val="20"/>
        </w:rPr>
        <w:t>více než v předchozím školním roce.</w:t>
      </w:r>
      <w:r>
        <w:rPr>
          <w:rFonts w:cs="Arial"/>
          <w:szCs w:val="20"/>
        </w:rPr>
        <w:t xml:space="preserve"> </w:t>
      </w:r>
      <w:r w:rsidRPr="00C236E9">
        <w:rPr>
          <w:rFonts w:cs="Arial"/>
          <w:szCs w:val="20"/>
        </w:rPr>
        <w:t xml:space="preserve">Jak počet škol, tak především </w:t>
      </w:r>
      <w:r>
        <w:rPr>
          <w:rFonts w:cs="Arial"/>
          <w:szCs w:val="20"/>
        </w:rPr>
        <w:t xml:space="preserve">počet </w:t>
      </w:r>
      <w:r w:rsidRPr="00C236E9">
        <w:rPr>
          <w:rFonts w:cs="Arial"/>
          <w:szCs w:val="20"/>
        </w:rPr>
        <w:t>jejich tříd v posledních deseti letech neustále roste</w:t>
      </w:r>
      <w:r>
        <w:rPr>
          <w:rFonts w:cs="Arial"/>
          <w:szCs w:val="20"/>
        </w:rPr>
        <w:t>. P</w:t>
      </w:r>
      <w:r w:rsidRPr="00C236E9">
        <w:rPr>
          <w:rFonts w:cs="Arial"/>
          <w:szCs w:val="20"/>
        </w:rPr>
        <w:t xml:space="preserve">očet školek vzrostl o desetinu </w:t>
      </w:r>
      <w:r>
        <w:rPr>
          <w:rFonts w:cs="Arial"/>
          <w:szCs w:val="20"/>
        </w:rPr>
        <w:t xml:space="preserve">(v absolutním vyjádření přibylo 461 nových školek) </w:t>
      </w:r>
      <w:r w:rsidRPr="00C236E9">
        <w:rPr>
          <w:rFonts w:cs="Arial"/>
          <w:szCs w:val="20"/>
        </w:rPr>
        <w:t xml:space="preserve">a počet tříd </w:t>
      </w:r>
      <w:r>
        <w:rPr>
          <w:rFonts w:cs="Arial"/>
          <w:szCs w:val="20"/>
        </w:rPr>
        <w:t>dokonce o</w:t>
      </w:r>
      <w:r w:rsidRPr="00C236E9">
        <w:rPr>
          <w:rFonts w:cs="Arial"/>
          <w:szCs w:val="20"/>
        </w:rPr>
        <w:t xml:space="preserve"> čtvrtinu</w:t>
      </w:r>
      <w:r>
        <w:rPr>
          <w:rFonts w:cs="Arial"/>
          <w:szCs w:val="20"/>
        </w:rPr>
        <w:t xml:space="preserve"> (v absolutním vyjádření přibylo 3 271 nových tříd). V posledních cca 3 letech je ale růst výrazně pomalejší než v předchozím období. Zatímco počet tříd se mezi lety 2007/08 až 2014/15  každoročně zvyšoval v průměru o 433, v posledních 3 letech jich přibývalo „jen“ 80 ročně.</w:t>
      </w:r>
      <w:r w:rsidR="00B1475D">
        <w:rPr>
          <w:rFonts w:cs="Arial"/>
          <w:szCs w:val="20"/>
        </w:rPr>
        <w:br w:type="page"/>
      </w:r>
    </w:p>
    <w:p w:rsidR="004F7BA7" w:rsidRPr="00B34465" w:rsidRDefault="004F7BA7" w:rsidP="004F7BA7">
      <w:pPr>
        <w:spacing w:after="0" w:line="276" w:lineRule="auto"/>
        <w:rPr>
          <w:rFonts w:cs="Arial"/>
          <w:b/>
          <w:noProof/>
          <w:szCs w:val="20"/>
        </w:rPr>
      </w:pPr>
      <w:r w:rsidRPr="00B34465">
        <w:rPr>
          <w:rFonts w:cs="Arial"/>
          <w:b/>
          <w:noProof/>
          <w:szCs w:val="20"/>
        </w:rPr>
        <w:lastRenderedPageBreak/>
        <w:t xml:space="preserve">Graf </w:t>
      </w:r>
      <w:r>
        <w:rPr>
          <w:rFonts w:cs="Arial"/>
          <w:b/>
          <w:noProof/>
          <w:szCs w:val="20"/>
        </w:rPr>
        <w:t>1:</w:t>
      </w:r>
      <w:r w:rsidRPr="00B34465">
        <w:rPr>
          <w:rFonts w:cs="Arial"/>
          <w:b/>
          <w:noProof/>
          <w:szCs w:val="20"/>
        </w:rPr>
        <w:t xml:space="preserve"> Počet </w:t>
      </w:r>
      <w:r>
        <w:rPr>
          <w:rFonts w:cs="Arial"/>
          <w:b/>
          <w:noProof/>
          <w:szCs w:val="20"/>
        </w:rPr>
        <w:t xml:space="preserve">mateřských </w:t>
      </w:r>
      <w:r w:rsidRPr="00B34465">
        <w:rPr>
          <w:rFonts w:cs="Arial"/>
          <w:b/>
          <w:noProof/>
          <w:szCs w:val="20"/>
        </w:rPr>
        <w:t>škol a tří</w:t>
      </w:r>
      <w:r>
        <w:rPr>
          <w:rFonts w:cs="Arial"/>
          <w:b/>
          <w:noProof/>
          <w:szCs w:val="20"/>
        </w:rPr>
        <w:t>d v ČR v letech 2007/2008 až 2017/2018</w:t>
      </w:r>
      <w:r w:rsidRPr="00B34465">
        <w:rPr>
          <w:rFonts w:cs="Arial"/>
          <w:b/>
          <w:noProof/>
          <w:szCs w:val="20"/>
        </w:rPr>
        <w:t xml:space="preserve">  </w:t>
      </w:r>
    </w:p>
    <w:p w:rsidR="004F7BA7" w:rsidRDefault="001C064A" w:rsidP="004F7BA7">
      <w:pPr>
        <w:spacing w:after="0" w:line="276" w:lineRule="auto"/>
        <w:rPr>
          <w:rFonts w:cs="Arial"/>
          <w:noProof/>
          <w:szCs w:val="20"/>
        </w:rPr>
      </w:pPr>
      <w:r>
        <w:rPr>
          <w:rFonts w:cs="Arial"/>
          <w:noProof/>
          <w:szCs w:val="20"/>
        </w:rPr>
        <w:drawing>
          <wp:inline distT="0" distB="0" distL="0" distR="0" wp14:anchorId="7ABA21D2">
            <wp:extent cx="5937885" cy="251777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885" cy="2517775"/>
                    </a:xfrm>
                    <a:prstGeom prst="rect">
                      <a:avLst/>
                    </a:prstGeom>
                    <a:noFill/>
                  </pic:spPr>
                </pic:pic>
              </a:graphicData>
            </a:graphic>
          </wp:inline>
        </w:drawing>
      </w:r>
    </w:p>
    <w:p w:rsidR="004F7BA7" w:rsidRPr="00FA1D8E" w:rsidRDefault="004F7BA7" w:rsidP="004F7BA7">
      <w:pPr>
        <w:spacing w:line="276" w:lineRule="auto"/>
        <w:rPr>
          <w:rFonts w:cs="Arial"/>
          <w:noProof/>
          <w:sz w:val="16"/>
          <w:szCs w:val="16"/>
        </w:rPr>
      </w:pPr>
      <w:r w:rsidRPr="00FA1D8E">
        <w:rPr>
          <w:rFonts w:cs="Arial"/>
          <w:noProof/>
          <w:sz w:val="16"/>
          <w:szCs w:val="16"/>
        </w:rPr>
        <w:t>Zdroj: MŠMT</w:t>
      </w:r>
    </w:p>
    <w:p w:rsidR="00CC0FAD" w:rsidRDefault="00CC0FAD" w:rsidP="00CC0FAD">
      <w:pPr>
        <w:spacing w:after="120" w:line="276" w:lineRule="auto"/>
        <w:jc w:val="both"/>
        <w:rPr>
          <w:rFonts w:cs="Arial"/>
          <w:szCs w:val="20"/>
        </w:rPr>
      </w:pPr>
      <w:bookmarkStart w:id="6" w:name="_Toc523408597"/>
      <w:r w:rsidRPr="0073133B">
        <w:rPr>
          <w:rFonts w:cs="Arial"/>
          <w:szCs w:val="20"/>
        </w:rPr>
        <w:t>Počet</w:t>
      </w:r>
      <w:r>
        <w:rPr>
          <w:rFonts w:cs="Arial"/>
          <w:szCs w:val="20"/>
        </w:rPr>
        <w:t> ve</w:t>
      </w:r>
      <w:r w:rsidRPr="0073133B">
        <w:rPr>
          <w:rFonts w:cs="Arial"/>
          <w:szCs w:val="20"/>
        </w:rPr>
        <w:t>řejných mateřských škol z</w:t>
      </w:r>
      <w:r>
        <w:rPr>
          <w:rFonts w:cs="Arial"/>
          <w:szCs w:val="20"/>
        </w:rPr>
        <w:t xml:space="preserve">a </w:t>
      </w:r>
      <w:r w:rsidRPr="0073133B">
        <w:rPr>
          <w:rFonts w:cs="Arial"/>
          <w:szCs w:val="20"/>
        </w:rPr>
        <w:t>posledních 10</w:t>
      </w:r>
      <w:r>
        <w:rPr>
          <w:rFonts w:cs="Arial"/>
          <w:szCs w:val="20"/>
        </w:rPr>
        <w:t> let i </w:t>
      </w:r>
      <w:r w:rsidRPr="0073133B">
        <w:rPr>
          <w:rFonts w:cs="Arial"/>
          <w:szCs w:val="20"/>
        </w:rPr>
        <w:t>pře</w:t>
      </w:r>
      <w:r>
        <w:rPr>
          <w:rFonts w:cs="Arial"/>
          <w:szCs w:val="20"/>
        </w:rPr>
        <w:t>s </w:t>
      </w:r>
      <w:r w:rsidRPr="0073133B">
        <w:rPr>
          <w:rFonts w:cs="Arial"/>
          <w:szCs w:val="20"/>
        </w:rPr>
        <w:t>narůstající počet dětí</w:t>
      </w:r>
      <w:r>
        <w:rPr>
          <w:rFonts w:cs="Arial"/>
          <w:szCs w:val="20"/>
        </w:rPr>
        <w:t> ve </w:t>
      </w:r>
      <w:r w:rsidRPr="0073133B">
        <w:rPr>
          <w:rFonts w:cs="Arial"/>
          <w:szCs w:val="20"/>
        </w:rPr>
        <w:t>školkách</w:t>
      </w:r>
      <w:r>
        <w:rPr>
          <w:rFonts w:cs="Arial"/>
          <w:szCs w:val="20"/>
        </w:rPr>
        <w:t xml:space="preserve"> vzrostl </w:t>
      </w:r>
      <w:r w:rsidRPr="0073133B">
        <w:rPr>
          <w:rFonts w:cs="Arial"/>
          <w:szCs w:val="20"/>
        </w:rPr>
        <w:t>pouze nepatrně (+3,1</w:t>
      </w:r>
      <w:r>
        <w:rPr>
          <w:rFonts w:cs="Arial"/>
          <w:szCs w:val="20"/>
        </w:rPr>
        <w:t> %</w:t>
      </w:r>
      <w:r w:rsidRPr="0073133B">
        <w:rPr>
          <w:rFonts w:cs="Arial"/>
          <w:szCs w:val="20"/>
        </w:rPr>
        <w:t xml:space="preserve">). Zvyšující </w:t>
      </w:r>
      <w:r>
        <w:rPr>
          <w:rFonts w:cs="Arial"/>
          <w:szCs w:val="20"/>
        </w:rPr>
        <w:t xml:space="preserve">se </w:t>
      </w:r>
      <w:r w:rsidRPr="0073133B">
        <w:rPr>
          <w:rFonts w:cs="Arial"/>
          <w:szCs w:val="20"/>
        </w:rPr>
        <w:t>kapacitní nároky se tak</w:t>
      </w:r>
      <w:r>
        <w:rPr>
          <w:rFonts w:cs="Arial"/>
          <w:szCs w:val="20"/>
        </w:rPr>
        <w:t> ve ve</w:t>
      </w:r>
      <w:r w:rsidRPr="0073133B">
        <w:rPr>
          <w:rFonts w:cs="Arial"/>
          <w:szCs w:val="20"/>
        </w:rPr>
        <w:t>řejných školkách projevily zejmén</w:t>
      </w:r>
      <w:r>
        <w:rPr>
          <w:rFonts w:cs="Arial"/>
          <w:szCs w:val="20"/>
        </w:rPr>
        <w:t xml:space="preserve">a </w:t>
      </w:r>
      <w:r w:rsidRPr="0073133B">
        <w:rPr>
          <w:rFonts w:cs="Arial"/>
          <w:szCs w:val="20"/>
        </w:rPr>
        <w:t>zřizováním nových tříd (+21,5</w:t>
      </w:r>
      <w:r>
        <w:rPr>
          <w:rFonts w:cs="Arial"/>
          <w:szCs w:val="20"/>
        </w:rPr>
        <w:t> %</w:t>
      </w:r>
      <w:r w:rsidRPr="0073133B">
        <w:rPr>
          <w:rFonts w:cs="Arial"/>
          <w:szCs w:val="20"/>
        </w:rPr>
        <w:t>).</w:t>
      </w:r>
    </w:p>
    <w:p w:rsidR="004F7BA7" w:rsidRPr="00424EB4" w:rsidRDefault="00695F91" w:rsidP="00695F91">
      <w:pPr>
        <w:pStyle w:val="Nadpis2"/>
      </w:pPr>
      <w:bookmarkStart w:id="7" w:name="_Toc523466182"/>
      <w:r w:rsidRPr="00676DC7">
        <w:t xml:space="preserve">1.2 </w:t>
      </w:r>
      <w:r w:rsidR="004F7BA7" w:rsidRPr="00676DC7">
        <w:t>Počty dětí</w:t>
      </w:r>
      <w:bookmarkEnd w:id="6"/>
      <w:r w:rsidRPr="00676DC7">
        <w:t xml:space="preserve"> v mateřských školách – základní údaje</w:t>
      </w:r>
      <w:bookmarkEnd w:id="7"/>
    </w:p>
    <w:p w:rsidR="004F7BA7" w:rsidRDefault="004F7BA7" w:rsidP="00695F91">
      <w:pPr>
        <w:spacing w:after="120" w:line="276" w:lineRule="auto"/>
        <w:jc w:val="both"/>
        <w:rPr>
          <w:rFonts w:cs="Arial"/>
          <w:szCs w:val="20"/>
        </w:rPr>
      </w:pPr>
      <w:r w:rsidRPr="0015159B">
        <w:rPr>
          <w:rFonts w:cs="Arial"/>
          <w:szCs w:val="20"/>
        </w:rPr>
        <w:t xml:space="preserve">Mateřské školy ve školním roce 2017/18 navštěvovalo celkem </w:t>
      </w:r>
      <w:r w:rsidRPr="0015159B">
        <w:rPr>
          <w:rFonts w:cs="Arial"/>
          <w:b/>
          <w:szCs w:val="20"/>
        </w:rPr>
        <w:t>362 756 dětí</w:t>
      </w:r>
      <w:r w:rsidRPr="0015159B">
        <w:rPr>
          <w:rFonts w:cs="Arial"/>
          <w:szCs w:val="20"/>
        </w:rPr>
        <w:t>, o 103 více než v minulém školním roce</w:t>
      </w:r>
      <w:r>
        <w:rPr>
          <w:rFonts w:cs="Arial"/>
          <w:szCs w:val="20"/>
        </w:rPr>
        <w:t>, ale o 812 dětí méně v porovnání se školním rokem 2013/14</w:t>
      </w:r>
      <w:r w:rsidRPr="0015159B">
        <w:rPr>
          <w:rFonts w:cs="Arial"/>
          <w:szCs w:val="20"/>
        </w:rPr>
        <w:t>.</w:t>
      </w:r>
      <w:r>
        <w:rPr>
          <w:rFonts w:cs="Arial"/>
          <w:szCs w:val="20"/>
        </w:rPr>
        <w:t xml:space="preserve"> Přesto za posledních deset let vzrostl počet dětí v mateřských školách </w:t>
      </w:r>
      <w:r w:rsidRPr="00952330">
        <w:rPr>
          <w:rFonts w:cs="Arial"/>
          <w:szCs w:val="20"/>
        </w:rPr>
        <w:t>o 24,6 % (71 562 dětí)</w:t>
      </w:r>
      <w:r>
        <w:rPr>
          <w:rFonts w:cs="Arial"/>
          <w:szCs w:val="20"/>
        </w:rPr>
        <w:t xml:space="preserve">. Jak lze ovšem vypozorovat z níže uvedeného grafu, tento nárůst se odehrával především ve školních letech 2007/08 až 2014/15 a svého vrcholu dosáhl v roce 2010/11 kdy počet dětí meziročně vzrostl o 4,7 % (14 604 dětí). Naopak v roce </w:t>
      </w:r>
      <w:r w:rsidRPr="008F3DA0">
        <w:rPr>
          <w:rFonts w:cs="Arial"/>
          <w:szCs w:val="20"/>
        </w:rPr>
        <w:t>2016/17 byl po 11 letech nárůstu zaznamenán meziroční pokles počtu dětí navštěvujících mateřské školy. Obdobný počet dětí jako ve školním roce 2017/18 chodil do školek v Česku naposledy ve školním roce 1990/91 (357 730). Ještě o cca 110 tisíc dětí více (463 565) se vzdělávalo v mateřských školách v roce 1980/81, avšak při stejném počtu tříd jako ve školním roce 2017/18.</w:t>
      </w:r>
    </w:p>
    <w:p w:rsidR="004F7BA7" w:rsidRPr="00B34465" w:rsidRDefault="004F7BA7" w:rsidP="004F7BA7">
      <w:pPr>
        <w:spacing w:after="0" w:line="276" w:lineRule="auto"/>
        <w:rPr>
          <w:rFonts w:cs="Arial"/>
          <w:b/>
          <w:noProof/>
          <w:szCs w:val="20"/>
        </w:rPr>
      </w:pPr>
      <w:r w:rsidRPr="00B34465">
        <w:rPr>
          <w:rFonts w:cs="Arial"/>
          <w:b/>
          <w:noProof/>
          <w:szCs w:val="20"/>
        </w:rPr>
        <w:t xml:space="preserve">Graf </w:t>
      </w:r>
      <w:r>
        <w:rPr>
          <w:rFonts w:cs="Arial"/>
          <w:b/>
          <w:noProof/>
          <w:szCs w:val="20"/>
        </w:rPr>
        <w:t>2:</w:t>
      </w:r>
      <w:r w:rsidRPr="00B34465">
        <w:rPr>
          <w:rFonts w:cs="Arial"/>
          <w:b/>
          <w:noProof/>
          <w:szCs w:val="20"/>
        </w:rPr>
        <w:t xml:space="preserve"> Počet </w:t>
      </w:r>
      <w:r>
        <w:rPr>
          <w:rFonts w:cs="Arial"/>
          <w:b/>
          <w:noProof/>
          <w:szCs w:val="20"/>
        </w:rPr>
        <w:t xml:space="preserve">dětí v mateřských </w:t>
      </w:r>
      <w:r w:rsidRPr="00B34465">
        <w:rPr>
          <w:rFonts w:cs="Arial"/>
          <w:b/>
          <w:noProof/>
          <w:szCs w:val="20"/>
        </w:rPr>
        <w:t>škol</w:t>
      </w:r>
      <w:r>
        <w:rPr>
          <w:rFonts w:cs="Arial"/>
          <w:b/>
          <w:noProof/>
          <w:szCs w:val="20"/>
        </w:rPr>
        <w:t>ách v ČR v letech 2007/2008 až 2017/2018</w:t>
      </w:r>
      <w:r w:rsidRPr="00B34465">
        <w:rPr>
          <w:rFonts w:cs="Arial"/>
          <w:b/>
          <w:noProof/>
          <w:szCs w:val="20"/>
        </w:rPr>
        <w:t xml:space="preserve">  </w:t>
      </w:r>
    </w:p>
    <w:p w:rsidR="004F7BA7" w:rsidRDefault="001C064A" w:rsidP="004F7BA7">
      <w:pPr>
        <w:spacing w:after="0" w:line="276" w:lineRule="auto"/>
        <w:jc w:val="both"/>
        <w:rPr>
          <w:rFonts w:cs="Arial"/>
          <w:b/>
          <w:szCs w:val="20"/>
        </w:rPr>
      </w:pPr>
      <w:r>
        <w:rPr>
          <w:noProof/>
        </w:rPr>
        <w:drawing>
          <wp:inline distT="0" distB="0" distL="0" distR="0" wp14:anchorId="6B22F98B">
            <wp:extent cx="2877820" cy="287782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7820" cy="2877820"/>
                    </a:xfrm>
                    <a:prstGeom prst="rect">
                      <a:avLst/>
                    </a:prstGeom>
                    <a:noFill/>
                  </pic:spPr>
                </pic:pic>
              </a:graphicData>
            </a:graphic>
          </wp:inline>
        </w:drawing>
      </w:r>
      <w:r w:rsidR="004F7BA7" w:rsidRPr="000C2E57">
        <w:rPr>
          <w:noProof/>
          <w:lang w:val="en-US" w:eastAsia="en-US"/>
        </w:rPr>
        <w:t xml:space="preserve"> </w:t>
      </w:r>
      <w:r>
        <w:rPr>
          <w:noProof/>
        </w:rPr>
        <w:drawing>
          <wp:inline distT="0" distB="0" distL="0" distR="0" wp14:anchorId="3EACB42C">
            <wp:extent cx="2877820" cy="2877820"/>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7820" cy="2877820"/>
                    </a:xfrm>
                    <a:prstGeom prst="rect">
                      <a:avLst/>
                    </a:prstGeom>
                    <a:noFill/>
                  </pic:spPr>
                </pic:pic>
              </a:graphicData>
            </a:graphic>
          </wp:inline>
        </w:drawing>
      </w:r>
    </w:p>
    <w:p w:rsidR="004F7BA7" w:rsidRPr="00FA1D8E" w:rsidRDefault="004F7BA7" w:rsidP="00695F91">
      <w:pPr>
        <w:spacing w:after="120" w:line="276" w:lineRule="auto"/>
        <w:rPr>
          <w:rFonts w:cs="Arial"/>
          <w:sz w:val="16"/>
          <w:szCs w:val="16"/>
        </w:rPr>
      </w:pPr>
      <w:r w:rsidRPr="00FA1D8E">
        <w:rPr>
          <w:rFonts w:cs="Arial"/>
          <w:sz w:val="16"/>
          <w:szCs w:val="16"/>
        </w:rPr>
        <w:t>Zdroj: MŠMT</w:t>
      </w:r>
      <w:r>
        <w:rPr>
          <w:rFonts w:cs="Arial"/>
          <w:sz w:val="16"/>
          <w:szCs w:val="16"/>
        </w:rPr>
        <w:t xml:space="preserve"> a vlastní dopočty ČSÚ</w:t>
      </w:r>
    </w:p>
    <w:p w:rsidR="004F7BA7" w:rsidRPr="00DA5962" w:rsidRDefault="004F7BA7" w:rsidP="00695F91">
      <w:pPr>
        <w:spacing w:after="120" w:line="276" w:lineRule="auto"/>
        <w:jc w:val="both"/>
      </w:pPr>
      <w:r w:rsidRPr="00DA5962">
        <w:t>Z </w:t>
      </w:r>
      <w:r w:rsidRPr="00DA5962">
        <w:rPr>
          <w:b/>
        </w:rPr>
        <w:t>hlediska krajů</w:t>
      </w:r>
      <w:r w:rsidRPr="00DA5962">
        <w:t xml:space="preserve"> je logicky nejvíce mateřských škol a tříd zřízených v kraji největším, tj. v</w:t>
      </w:r>
      <w:r>
        <w:t>e</w:t>
      </w:r>
      <w:r w:rsidRPr="00DA5962">
        <w:t xml:space="preserve"> Středočeském. Ve školním roce 2017/18 zde bylo 785 (14,9 %) mateřských škol se 2 226 třídami, které navštěvovalo </w:t>
      </w:r>
      <w:r w:rsidRPr="00DA5962">
        <w:lastRenderedPageBreak/>
        <w:t>50 315 dětí. Naopak jen 124 (2,4 %) škol najdeme v Karlovarském kraji s 384</w:t>
      </w:r>
      <w:r>
        <w:t xml:space="preserve"> třídami</w:t>
      </w:r>
      <w:r w:rsidRPr="00DA5962">
        <w:t xml:space="preserve">, kde se vzdělávalo 8 927 dětí. Za posledních deset let vzrostl </w:t>
      </w:r>
      <w:r>
        <w:t xml:space="preserve">nejvíce </w:t>
      </w:r>
      <w:r w:rsidRPr="00DA5962">
        <w:t xml:space="preserve">počet dětí </w:t>
      </w:r>
      <w:r>
        <w:t xml:space="preserve">v mateřských školách </w:t>
      </w:r>
      <w:r w:rsidRPr="00DA5962">
        <w:t>jak v absolutním tak procentuálním vyjádření ve Středočeském kraji, a to z 33,8 tisíc ve školním roce 2007/08 na výše zmíněných 50,3 tisíc dětí ve školním roce 2017/18. Nejmenší nárůst byl zaznamenán v kraji Karlovarském.</w:t>
      </w:r>
    </w:p>
    <w:p w:rsidR="004F7BA7" w:rsidRPr="00B34465" w:rsidRDefault="004F7BA7" w:rsidP="004F7BA7">
      <w:pPr>
        <w:spacing w:after="0" w:line="276" w:lineRule="auto"/>
        <w:rPr>
          <w:rFonts w:cs="Arial"/>
          <w:b/>
          <w:noProof/>
          <w:szCs w:val="20"/>
        </w:rPr>
      </w:pPr>
      <w:r w:rsidRPr="00B34465">
        <w:rPr>
          <w:rFonts w:cs="Arial"/>
          <w:b/>
          <w:noProof/>
          <w:szCs w:val="20"/>
        </w:rPr>
        <w:t xml:space="preserve">Graf </w:t>
      </w:r>
      <w:r>
        <w:rPr>
          <w:rFonts w:cs="Arial"/>
          <w:b/>
          <w:noProof/>
          <w:szCs w:val="20"/>
        </w:rPr>
        <w:t>3:</w:t>
      </w:r>
      <w:r w:rsidRPr="00B34465">
        <w:rPr>
          <w:rFonts w:cs="Arial"/>
          <w:b/>
          <w:noProof/>
          <w:szCs w:val="20"/>
        </w:rPr>
        <w:t xml:space="preserve"> Počet </w:t>
      </w:r>
      <w:r>
        <w:rPr>
          <w:rFonts w:cs="Arial"/>
          <w:b/>
          <w:noProof/>
          <w:szCs w:val="20"/>
        </w:rPr>
        <w:t xml:space="preserve">dětí v mateřských </w:t>
      </w:r>
      <w:r w:rsidRPr="00B34465">
        <w:rPr>
          <w:rFonts w:cs="Arial"/>
          <w:b/>
          <w:noProof/>
          <w:szCs w:val="20"/>
        </w:rPr>
        <w:t>škol</w:t>
      </w:r>
      <w:r>
        <w:rPr>
          <w:rFonts w:cs="Arial"/>
          <w:b/>
          <w:noProof/>
          <w:szCs w:val="20"/>
        </w:rPr>
        <w:t>ách v krajích ČR v letech 2007/2008 a 2017/18 (v tis.; %)</w:t>
      </w:r>
    </w:p>
    <w:p w:rsidR="004F7BA7" w:rsidRDefault="001C064A" w:rsidP="004F7BA7">
      <w:pPr>
        <w:spacing w:after="0" w:line="276" w:lineRule="auto"/>
        <w:jc w:val="both"/>
        <w:rPr>
          <w:b/>
        </w:rPr>
      </w:pPr>
      <w:r>
        <w:rPr>
          <w:b/>
          <w:noProof/>
        </w:rPr>
        <w:drawing>
          <wp:inline distT="0" distB="0" distL="0" distR="0" wp14:anchorId="3031A81D">
            <wp:extent cx="5968365" cy="3237230"/>
            <wp:effectExtent l="0" t="0" r="0" b="127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8365" cy="3237230"/>
                    </a:xfrm>
                    <a:prstGeom prst="rect">
                      <a:avLst/>
                    </a:prstGeom>
                    <a:noFill/>
                  </pic:spPr>
                </pic:pic>
              </a:graphicData>
            </a:graphic>
          </wp:inline>
        </w:drawing>
      </w:r>
    </w:p>
    <w:p w:rsidR="004F7BA7" w:rsidRPr="00FA1D8E" w:rsidRDefault="004F7BA7" w:rsidP="00695F91">
      <w:pPr>
        <w:spacing w:after="120" w:line="276" w:lineRule="auto"/>
        <w:rPr>
          <w:rFonts w:cs="Arial"/>
          <w:sz w:val="16"/>
          <w:szCs w:val="16"/>
        </w:rPr>
      </w:pPr>
      <w:r w:rsidRPr="00FA1D8E">
        <w:rPr>
          <w:rFonts w:cs="Arial"/>
          <w:sz w:val="16"/>
          <w:szCs w:val="16"/>
        </w:rPr>
        <w:t>Zdroj: MŠMT</w:t>
      </w:r>
      <w:r>
        <w:rPr>
          <w:rFonts w:cs="Arial"/>
          <w:sz w:val="16"/>
          <w:szCs w:val="16"/>
        </w:rPr>
        <w:t xml:space="preserve"> a vlastní dopočty ČSÚ</w:t>
      </w:r>
    </w:p>
    <w:p w:rsidR="004F7BA7" w:rsidRPr="00DA5962" w:rsidRDefault="004F7BA7" w:rsidP="00695F91">
      <w:pPr>
        <w:spacing w:after="120" w:line="276" w:lineRule="auto"/>
        <w:jc w:val="both"/>
        <w:rPr>
          <w:rFonts w:cs="Arial"/>
          <w:szCs w:val="20"/>
        </w:rPr>
      </w:pPr>
      <w:r w:rsidRPr="00DA5962">
        <w:rPr>
          <w:rFonts w:cs="Arial"/>
          <w:szCs w:val="20"/>
        </w:rPr>
        <w:t xml:space="preserve">Z hlediska věku mají dlouhodobě největší zastoupení 5leté děti s 28,9 % podílem ve školním roce 2017/18. V čase výrazně roste počet dětí v mateřských školkách mladších 3let. Za posledních deset let se jejich počet téměř zdvojnásobil, a to z 23,5 tisíc ve školním roce 2007/08 na 45,5 tisíc ve školním roce 2017/18. </w:t>
      </w:r>
      <w:r>
        <w:rPr>
          <w:rFonts w:cs="Arial"/>
          <w:szCs w:val="20"/>
        </w:rPr>
        <w:t>Děti v tomto věku</w:t>
      </w:r>
      <w:r w:rsidRPr="00DA5962">
        <w:rPr>
          <w:rFonts w:cs="Arial"/>
          <w:szCs w:val="20"/>
        </w:rPr>
        <w:t xml:space="preserve"> tak v posledním školním roce tvořily v průměru již 12,5 % všech dětí v mateřských školkách (v</w:t>
      </w:r>
      <w:r w:rsidR="00695F91">
        <w:rPr>
          <w:rFonts w:cs="Arial"/>
          <w:szCs w:val="20"/>
        </w:rPr>
        <w:t> </w:t>
      </w:r>
      <w:r w:rsidRPr="00DA5962">
        <w:rPr>
          <w:rFonts w:cs="Arial"/>
          <w:szCs w:val="20"/>
        </w:rPr>
        <w:t>roce 2007/08 to bylo 8,1 %). Rozdíly mezi kraji jsou ale poměrně značné. V Praze jich bylo „jen“ 9,4 %, naopak v Olomouckém kraji 15,7 %. V mateřských školách zůstává přibližně 6 % dětí starších šesti let, přičemž dvakrát častěji zůstávají ve školkách i po dosažení tohoto věku chlapci než dívky</w:t>
      </w:r>
      <w:r w:rsidRPr="00053060">
        <w:rPr>
          <w:rFonts w:cs="Arial"/>
          <w:szCs w:val="20"/>
        </w:rPr>
        <w:t xml:space="preserve">. Obecně však počty dětí v mateřských školách podle věku z velké části kopírují populační vývoj v těchto věkových skupinách v jednotlivých krajích. </w:t>
      </w:r>
      <w:r w:rsidRPr="00676DC7">
        <w:rPr>
          <w:rFonts w:cs="Arial"/>
          <w:i/>
          <w:szCs w:val="20"/>
        </w:rPr>
        <w:t>Podrobněji v kapitole 1.</w:t>
      </w:r>
      <w:r w:rsidR="00676DC7" w:rsidRPr="00676DC7">
        <w:rPr>
          <w:rFonts w:cs="Arial"/>
          <w:i/>
          <w:szCs w:val="20"/>
        </w:rPr>
        <w:t>6</w:t>
      </w:r>
      <w:r w:rsidRPr="00676DC7">
        <w:rPr>
          <w:rFonts w:cs="Arial"/>
          <w:i/>
          <w:szCs w:val="20"/>
        </w:rPr>
        <w:t xml:space="preserve"> Věkové složení dětí v mateřských školách.</w:t>
      </w:r>
    </w:p>
    <w:p w:rsidR="004F7BA7" w:rsidRPr="00DA5962" w:rsidRDefault="004F7BA7" w:rsidP="00695F91">
      <w:pPr>
        <w:spacing w:after="120" w:line="276" w:lineRule="auto"/>
        <w:jc w:val="both"/>
        <w:rPr>
          <w:rFonts w:cs="Arial"/>
          <w:szCs w:val="20"/>
        </w:rPr>
      </w:pPr>
      <w:r w:rsidRPr="00DA5962">
        <w:rPr>
          <w:rFonts w:cs="Arial"/>
          <w:szCs w:val="20"/>
        </w:rPr>
        <w:t>Počet dětí s </w:t>
      </w:r>
      <w:r w:rsidRPr="00DA5962">
        <w:rPr>
          <w:rFonts w:cs="Arial"/>
          <w:b/>
          <w:szCs w:val="20"/>
        </w:rPr>
        <w:t>cizím státním občanstvím</w:t>
      </w:r>
      <w:r w:rsidRPr="00DA5962">
        <w:rPr>
          <w:rFonts w:cs="Arial"/>
          <w:szCs w:val="20"/>
        </w:rPr>
        <w:t xml:space="preserve"> se v mateřských školách v posledních 10 letech v</w:t>
      </w:r>
      <w:r>
        <w:rPr>
          <w:rFonts w:cs="Arial"/>
          <w:szCs w:val="20"/>
        </w:rPr>
        <w:t> </w:t>
      </w:r>
      <w:r w:rsidRPr="00DA5962">
        <w:rPr>
          <w:rFonts w:cs="Arial"/>
          <w:szCs w:val="20"/>
        </w:rPr>
        <w:t>Č</w:t>
      </w:r>
      <w:r>
        <w:rPr>
          <w:rFonts w:cs="Arial"/>
          <w:szCs w:val="20"/>
        </w:rPr>
        <w:t>eské republice</w:t>
      </w:r>
      <w:r w:rsidRPr="00DA5962">
        <w:rPr>
          <w:rFonts w:cs="Arial"/>
          <w:szCs w:val="20"/>
        </w:rPr>
        <w:t xml:space="preserve"> více jak ztrojnásobil – z 3 078 ve školním roce 2007/08 na více jak deset tisíc (10 469) ve školním roce 2017/18. Na celkový počet dětí připadlo nejvíce dětí s jiným než českým státním občanstvím v mateřských školách v Praze (9,7 %), nejméně naopak ve Zlínském kraji (0,6 %) – průměr za Českou republiku činil ve školním roce 2017/18 necelá tři procenta (2,9 %). </w:t>
      </w:r>
      <w:r w:rsidRPr="00EF2D59">
        <w:rPr>
          <w:rFonts w:cs="Arial"/>
          <w:szCs w:val="20"/>
        </w:rPr>
        <w:t xml:space="preserve">Nejvíce dětí s cizím státním občanstvím v mateřských školách </w:t>
      </w:r>
      <w:r w:rsidR="00F54584">
        <w:rPr>
          <w:rFonts w:cs="Arial"/>
          <w:szCs w:val="20"/>
        </w:rPr>
        <w:t>má</w:t>
      </w:r>
      <w:r w:rsidRPr="00EF2D59">
        <w:rPr>
          <w:rFonts w:cs="Arial"/>
          <w:szCs w:val="20"/>
        </w:rPr>
        <w:t xml:space="preserve"> v posledních deseti letech Vietnamské státní občanství (</w:t>
      </w:r>
      <w:r>
        <w:rPr>
          <w:rFonts w:cs="Arial"/>
          <w:szCs w:val="20"/>
        </w:rPr>
        <w:t>2</w:t>
      </w:r>
      <w:r w:rsidRPr="00EF2D59">
        <w:rPr>
          <w:rFonts w:cs="Arial"/>
          <w:szCs w:val="20"/>
        </w:rPr>
        <w:t xml:space="preserve"> </w:t>
      </w:r>
      <w:r>
        <w:rPr>
          <w:rFonts w:cs="Arial"/>
          <w:szCs w:val="20"/>
        </w:rPr>
        <w:t>764</w:t>
      </w:r>
      <w:r w:rsidRPr="00EF2D59">
        <w:rPr>
          <w:rFonts w:cs="Arial"/>
          <w:szCs w:val="20"/>
        </w:rPr>
        <w:t xml:space="preserve"> ve školním roce 201</w:t>
      </w:r>
      <w:r>
        <w:rPr>
          <w:rFonts w:cs="Arial"/>
          <w:szCs w:val="20"/>
        </w:rPr>
        <w:t>7</w:t>
      </w:r>
      <w:r w:rsidRPr="00EF2D59">
        <w:rPr>
          <w:rFonts w:cs="Arial"/>
          <w:szCs w:val="20"/>
        </w:rPr>
        <w:t>/1</w:t>
      </w:r>
      <w:r>
        <w:rPr>
          <w:rFonts w:cs="Arial"/>
          <w:szCs w:val="20"/>
        </w:rPr>
        <w:t>8)</w:t>
      </w:r>
      <w:r w:rsidRPr="00EF2D59">
        <w:rPr>
          <w:rFonts w:cs="Arial"/>
          <w:szCs w:val="20"/>
        </w:rPr>
        <w:t xml:space="preserve">, následují děti z Ukrajiny (2 </w:t>
      </w:r>
      <w:r>
        <w:rPr>
          <w:rFonts w:cs="Arial"/>
          <w:szCs w:val="20"/>
        </w:rPr>
        <w:t>484</w:t>
      </w:r>
      <w:r w:rsidRPr="00EF2D59">
        <w:rPr>
          <w:rFonts w:cs="Arial"/>
          <w:szCs w:val="20"/>
        </w:rPr>
        <w:t>, tj. 4,</w:t>
      </w:r>
      <w:r>
        <w:rPr>
          <w:rFonts w:cs="Arial"/>
          <w:szCs w:val="20"/>
        </w:rPr>
        <w:t>2</w:t>
      </w:r>
      <w:r w:rsidRPr="00EF2D59">
        <w:rPr>
          <w:rFonts w:cs="Arial"/>
          <w:szCs w:val="20"/>
        </w:rPr>
        <w:t xml:space="preserve">krát více než před deseti lety) a překvapivě až na třetím místě děti ze Slovenska (1 </w:t>
      </w:r>
      <w:r>
        <w:rPr>
          <w:rFonts w:cs="Arial"/>
          <w:szCs w:val="20"/>
        </w:rPr>
        <w:t>9</w:t>
      </w:r>
      <w:r w:rsidRPr="00EF2D59">
        <w:rPr>
          <w:rFonts w:cs="Arial"/>
          <w:szCs w:val="20"/>
        </w:rPr>
        <w:t>2</w:t>
      </w:r>
      <w:r>
        <w:rPr>
          <w:rFonts w:cs="Arial"/>
          <w:szCs w:val="20"/>
        </w:rPr>
        <w:t>3</w:t>
      </w:r>
      <w:r w:rsidRPr="00EF2D59">
        <w:rPr>
          <w:rFonts w:cs="Arial"/>
          <w:szCs w:val="20"/>
        </w:rPr>
        <w:t xml:space="preserve">). </w:t>
      </w:r>
      <w:r w:rsidRPr="00676DC7">
        <w:rPr>
          <w:rFonts w:cs="Arial"/>
          <w:i/>
          <w:szCs w:val="20"/>
        </w:rPr>
        <w:t>Podrobněji v kapitole 1.</w:t>
      </w:r>
      <w:r w:rsidR="00676DC7" w:rsidRPr="00676DC7">
        <w:rPr>
          <w:rFonts w:cs="Arial"/>
          <w:i/>
          <w:szCs w:val="20"/>
        </w:rPr>
        <w:t>7</w:t>
      </w:r>
      <w:r w:rsidRPr="00676DC7">
        <w:rPr>
          <w:rFonts w:cs="Arial"/>
          <w:i/>
          <w:szCs w:val="20"/>
        </w:rPr>
        <w:t xml:space="preserve"> Děti s cizím státním občanstvím v mateřských školách.</w:t>
      </w:r>
    </w:p>
    <w:p w:rsidR="004F7BA7" w:rsidRPr="00E325E3" w:rsidRDefault="004F7BA7" w:rsidP="00695F91">
      <w:pPr>
        <w:spacing w:after="120" w:line="276" w:lineRule="auto"/>
        <w:jc w:val="both"/>
        <w:rPr>
          <w:rFonts w:cs="Arial"/>
          <w:i/>
          <w:szCs w:val="20"/>
        </w:rPr>
      </w:pPr>
      <w:r w:rsidRPr="00DA5962">
        <w:rPr>
          <w:rFonts w:cs="Arial"/>
          <w:szCs w:val="20"/>
        </w:rPr>
        <w:t xml:space="preserve">I když absolutní počet dětí se </w:t>
      </w:r>
      <w:r w:rsidRPr="00053060">
        <w:rPr>
          <w:rFonts w:cs="Arial"/>
          <w:b/>
          <w:szCs w:val="20"/>
        </w:rPr>
        <w:t>speciálními vzdělávacími</w:t>
      </w:r>
      <w:r w:rsidRPr="00DA5962">
        <w:rPr>
          <w:rFonts w:cs="Arial"/>
          <w:b/>
          <w:szCs w:val="20"/>
        </w:rPr>
        <w:t xml:space="preserve"> potřebami (SVP) </w:t>
      </w:r>
      <w:r w:rsidRPr="002560D7">
        <w:rPr>
          <w:rFonts w:cs="Arial"/>
          <w:szCs w:val="20"/>
        </w:rPr>
        <w:t>v mateřských školách</w:t>
      </w:r>
      <w:r w:rsidRPr="00DA5962">
        <w:rPr>
          <w:rFonts w:cs="Arial"/>
          <w:b/>
          <w:szCs w:val="20"/>
        </w:rPr>
        <w:t xml:space="preserve"> </w:t>
      </w:r>
      <w:r w:rsidRPr="00DA5962">
        <w:rPr>
          <w:rFonts w:cs="Arial"/>
          <w:szCs w:val="20"/>
        </w:rPr>
        <w:t>v</w:t>
      </w:r>
      <w:r w:rsidR="00695F91">
        <w:rPr>
          <w:rFonts w:cs="Arial"/>
          <w:szCs w:val="20"/>
        </w:rPr>
        <w:t> </w:t>
      </w:r>
      <w:r w:rsidRPr="00DA5962">
        <w:rPr>
          <w:rFonts w:cs="Arial"/>
          <w:szCs w:val="20"/>
        </w:rPr>
        <w:t xml:space="preserve">posledních deseti letech rostl – ve školním roce 2017/18 jich bylo 10 788 v porovnání s 8 533 ve školním roce 2007/08 – jejich podíl na celkovém počtu dětí se pohyboval stále na hranici 3 %. Nejvíce dětí (50,5 %) mělo speciální vzdělávací potřeby z důvodu vady řeči. V čase vzrostl počet dětí s autismem. Ve školním roce 2017/18 jich bylo takto diagnostikováno 885 oproti 250 ve školním roce 2007/08. Více jak dvě třetiny dětí (68,7 %) se speciálními vzdělávacími potřebami, které navštěvují mateřskou školu, jsou chlapci. V posledních letech výrazně vzrostl počet dětí individuálně integrovaných v běžných třídách mateřských škol.  </w:t>
      </w:r>
      <w:r w:rsidRPr="00676DC7">
        <w:rPr>
          <w:rFonts w:cs="Arial"/>
          <w:i/>
          <w:szCs w:val="20"/>
        </w:rPr>
        <w:t>Podrobněji v kapitole 1.</w:t>
      </w:r>
      <w:r w:rsidR="00676DC7" w:rsidRPr="00676DC7">
        <w:rPr>
          <w:rFonts w:cs="Arial"/>
          <w:i/>
          <w:szCs w:val="20"/>
        </w:rPr>
        <w:t>8</w:t>
      </w:r>
      <w:r w:rsidRPr="00676DC7">
        <w:rPr>
          <w:rFonts w:cs="Arial"/>
          <w:i/>
          <w:szCs w:val="20"/>
        </w:rPr>
        <w:t xml:space="preserve"> Děti se speciálními vzdělávacími potřebami.</w:t>
      </w:r>
      <w:r w:rsidRPr="00E325E3">
        <w:rPr>
          <w:rFonts w:cs="Arial"/>
          <w:i/>
          <w:szCs w:val="20"/>
        </w:rPr>
        <w:t xml:space="preserve"> </w:t>
      </w:r>
    </w:p>
    <w:p w:rsidR="004F7BA7" w:rsidRPr="00676DC7" w:rsidRDefault="00695F91" w:rsidP="00695F91">
      <w:pPr>
        <w:pStyle w:val="Nadpis2"/>
      </w:pPr>
      <w:bookmarkStart w:id="8" w:name="_Toc523408598"/>
      <w:bookmarkStart w:id="9" w:name="_Toc523466183"/>
      <w:r w:rsidRPr="00676DC7">
        <w:lastRenderedPageBreak/>
        <w:t xml:space="preserve">1.3 </w:t>
      </w:r>
      <w:r w:rsidR="004F7BA7" w:rsidRPr="00676DC7">
        <w:t xml:space="preserve">Počty učitelů </w:t>
      </w:r>
      <w:r w:rsidRPr="00676DC7">
        <w:t xml:space="preserve">v mateřských školách </w:t>
      </w:r>
      <w:r w:rsidR="004F7BA7" w:rsidRPr="00676DC7">
        <w:t>a jejich průměrné mzdy</w:t>
      </w:r>
      <w:bookmarkEnd w:id="8"/>
      <w:bookmarkEnd w:id="9"/>
    </w:p>
    <w:p w:rsidR="004F7BA7" w:rsidRDefault="004F7BA7" w:rsidP="00695F91">
      <w:pPr>
        <w:spacing w:after="120" w:line="276" w:lineRule="auto"/>
        <w:jc w:val="both"/>
        <w:rPr>
          <w:rFonts w:cs="Arial"/>
          <w:szCs w:val="20"/>
        </w:rPr>
      </w:pPr>
      <w:r w:rsidRPr="00C11028">
        <w:rPr>
          <w:rFonts w:cs="Arial"/>
          <w:szCs w:val="20"/>
        </w:rPr>
        <w:t>Výuku v mateřských školách v roce 201</w:t>
      </w:r>
      <w:r>
        <w:rPr>
          <w:rFonts w:cs="Arial"/>
          <w:szCs w:val="20"/>
        </w:rPr>
        <w:t>7</w:t>
      </w:r>
      <w:r w:rsidRPr="00C11028">
        <w:rPr>
          <w:rFonts w:cs="Arial"/>
          <w:szCs w:val="20"/>
        </w:rPr>
        <w:t>/1</w:t>
      </w:r>
      <w:r>
        <w:rPr>
          <w:rFonts w:cs="Arial"/>
          <w:szCs w:val="20"/>
        </w:rPr>
        <w:t>8</w:t>
      </w:r>
      <w:r w:rsidRPr="00C11028">
        <w:rPr>
          <w:rFonts w:cs="Arial"/>
          <w:szCs w:val="20"/>
        </w:rPr>
        <w:t xml:space="preserve"> zajišťovalo </w:t>
      </w:r>
      <w:r>
        <w:rPr>
          <w:rFonts w:cs="Arial"/>
          <w:szCs w:val="20"/>
        </w:rPr>
        <w:t xml:space="preserve">více jak </w:t>
      </w:r>
      <w:r w:rsidRPr="00B73994">
        <w:rPr>
          <w:rFonts w:cs="Arial"/>
          <w:b/>
          <w:szCs w:val="20"/>
        </w:rPr>
        <w:t>30 tisíc</w:t>
      </w:r>
      <w:r w:rsidRPr="00C11028">
        <w:rPr>
          <w:rFonts w:cs="Arial"/>
          <w:szCs w:val="20"/>
        </w:rPr>
        <w:t xml:space="preserve"> </w:t>
      </w:r>
      <w:r w:rsidRPr="00B73994">
        <w:rPr>
          <w:rFonts w:cs="Arial"/>
          <w:b/>
          <w:szCs w:val="20"/>
        </w:rPr>
        <w:t>učitelů</w:t>
      </w:r>
      <w:r w:rsidRPr="00C11028">
        <w:rPr>
          <w:rFonts w:cs="Arial"/>
          <w:szCs w:val="20"/>
        </w:rPr>
        <w:t xml:space="preserve"> </w:t>
      </w:r>
      <w:r w:rsidR="00CC0FAD">
        <w:rPr>
          <w:rFonts w:cs="Arial"/>
          <w:szCs w:val="20"/>
        </w:rPr>
        <w:t xml:space="preserve">- </w:t>
      </w:r>
      <w:r>
        <w:rPr>
          <w:rFonts w:cs="Arial"/>
          <w:szCs w:val="20"/>
        </w:rPr>
        <w:t>30 303</w:t>
      </w:r>
      <w:r w:rsidRPr="00C11028">
        <w:rPr>
          <w:rFonts w:cs="Arial"/>
          <w:szCs w:val="20"/>
        </w:rPr>
        <w:t xml:space="preserve"> přepočtených osob</w:t>
      </w:r>
      <w:r>
        <w:rPr>
          <w:rFonts w:cs="Arial"/>
          <w:szCs w:val="20"/>
        </w:rPr>
        <w:t xml:space="preserve"> na plně zaměstnané.</w:t>
      </w:r>
      <w:r w:rsidRPr="00B73994">
        <w:rPr>
          <w:rFonts w:cs="Arial"/>
          <w:szCs w:val="20"/>
        </w:rPr>
        <w:t xml:space="preserve"> </w:t>
      </w:r>
      <w:r>
        <w:rPr>
          <w:rFonts w:cs="Arial"/>
          <w:szCs w:val="20"/>
        </w:rPr>
        <w:t xml:space="preserve">Celkový přepočtený počet učitelů v mateřských školách </w:t>
      </w:r>
      <w:r w:rsidRPr="00B73994">
        <w:rPr>
          <w:rFonts w:cs="Arial"/>
          <w:szCs w:val="20"/>
        </w:rPr>
        <w:t>za posledních 10 let narostl o</w:t>
      </w:r>
      <w:r>
        <w:rPr>
          <w:rFonts w:cs="Arial"/>
          <w:szCs w:val="20"/>
        </w:rPr>
        <w:t> třetinu (7 559 přepočtených osob), tj. rostl rychleji než výše uvedený počet dětí v mateřských školách</w:t>
      </w:r>
      <w:r w:rsidRPr="00B73994">
        <w:rPr>
          <w:rFonts w:cs="Arial"/>
          <w:szCs w:val="20"/>
        </w:rPr>
        <w:t>.</w:t>
      </w:r>
      <w:r>
        <w:rPr>
          <w:rFonts w:cs="Arial"/>
          <w:szCs w:val="20"/>
        </w:rPr>
        <w:t xml:space="preserve"> Kromě učitelů působilo v mateřských školách dalších 12 184 nepedagogických zaměstnanců.</w:t>
      </w:r>
    </w:p>
    <w:p w:rsidR="004F7BA7" w:rsidRDefault="004F7BA7" w:rsidP="00695F91">
      <w:pPr>
        <w:spacing w:after="120" w:line="276" w:lineRule="auto"/>
        <w:jc w:val="both"/>
        <w:rPr>
          <w:rFonts w:cs="Arial"/>
          <w:szCs w:val="20"/>
        </w:rPr>
      </w:pPr>
      <w:r>
        <w:rPr>
          <w:rFonts w:cs="Arial"/>
          <w:szCs w:val="20"/>
        </w:rPr>
        <w:t>V</w:t>
      </w:r>
      <w:r w:rsidRPr="00C11028">
        <w:rPr>
          <w:rFonts w:cs="Arial"/>
          <w:szCs w:val="20"/>
        </w:rPr>
        <w:t xml:space="preserve">zdělávání v mateřských školách je u nás výhradní doménou </w:t>
      </w:r>
      <w:r w:rsidRPr="00B93D40">
        <w:rPr>
          <w:rFonts w:cs="Arial"/>
          <w:b/>
          <w:szCs w:val="20"/>
        </w:rPr>
        <w:t>žen</w:t>
      </w:r>
      <w:r>
        <w:rPr>
          <w:rFonts w:cs="Arial"/>
          <w:szCs w:val="20"/>
        </w:rPr>
        <w:t>.</w:t>
      </w:r>
      <w:r w:rsidRPr="00B73994">
        <w:rPr>
          <w:rFonts w:cs="Arial"/>
          <w:szCs w:val="20"/>
        </w:rPr>
        <w:t xml:space="preserve"> Muži tvoří méně než 1 % pedagogických pracovníků mateřských škol. </w:t>
      </w:r>
      <w:r>
        <w:rPr>
          <w:rFonts w:cs="Arial"/>
          <w:szCs w:val="20"/>
        </w:rPr>
        <w:t>P</w:t>
      </w:r>
      <w:r w:rsidRPr="00C11028">
        <w:rPr>
          <w:rFonts w:cs="Arial"/>
          <w:szCs w:val="20"/>
        </w:rPr>
        <w:t>řesto v posledních letech můžeme pozorovat mírný nárůst počtu učitelů – mužů. Zatímco ve školním roce 200</w:t>
      </w:r>
      <w:r>
        <w:rPr>
          <w:rFonts w:cs="Arial"/>
          <w:szCs w:val="20"/>
        </w:rPr>
        <w:t>7</w:t>
      </w:r>
      <w:r w:rsidRPr="00C11028">
        <w:rPr>
          <w:rFonts w:cs="Arial"/>
          <w:szCs w:val="20"/>
        </w:rPr>
        <w:t>/0</w:t>
      </w:r>
      <w:r>
        <w:rPr>
          <w:rFonts w:cs="Arial"/>
          <w:szCs w:val="20"/>
        </w:rPr>
        <w:t>8</w:t>
      </w:r>
      <w:r w:rsidRPr="00C11028">
        <w:rPr>
          <w:rFonts w:cs="Arial"/>
          <w:szCs w:val="20"/>
        </w:rPr>
        <w:t xml:space="preserve"> bylo v Česk</w:t>
      </w:r>
      <w:r w:rsidR="00CC0FAD">
        <w:rPr>
          <w:rFonts w:cs="Arial"/>
          <w:szCs w:val="20"/>
        </w:rPr>
        <w:t>u</w:t>
      </w:r>
      <w:r w:rsidRPr="00C11028">
        <w:rPr>
          <w:rFonts w:cs="Arial"/>
          <w:szCs w:val="20"/>
        </w:rPr>
        <w:t xml:space="preserve"> v mateřských školkách </w:t>
      </w:r>
      <w:r>
        <w:rPr>
          <w:rFonts w:cs="Arial"/>
          <w:szCs w:val="20"/>
        </w:rPr>
        <w:t xml:space="preserve">jen </w:t>
      </w:r>
      <w:r w:rsidRPr="00C11028">
        <w:rPr>
          <w:rFonts w:cs="Arial"/>
          <w:szCs w:val="20"/>
        </w:rPr>
        <w:t>2</w:t>
      </w:r>
      <w:r>
        <w:rPr>
          <w:rFonts w:cs="Arial"/>
          <w:szCs w:val="20"/>
        </w:rPr>
        <w:t>7</w:t>
      </w:r>
      <w:r w:rsidRPr="00C11028">
        <w:rPr>
          <w:rFonts w:cs="Arial"/>
          <w:szCs w:val="20"/>
        </w:rPr>
        <w:t> pedagogů mužského pohlaví, ve školním roce 201</w:t>
      </w:r>
      <w:r>
        <w:rPr>
          <w:rFonts w:cs="Arial"/>
          <w:szCs w:val="20"/>
        </w:rPr>
        <w:t>7</w:t>
      </w:r>
      <w:r w:rsidRPr="00C11028">
        <w:rPr>
          <w:rFonts w:cs="Arial"/>
          <w:szCs w:val="20"/>
        </w:rPr>
        <w:t>/1</w:t>
      </w:r>
      <w:r>
        <w:rPr>
          <w:rFonts w:cs="Arial"/>
          <w:szCs w:val="20"/>
        </w:rPr>
        <w:t>8</w:t>
      </w:r>
      <w:r w:rsidRPr="00C11028">
        <w:rPr>
          <w:rFonts w:cs="Arial"/>
          <w:szCs w:val="20"/>
        </w:rPr>
        <w:t xml:space="preserve"> jich bylo „již“ 1</w:t>
      </w:r>
      <w:r>
        <w:rPr>
          <w:rFonts w:cs="Arial"/>
          <w:szCs w:val="20"/>
        </w:rPr>
        <w:t>77 ‒</w:t>
      </w:r>
      <w:r w:rsidRPr="00C11028">
        <w:rPr>
          <w:rFonts w:cs="Arial"/>
          <w:szCs w:val="20"/>
        </w:rPr>
        <w:t xml:space="preserve"> jejich podíl je však stále pouze 0,6 %.</w:t>
      </w:r>
      <w:r>
        <w:rPr>
          <w:rFonts w:cs="Arial"/>
          <w:szCs w:val="20"/>
        </w:rPr>
        <w:t xml:space="preserve"> V krajském srovnání byl tento podíl nejvyšší v Praze – 1,4 %. Naopak nejnižší zastoupení mužů bylo zaznamenáno v Libereckém (0,15 %) a Karlovarském (0,28 %) kraji, kde v obou případech učili jen dva muži. </w:t>
      </w:r>
    </w:p>
    <w:p w:rsidR="004F7BA7" w:rsidRPr="003A440C" w:rsidRDefault="004F7BA7" w:rsidP="00695F91">
      <w:pPr>
        <w:spacing w:after="120" w:line="276" w:lineRule="auto"/>
        <w:jc w:val="both"/>
        <w:rPr>
          <w:rFonts w:cs="Arial"/>
          <w:szCs w:val="20"/>
        </w:rPr>
      </w:pPr>
      <w:r w:rsidRPr="00B73994">
        <w:rPr>
          <w:rFonts w:cs="Arial"/>
          <w:szCs w:val="20"/>
        </w:rPr>
        <w:t xml:space="preserve">Z pohledu </w:t>
      </w:r>
      <w:r w:rsidRPr="00632548">
        <w:rPr>
          <w:rFonts w:cs="Arial"/>
          <w:b/>
          <w:szCs w:val="20"/>
        </w:rPr>
        <w:t>věku učitele</w:t>
      </w:r>
      <w:r>
        <w:rPr>
          <w:rFonts w:cs="Arial"/>
          <w:b/>
          <w:szCs w:val="20"/>
        </w:rPr>
        <w:t xml:space="preserve"> </w:t>
      </w:r>
      <w:r w:rsidRPr="009B58F8">
        <w:rPr>
          <w:rFonts w:cs="Arial"/>
          <w:szCs w:val="20"/>
        </w:rPr>
        <w:t>(bez ředitelů a zástupců ředitele)</w:t>
      </w:r>
      <w:r>
        <w:rPr>
          <w:rFonts w:cs="Arial"/>
          <w:b/>
          <w:szCs w:val="20"/>
        </w:rPr>
        <w:t xml:space="preserve"> </w:t>
      </w:r>
      <w:r w:rsidRPr="00B73994">
        <w:rPr>
          <w:rFonts w:cs="Arial"/>
          <w:szCs w:val="20"/>
        </w:rPr>
        <w:t xml:space="preserve">lze konstatovat, že výuku </w:t>
      </w:r>
      <w:r>
        <w:rPr>
          <w:rFonts w:cs="Arial"/>
          <w:szCs w:val="20"/>
        </w:rPr>
        <w:t xml:space="preserve">v mateřských školách zajišťuje </w:t>
      </w:r>
      <w:r w:rsidRPr="00B73994">
        <w:rPr>
          <w:rFonts w:cs="Arial"/>
          <w:szCs w:val="20"/>
        </w:rPr>
        <w:t>nejvíce učitel</w:t>
      </w:r>
      <w:r>
        <w:rPr>
          <w:rFonts w:cs="Arial"/>
          <w:szCs w:val="20"/>
        </w:rPr>
        <w:t xml:space="preserve">ek </w:t>
      </w:r>
      <w:r w:rsidRPr="00B73994">
        <w:rPr>
          <w:rFonts w:cs="Arial"/>
          <w:szCs w:val="20"/>
        </w:rPr>
        <w:t xml:space="preserve">z věkové skupiny </w:t>
      </w:r>
      <w:r>
        <w:rPr>
          <w:rFonts w:cs="Arial"/>
          <w:szCs w:val="20"/>
        </w:rPr>
        <w:t>50</w:t>
      </w:r>
      <w:r w:rsidRPr="00B73994">
        <w:rPr>
          <w:rFonts w:cs="Arial"/>
          <w:szCs w:val="20"/>
        </w:rPr>
        <w:t xml:space="preserve"> </w:t>
      </w:r>
      <w:r>
        <w:rPr>
          <w:rFonts w:cs="Arial"/>
          <w:szCs w:val="20"/>
        </w:rPr>
        <w:t>až 59</w:t>
      </w:r>
      <w:r w:rsidRPr="00B73994">
        <w:rPr>
          <w:rFonts w:cs="Arial"/>
          <w:szCs w:val="20"/>
        </w:rPr>
        <w:t xml:space="preserve"> let</w:t>
      </w:r>
      <w:r>
        <w:rPr>
          <w:rFonts w:cs="Arial"/>
          <w:szCs w:val="20"/>
        </w:rPr>
        <w:t xml:space="preserve">. V posledních letech roste jak podíl nejmladších učitelek do 29 let, tak i těch 60letých a starších. </w:t>
      </w:r>
    </w:p>
    <w:p w:rsidR="004F7BA7" w:rsidRPr="00B34465" w:rsidRDefault="004F7BA7" w:rsidP="004F7BA7">
      <w:pPr>
        <w:spacing w:after="0" w:line="276" w:lineRule="auto"/>
        <w:rPr>
          <w:rFonts w:cs="Arial"/>
          <w:b/>
          <w:noProof/>
          <w:szCs w:val="20"/>
        </w:rPr>
      </w:pPr>
      <w:r w:rsidRPr="00B34465">
        <w:rPr>
          <w:rFonts w:cs="Arial"/>
          <w:b/>
          <w:noProof/>
          <w:szCs w:val="20"/>
        </w:rPr>
        <w:t xml:space="preserve">Graf </w:t>
      </w:r>
      <w:r>
        <w:rPr>
          <w:rFonts w:cs="Arial"/>
          <w:b/>
          <w:noProof/>
          <w:szCs w:val="20"/>
        </w:rPr>
        <w:t>4:</w:t>
      </w:r>
      <w:r w:rsidRPr="00B34465">
        <w:rPr>
          <w:rFonts w:cs="Arial"/>
          <w:b/>
          <w:noProof/>
          <w:szCs w:val="20"/>
        </w:rPr>
        <w:t xml:space="preserve"> Počet </w:t>
      </w:r>
      <w:r>
        <w:rPr>
          <w:rFonts w:cs="Arial"/>
          <w:b/>
          <w:noProof/>
          <w:szCs w:val="20"/>
        </w:rPr>
        <w:t xml:space="preserve">učitelů* v mateřských </w:t>
      </w:r>
      <w:r w:rsidRPr="00B34465">
        <w:rPr>
          <w:rFonts w:cs="Arial"/>
          <w:b/>
          <w:noProof/>
          <w:szCs w:val="20"/>
        </w:rPr>
        <w:t>škol</w:t>
      </w:r>
      <w:r>
        <w:rPr>
          <w:rFonts w:cs="Arial"/>
          <w:b/>
          <w:noProof/>
          <w:szCs w:val="20"/>
        </w:rPr>
        <w:t>ách v ČR v letech 2007/2008 až 2017/2018</w:t>
      </w:r>
      <w:r w:rsidRPr="00B34465">
        <w:rPr>
          <w:rFonts w:cs="Arial"/>
          <w:b/>
          <w:noProof/>
          <w:szCs w:val="20"/>
        </w:rPr>
        <w:t xml:space="preserve">  </w:t>
      </w:r>
    </w:p>
    <w:p w:rsidR="004F7BA7" w:rsidRDefault="004F7BA7" w:rsidP="004F7BA7">
      <w:pPr>
        <w:spacing w:line="276" w:lineRule="auto"/>
        <w:jc w:val="both"/>
        <w:rPr>
          <w:rFonts w:cs="Arial"/>
          <w:b/>
          <w:szCs w:val="20"/>
        </w:rPr>
      </w:pPr>
      <w:r w:rsidRPr="00481EC6">
        <w:rPr>
          <w:noProof/>
          <w:lang w:val="en-US" w:eastAsia="en-US"/>
        </w:rPr>
        <w:t xml:space="preserve"> </w:t>
      </w:r>
      <w:r w:rsidR="001C064A">
        <w:rPr>
          <w:noProof/>
        </w:rPr>
        <w:drawing>
          <wp:inline distT="0" distB="0" distL="0" distR="0" wp14:anchorId="2C03332E">
            <wp:extent cx="3237230" cy="2158365"/>
            <wp:effectExtent l="0" t="0" r="127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7230" cy="2158365"/>
                    </a:xfrm>
                    <a:prstGeom prst="rect">
                      <a:avLst/>
                    </a:prstGeom>
                    <a:noFill/>
                  </pic:spPr>
                </pic:pic>
              </a:graphicData>
            </a:graphic>
          </wp:inline>
        </w:drawing>
      </w:r>
      <w:r w:rsidRPr="003E4A0F">
        <w:rPr>
          <w:noProof/>
          <w:lang w:val="en-US" w:eastAsia="en-US"/>
        </w:rPr>
        <w:t xml:space="preserve"> </w:t>
      </w:r>
      <w:r w:rsidR="001C064A">
        <w:rPr>
          <w:noProof/>
        </w:rPr>
        <w:drawing>
          <wp:inline distT="0" distB="0" distL="0" distR="0" wp14:anchorId="15E72645">
            <wp:extent cx="2481580" cy="2158365"/>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1580" cy="2158365"/>
                    </a:xfrm>
                    <a:prstGeom prst="rect">
                      <a:avLst/>
                    </a:prstGeom>
                    <a:noFill/>
                  </pic:spPr>
                </pic:pic>
              </a:graphicData>
            </a:graphic>
          </wp:inline>
        </w:drawing>
      </w:r>
      <w:r w:rsidRPr="000C2E57">
        <w:rPr>
          <w:noProof/>
          <w:lang w:val="en-US" w:eastAsia="en-US"/>
        </w:rPr>
        <w:t xml:space="preserve"> </w:t>
      </w:r>
    </w:p>
    <w:p w:rsidR="004F7BA7" w:rsidRDefault="004F7BA7" w:rsidP="004F7BA7">
      <w:pPr>
        <w:spacing w:after="120" w:line="276" w:lineRule="auto"/>
        <w:rPr>
          <w:rFonts w:cs="Arial"/>
          <w:sz w:val="16"/>
          <w:szCs w:val="16"/>
        </w:rPr>
      </w:pPr>
      <w:r w:rsidRPr="0015159B">
        <w:rPr>
          <w:rFonts w:cs="Arial"/>
          <w:sz w:val="16"/>
          <w:szCs w:val="16"/>
        </w:rPr>
        <w:t>*</w:t>
      </w:r>
      <w:r>
        <w:rPr>
          <w:rFonts w:cs="Arial"/>
          <w:sz w:val="16"/>
          <w:szCs w:val="16"/>
        </w:rPr>
        <w:t xml:space="preserve"> </w:t>
      </w:r>
      <w:r w:rsidRPr="0015159B">
        <w:rPr>
          <w:rFonts w:cs="Arial"/>
          <w:sz w:val="16"/>
          <w:szCs w:val="16"/>
        </w:rPr>
        <w:t>Průměrný přepočtený počet na plně zaměstnané; učitelé zahrnují i řídící pracovníky (tj. ředitele a zástupce ředitelů).</w:t>
      </w:r>
    </w:p>
    <w:p w:rsidR="004F7BA7" w:rsidRPr="00FA1D8E" w:rsidRDefault="004F7BA7" w:rsidP="00695F91">
      <w:pPr>
        <w:spacing w:after="120" w:line="276" w:lineRule="auto"/>
        <w:rPr>
          <w:rFonts w:cs="Arial"/>
          <w:sz w:val="16"/>
          <w:szCs w:val="16"/>
        </w:rPr>
      </w:pPr>
      <w:r w:rsidRPr="00FA1D8E">
        <w:rPr>
          <w:rFonts w:cs="Arial"/>
          <w:sz w:val="16"/>
          <w:szCs w:val="16"/>
        </w:rPr>
        <w:t>Zdroj: MŠMT</w:t>
      </w:r>
      <w:r>
        <w:rPr>
          <w:rFonts w:cs="Arial"/>
          <w:sz w:val="16"/>
          <w:szCs w:val="16"/>
        </w:rPr>
        <w:t>, ISP a vlastní dopočty ČSÚ</w:t>
      </w:r>
    </w:p>
    <w:p w:rsidR="00A365B0" w:rsidRDefault="004F7BA7" w:rsidP="00695F91">
      <w:pPr>
        <w:spacing w:after="120" w:line="276" w:lineRule="auto"/>
        <w:jc w:val="both"/>
        <w:rPr>
          <w:rFonts w:cs="Arial"/>
          <w:szCs w:val="20"/>
        </w:rPr>
      </w:pPr>
      <w:r>
        <w:rPr>
          <w:rFonts w:cs="Arial"/>
          <w:szCs w:val="20"/>
        </w:rPr>
        <w:t xml:space="preserve">Za posledních deset let </w:t>
      </w:r>
      <w:r w:rsidRPr="003A440C">
        <w:rPr>
          <w:rFonts w:cs="Arial"/>
          <w:szCs w:val="20"/>
        </w:rPr>
        <w:t>v</w:t>
      </w:r>
      <w:r>
        <w:rPr>
          <w:rFonts w:cs="Arial"/>
          <w:szCs w:val="20"/>
        </w:rPr>
        <w:t xml:space="preserve"> mateřských školách výrazně </w:t>
      </w:r>
      <w:r w:rsidRPr="003A440C">
        <w:rPr>
          <w:rFonts w:cs="Arial"/>
          <w:szCs w:val="20"/>
        </w:rPr>
        <w:t xml:space="preserve">vzrostl počet </w:t>
      </w:r>
      <w:r w:rsidRPr="00B93D40">
        <w:rPr>
          <w:rFonts w:cs="Arial"/>
          <w:b/>
          <w:szCs w:val="20"/>
        </w:rPr>
        <w:t>vysokoškolsky vzdělaných učitelek</w:t>
      </w:r>
      <w:r>
        <w:rPr>
          <w:rFonts w:cs="Arial"/>
          <w:b/>
          <w:szCs w:val="20"/>
        </w:rPr>
        <w:t xml:space="preserve"> </w:t>
      </w:r>
      <w:r w:rsidRPr="009B58F8">
        <w:rPr>
          <w:rFonts w:cs="Arial"/>
          <w:szCs w:val="20"/>
        </w:rPr>
        <w:t>(bez ředitelů a zástupců ředitele/řídících pracovníků).</w:t>
      </w:r>
      <w:r w:rsidRPr="003A440C">
        <w:rPr>
          <w:rFonts w:cs="Arial"/>
          <w:szCs w:val="20"/>
        </w:rPr>
        <w:t xml:space="preserve"> Ve školním roce 200</w:t>
      </w:r>
      <w:r>
        <w:rPr>
          <w:rFonts w:cs="Arial"/>
          <w:szCs w:val="20"/>
        </w:rPr>
        <w:t>7</w:t>
      </w:r>
      <w:r w:rsidRPr="003A440C">
        <w:rPr>
          <w:rFonts w:cs="Arial"/>
          <w:szCs w:val="20"/>
        </w:rPr>
        <w:t>/0</w:t>
      </w:r>
      <w:r>
        <w:rPr>
          <w:rFonts w:cs="Arial"/>
          <w:szCs w:val="20"/>
        </w:rPr>
        <w:t>8</w:t>
      </w:r>
      <w:r w:rsidRPr="003A440C">
        <w:rPr>
          <w:rFonts w:cs="Arial"/>
          <w:szCs w:val="20"/>
        </w:rPr>
        <w:t xml:space="preserve"> </w:t>
      </w:r>
      <w:r>
        <w:rPr>
          <w:rFonts w:cs="Arial"/>
          <w:szCs w:val="20"/>
        </w:rPr>
        <w:t xml:space="preserve">zde </w:t>
      </w:r>
      <w:r w:rsidRPr="003A440C">
        <w:rPr>
          <w:rFonts w:cs="Arial"/>
          <w:szCs w:val="20"/>
        </w:rPr>
        <w:t xml:space="preserve">mělo vystudovanou vysokou školu </w:t>
      </w:r>
      <w:r>
        <w:rPr>
          <w:rFonts w:cs="Arial"/>
          <w:szCs w:val="20"/>
        </w:rPr>
        <w:t>„pouze“ 4,4</w:t>
      </w:r>
      <w:r w:rsidRPr="003A440C">
        <w:rPr>
          <w:rFonts w:cs="Arial"/>
          <w:szCs w:val="20"/>
        </w:rPr>
        <w:t> % učitel</w:t>
      </w:r>
      <w:r>
        <w:rPr>
          <w:rFonts w:cs="Arial"/>
          <w:szCs w:val="20"/>
        </w:rPr>
        <w:t>ek</w:t>
      </w:r>
      <w:r w:rsidRPr="003A440C">
        <w:rPr>
          <w:rFonts w:cs="Arial"/>
          <w:szCs w:val="20"/>
        </w:rPr>
        <w:t>, ve školním roce 201</w:t>
      </w:r>
      <w:r>
        <w:rPr>
          <w:rFonts w:cs="Arial"/>
          <w:szCs w:val="20"/>
        </w:rPr>
        <w:t>7</w:t>
      </w:r>
      <w:r w:rsidRPr="003A440C">
        <w:rPr>
          <w:rFonts w:cs="Arial"/>
          <w:szCs w:val="20"/>
        </w:rPr>
        <w:t>/1</w:t>
      </w:r>
      <w:r>
        <w:rPr>
          <w:rFonts w:cs="Arial"/>
          <w:szCs w:val="20"/>
        </w:rPr>
        <w:t>8</w:t>
      </w:r>
      <w:r w:rsidRPr="003A440C">
        <w:rPr>
          <w:rFonts w:cs="Arial"/>
          <w:szCs w:val="20"/>
        </w:rPr>
        <w:t xml:space="preserve"> se jednalo již o </w:t>
      </w:r>
      <w:r>
        <w:rPr>
          <w:rFonts w:cs="Arial"/>
          <w:szCs w:val="20"/>
        </w:rPr>
        <w:t>21,1</w:t>
      </w:r>
      <w:r w:rsidRPr="003A440C">
        <w:rPr>
          <w:rFonts w:cs="Arial"/>
          <w:szCs w:val="20"/>
        </w:rPr>
        <w:t> %.</w:t>
      </w:r>
      <w:r>
        <w:rPr>
          <w:rFonts w:cs="Arial"/>
          <w:szCs w:val="20"/>
        </w:rPr>
        <w:t xml:space="preserve"> Z vysokoškolsky vzdělaných učitelek má jako nejvyšší dokončené vzdělání bakalářské studium 57,8 %, magisterské 41,7 % a zbylých 0,5 % doktorské vysokoškolské vzdělání.</w:t>
      </w:r>
    </w:p>
    <w:p w:rsidR="004F7BA7" w:rsidRPr="00B34465" w:rsidRDefault="004F7BA7" w:rsidP="00695F91">
      <w:pPr>
        <w:spacing w:after="0" w:line="276" w:lineRule="auto"/>
        <w:jc w:val="both"/>
        <w:rPr>
          <w:rFonts w:cs="Arial"/>
          <w:b/>
          <w:noProof/>
          <w:szCs w:val="20"/>
        </w:rPr>
      </w:pPr>
      <w:r w:rsidRPr="00B34465">
        <w:rPr>
          <w:rFonts w:cs="Arial"/>
          <w:b/>
          <w:noProof/>
          <w:szCs w:val="20"/>
        </w:rPr>
        <w:t xml:space="preserve">Graf </w:t>
      </w:r>
      <w:r>
        <w:rPr>
          <w:rFonts w:cs="Arial"/>
          <w:b/>
          <w:noProof/>
          <w:szCs w:val="20"/>
        </w:rPr>
        <w:t>5:</w:t>
      </w:r>
      <w:r w:rsidRPr="00B34465">
        <w:rPr>
          <w:rFonts w:cs="Arial"/>
          <w:b/>
          <w:noProof/>
          <w:szCs w:val="20"/>
        </w:rPr>
        <w:t xml:space="preserve"> Po</w:t>
      </w:r>
      <w:r>
        <w:rPr>
          <w:rFonts w:cs="Arial"/>
          <w:b/>
          <w:noProof/>
          <w:szCs w:val="20"/>
        </w:rPr>
        <w:t xml:space="preserve">díl učitelů* v mateřských </w:t>
      </w:r>
      <w:r w:rsidRPr="00B34465">
        <w:rPr>
          <w:rFonts w:cs="Arial"/>
          <w:b/>
          <w:noProof/>
          <w:szCs w:val="20"/>
        </w:rPr>
        <w:t>škol</w:t>
      </w:r>
      <w:r>
        <w:rPr>
          <w:rFonts w:cs="Arial"/>
          <w:b/>
          <w:noProof/>
          <w:szCs w:val="20"/>
        </w:rPr>
        <w:t>ách v ČR s vysokoškolským vzděláním</w:t>
      </w:r>
      <w:r w:rsidRPr="00B34465">
        <w:rPr>
          <w:rFonts w:cs="Arial"/>
          <w:b/>
          <w:noProof/>
          <w:szCs w:val="20"/>
        </w:rPr>
        <w:t xml:space="preserve"> </w:t>
      </w:r>
    </w:p>
    <w:p w:rsidR="004F7BA7" w:rsidRDefault="001C064A" w:rsidP="004F7BA7">
      <w:pPr>
        <w:spacing w:after="0" w:line="276" w:lineRule="auto"/>
        <w:jc w:val="both"/>
        <w:rPr>
          <w:rFonts w:cs="Arial"/>
          <w:szCs w:val="20"/>
        </w:rPr>
      </w:pPr>
      <w:r>
        <w:rPr>
          <w:rFonts w:cs="Arial"/>
          <w:noProof/>
          <w:szCs w:val="20"/>
        </w:rPr>
        <w:drawing>
          <wp:inline distT="0" distB="0" distL="0" distR="0" wp14:anchorId="3D827186">
            <wp:extent cx="5791835" cy="1981200"/>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1835" cy="1981200"/>
                    </a:xfrm>
                    <a:prstGeom prst="rect">
                      <a:avLst/>
                    </a:prstGeom>
                    <a:noFill/>
                  </pic:spPr>
                </pic:pic>
              </a:graphicData>
            </a:graphic>
          </wp:inline>
        </w:drawing>
      </w:r>
    </w:p>
    <w:p w:rsidR="004F7BA7" w:rsidRDefault="004F7BA7" w:rsidP="004F7BA7">
      <w:pPr>
        <w:spacing w:after="120" w:line="276" w:lineRule="auto"/>
        <w:rPr>
          <w:rFonts w:cs="Arial"/>
          <w:sz w:val="16"/>
          <w:szCs w:val="16"/>
        </w:rPr>
      </w:pPr>
      <w:r w:rsidRPr="0015159B">
        <w:rPr>
          <w:rFonts w:cs="Arial"/>
          <w:sz w:val="16"/>
          <w:szCs w:val="16"/>
        </w:rPr>
        <w:t>*</w:t>
      </w:r>
      <w:r>
        <w:rPr>
          <w:rFonts w:cs="Arial"/>
          <w:sz w:val="16"/>
          <w:szCs w:val="16"/>
        </w:rPr>
        <w:t xml:space="preserve"> U</w:t>
      </w:r>
      <w:r w:rsidRPr="0015159B">
        <w:rPr>
          <w:rFonts w:cs="Arial"/>
          <w:sz w:val="16"/>
          <w:szCs w:val="16"/>
        </w:rPr>
        <w:t>čitelé bez řídících pracovníků (tj. ředitelů a zástupců ředitelů).</w:t>
      </w:r>
    </w:p>
    <w:p w:rsidR="004F7BA7" w:rsidRPr="00FA1D8E" w:rsidRDefault="004F7BA7" w:rsidP="004F7BA7">
      <w:pPr>
        <w:spacing w:line="276" w:lineRule="auto"/>
        <w:rPr>
          <w:rFonts w:cs="Arial"/>
          <w:sz w:val="16"/>
          <w:szCs w:val="16"/>
        </w:rPr>
      </w:pPr>
      <w:r w:rsidRPr="00FA1D8E">
        <w:rPr>
          <w:rFonts w:cs="Arial"/>
          <w:sz w:val="16"/>
          <w:szCs w:val="16"/>
        </w:rPr>
        <w:t>Zdroj: MŠMT</w:t>
      </w:r>
      <w:r>
        <w:rPr>
          <w:rFonts w:cs="Arial"/>
          <w:sz w:val="16"/>
          <w:szCs w:val="16"/>
        </w:rPr>
        <w:t>, ISP a vlastní dopočty ČSÚ</w:t>
      </w:r>
    </w:p>
    <w:p w:rsidR="004F7BA7" w:rsidRDefault="004F7BA7" w:rsidP="00CC0FAD">
      <w:pPr>
        <w:spacing w:after="120" w:line="276" w:lineRule="auto"/>
        <w:jc w:val="both"/>
        <w:rPr>
          <w:rFonts w:cs="Arial"/>
          <w:szCs w:val="20"/>
        </w:rPr>
      </w:pPr>
      <w:r>
        <w:rPr>
          <w:rFonts w:cs="Arial"/>
          <w:szCs w:val="20"/>
        </w:rPr>
        <w:lastRenderedPageBreak/>
        <w:t xml:space="preserve">V roce 2017 dosáhla </w:t>
      </w:r>
      <w:r w:rsidRPr="006D67BE">
        <w:rPr>
          <w:rFonts w:cs="Arial"/>
          <w:b/>
          <w:szCs w:val="20"/>
        </w:rPr>
        <w:t>průměrná hrubá měsíční mzda učitelů v mateřských školách 27 089 Kč</w:t>
      </w:r>
      <w:r>
        <w:rPr>
          <w:rFonts w:cs="Arial"/>
          <w:szCs w:val="20"/>
        </w:rPr>
        <w:t>, což představuje 87,1 % průměrné hrubé měsíční mzdy všech zaměstnanců v České republice</w:t>
      </w:r>
      <w:r w:rsidRPr="00053060">
        <w:rPr>
          <w:rFonts w:cs="Arial"/>
          <w:szCs w:val="20"/>
        </w:rPr>
        <w:t xml:space="preserve">. Meziročně sice došlo k nárůstu průměrné mzdy učitelů o 7,1 % (1 789 Kč) – v reálných cenách došlo k nárůstu o 4,6 </w:t>
      </w:r>
      <w:r w:rsidRPr="00053060">
        <w:t xml:space="preserve">% (1 151 Kč) </w:t>
      </w:r>
      <w:r w:rsidRPr="00053060">
        <w:rPr>
          <w:rFonts w:cs="Arial"/>
          <w:szCs w:val="20"/>
        </w:rPr>
        <w:t>– ale ve vztahu k celorepublikové mzdě zaměstnanců si učitelé mateřských škol meziročně nepolepšili. Pokud bychom ovšem porovnali průměrný plat učitelek v mateřských školách k celorepublikové průměrné mzdě žen, tak v roce 2017 by se jí téměř rovnala – dosáhla by 99,6 % této mzdy.</w:t>
      </w:r>
      <w:r w:rsidRPr="00646642">
        <w:rPr>
          <w:rFonts w:cs="Arial"/>
          <w:szCs w:val="20"/>
        </w:rPr>
        <w:t xml:space="preserve"> </w:t>
      </w:r>
      <w:r>
        <w:rPr>
          <w:rFonts w:cs="Arial"/>
          <w:szCs w:val="20"/>
        </w:rPr>
        <w:t xml:space="preserve">I když od roku 2014 každoročně roste reálná mzda učitelů mateřských škol, tak tyto nárůsty jak v absolutním tak procentuálním vyjádření stále zaostávají za reálnými nárůsty celorepublikové průměrné mzdy. </w:t>
      </w:r>
    </w:p>
    <w:p w:rsidR="004F7BA7" w:rsidRDefault="004F7BA7" w:rsidP="004F7BA7">
      <w:pPr>
        <w:spacing w:after="0" w:line="276" w:lineRule="auto"/>
        <w:rPr>
          <w:rFonts w:cs="Arial"/>
          <w:b/>
          <w:noProof/>
          <w:szCs w:val="20"/>
        </w:rPr>
      </w:pPr>
      <w:r w:rsidRPr="00B34465">
        <w:rPr>
          <w:rFonts w:cs="Arial"/>
          <w:b/>
          <w:noProof/>
          <w:szCs w:val="20"/>
        </w:rPr>
        <w:t xml:space="preserve">Graf </w:t>
      </w:r>
      <w:r>
        <w:rPr>
          <w:rFonts w:cs="Arial"/>
          <w:b/>
          <w:noProof/>
          <w:szCs w:val="20"/>
        </w:rPr>
        <w:t>6:</w:t>
      </w:r>
      <w:r w:rsidRPr="00B34465">
        <w:rPr>
          <w:rFonts w:cs="Arial"/>
          <w:b/>
          <w:noProof/>
          <w:szCs w:val="20"/>
        </w:rPr>
        <w:t xml:space="preserve"> </w:t>
      </w:r>
      <w:r>
        <w:rPr>
          <w:rFonts w:cs="Arial"/>
          <w:b/>
          <w:noProof/>
          <w:szCs w:val="20"/>
        </w:rPr>
        <w:t xml:space="preserve">Mzda učitelů v mateřských </w:t>
      </w:r>
      <w:r w:rsidRPr="00B34465">
        <w:rPr>
          <w:rFonts w:cs="Arial"/>
          <w:b/>
          <w:noProof/>
          <w:szCs w:val="20"/>
        </w:rPr>
        <w:t>škol</w:t>
      </w:r>
      <w:r>
        <w:rPr>
          <w:rFonts w:cs="Arial"/>
          <w:b/>
          <w:noProof/>
          <w:szCs w:val="20"/>
        </w:rPr>
        <w:t>ách v ČR v letech 2013 až 2017</w:t>
      </w:r>
    </w:p>
    <w:p w:rsidR="004F7BA7" w:rsidRPr="00B34465" w:rsidRDefault="004F7BA7" w:rsidP="004F7BA7">
      <w:pPr>
        <w:spacing w:after="0" w:line="276" w:lineRule="auto"/>
        <w:rPr>
          <w:rFonts w:cs="Arial"/>
          <w:b/>
          <w:noProof/>
          <w:szCs w:val="20"/>
        </w:rPr>
      </w:pPr>
      <w:r w:rsidRPr="00287CF9">
        <w:rPr>
          <w:noProof/>
          <w:lang w:val="en-US" w:eastAsia="en-US"/>
        </w:rPr>
        <w:t xml:space="preserve"> </w:t>
      </w:r>
      <w:r w:rsidR="001C064A">
        <w:rPr>
          <w:noProof/>
        </w:rPr>
        <w:drawing>
          <wp:inline distT="0" distB="0" distL="0" distR="0" wp14:anchorId="076D7058">
            <wp:extent cx="2877820" cy="2700655"/>
            <wp:effectExtent l="0" t="0" r="0" b="444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7820" cy="2700655"/>
                    </a:xfrm>
                    <a:prstGeom prst="rect">
                      <a:avLst/>
                    </a:prstGeom>
                    <a:noFill/>
                  </pic:spPr>
                </pic:pic>
              </a:graphicData>
            </a:graphic>
          </wp:inline>
        </w:drawing>
      </w:r>
      <w:r w:rsidRPr="00C13753">
        <w:rPr>
          <w:noProof/>
          <w:lang w:val="en-US" w:eastAsia="en-US"/>
        </w:rPr>
        <w:t xml:space="preserve"> </w:t>
      </w:r>
      <w:r w:rsidR="001C064A">
        <w:rPr>
          <w:noProof/>
        </w:rPr>
        <w:drawing>
          <wp:inline distT="0" distB="0" distL="0" distR="0" wp14:anchorId="4E5DACDB">
            <wp:extent cx="2877820" cy="2700655"/>
            <wp:effectExtent l="0" t="0" r="0" b="4445"/>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7820" cy="2700655"/>
                    </a:xfrm>
                    <a:prstGeom prst="rect">
                      <a:avLst/>
                    </a:prstGeom>
                    <a:noFill/>
                  </pic:spPr>
                </pic:pic>
              </a:graphicData>
            </a:graphic>
          </wp:inline>
        </w:drawing>
      </w:r>
      <w:r w:rsidRPr="00B34465">
        <w:rPr>
          <w:rFonts w:cs="Arial"/>
          <w:b/>
          <w:noProof/>
          <w:szCs w:val="20"/>
        </w:rPr>
        <w:t xml:space="preserve">  </w:t>
      </w:r>
    </w:p>
    <w:p w:rsidR="004F7BA7" w:rsidRDefault="004F7BA7" w:rsidP="004F7BA7">
      <w:pPr>
        <w:spacing w:line="276" w:lineRule="auto"/>
        <w:rPr>
          <w:rFonts w:cs="Arial"/>
          <w:sz w:val="16"/>
          <w:szCs w:val="16"/>
        </w:rPr>
      </w:pPr>
      <w:r w:rsidRPr="00FA1D8E">
        <w:rPr>
          <w:rFonts w:cs="Arial"/>
          <w:sz w:val="16"/>
          <w:szCs w:val="16"/>
        </w:rPr>
        <w:t>Zdroj: MŠMT</w:t>
      </w:r>
      <w:r>
        <w:rPr>
          <w:rFonts w:cs="Arial"/>
          <w:sz w:val="16"/>
          <w:szCs w:val="16"/>
        </w:rPr>
        <w:t xml:space="preserve"> podle ISPV a vlastní dopočt</w:t>
      </w:r>
      <w:r w:rsidR="00B27FBF">
        <w:rPr>
          <w:rFonts w:cs="Arial"/>
          <w:sz w:val="16"/>
          <w:szCs w:val="16"/>
        </w:rPr>
        <w:t>y</w:t>
      </w:r>
      <w:r>
        <w:rPr>
          <w:rFonts w:cs="Arial"/>
          <w:sz w:val="16"/>
          <w:szCs w:val="16"/>
        </w:rPr>
        <w:t xml:space="preserve"> ČSÚ</w:t>
      </w:r>
    </w:p>
    <w:p w:rsidR="004F7BA7" w:rsidRDefault="004F7BA7" w:rsidP="00CC0FAD">
      <w:pPr>
        <w:spacing w:after="120" w:line="276" w:lineRule="auto"/>
        <w:jc w:val="both"/>
        <w:rPr>
          <w:rFonts w:cs="Arial"/>
          <w:szCs w:val="20"/>
        </w:rPr>
      </w:pPr>
      <w:r w:rsidRPr="00C55813">
        <w:rPr>
          <w:rFonts w:cs="Arial"/>
          <w:szCs w:val="20"/>
        </w:rPr>
        <w:t xml:space="preserve">Z hlediska </w:t>
      </w:r>
      <w:r w:rsidRPr="00C55813">
        <w:rPr>
          <w:rFonts w:cs="Arial"/>
          <w:b/>
          <w:szCs w:val="20"/>
        </w:rPr>
        <w:t>krajského srovnání</w:t>
      </w:r>
      <w:r w:rsidRPr="00C55813">
        <w:rPr>
          <w:rFonts w:cs="Arial"/>
          <w:szCs w:val="20"/>
        </w:rPr>
        <w:t xml:space="preserve"> dostáv</w:t>
      </w:r>
      <w:r w:rsidR="00695F91" w:rsidRPr="00C55813">
        <w:rPr>
          <w:rFonts w:cs="Arial"/>
          <w:szCs w:val="20"/>
        </w:rPr>
        <w:t>ali v roce 2006</w:t>
      </w:r>
      <w:r w:rsidRPr="00C55813">
        <w:rPr>
          <w:rFonts w:cs="Arial"/>
          <w:szCs w:val="20"/>
        </w:rPr>
        <w:t xml:space="preserve"> nejvyšší průměrnou hrubou mzdu učitelé mateřských škol v Praze a ve Středočeském kraji – 25</w:t>
      </w:r>
      <w:r w:rsidR="00695F91" w:rsidRPr="00C55813">
        <w:rPr>
          <w:rFonts w:cs="Arial"/>
          <w:szCs w:val="20"/>
        </w:rPr>
        <w:t> </w:t>
      </w:r>
      <w:r w:rsidRPr="00C55813">
        <w:rPr>
          <w:rFonts w:cs="Arial"/>
          <w:szCs w:val="20"/>
        </w:rPr>
        <w:t>786</w:t>
      </w:r>
      <w:r w:rsidR="00695F91" w:rsidRPr="00C55813">
        <w:rPr>
          <w:rFonts w:cs="Arial"/>
          <w:szCs w:val="20"/>
        </w:rPr>
        <w:t xml:space="preserve"> Kč</w:t>
      </w:r>
      <w:r w:rsidRPr="00C55813">
        <w:rPr>
          <w:rFonts w:cs="Arial"/>
          <w:szCs w:val="20"/>
        </w:rPr>
        <w:t xml:space="preserve"> resp. 25</w:t>
      </w:r>
      <w:r w:rsidR="00695F91" w:rsidRPr="00C55813">
        <w:rPr>
          <w:rFonts w:cs="Arial"/>
          <w:szCs w:val="20"/>
        </w:rPr>
        <w:t> </w:t>
      </w:r>
      <w:r w:rsidRPr="00C55813">
        <w:rPr>
          <w:rFonts w:cs="Arial"/>
          <w:szCs w:val="20"/>
        </w:rPr>
        <w:t>655</w:t>
      </w:r>
      <w:r w:rsidR="00695F91" w:rsidRPr="00C55813">
        <w:rPr>
          <w:rFonts w:cs="Arial"/>
          <w:szCs w:val="20"/>
        </w:rPr>
        <w:t xml:space="preserve"> Kč</w:t>
      </w:r>
      <w:r w:rsidRPr="00C55813">
        <w:rPr>
          <w:rFonts w:cs="Arial"/>
          <w:szCs w:val="20"/>
        </w:rPr>
        <w:t>. Nejnižší mzdy jsou v Olomouckém kraji (24</w:t>
      </w:r>
      <w:r w:rsidR="00695F91" w:rsidRPr="00C55813">
        <w:rPr>
          <w:rFonts w:cs="Arial"/>
          <w:szCs w:val="20"/>
        </w:rPr>
        <w:t> </w:t>
      </w:r>
      <w:r w:rsidRPr="00C55813">
        <w:rPr>
          <w:rFonts w:cs="Arial"/>
          <w:szCs w:val="20"/>
        </w:rPr>
        <w:t>557</w:t>
      </w:r>
      <w:r w:rsidR="00695F91" w:rsidRPr="00C55813">
        <w:rPr>
          <w:rFonts w:cs="Arial"/>
          <w:szCs w:val="20"/>
        </w:rPr>
        <w:t xml:space="preserve"> Kč</w:t>
      </w:r>
      <w:r w:rsidRPr="00C55813">
        <w:rPr>
          <w:rFonts w:cs="Arial"/>
          <w:szCs w:val="20"/>
        </w:rPr>
        <w:t>) a na Vysočině (24</w:t>
      </w:r>
      <w:r w:rsidR="00695F91" w:rsidRPr="00C55813">
        <w:rPr>
          <w:rFonts w:cs="Arial"/>
          <w:szCs w:val="20"/>
        </w:rPr>
        <w:t> </w:t>
      </w:r>
      <w:r w:rsidRPr="00C55813">
        <w:rPr>
          <w:rFonts w:cs="Arial"/>
          <w:szCs w:val="20"/>
        </w:rPr>
        <w:t>453</w:t>
      </w:r>
      <w:r w:rsidR="00695F91" w:rsidRPr="00C55813">
        <w:rPr>
          <w:rFonts w:cs="Arial"/>
          <w:szCs w:val="20"/>
        </w:rPr>
        <w:t xml:space="preserve"> Kč</w:t>
      </w:r>
      <w:r w:rsidRPr="00C55813">
        <w:rPr>
          <w:rFonts w:cs="Arial"/>
          <w:szCs w:val="20"/>
        </w:rPr>
        <w:t xml:space="preserve">). Rozdíly mezi jednotlivými kraji jsou však poměrně malé. Pokud bychom tyto průměrné mzdy učitelů mateřských škol vztáhli k celokrajským průměrným mzdám, tak nejnižší podíl 68,7 % </w:t>
      </w:r>
      <w:r w:rsidR="00695F91" w:rsidRPr="00C55813">
        <w:rPr>
          <w:rFonts w:cs="Arial"/>
          <w:szCs w:val="20"/>
        </w:rPr>
        <w:t xml:space="preserve">byl </w:t>
      </w:r>
      <w:r w:rsidRPr="00C55813">
        <w:rPr>
          <w:rFonts w:cs="Arial"/>
          <w:szCs w:val="20"/>
        </w:rPr>
        <w:t xml:space="preserve">v Praze, nejvyšší pak v Karlovarském kraji (101,3 %). V tomto podílovém ukazateli jsou rozdíly mezi kraji mnohem vyšší, resp. mezi Prahou a ostatními kraji. </w:t>
      </w:r>
    </w:p>
    <w:p w:rsidR="004F7BA7" w:rsidRDefault="004F7BA7" w:rsidP="004F7BA7">
      <w:pPr>
        <w:spacing w:after="0" w:line="276" w:lineRule="auto"/>
        <w:rPr>
          <w:rFonts w:cs="Arial"/>
          <w:b/>
          <w:noProof/>
          <w:szCs w:val="20"/>
        </w:rPr>
      </w:pPr>
      <w:r w:rsidRPr="00B34465">
        <w:rPr>
          <w:rFonts w:cs="Arial"/>
          <w:b/>
          <w:noProof/>
          <w:szCs w:val="20"/>
        </w:rPr>
        <w:t xml:space="preserve">Graf </w:t>
      </w:r>
      <w:r>
        <w:rPr>
          <w:rFonts w:cs="Arial"/>
          <w:b/>
          <w:noProof/>
          <w:szCs w:val="20"/>
        </w:rPr>
        <w:t>7:</w:t>
      </w:r>
      <w:r w:rsidRPr="00B34465">
        <w:rPr>
          <w:rFonts w:cs="Arial"/>
          <w:b/>
          <w:noProof/>
          <w:szCs w:val="20"/>
        </w:rPr>
        <w:t xml:space="preserve"> P</w:t>
      </w:r>
      <w:r>
        <w:rPr>
          <w:rFonts w:cs="Arial"/>
          <w:b/>
          <w:noProof/>
          <w:szCs w:val="20"/>
        </w:rPr>
        <w:t xml:space="preserve">růměrná hrubá měsíční mzda učitelů v mateřských </w:t>
      </w:r>
      <w:r w:rsidRPr="00B34465">
        <w:rPr>
          <w:rFonts w:cs="Arial"/>
          <w:b/>
          <w:noProof/>
          <w:szCs w:val="20"/>
        </w:rPr>
        <w:t>škol</w:t>
      </w:r>
      <w:r>
        <w:rPr>
          <w:rFonts w:cs="Arial"/>
          <w:b/>
          <w:noProof/>
          <w:szCs w:val="20"/>
        </w:rPr>
        <w:t>ách v krajích ČR v roce 2016</w:t>
      </w:r>
    </w:p>
    <w:p w:rsidR="004F7BA7" w:rsidRDefault="001C064A" w:rsidP="004F7BA7">
      <w:pPr>
        <w:spacing w:after="0" w:line="276" w:lineRule="auto"/>
        <w:rPr>
          <w:rFonts w:cs="Arial"/>
          <w:sz w:val="16"/>
          <w:szCs w:val="16"/>
        </w:rPr>
      </w:pPr>
      <w:r>
        <w:rPr>
          <w:rFonts w:cs="Arial"/>
          <w:noProof/>
          <w:sz w:val="16"/>
          <w:szCs w:val="16"/>
        </w:rPr>
        <w:drawing>
          <wp:inline distT="0" distB="0" distL="0" distR="0" wp14:anchorId="77B1738D">
            <wp:extent cx="5974715" cy="2828925"/>
            <wp:effectExtent l="0" t="0" r="6985" b="9525"/>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4715" cy="2828925"/>
                    </a:xfrm>
                    <a:prstGeom prst="rect">
                      <a:avLst/>
                    </a:prstGeom>
                    <a:noFill/>
                  </pic:spPr>
                </pic:pic>
              </a:graphicData>
            </a:graphic>
          </wp:inline>
        </w:drawing>
      </w:r>
    </w:p>
    <w:p w:rsidR="004F7BA7" w:rsidRDefault="004F7BA7" w:rsidP="00CC0FAD">
      <w:pPr>
        <w:spacing w:after="120" w:line="276" w:lineRule="auto"/>
        <w:rPr>
          <w:rFonts w:cs="Arial"/>
          <w:sz w:val="16"/>
          <w:szCs w:val="16"/>
        </w:rPr>
      </w:pPr>
      <w:r w:rsidRPr="00FA1D8E">
        <w:rPr>
          <w:rFonts w:cs="Arial"/>
          <w:sz w:val="16"/>
          <w:szCs w:val="16"/>
        </w:rPr>
        <w:t>Zdroj: MŠMT</w:t>
      </w:r>
      <w:r>
        <w:rPr>
          <w:rFonts w:cs="Arial"/>
          <w:sz w:val="16"/>
          <w:szCs w:val="16"/>
        </w:rPr>
        <w:t xml:space="preserve"> podle ISPV a vlastních dopočtů ČSÚ</w:t>
      </w:r>
    </w:p>
    <w:p w:rsidR="004F7BA7" w:rsidRPr="00E04A17" w:rsidRDefault="004F7BA7" w:rsidP="00676DC7">
      <w:pPr>
        <w:spacing w:after="120" w:line="276" w:lineRule="auto"/>
        <w:jc w:val="both"/>
        <w:rPr>
          <w:rFonts w:cs="Arial"/>
          <w:szCs w:val="20"/>
        </w:rPr>
      </w:pPr>
      <w:r>
        <w:rPr>
          <w:rFonts w:cs="Arial"/>
          <w:szCs w:val="20"/>
        </w:rPr>
        <w:lastRenderedPageBreak/>
        <w:t xml:space="preserve">Jak již bylo uvedeno výše, v mateřských školách nepůsobí jen pedagogičtí pracovníci. Mzdy těchto </w:t>
      </w:r>
      <w:r w:rsidRPr="006F0D99">
        <w:rPr>
          <w:rFonts w:cs="Arial"/>
          <w:b/>
          <w:szCs w:val="20"/>
        </w:rPr>
        <w:t>nepedagogických pracovníků</w:t>
      </w:r>
      <w:r>
        <w:rPr>
          <w:rFonts w:cs="Arial"/>
          <w:szCs w:val="20"/>
        </w:rPr>
        <w:t>, bez kterých by školy nemohly fungovat, však zdaleka nedosahují mezd učitelů. Např. v roce 2016 byly v průměru o 11 525 Kč (o 45 %) nižší než mzdy učitelů a průměrně tak činily pouze 13 775 Kč. Tito nepedagogičtí zaměstnanci mateřských škol v průměru nevydělávali ani polovinu (47,4 %) celorepublikové průměrné mzdy.</w:t>
      </w:r>
    </w:p>
    <w:p w:rsidR="004F7BA7" w:rsidRPr="00676DC7" w:rsidRDefault="00CC0FAD" w:rsidP="00CC0FAD">
      <w:pPr>
        <w:pStyle w:val="Nadpis2"/>
      </w:pPr>
      <w:bookmarkStart w:id="10" w:name="_Toc523408599"/>
      <w:bookmarkStart w:id="11" w:name="_Toc523466184"/>
      <w:r w:rsidRPr="00676DC7">
        <w:t xml:space="preserve">1.4 </w:t>
      </w:r>
      <w:r w:rsidR="004F7BA7" w:rsidRPr="00676DC7">
        <w:t>Základní poměrové ukazatele</w:t>
      </w:r>
      <w:bookmarkEnd w:id="10"/>
      <w:bookmarkEnd w:id="11"/>
    </w:p>
    <w:p w:rsidR="004F7BA7" w:rsidRDefault="004F7BA7" w:rsidP="00CC0FAD">
      <w:pPr>
        <w:spacing w:after="120" w:line="276" w:lineRule="auto"/>
        <w:jc w:val="both"/>
        <w:rPr>
          <w:rFonts w:cs="Arial"/>
          <w:szCs w:val="20"/>
        </w:rPr>
      </w:pPr>
      <w:r w:rsidRPr="00952330">
        <w:rPr>
          <w:rFonts w:cs="Arial"/>
          <w:szCs w:val="20"/>
        </w:rPr>
        <w:t>Na jednu třídu v mateřských školách připad</w:t>
      </w:r>
      <w:r>
        <w:rPr>
          <w:rFonts w:cs="Arial"/>
          <w:szCs w:val="20"/>
        </w:rPr>
        <w:t>alo</w:t>
      </w:r>
      <w:r w:rsidRPr="00952330">
        <w:rPr>
          <w:rFonts w:cs="Arial"/>
          <w:szCs w:val="20"/>
        </w:rPr>
        <w:t xml:space="preserve"> </w:t>
      </w:r>
      <w:r>
        <w:rPr>
          <w:rFonts w:cs="Arial"/>
          <w:szCs w:val="20"/>
        </w:rPr>
        <w:t xml:space="preserve">v minulém roce v </w:t>
      </w:r>
      <w:r w:rsidRPr="00952330">
        <w:rPr>
          <w:rFonts w:cs="Arial"/>
          <w:szCs w:val="20"/>
        </w:rPr>
        <w:t>průměr</w:t>
      </w:r>
      <w:r>
        <w:rPr>
          <w:rFonts w:cs="Arial"/>
          <w:szCs w:val="20"/>
        </w:rPr>
        <w:t>u</w:t>
      </w:r>
      <w:r w:rsidRPr="00952330">
        <w:rPr>
          <w:rFonts w:cs="Arial"/>
          <w:szCs w:val="20"/>
        </w:rPr>
        <w:t xml:space="preserve"> 22,7 dětí a na 1</w:t>
      </w:r>
      <w:r>
        <w:rPr>
          <w:rFonts w:cs="Arial"/>
          <w:szCs w:val="20"/>
        </w:rPr>
        <w:t xml:space="preserve"> přepočteného </w:t>
      </w:r>
      <w:r w:rsidRPr="00952330">
        <w:rPr>
          <w:rFonts w:cs="Arial"/>
          <w:szCs w:val="20"/>
        </w:rPr>
        <w:t>učitele 12 dětí</w:t>
      </w:r>
      <w:r>
        <w:rPr>
          <w:rFonts w:cs="Arial"/>
          <w:szCs w:val="20"/>
        </w:rPr>
        <w:t>.</w:t>
      </w:r>
      <w:r w:rsidRPr="00952330">
        <w:rPr>
          <w:rFonts w:cs="Arial"/>
          <w:szCs w:val="20"/>
        </w:rPr>
        <w:t xml:space="preserve"> </w:t>
      </w:r>
      <w:r>
        <w:rPr>
          <w:rFonts w:cs="Arial"/>
          <w:szCs w:val="20"/>
        </w:rPr>
        <w:t>T</w:t>
      </w:r>
      <w:r w:rsidRPr="00952330">
        <w:rPr>
          <w:rFonts w:cs="Arial"/>
          <w:szCs w:val="20"/>
        </w:rPr>
        <w:t>yto údaje se v posledních deseti letech nijak výrazně neměn</w:t>
      </w:r>
      <w:r>
        <w:rPr>
          <w:rFonts w:cs="Arial"/>
          <w:szCs w:val="20"/>
        </w:rPr>
        <w:t>í, i když v posledních cca 5</w:t>
      </w:r>
      <w:r w:rsidR="00C55813">
        <w:rPr>
          <w:rFonts w:cs="Arial"/>
          <w:szCs w:val="20"/>
        </w:rPr>
        <w:t> </w:t>
      </w:r>
      <w:r>
        <w:rPr>
          <w:rFonts w:cs="Arial"/>
          <w:szCs w:val="20"/>
        </w:rPr>
        <w:t>letech mírně klesají</w:t>
      </w:r>
      <w:r w:rsidRPr="00952330">
        <w:rPr>
          <w:rFonts w:cs="Arial"/>
          <w:szCs w:val="20"/>
        </w:rPr>
        <w:t xml:space="preserve">. </w:t>
      </w:r>
      <w:r w:rsidRPr="00BB139E">
        <w:rPr>
          <w:rFonts w:cs="Arial"/>
          <w:szCs w:val="20"/>
        </w:rPr>
        <w:t xml:space="preserve">Od školního roku 2013/14 klesá </w:t>
      </w:r>
      <w:r>
        <w:rPr>
          <w:rFonts w:cs="Arial"/>
          <w:szCs w:val="20"/>
        </w:rPr>
        <w:t xml:space="preserve">i </w:t>
      </w:r>
      <w:r w:rsidRPr="00BB139E">
        <w:rPr>
          <w:rFonts w:cs="Arial"/>
          <w:szCs w:val="20"/>
        </w:rPr>
        <w:t>průměrný počet dětí na školu, a to ze 71,5 až na současných 68,8 dítěte na školu</w:t>
      </w:r>
      <w:r>
        <w:rPr>
          <w:rFonts w:cs="Arial"/>
          <w:szCs w:val="20"/>
        </w:rPr>
        <w:t xml:space="preserve"> – i když ještě ve školním roce 2007/08 byl p</w:t>
      </w:r>
      <w:r w:rsidRPr="0073133B">
        <w:rPr>
          <w:rFonts w:cs="Arial"/>
          <w:szCs w:val="20"/>
        </w:rPr>
        <w:t>růměrný počet dětí n</w:t>
      </w:r>
      <w:r>
        <w:rPr>
          <w:rFonts w:cs="Arial"/>
          <w:szCs w:val="20"/>
        </w:rPr>
        <w:t xml:space="preserve">a </w:t>
      </w:r>
      <w:r w:rsidRPr="0073133B">
        <w:rPr>
          <w:rFonts w:cs="Arial"/>
          <w:szCs w:val="20"/>
        </w:rPr>
        <w:t>jedn</w:t>
      </w:r>
      <w:r>
        <w:rPr>
          <w:rFonts w:cs="Arial"/>
          <w:szCs w:val="20"/>
        </w:rPr>
        <w:t xml:space="preserve">o </w:t>
      </w:r>
      <w:r w:rsidRPr="0073133B">
        <w:rPr>
          <w:rFonts w:cs="Arial"/>
          <w:szCs w:val="20"/>
        </w:rPr>
        <w:t>zařízení 60,9</w:t>
      </w:r>
      <w:r>
        <w:rPr>
          <w:rFonts w:cs="Arial"/>
          <w:szCs w:val="20"/>
        </w:rPr>
        <w:t xml:space="preserve">. Tomu odpovídá i skutečnost, kdy před deseti lety měla průměrná mateřská škola 2,6 třídy v porovnání s 3 třídami v posledních třech letech.   </w:t>
      </w:r>
      <w:r w:rsidRPr="0073133B">
        <w:rPr>
          <w:rFonts w:cs="Arial"/>
          <w:szCs w:val="20"/>
        </w:rPr>
        <w:t xml:space="preserve"> </w:t>
      </w:r>
    </w:p>
    <w:p w:rsidR="004F7BA7" w:rsidRPr="00B34465" w:rsidRDefault="004F7BA7" w:rsidP="004F7BA7">
      <w:pPr>
        <w:spacing w:after="0" w:line="276" w:lineRule="auto"/>
        <w:rPr>
          <w:rFonts w:cs="Arial"/>
          <w:b/>
          <w:noProof/>
          <w:szCs w:val="20"/>
        </w:rPr>
      </w:pPr>
      <w:r w:rsidRPr="00B34465">
        <w:rPr>
          <w:rFonts w:cs="Arial"/>
          <w:b/>
          <w:noProof/>
          <w:szCs w:val="20"/>
        </w:rPr>
        <w:t xml:space="preserve">Graf </w:t>
      </w:r>
      <w:r>
        <w:rPr>
          <w:rFonts w:cs="Arial"/>
          <w:b/>
          <w:noProof/>
          <w:szCs w:val="20"/>
        </w:rPr>
        <w:t>8:</w:t>
      </w:r>
      <w:r w:rsidRPr="00B34465">
        <w:rPr>
          <w:rFonts w:cs="Arial"/>
          <w:b/>
          <w:noProof/>
          <w:szCs w:val="20"/>
        </w:rPr>
        <w:t xml:space="preserve"> </w:t>
      </w:r>
      <w:r>
        <w:rPr>
          <w:rFonts w:cs="Arial"/>
          <w:b/>
          <w:noProof/>
          <w:szCs w:val="20"/>
        </w:rPr>
        <w:t>Mateřské školy v ČR v letech 2007/2008 až 2017/2018 – základní poměrové ukazatele</w:t>
      </w:r>
      <w:r w:rsidRPr="00B34465">
        <w:rPr>
          <w:rFonts w:cs="Arial"/>
          <w:b/>
          <w:noProof/>
          <w:szCs w:val="20"/>
        </w:rPr>
        <w:t xml:space="preserve">  </w:t>
      </w:r>
    </w:p>
    <w:p w:rsidR="004F7BA7" w:rsidRDefault="001C064A" w:rsidP="004F7BA7">
      <w:pPr>
        <w:spacing w:after="0" w:line="276" w:lineRule="auto"/>
        <w:jc w:val="both"/>
        <w:rPr>
          <w:rFonts w:cs="Arial"/>
          <w:szCs w:val="20"/>
        </w:rPr>
      </w:pPr>
      <w:r>
        <w:rPr>
          <w:rFonts w:cs="Arial"/>
          <w:noProof/>
          <w:szCs w:val="20"/>
        </w:rPr>
        <w:drawing>
          <wp:inline distT="0" distB="0" distL="0" distR="0" wp14:anchorId="71CE0182">
            <wp:extent cx="5974715" cy="2517775"/>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4715" cy="2517775"/>
                    </a:xfrm>
                    <a:prstGeom prst="rect">
                      <a:avLst/>
                    </a:prstGeom>
                    <a:noFill/>
                  </pic:spPr>
                </pic:pic>
              </a:graphicData>
            </a:graphic>
          </wp:inline>
        </w:drawing>
      </w:r>
    </w:p>
    <w:p w:rsidR="004F7BA7" w:rsidRDefault="004F7BA7" w:rsidP="00CC0FAD">
      <w:pPr>
        <w:spacing w:after="120" w:line="276" w:lineRule="auto"/>
        <w:rPr>
          <w:rFonts w:cs="Arial"/>
          <w:sz w:val="16"/>
          <w:szCs w:val="16"/>
        </w:rPr>
      </w:pPr>
      <w:r w:rsidRPr="00FA1D8E">
        <w:rPr>
          <w:rFonts w:cs="Arial"/>
          <w:sz w:val="16"/>
          <w:szCs w:val="16"/>
        </w:rPr>
        <w:t>Zdroj: MŠMT</w:t>
      </w:r>
      <w:r>
        <w:rPr>
          <w:rFonts w:cs="Arial"/>
          <w:sz w:val="16"/>
          <w:szCs w:val="16"/>
        </w:rPr>
        <w:t xml:space="preserve"> a vlastních dopočtů ČSÚ</w:t>
      </w:r>
    </w:p>
    <w:p w:rsidR="004F7BA7" w:rsidRDefault="004F7BA7" w:rsidP="00CC0FAD">
      <w:pPr>
        <w:spacing w:after="120" w:line="276" w:lineRule="auto"/>
        <w:jc w:val="both"/>
        <w:rPr>
          <w:rFonts w:cs="Arial"/>
          <w:szCs w:val="20"/>
        </w:rPr>
      </w:pPr>
      <w:r>
        <w:rPr>
          <w:rFonts w:cs="Arial"/>
          <w:szCs w:val="20"/>
        </w:rPr>
        <w:t xml:space="preserve">Výše uvedené poměrové ukazatele se poměrně výrazně liší v závislosti na typu </w:t>
      </w:r>
      <w:r w:rsidRPr="00AB417B">
        <w:rPr>
          <w:rFonts w:cs="Arial"/>
          <w:b/>
          <w:szCs w:val="20"/>
        </w:rPr>
        <w:t xml:space="preserve">zřizovatele </w:t>
      </w:r>
      <w:r>
        <w:rPr>
          <w:rFonts w:cs="Arial"/>
          <w:szCs w:val="20"/>
        </w:rPr>
        <w:t>mateřských škol. Např. ve školním roce 2017/18 byl p</w:t>
      </w:r>
      <w:r w:rsidRPr="00AB417B">
        <w:rPr>
          <w:rFonts w:cs="Arial"/>
          <w:szCs w:val="20"/>
        </w:rPr>
        <w:t xml:space="preserve">růměrný počet dětí </w:t>
      </w:r>
      <w:r>
        <w:rPr>
          <w:rFonts w:cs="Arial"/>
          <w:szCs w:val="20"/>
        </w:rPr>
        <w:t>ve třídě nejvyšší ve veřejných mateřských školách (23,1). Pro porovnání, ve stejném roce v církevních mateřských školách připadlo v průměru na 1</w:t>
      </w:r>
      <w:r w:rsidR="00C55813">
        <w:rPr>
          <w:rFonts w:cs="Arial"/>
          <w:szCs w:val="20"/>
        </w:rPr>
        <w:t> </w:t>
      </w:r>
      <w:r>
        <w:rPr>
          <w:rFonts w:cs="Arial"/>
          <w:szCs w:val="20"/>
        </w:rPr>
        <w:t>třídu 19,5 dětí a v případě soukromých škol do třídy v průměru chodilo dokonce o 7 dětí méně než ve veřejných mateřských školách. Obdobně ve veřejných mateřských školách připadá na 1 učitele více dětí než v církevních či v soukromých. Např. v minulém školním roce na 1 učitelku v soukromých školkách připadlo o</w:t>
      </w:r>
      <w:r w:rsidR="00C55813">
        <w:rPr>
          <w:rFonts w:cs="Arial"/>
          <w:szCs w:val="20"/>
        </w:rPr>
        <w:t> </w:t>
      </w:r>
      <w:r>
        <w:rPr>
          <w:rFonts w:cs="Arial"/>
          <w:szCs w:val="20"/>
        </w:rPr>
        <w:t>3,1 dětí méně než ve školkách veřejných. Veřejné mateřské školy jsou taktéž výrazně větší než soukromé. Ve školním roce 2017/18 připadlo na 1 veřejnou školu 72,1 dítěte v porovnání s 31,4 dítěte ve školkách soukromých.</w:t>
      </w:r>
    </w:p>
    <w:p w:rsidR="004F7BA7" w:rsidRPr="00B34465" w:rsidRDefault="004F7BA7" w:rsidP="004F7BA7">
      <w:pPr>
        <w:spacing w:after="0" w:line="276" w:lineRule="auto"/>
        <w:rPr>
          <w:rFonts w:cs="Arial"/>
          <w:b/>
          <w:noProof/>
          <w:szCs w:val="20"/>
        </w:rPr>
      </w:pPr>
      <w:r w:rsidRPr="00B34465">
        <w:rPr>
          <w:rFonts w:cs="Arial"/>
          <w:b/>
          <w:noProof/>
          <w:szCs w:val="20"/>
        </w:rPr>
        <w:t xml:space="preserve">Graf </w:t>
      </w:r>
      <w:r>
        <w:rPr>
          <w:rFonts w:cs="Arial"/>
          <w:b/>
          <w:noProof/>
          <w:szCs w:val="20"/>
        </w:rPr>
        <w:t>9:</w:t>
      </w:r>
      <w:r w:rsidRPr="00B34465">
        <w:rPr>
          <w:rFonts w:cs="Arial"/>
          <w:b/>
          <w:noProof/>
          <w:szCs w:val="20"/>
        </w:rPr>
        <w:t xml:space="preserve"> </w:t>
      </w:r>
      <w:r>
        <w:rPr>
          <w:rFonts w:cs="Arial"/>
          <w:b/>
          <w:noProof/>
          <w:szCs w:val="20"/>
        </w:rPr>
        <w:t>Mateřské školy v ČR v roce 2017/2018 – základní poměrové ukazatele podle zřizovatele</w:t>
      </w:r>
      <w:r w:rsidRPr="00B34465">
        <w:rPr>
          <w:rFonts w:cs="Arial"/>
          <w:b/>
          <w:noProof/>
          <w:szCs w:val="20"/>
        </w:rPr>
        <w:t xml:space="preserve">  </w:t>
      </w:r>
    </w:p>
    <w:p w:rsidR="004F7BA7" w:rsidRDefault="001C064A" w:rsidP="004F7BA7">
      <w:pPr>
        <w:spacing w:after="0" w:line="276" w:lineRule="auto"/>
        <w:jc w:val="both"/>
        <w:rPr>
          <w:rFonts w:cs="Arial"/>
          <w:szCs w:val="20"/>
        </w:rPr>
      </w:pPr>
      <w:r>
        <w:rPr>
          <w:rFonts w:cs="Arial"/>
          <w:noProof/>
          <w:szCs w:val="20"/>
        </w:rPr>
        <w:drawing>
          <wp:inline distT="0" distB="0" distL="0" distR="0" wp14:anchorId="61F416D3">
            <wp:extent cx="5968365" cy="1731645"/>
            <wp:effectExtent l="0" t="0" r="0" b="1905"/>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68365" cy="1731645"/>
                    </a:xfrm>
                    <a:prstGeom prst="rect">
                      <a:avLst/>
                    </a:prstGeom>
                    <a:noFill/>
                  </pic:spPr>
                </pic:pic>
              </a:graphicData>
            </a:graphic>
          </wp:inline>
        </w:drawing>
      </w:r>
    </w:p>
    <w:p w:rsidR="004F7BA7" w:rsidRDefault="004F7BA7" w:rsidP="004F7BA7">
      <w:pPr>
        <w:spacing w:line="276" w:lineRule="auto"/>
        <w:rPr>
          <w:rFonts w:cs="Arial"/>
          <w:sz w:val="16"/>
          <w:szCs w:val="16"/>
        </w:rPr>
      </w:pPr>
      <w:r w:rsidRPr="00FA1D8E">
        <w:rPr>
          <w:rFonts w:cs="Arial"/>
          <w:sz w:val="16"/>
          <w:szCs w:val="16"/>
        </w:rPr>
        <w:t>Zdroj: MŠMT</w:t>
      </w:r>
      <w:r>
        <w:rPr>
          <w:rFonts w:cs="Arial"/>
          <w:sz w:val="16"/>
          <w:szCs w:val="16"/>
        </w:rPr>
        <w:t xml:space="preserve"> a vlastních dopočtů ČSÚ</w:t>
      </w:r>
    </w:p>
    <w:p w:rsidR="004F7BA7" w:rsidRDefault="004F7BA7" w:rsidP="004F7BA7">
      <w:pPr>
        <w:spacing w:line="276" w:lineRule="auto"/>
        <w:jc w:val="both"/>
        <w:rPr>
          <w:rFonts w:cs="Arial"/>
          <w:szCs w:val="20"/>
        </w:rPr>
      </w:pPr>
      <w:r>
        <w:rPr>
          <w:rFonts w:cs="Arial"/>
          <w:szCs w:val="20"/>
        </w:rPr>
        <w:lastRenderedPageBreak/>
        <w:t>V </w:t>
      </w:r>
      <w:r w:rsidRPr="006D67BE">
        <w:rPr>
          <w:rFonts w:cs="Arial"/>
          <w:b/>
          <w:szCs w:val="20"/>
        </w:rPr>
        <w:t>krajské</w:t>
      </w:r>
      <w:r>
        <w:rPr>
          <w:rFonts w:cs="Arial"/>
          <w:b/>
          <w:szCs w:val="20"/>
        </w:rPr>
        <w:t xml:space="preserve">m </w:t>
      </w:r>
      <w:r w:rsidRPr="006D67BE">
        <w:rPr>
          <w:rFonts w:cs="Arial"/>
          <w:b/>
          <w:szCs w:val="20"/>
        </w:rPr>
        <w:t>srovnání</w:t>
      </w:r>
      <w:r w:rsidRPr="00E04A17">
        <w:rPr>
          <w:rFonts w:cs="Arial"/>
          <w:szCs w:val="20"/>
        </w:rPr>
        <w:t xml:space="preserve"> </w:t>
      </w:r>
      <w:r>
        <w:rPr>
          <w:rFonts w:cs="Arial"/>
          <w:szCs w:val="20"/>
        </w:rPr>
        <w:t>dosahuje nejvyšší průměrný počet dětí na školu v Praze – 101,3 ve školním roce 2017/18, což je o 43,1 dětí více než v kraji Pardubickém. Pokud jde o průměrný počet dětí ve třídě, i v tom případě byl tento poměrový ukazatel ve školním roce 2017/18 nejvyšší v Praze (23,4). V tomto ukazateli však rozdíly mezi jednotlivými kraji nebyly nijak výrazné – nejnižší hodnoty (22,2) bylo dosaženo v Libereckém a Olomouckém kraji. Jak již bylo uvedeno výše, v případě podílů dětí s jiným než českým státním občanstvím byl nejvyšší podíl zaznamenán v Praze (9,7 %), kde bylo průměrně 2,3 dětí cizinců</w:t>
      </w:r>
      <w:r w:rsidRPr="00F03A3A">
        <w:rPr>
          <w:rFonts w:cs="Arial"/>
          <w:szCs w:val="20"/>
        </w:rPr>
        <w:t xml:space="preserve"> </w:t>
      </w:r>
      <w:r>
        <w:rPr>
          <w:rFonts w:cs="Arial"/>
          <w:szCs w:val="20"/>
        </w:rPr>
        <w:t xml:space="preserve">na třídu. Pouze v jednom dalším kraji – Karlovarském – dosáhl tento ukazatel vyšší hodnoty než 1. </w:t>
      </w:r>
    </w:p>
    <w:p w:rsidR="004F7BA7" w:rsidRPr="009518EE" w:rsidRDefault="004F7BA7" w:rsidP="004F7BA7">
      <w:pPr>
        <w:spacing w:after="60" w:line="276" w:lineRule="auto"/>
        <w:rPr>
          <w:rFonts w:cs="Arial"/>
          <w:b/>
          <w:noProof/>
          <w:szCs w:val="20"/>
        </w:rPr>
      </w:pPr>
      <w:r w:rsidRPr="009518EE">
        <w:rPr>
          <w:rFonts w:cs="Arial"/>
          <w:b/>
          <w:noProof/>
          <w:szCs w:val="20"/>
        </w:rPr>
        <w:t xml:space="preserve">Tab. 1 Mateřské školy v krajích </w:t>
      </w:r>
      <w:r w:rsidR="007E383C">
        <w:rPr>
          <w:rFonts w:cs="Arial"/>
          <w:b/>
          <w:noProof/>
          <w:szCs w:val="20"/>
        </w:rPr>
        <w:t xml:space="preserve">ČR </w:t>
      </w:r>
      <w:r w:rsidRPr="009518EE">
        <w:rPr>
          <w:rFonts w:cs="Arial"/>
          <w:b/>
          <w:noProof/>
          <w:szCs w:val="20"/>
        </w:rPr>
        <w:t>ve školním roce 2017/2018</w:t>
      </w:r>
    </w:p>
    <w:tbl>
      <w:tblPr>
        <w:tblW w:w="8011" w:type="dxa"/>
        <w:tblCellMar>
          <w:left w:w="70" w:type="dxa"/>
          <w:right w:w="70" w:type="dxa"/>
        </w:tblCellMar>
        <w:tblLook w:val="04A0" w:firstRow="1" w:lastRow="0" w:firstColumn="1" w:lastColumn="0" w:noHBand="0" w:noVBand="1"/>
      </w:tblPr>
      <w:tblGrid>
        <w:gridCol w:w="2353"/>
        <w:gridCol w:w="1131"/>
        <w:gridCol w:w="1131"/>
        <w:gridCol w:w="1131"/>
        <w:gridCol w:w="1134"/>
        <w:gridCol w:w="1131"/>
      </w:tblGrid>
      <w:tr w:rsidR="004F7BA7" w:rsidRPr="00EB135D" w:rsidTr="00A365B0">
        <w:trPr>
          <w:trHeight w:val="485"/>
        </w:trPr>
        <w:tc>
          <w:tcPr>
            <w:tcW w:w="2353" w:type="dxa"/>
            <w:vMerge w:val="restart"/>
            <w:tcBorders>
              <w:top w:val="single" w:sz="4" w:space="0" w:color="auto"/>
              <w:left w:val="nil"/>
              <w:bottom w:val="single" w:sz="4" w:space="0" w:color="auto"/>
              <w:right w:val="single" w:sz="4" w:space="0" w:color="auto"/>
            </w:tcBorders>
            <w:shd w:val="clear" w:color="000000" w:fill="F2DDDC"/>
            <w:vAlign w:val="center"/>
            <w:hideMark/>
          </w:tcPr>
          <w:p w:rsidR="004F7BA7" w:rsidRPr="00EB135D" w:rsidRDefault="004F7BA7" w:rsidP="00A365B0">
            <w:pPr>
              <w:spacing w:after="0" w:line="240" w:lineRule="auto"/>
              <w:jc w:val="center"/>
              <w:rPr>
                <w:rFonts w:cs="Arial"/>
                <w:color w:val="000000"/>
                <w:sz w:val="16"/>
                <w:szCs w:val="16"/>
              </w:rPr>
            </w:pPr>
            <w:r w:rsidRPr="00EB135D">
              <w:rPr>
                <w:rFonts w:cs="Arial"/>
                <w:color w:val="000000"/>
                <w:sz w:val="16"/>
                <w:szCs w:val="16"/>
              </w:rPr>
              <w:t>území</w:t>
            </w:r>
          </w:p>
        </w:tc>
        <w:tc>
          <w:tcPr>
            <w:tcW w:w="1131"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4F7BA7" w:rsidRPr="00EB135D" w:rsidRDefault="004F7BA7" w:rsidP="00A365B0">
            <w:pPr>
              <w:spacing w:after="0" w:line="240" w:lineRule="auto"/>
              <w:jc w:val="center"/>
              <w:rPr>
                <w:rFonts w:cs="Arial"/>
                <w:color w:val="000000"/>
                <w:sz w:val="16"/>
                <w:szCs w:val="16"/>
              </w:rPr>
            </w:pPr>
            <w:r w:rsidRPr="00EB135D">
              <w:rPr>
                <w:rFonts w:cs="Arial"/>
                <w:color w:val="000000"/>
                <w:sz w:val="16"/>
                <w:szCs w:val="16"/>
              </w:rPr>
              <w:t>dětí</w:t>
            </w:r>
          </w:p>
        </w:tc>
        <w:tc>
          <w:tcPr>
            <w:tcW w:w="1131"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4F7BA7" w:rsidRPr="00EB135D" w:rsidRDefault="004F7BA7" w:rsidP="00A365B0">
            <w:pPr>
              <w:spacing w:after="0" w:line="240" w:lineRule="auto"/>
              <w:jc w:val="center"/>
              <w:rPr>
                <w:rFonts w:cs="Arial"/>
                <w:color w:val="000000"/>
                <w:sz w:val="16"/>
                <w:szCs w:val="16"/>
              </w:rPr>
            </w:pPr>
            <w:r w:rsidRPr="00EB135D">
              <w:rPr>
                <w:rFonts w:cs="Arial"/>
                <w:color w:val="000000"/>
                <w:sz w:val="16"/>
                <w:szCs w:val="16"/>
              </w:rPr>
              <w:t>dívk</w:t>
            </w:r>
            <w:r>
              <w:rPr>
                <w:rFonts w:cs="Arial"/>
                <w:color w:val="000000"/>
                <w:sz w:val="16"/>
                <w:szCs w:val="16"/>
              </w:rPr>
              <w:t>y</w:t>
            </w:r>
          </w:p>
        </w:tc>
        <w:tc>
          <w:tcPr>
            <w:tcW w:w="1131" w:type="dxa"/>
            <w:tcBorders>
              <w:top w:val="single" w:sz="4" w:space="0" w:color="auto"/>
              <w:left w:val="single" w:sz="4" w:space="0" w:color="auto"/>
              <w:bottom w:val="single" w:sz="4" w:space="0" w:color="auto"/>
              <w:right w:val="single" w:sz="4" w:space="0" w:color="auto"/>
            </w:tcBorders>
            <w:shd w:val="clear" w:color="000000" w:fill="F2DDDC"/>
            <w:vAlign w:val="center"/>
          </w:tcPr>
          <w:p w:rsidR="004F7BA7" w:rsidRPr="00EB135D" w:rsidRDefault="004F7BA7" w:rsidP="00A365B0">
            <w:pPr>
              <w:spacing w:after="0" w:line="240" w:lineRule="auto"/>
              <w:jc w:val="center"/>
              <w:rPr>
                <w:rFonts w:cs="Arial"/>
                <w:color w:val="000000"/>
                <w:sz w:val="16"/>
                <w:szCs w:val="16"/>
              </w:rPr>
            </w:pPr>
            <w:r w:rsidRPr="00EB135D">
              <w:rPr>
                <w:rFonts w:cs="Arial"/>
                <w:color w:val="000000"/>
                <w:sz w:val="16"/>
                <w:szCs w:val="16"/>
              </w:rPr>
              <w:t>cizinc</w:t>
            </w:r>
            <w:r>
              <w:rPr>
                <w:rFonts w:cs="Arial"/>
                <w:color w:val="000000"/>
                <w:sz w:val="16"/>
                <w:szCs w:val="16"/>
              </w:rPr>
              <w:t>i</w:t>
            </w:r>
          </w:p>
        </w:tc>
        <w:tc>
          <w:tcPr>
            <w:tcW w:w="1133" w:type="dxa"/>
            <w:tcBorders>
              <w:top w:val="single" w:sz="4" w:space="0" w:color="auto"/>
              <w:left w:val="single" w:sz="4" w:space="0" w:color="auto"/>
              <w:bottom w:val="single" w:sz="4" w:space="0" w:color="auto"/>
              <w:right w:val="single" w:sz="4" w:space="0" w:color="auto"/>
            </w:tcBorders>
            <w:shd w:val="clear" w:color="000000" w:fill="F2DDDC"/>
            <w:vAlign w:val="center"/>
          </w:tcPr>
          <w:p w:rsidR="004F7BA7" w:rsidRPr="00EB135D" w:rsidRDefault="004F7BA7" w:rsidP="00A365B0">
            <w:pPr>
              <w:spacing w:after="0" w:line="240" w:lineRule="auto"/>
              <w:jc w:val="center"/>
              <w:rPr>
                <w:rFonts w:cs="Arial"/>
                <w:color w:val="000000"/>
                <w:sz w:val="16"/>
                <w:szCs w:val="16"/>
              </w:rPr>
            </w:pPr>
            <w:r w:rsidRPr="00EB135D">
              <w:rPr>
                <w:rFonts w:cs="Arial"/>
                <w:color w:val="000000"/>
                <w:sz w:val="16"/>
                <w:szCs w:val="16"/>
              </w:rPr>
              <w:t>dětí se SVP</w:t>
            </w:r>
            <w:r w:rsidRPr="00EB135D">
              <w:rPr>
                <w:rFonts w:cs="Arial"/>
                <w:color w:val="000000"/>
                <w:sz w:val="16"/>
                <w:szCs w:val="16"/>
                <w:vertAlign w:val="superscript"/>
              </w:rPr>
              <w:t>1)</w:t>
            </w:r>
          </w:p>
        </w:tc>
        <w:tc>
          <w:tcPr>
            <w:tcW w:w="1131" w:type="dxa"/>
            <w:tcBorders>
              <w:top w:val="single" w:sz="4" w:space="0" w:color="auto"/>
              <w:left w:val="single" w:sz="4" w:space="0" w:color="auto"/>
              <w:bottom w:val="single" w:sz="4" w:space="0" w:color="auto"/>
              <w:right w:val="nil"/>
            </w:tcBorders>
            <w:shd w:val="clear" w:color="000000" w:fill="F2DDDC"/>
            <w:vAlign w:val="center"/>
          </w:tcPr>
          <w:p w:rsidR="004F7BA7" w:rsidRPr="00EB135D" w:rsidRDefault="004F7BA7" w:rsidP="00A365B0">
            <w:pPr>
              <w:spacing w:after="0" w:line="240" w:lineRule="auto"/>
              <w:jc w:val="center"/>
              <w:rPr>
                <w:rFonts w:cs="Arial"/>
                <w:color w:val="000000"/>
                <w:sz w:val="16"/>
                <w:szCs w:val="16"/>
              </w:rPr>
            </w:pPr>
            <w:r>
              <w:rPr>
                <w:rFonts w:cs="Arial"/>
                <w:color w:val="000000"/>
                <w:sz w:val="16"/>
                <w:szCs w:val="16"/>
              </w:rPr>
              <w:t>dětí</w:t>
            </w:r>
          </w:p>
        </w:tc>
      </w:tr>
      <w:tr w:rsidR="004F7BA7" w:rsidRPr="00EB135D" w:rsidTr="00A365B0">
        <w:trPr>
          <w:trHeight w:val="363"/>
        </w:trPr>
        <w:tc>
          <w:tcPr>
            <w:tcW w:w="2353" w:type="dxa"/>
            <w:vMerge/>
            <w:tcBorders>
              <w:left w:val="nil"/>
              <w:bottom w:val="single" w:sz="4" w:space="0" w:color="auto"/>
              <w:right w:val="single" w:sz="4" w:space="0" w:color="auto"/>
            </w:tcBorders>
            <w:shd w:val="clear" w:color="000000" w:fill="FFFFFF"/>
            <w:vAlign w:val="bottom"/>
          </w:tcPr>
          <w:p w:rsidR="004F7BA7" w:rsidRPr="00EB135D" w:rsidRDefault="004F7BA7" w:rsidP="00A365B0">
            <w:pPr>
              <w:spacing w:after="0" w:line="240" w:lineRule="auto"/>
              <w:rPr>
                <w:rFonts w:cs="Arial"/>
                <w:b/>
                <w:bCs/>
                <w:color w:val="000000"/>
                <w:sz w:val="16"/>
                <w:szCs w:val="16"/>
              </w:rPr>
            </w:pPr>
          </w:p>
        </w:tc>
        <w:tc>
          <w:tcPr>
            <w:tcW w:w="4527" w:type="dxa"/>
            <w:gridSpan w:val="4"/>
            <w:tcBorders>
              <w:top w:val="single" w:sz="4" w:space="0" w:color="auto"/>
              <w:left w:val="nil"/>
              <w:bottom w:val="single" w:sz="4" w:space="0" w:color="auto"/>
              <w:right w:val="single" w:sz="4" w:space="0" w:color="auto"/>
            </w:tcBorders>
            <w:shd w:val="clear" w:color="auto" w:fill="F2DBDB" w:themeFill="accent2" w:themeFillTint="33"/>
            <w:noWrap/>
            <w:vAlign w:val="center"/>
          </w:tcPr>
          <w:p w:rsidR="004F7BA7" w:rsidRPr="00EB135D" w:rsidRDefault="004F7BA7" w:rsidP="00A365B0">
            <w:pPr>
              <w:spacing w:after="0" w:line="240" w:lineRule="auto"/>
              <w:jc w:val="center"/>
              <w:rPr>
                <w:rFonts w:cs="Arial"/>
                <w:color w:val="000000"/>
                <w:sz w:val="16"/>
                <w:szCs w:val="16"/>
              </w:rPr>
            </w:pPr>
            <w:r>
              <w:rPr>
                <w:rFonts w:cs="Arial"/>
                <w:color w:val="000000"/>
                <w:sz w:val="16"/>
                <w:szCs w:val="16"/>
              </w:rPr>
              <w:t>na 1 třídu</w:t>
            </w:r>
          </w:p>
        </w:tc>
        <w:tc>
          <w:tcPr>
            <w:tcW w:w="1131" w:type="dxa"/>
            <w:tcBorders>
              <w:top w:val="single" w:sz="4" w:space="0" w:color="auto"/>
              <w:left w:val="nil"/>
              <w:bottom w:val="single" w:sz="4" w:space="0" w:color="auto"/>
              <w:right w:val="nil"/>
            </w:tcBorders>
            <w:shd w:val="clear" w:color="auto" w:fill="F2DBDB" w:themeFill="accent2" w:themeFillTint="33"/>
            <w:noWrap/>
            <w:vAlign w:val="center"/>
          </w:tcPr>
          <w:p w:rsidR="004F7BA7" w:rsidRPr="00EB135D" w:rsidRDefault="004F7BA7" w:rsidP="00A365B0">
            <w:pPr>
              <w:spacing w:after="0" w:line="240" w:lineRule="auto"/>
              <w:jc w:val="center"/>
              <w:rPr>
                <w:rFonts w:cs="Arial"/>
                <w:color w:val="000000"/>
                <w:sz w:val="16"/>
                <w:szCs w:val="16"/>
              </w:rPr>
            </w:pPr>
            <w:r>
              <w:rPr>
                <w:rFonts w:cs="Arial"/>
                <w:color w:val="000000"/>
                <w:sz w:val="16"/>
                <w:szCs w:val="16"/>
              </w:rPr>
              <w:t>na 1 učitele</w:t>
            </w:r>
          </w:p>
        </w:tc>
      </w:tr>
      <w:tr w:rsidR="004F7BA7" w:rsidRPr="00EB135D" w:rsidTr="00A365B0">
        <w:trPr>
          <w:trHeight w:val="283"/>
        </w:trPr>
        <w:tc>
          <w:tcPr>
            <w:tcW w:w="2353" w:type="dxa"/>
            <w:tcBorders>
              <w:top w:val="single" w:sz="4" w:space="0" w:color="auto"/>
              <w:left w:val="nil"/>
              <w:bottom w:val="nil"/>
              <w:right w:val="single" w:sz="4" w:space="0" w:color="auto"/>
            </w:tcBorders>
            <w:shd w:val="clear" w:color="000000" w:fill="FFFFFF"/>
            <w:vAlign w:val="bottom"/>
            <w:hideMark/>
          </w:tcPr>
          <w:p w:rsidR="004F7BA7" w:rsidRPr="00EB135D" w:rsidRDefault="004F7BA7" w:rsidP="00A365B0">
            <w:pPr>
              <w:spacing w:after="0" w:line="240" w:lineRule="auto"/>
              <w:rPr>
                <w:rFonts w:cs="Arial"/>
                <w:b/>
                <w:bCs/>
                <w:color w:val="000000"/>
                <w:sz w:val="16"/>
                <w:szCs w:val="16"/>
              </w:rPr>
            </w:pPr>
            <w:r w:rsidRPr="00EB135D">
              <w:rPr>
                <w:rFonts w:cs="Arial"/>
                <w:b/>
                <w:bCs/>
                <w:color w:val="000000"/>
                <w:sz w:val="16"/>
                <w:szCs w:val="16"/>
              </w:rPr>
              <w:t>Česká republika</w:t>
            </w:r>
          </w:p>
        </w:tc>
        <w:tc>
          <w:tcPr>
            <w:tcW w:w="1131" w:type="dxa"/>
            <w:tcBorders>
              <w:top w:val="single" w:sz="4" w:space="0" w:color="auto"/>
              <w:left w:val="nil"/>
              <w:bottom w:val="nil"/>
              <w:right w:val="single" w:sz="4" w:space="0" w:color="auto"/>
            </w:tcBorders>
            <w:shd w:val="clear" w:color="000000" w:fill="FFFFFF"/>
            <w:noWrap/>
            <w:vAlign w:val="bottom"/>
            <w:hideMark/>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22,7</w:t>
            </w:r>
          </w:p>
        </w:tc>
        <w:tc>
          <w:tcPr>
            <w:tcW w:w="1131" w:type="dxa"/>
            <w:tcBorders>
              <w:top w:val="single" w:sz="4" w:space="0" w:color="auto"/>
              <w:left w:val="nil"/>
              <w:bottom w:val="nil"/>
              <w:right w:val="single" w:sz="4" w:space="0" w:color="auto"/>
            </w:tcBorders>
            <w:shd w:val="clear" w:color="000000" w:fill="FFFFFF"/>
            <w:noWrap/>
            <w:vAlign w:val="bottom"/>
            <w:hideMark/>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10,9</w:t>
            </w:r>
          </w:p>
        </w:tc>
        <w:tc>
          <w:tcPr>
            <w:tcW w:w="1131" w:type="dxa"/>
            <w:tcBorders>
              <w:top w:val="single" w:sz="4" w:space="0" w:color="auto"/>
              <w:left w:val="nil"/>
              <w:bottom w:val="nil"/>
              <w:right w:val="single" w:sz="4" w:space="0" w:color="auto"/>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0,7</w:t>
            </w:r>
          </w:p>
        </w:tc>
        <w:tc>
          <w:tcPr>
            <w:tcW w:w="1133" w:type="dxa"/>
            <w:tcBorders>
              <w:top w:val="single" w:sz="4" w:space="0" w:color="auto"/>
              <w:left w:val="nil"/>
              <w:bottom w:val="nil"/>
              <w:right w:val="single" w:sz="4" w:space="0" w:color="auto"/>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0,7</w:t>
            </w:r>
          </w:p>
        </w:tc>
        <w:tc>
          <w:tcPr>
            <w:tcW w:w="1131" w:type="dxa"/>
            <w:tcBorders>
              <w:top w:val="nil"/>
              <w:left w:val="nil"/>
              <w:bottom w:val="nil"/>
              <w:right w:val="nil"/>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12</w:t>
            </w:r>
            <w:r>
              <w:rPr>
                <w:rFonts w:cs="Arial"/>
                <w:color w:val="000000"/>
                <w:sz w:val="16"/>
                <w:szCs w:val="16"/>
              </w:rPr>
              <w:t>,0</w:t>
            </w:r>
          </w:p>
        </w:tc>
      </w:tr>
      <w:tr w:rsidR="004F7BA7" w:rsidRPr="00EB135D" w:rsidTr="00A365B0">
        <w:trPr>
          <w:trHeight w:val="283"/>
        </w:trPr>
        <w:tc>
          <w:tcPr>
            <w:tcW w:w="2353" w:type="dxa"/>
            <w:tcBorders>
              <w:top w:val="nil"/>
              <w:left w:val="nil"/>
              <w:bottom w:val="nil"/>
              <w:right w:val="single" w:sz="4" w:space="0" w:color="auto"/>
            </w:tcBorders>
            <w:shd w:val="clear" w:color="000000" w:fill="FFFFFF"/>
            <w:vAlign w:val="bottom"/>
            <w:hideMark/>
          </w:tcPr>
          <w:p w:rsidR="004F7BA7" w:rsidRPr="00EB135D" w:rsidRDefault="004F7BA7" w:rsidP="00C62C08">
            <w:pPr>
              <w:spacing w:after="0" w:line="240" w:lineRule="auto"/>
              <w:rPr>
                <w:rFonts w:cs="Arial"/>
                <w:color w:val="000000"/>
                <w:sz w:val="16"/>
                <w:szCs w:val="16"/>
              </w:rPr>
            </w:pPr>
            <w:r w:rsidRPr="00EB135D">
              <w:rPr>
                <w:rFonts w:cs="Arial"/>
                <w:color w:val="000000"/>
                <w:sz w:val="16"/>
                <w:szCs w:val="16"/>
              </w:rPr>
              <w:t>Hlavní město Praha</w:t>
            </w:r>
          </w:p>
        </w:tc>
        <w:tc>
          <w:tcPr>
            <w:tcW w:w="1131" w:type="dxa"/>
            <w:tcBorders>
              <w:top w:val="nil"/>
              <w:left w:val="nil"/>
              <w:bottom w:val="nil"/>
              <w:right w:val="single" w:sz="4" w:space="0" w:color="auto"/>
            </w:tcBorders>
            <w:shd w:val="clear" w:color="000000" w:fill="FFFFFF"/>
            <w:noWrap/>
            <w:vAlign w:val="bottom"/>
            <w:hideMark/>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23,4</w:t>
            </w:r>
          </w:p>
        </w:tc>
        <w:tc>
          <w:tcPr>
            <w:tcW w:w="1131" w:type="dxa"/>
            <w:tcBorders>
              <w:top w:val="nil"/>
              <w:left w:val="nil"/>
              <w:bottom w:val="nil"/>
              <w:right w:val="single" w:sz="4" w:space="0" w:color="auto"/>
            </w:tcBorders>
            <w:shd w:val="clear" w:color="000000" w:fill="FFFFFF"/>
            <w:noWrap/>
            <w:vAlign w:val="bottom"/>
            <w:hideMark/>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11,2</w:t>
            </w:r>
          </w:p>
        </w:tc>
        <w:tc>
          <w:tcPr>
            <w:tcW w:w="1131" w:type="dxa"/>
            <w:tcBorders>
              <w:top w:val="nil"/>
              <w:left w:val="nil"/>
              <w:bottom w:val="nil"/>
              <w:right w:val="single" w:sz="4" w:space="0" w:color="auto"/>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2,3</w:t>
            </w:r>
          </w:p>
        </w:tc>
        <w:tc>
          <w:tcPr>
            <w:tcW w:w="1133" w:type="dxa"/>
            <w:tcBorders>
              <w:top w:val="nil"/>
              <w:left w:val="nil"/>
              <w:bottom w:val="nil"/>
              <w:right w:val="single" w:sz="4" w:space="0" w:color="auto"/>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0,6</w:t>
            </w:r>
          </w:p>
        </w:tc>
        <w:tc>
          <w:tcPr>
            <w:tcW w:w="1131" w:type="dxa"/>
            <w:tcBorders>
              <w:top w:val="nil"/>
              <w:left w:val="nil"/>
              <w:bottom w:val="nil"/>
              <w:right w:val="nil"/>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11,8</w:t>
            </w:r>
          </w:p>
        </w:tc>
      </w:tr>
      <w:tr w:rsidR="004F7BA7" w:rsidRPr="00EB135D" w:rsidTr="00A365B0">
        <w:trPr>
          <w:trHeight w:val="283"/>
        </w:trPr>
        <w:tc>
          <w:tcPr>
            <w:tcW w:w="2353" w:type="dxa"/>
            <w:tcBorders>
              <w:top w:val="nil"/>
              <w:left w:val="nil"/>
              <w:bottom w:val="nil"/>
              <w:right w:val="single" w:sz="4" w:space="0" w:color="auto"/>
            </w:tcBorders>
            <w:shd w:val="clear" w:color="000000" w:fill="FFFFFF"/>
            <w:vAlign w:val="bottom"/>
            <w:hideMark/>
          </w:tcPr>
          <w:p w:rsidR="004F7BA7" w:rsidRPr="00EB135D" w:rsidRDefault="004F7BA7" w:rsidP="00C62C08">
            <w:pPr>
              <w:spacing w:after="0" w:line="240" w:lineRule="auto"/>
              <w:rPr>
                <w:rFonts w:cs="Arial"/>
                <w:color w:val="000000"/>
                <w:sz w:val="16"/>
                <w:szCs w:val="16"/>
              </w:rPr>
            </w:pPr>
            <w:r w:rsidRPr="00EB135D">
              <w:rPr>
                <w:rFonts w:cs="Arial"/>
                <w:color w:val="000000"/>
                <w:sz w:val="16"/>
                <w:szCs w:val="16"/>
              </w:rPr>
              <w:t>Středočeský kraj</w:t>
            </w:r>
          </w:p>
        </w:tc>
        <w:tc>
          <w:tcPr>
            <w:tcW w:w="1131" w:type="dxa"/>
            <w:tcBorders>
              <w:top w:val="nil"/>
              <w:left w:val="nil"/>
              <w:bottom w:val="nil"/>
              <w:right w:val="single" w:sz="4" w:space="0" w:color="auto"/>
            </w:tcBorders>
            <w:shd w:val="clear" w:color="000000" w:fill="FFFFFF"/>
            <w:noWrap/>
            <w:vAlign w:val="bottom"/>
            <w:hideMark/>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22,6</w:t>
            </w:r>
          </w:p>
        </w:tc>
        <w:tc>
          <w:tcPr>
            <w:tcW w:w="1131" w:type="dxa"/>
            <w:tcBorders>
              <w:top w:val="nil"/>
              <w:left w:val="nil"/>
              <w:bottom w:val="nil"/>
              <w:right w:val="single" w:sz="4" w:space="0" w:color="auto"/>
            </w:tcBorders>
            <w:shd w:val="clear" w:color="000000" w:fill="FFFFFF"/>
            <w:noWrap/>
            <w:vAlign w:val="bottom"/>
            <w:hideMark/>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10,9</w:t>
            </w:r>
          </w:p>
        </w:tc>
        <w:tc>
          <w:tcPr>
            <w:tcW w:w="1131" w:type="dxa"/>
            <w:tcBorders>
              <w:top w:val="nil"/>
              <w:left w:val="nil"/>
              <w:bottom w:val="nil"/>
              <w:right w:val="single" w:sz="4" w:space="0" w:color="auto"/>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0,7</w:t>
            </w:r>
          </w:p>
        </w:tc>
        <w:tc>
          <w:tcPr>
            <w:tcW w:w="1133" w:type="dxa"/>
            <w:tcBorders>
              <w:top w:val="nil"/>
              <w:left w:val="nil"/>
              <w:bottom w:val="nil"/>
              <w:right w:val="single" w:sz="4" w:space="0" w:color="auto"/>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0,4</w:t>
            </w:r>
          </w:p>
        </w:tc>
        <w:tc>
          <w:tcPr>
            <w:tcW w:w="1131" w:type="dxa"/>
            <w:tcBorders>
              <w:top w:val="nil"/>
              <w:left w:val="nil"/>
              <w:bottom w:val="nil"/>
              <w:right w:val="nil"/>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11,9</w:t>
            </w:r>
          </w:p>
        </w:tc>
      </w:tr>
      <w:tr w:rsidR="004F7BA7" w:rsidRPr="00EB135D" w:rsidTr="00A365B0">
        <w:trPr>
          <w:trHeight w:val="283"/>
        </w:trPr>
        <w:tc>
          <w:tcPr>
            <w:tcW w:w="2353" w:type="dxa"/>
            <w:tcBorders>
              <w:top w:val="nil"/>
              <w:left w:val="nil"/>
              <w:bottom w:val="nil"/>
              <w:right w:val="single" w:sz="4" w:space="0" w:color="auto"/>
            </w:tcBorders>
            <w:shd w:val="clear" w:color="000000" w:fill="FFFFFF"/>
            <w:vAlign w:val="bottom"/>
            <w:hideMark/>
          </w:tcPr>
          <w:p w:rsidR="004F7BA7" w:rsidRPr="00EB135D" w:rsidRDefault="004F7BA7" w:rsidP="00C62C08">
            <w:pPr>
              <w:spacing w:after="0" w:line="240" w:lineRule="auto"/>
              <w:rPr>
                <w:rFonts w:cs="Arial"/>
                <w:color w:val="000000"/>
                <w:sz w:val="16"/>
                <w:szCs w:val="16"/>
              </w:rPr>
            </w:pPr>
            <w:r w:rsidRPr="00EB135D">
              <w:rPr>
                <w:rFonts w:cs="Arial"/>
                <w:color w:val="000000"/>
                <w:sz w:val="16"/>
                <w:szCs w:val="16"/>
              </w:rPr>
              <w:t>Jihočeský kraj</w:t>
            </w:r>
          </w:p>
        </w:tc>
        <w:tc>
          <w:tcPr>
            <w:tcW w:w="1131" w:type="dxa"/>
            <w:tcBorders>
              <w:top w:val="nil"/>
              <w:left w:val="nil"/>
              <w:bottom w:val="nil"/>
              <w:right w:val="single" w:sz="4" w:space="0" w:color="auto"/>
            </w:tcBorders>
            <w:shd w:val="clear" w:color="000000" w:fill="FFFFFF"/>
            <w:noWrap/>
            <w:vAlign w:val="bottom"/>
            <w:hideMark/>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22,9</w:t>
            </w:r>
          </w:p>
        </w:tc>
        <w:tc>
          <w:tcPr>
            <w:tcW w:w="1131" w:type="dxa"/>
            <w:tcBorders>
              <w:top w:val="nil"/>
              <w:left w:val="nil"/>
              <w:bottom w:val="nil"/>
              <w:right w:val="single" w:sz="4" w:space="0" w:color="auto"/>
            </w:tcBorders>
            <w:shd w:val="clear" w:color="000000" w:fill="FFFFFF"/>
            <w:noWrap/>
            <w:vAlign w:val="bottom"/>
            <w:hideMark/>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10,8</w:t>
            </w:r>
          </w:p>
        </w:tc>
        <w:tc>
          <w:tcPr>
            <w:tcW w:w="1131" w:type="dxa"/>
            <w:tcBorders>
              <w:top w:val="nil"/>
              <w:left w:val="nil"/>
              <w:bottom w:val="nil"/>
              <w:right w:val="single" w:sz="4" w:space="0" w:color="auto"/>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0,4</w:t>
            </w:r>
          </w:p>
        </w:tc>
        <w:tc>
          <w:tcPr>
            <w:tcW w:w="1133" w:type="dxa"/>
            <w:tcBorders>
              <w:top w:val="nil"/>
              <w:left w:val="nil"/>
              <w:bottom w:val="nil"/>
              <w:right w:val="single" w:sz="4" w:space="0" w:color="auto"/>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0,5</w:t>
            </w:r>
          </w:p>
        </w:tc>
        <w:tc>
          <w:tcPr>
            <w:tcW w:w="1131" w:type="dxa"/>
            <w:tcBorders>
              <w:top w:val="nil"/>
              <w:left w:val="nil"/>
              <w:bottom w:val="nil"/>
              <w:right w:val="nil"/>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12,7</w:t>
            </w:r>
          </w:p>
        </w:tc>
      </w:tr>
      <w:tr w:rsidR="004F7BA7" w:rsidRPr="00EB135D" w:rsidTr="00A365B0">
        <w:trPr>
          <w:trHeight w:val="283"/>
        </w:trPr>
        <w:tc>
          <w:tcPr>
            <w:tcW w:w="2353" w:type="dxa"/>
            <w:tcBorders>
              <w:top w:val="nil"/>
              <w:left w:val="nil"/>
              <w:bottom w:val="nil"/>
              <w:right w:val="single" w:sz="4" w:space="0" w:color="auto"/>
            </w:tcBorders>
            <w:shd w:val="clear" w:color="000000" w:fill="FFFFFF"/>
            <w:vAlign w:val="bottom"/>
            <w:hideMark/>
          </w:tcPr>
          <w:p w:rsidR="004F7BA7" w:rsidRPr="00EB135D" w:rsidRDefault="004F7BA7" w:rsidP="00C62C08">
            <w:pPr>
              <w:spacing w:after="0" w:line="240" w:lineRule="auto"/>
              <w:rPr>
                <w:rFonts w:cs="Arial"/>
                <w:color w:val="000000"/>
                <w:sz w:val="16"/>
                <w:szCs w:val="16"/>
              </w:rPr>
            </w:pPr>
            <w:r w:rsidRPr="00EB135D">
              <w:rPr>
                <w:rFonts w:cs="Arial"/>
                <w:color w:val="000000"/>
                <w:sz w:val="16"/>
                <w:szCs w:val="16"/>
              </w:rPr>
              <w:t>Plzeňský kraj</w:t>
            </w:r>
          </w:p>
        </w:tc>
        <w:tc>
          <w:tcPr>
            <w:tcW w:w="1131" w:type="dxa"/>
            <w:tcBorders>
              <w:top w:val="nil"/>
              <w:left w:val="nil"/>
              <w:bottom w:val="nil"/>
              <w:right w:val="single" w:sz="4" w:space="0" w:color="auto"/>
            </w:tcBorders>
            <w:shd w:val="clear" w:color="000000" w:fill="FFFFFF"/>
            <w:noWrap/>
            <w:vAlign w:val="bottom"/>
            <w:hideMark/>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22,3</w:t>
            </w:r>
          </w:p>
        </w:tc>
        <w:tc>
          <w:tcPr>
            <w:tcW w:w="1131" w:type="dxa"/>
            <w:tcBorders>
              <w:top w:val="nil"/>
              <w:left w:val="nil"/>
              <w:bottom w:val="nil"/>
              <w:right w:val="single" w:sz="4" w:space="0" w:color="auto"/>
            </w:tcBorders>
            <w:shd w:val="clear" w:color="000000" w:fill="FFFFFF"/>
            <w:noWrap/>
            <w:vAlign w:val="bottom"/>
            <w:hideMark/>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11,3</w:t>
            </w:r>
          </w:p>
        </w:tc>
        <w:tc>
          <w:tcPr>
            <w:tcW w:w="1131" w:type="dxa"/>
            <w:tcBorders>
              <w:top w:val="nil"/>
              <w:left w:val="nil"/>
              <w:bottom w:val="nil"/>
              <w:right w:val="single" w:sz="4" w:space="0" w:color="auto"/>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0,9</w:t>
            </w:r>
          </w:p>
        </w:tc>
        <w:tc>
          <w:tcPr>
            <w:tcW w:w="1133" w:type="dxa"/>
            <w:tcBorders>
              <w:top w:val="nil"/>
              <w:left w:val="nil"/>
              <w:bottom w:val="nil"/>
              <w:right w:val="single" w:sz="4" w:space="0" w:color="auto"/>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0,6</w:t>
            </w:r>
          </w:p>
        </w:tc>
        <w:tc>
          <w:tcPr>
            <w:tcW w:w="1131" w:type="dxa"/>
            <w:tcBorders>
              <w:top w:val="nil"/>
              <w:left w:val="nil"/>
              <w:bottom w:val="nil"/>
              <w:right w:val="nil"/>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11,7</w:t>
            </w:r>
          </w:p>
        </w:tc>
      </w:tr>
      <w:tr w:rsidR="004F7BA7" w:rsidRPr="00EB135D" w:rsidTr="00A365B0">
        <w:trPr>
          <w:trHeight w:val="283"/>
        </w:trPr>
        <w:tc>
          <w:tcPr>
            <w:tcW w:w="2353" w:type="dxa"/>
            <w:tcBorders>
              <w:top w:val="nil"/>
              <w:left w:val="nil"/>
              <w:bottom w:val="nil"/>
              <w:right w:val="single" w:sz="4" w:space="0" w:color="auto"/>
            </w:tcBorders>
            <w:shd w:val="clear" w:color="000000" w:fill="FFFFFF"/>
            <w:vAlign w:val="bottom"/>
            <w:hideMark/>
          </w:tcPr>
          <w:p w:rsidR="004F7BA7" w:rsidRPr="00EB135D" w:rsidRDefault="004F7BA7" w:rsidP="00C62C08">
            <w:pPr>
              <w:spacing w:after="0" w:line="240" w:lineRule="auto"/>
              <w:rPr>
                <w:rFonts w:cs="Arial"/>
                <w:color w:val="000000"/>
                <w:sz w:val="16"/>
                <w:szCs w:val="16"/>
              </w:rPr>
            </w:pPr>
            <w:r w:rsidRPr="00EB135D">
              <w:rPr>
                <w:rFonts w:cs="Arial"/>
                <w:color w:val="000000"/>
                <w:sz w:val="16"/>
                <w:szCs w:val="16"/>
              </w:rPr>
              <w:t>Karlovarský kraj</w:t>
            </w:r>
          </w:p>
        </w:tc>
        <w:tc>
          <w:tcPr>
            <w:tcW w:w="1131" w:type="dxa"/>
            <w:tcBorders>
              <w:top w:val="nil"/>
              <w:left w:val="nil"/>
              <w:bottom w:val="nil"/>
              <w:right w:val="single" w:sz="4" w:space="0" w:color="auto"/>
            </w:tcBorders>
            <w:shd w:val="clear" w:color="000000" w:fill="FFFFFF"/>
            <w:noWrap/>
            <w:vAlign w:val="bottom"/>
            <w:hideMark/>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23,2</w:t>
            </w:r>
          </w:p>
        </w:tc>
        <w:tc>
          <w:tcPr>
            <w:tcW w:w="1131" w:type="dxa"/>
            <w:tcBorders>
              <w:top w:val="nil"/>
              <w:left w:val="nil"/>
              <w:bottom w:val="nil"/>
              <w:right w:val="single" w:sz="4" w:space="0" w:color="auto"/>
            </w:tcBorders>
            <w:shd w:val="clear" w:color="000000" w:fill="FFFFFF"/>
            <w:noWrap/>
            <w:vAlign w:val="bottom"/>
            <w:hideMark/>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10,8</w:t>
            </w:r>
          </w:p>
        </w:tc>
        <w:tc>
          <w:tcPr>
            <w:tcW w:w="1131" w:type="dxa"/>
            <w:tcBorders>
              <w:top w:val="nil"/>
              <w:left w:val="nil"/>
              <w:bottom w:val="nil"/>
              <w:right w:val="single" w:sz="4" w:space="0" w:color="auto"/>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1,2</w:t>
            </w:r>
          </w:p>
        </w:tc>
        <w:tc>
          <w:tcPr>
            <w:tcW w:w="1133" w:type="dxa"/>
            <w:tcBorders>
              <w:top w:val="nil"/>
              <w:left w:val="nil"/>
              <w:bottom w:val="nil"/>
              <w:right w:val="single" w:sz="4" w:space="0" w:color="auto"/>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0,5</w:t>
            </w:r>
          </w:p>
        </w:tc>
        <w:tc>
          <w:tcPr>
            <w:tcW w:w="1131" w:type="dxa"/>
            <w:tcBorders>
              <w:top w:val="nil"/>
              <w:left w:val="nil"/>
              <w:bottom w:val="nil"/>
              <w:right w:val="nil"/>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12</w:t>
            </w:r>
            <w:r>
              <w:rPr>
                <w:rFonts w:cs="Arial"/>
                <w:color w:val="000000"/>
                <w:sz w:val="16"/>
                <w:szCs w:val="16"/>
              </w:rPr>
              <w:t>,0</w:t>
            </w:r>
          </w:p>
        </w:tc>
      </w:tr>
      <w:tr w:rsidR="004F7BA7" w:rsidRPr="00EB135D" w:rsidTr="00A365B0">
        <w:trPr>
          <w:trHeight w:val="283"/>
        </w:trPr>
        <w:tc>
          <w:tcPr>
            <w:tcW w:w="2353" w:type="dxa"/>
            <w:tcBorders>
              <w:top w:val="nil"/>
              <w:left w:val="nil"/>
              <w:bottom w:val="nil"/>
              <w:right w:val="single" w:sz="4" w:space="0" w:color="auto"/>
            </w:tcBorders>
            <w:shd w:val="clear" w:color="000000" w:fill="FFFFFF"/>
            <w:vAlign w:val="bottom"/>
            <w:hideMark/>
          </w:tcPr>
          <w:p w:rsidR="004F7BA7" w:rsidRPr="00EB135D" w:rsidRDefault="004F7BA7" w:rsidP="00C62C08">
            <w:pPr>
              <w:spacing w:after="0" w:line="240" w:lineRule="auto"/>
              <w:rPr>
                <w:rFonts w:cs="Arial"/>
                <w:color w:val="000000"/>
                <w:sz w:val="16"/>
                <w:szCs w:val="16"/>
              </w:rPr>
            </w:pPr>
            <w:r w:rsidRPr="00EB135D">
              <w:rPr>
                <w:rFonts w:cs="Arial"/>
                <w:color w:val="000000"/>
                <w:sz w:val="16"/>
                <w:szCs w:val="16"/>
              </w:rPr>
              <w:t>Ústecký kraj</w:t>
            </w:r>
          </w:p>
        </w:tc>
        <w:tc>
          <w:tcPr>
            <w:tcW w:w="1131" w:type="dxa"/>
            <w:tcBorders>
              <w:top w:val="nil"/>
              <w:left w:val="nil"/>
              <w:bottom w:val="nil"/>
              <w:right w:val="single" w:sz="4" w:space="0" w:color="auto"/>
            </w:tcBorders>
            <w:shd w:val="clear" w:color="000000" w:fill="FFFFFF"/>
            <w:noWrap/>
            <w:vAlign w:val="bottom"/>
            <w:hideMark/>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22,4</w:t>
            </w:r>
          </w:p>
        </w:tc>
        <w:tc>
          <w:tcPr>
            <w:tcW w:w="1131" w:type="dxa"/>
            <w:tcBorders>
              <w:top w:val="nil"/>
              <w:left w:val="nil"/>
              <w:bottom w:val="nil"/>
              <w:right w:val="single" w:sz="4" w:space="0" w:color="auto"/>
            </w:tcBorders>
            <w:shd w:val="clear" w:color="000000" w:fill="FFFFFF"/>
            <w:noWrap/>
            <w:vAlign w:val="bottom"/>
            <w:hideMark/>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10,8</w:t>
            </w:r>
          </w:p>
        </w:tc>
        <w:tc>
          <w:tcPr>
            <w:tcW w:w="1131" w:type="dxa"/>
            <w:tcBorders>
              <w:top w:val="nil"/>
              <w:left w:val="nil"/>
              <w:bottom w:val="nil"/>
              <w:right w:val="single" w:sz="4" w:space="0" w:color="auto"/>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0,6</w:t>
            </w:r>
          </w:p>
        </w:tc>
        <w:tc>
          <w:tcPr>
            <w:tcW w:w="1133" w:type="dxa"/>
            <w:tcBorders>
              <w:top w:val="nil"/>
              <w:left w:val="nil"/>
              <w:bottom w:val="nil"/>
              <w:right w:val="single" w:sz="4" w:space="0" w:color="auto"/>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0,9</w:t>
            </w:r>
          </w:p>
        </w:tc>
        <w:tc>
          <w:tcPr>
            <w:tcW w:w="1131" w:type="dxa"/>
            <w:tcBorders>
              <w:top w:val="nil"/>
              <w:left w:val="nil"/>
              <w:bottom w:val="nil"/>
              <w:right w:val="nil"/>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11,5</w:t>
            </w:r>
          </w:p>
        </w:tc>
      </w:tr>
      <w:tr w:rsidR="004F7BA7" w:rsidRPr="00EB135D" w:rsidTr="00A365B0">
        <w:trPr>
          <w:trHeight w:val="283"/>
        </w:trPr>
        <w:tc>
          <w:tcPr>
            <w:tcW w:w="2353" w:type="dxa"/>
            <w:tcBorders>
              <w:top w:val="nil"/>
              <w:left w:val="nil"/>
              <w:bottom w:val="nil"/>
              <w:right w:val="single" w:sz="4" w:space="0" w:color="auto"/>
            </w:tcBorders>
            <w:shd w:val="clear" w:color="000000" w:fill="FFFFFF"/>
            <w:vAlign w:val="bottom"/>
            <w:hideMark/>
          </w:tcPr>
          <w:p w:rsidR="004F7BA7" w:rsidRPr="00EB135D" w:rsidRDefault="004F7BA7" w:rsidP="00C62C08">
            <w:pPr>
              <w:spacing w:after="0" w:line="240" w:lineRule="auto"/>
              <w:rPr>
                <w:rFonts w:cs="Arial"/>
                <w:color w:val="000000"/>
                <w:sz w:val="16"/>
                <w:szCs w:val="16"/>
              </w:rPr>
            </w:pPr>
            <w:r w:rsidRPr="00EB135D">
              <w:rPr>
                <w:rFonts w:cs="Arial"/>
                <w:color w:val="000000"/>
                <w:sz w:val="16"/>
                <w:szCs w:val="16"/>
              </w:rPr>
              <w:t>Liberecký kraj</w:t>
            </w:r>
          </w:p>
        </w:tc>
        <w:tc>
          <w:tcPr>
            <w:tcW w:w="1131" w:type="dxa"/>
            <w:tcBorders>
              <w:top w:val="nil"/>
              <w:left w:val="nil"/>
              <w:bottom w:val="nil"/>
              <w:right w:val="single" w:sz="4" w:space="0" w:color="auto"/>
            </w:tcBorders>
            <w:shd w:val="clear" w:color="000000" w:fill="FFFFFF"/>
            <w:noWrap/>
            <w:vAlign w:val="bottom"/>
            <w:hideMark/>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22,2</w:t>
            </w:r>
          </w:p>
        </w:tc>
        <w:tc>
          <w:tcPr>
            <w:tcW w:w="1131" w:type="dxa"/>
            <w:tcBorders>
              <w:top w:val="nil"/>
              <w:left w:val="nil"/>
              <w:bottom w:val="nil"/>
              <w:right w:val="single" w:sz="4" w:space="0" w:color="auto"/>
            </w:tcBorders>
            <w:shd w:val="clear" w:color="000000" w:fill="FFFFFF"/>
            <w:noWrap/>
            <w:vAlign w:val="bottom"/>
            <w:hideMark/>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10,6</w:t>
            </w:r>
          </w:p>
        </w:tc>
        <w:tc>
          <w:tcPr>
            <w:tcW w:w="1131" w:type="dxa"/>
            <w:tcBorders>
              <w:top w:val="nil"/>
              <w:left w:val="nil"/>
              <w:bottom w:val="nil"/>
              <w:right w:val="single" w:sz="4" w:space="0" w:color="auto"/>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0,6</w:t>
            </w:r>
          </w:p>
        </w:tc>
        <w:tc>
          <w:tcPr>
            <w:tcW w:w="1133" w:type="dxa"/>
            <w:tcBorders>
              <w:top w:val="nil"/>
              <w:left w:val="nil"/>
              <w:bottom w:val="nil"/>
              <w:right w:val="single" w:sz="4" w:space="0" w:color="auto"/>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0,8</w:t>
            </w:r>
          </w:p>
        </w:tc>
        <w:tc>
          <w:tcPr>
            <w:tcW w:w="1131" w:type="dxa"/>
            <w:tcBorders>
              <w:top w:val="nil"/>
              <w:left w:val="nil"/>
              <w:bottom w:val="nil"/>
              <w:right w:val="nil"/>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11,9</w:t>
            </w:r>
          </w:p>
        </w:tc>
      </w:tr>
      <w:tr w:rsidR="004F7BA7" w:rsidRPr="00EB135D" w:rsidTr="00A365B0">
        <w:trPr>
          <w:trHeight w:val="283"/>
        </w:trPr>
        <w:tc>
          <w:tcPr>
            <w:tcW w:w="2353" w:type="dxa"/>
            <w:tcBorders>
              <w:top w:val="nil"/>
              <w:left w:val="nil"/>
              <w:bottom w:val="nil"/>
              <w:right w:val="single" w:sz="4" w:space="0" w:color="auto"/>
            </w:tcBorders>
            <w:shd w:val="clear" w:color="000000" w:fill="FFFFFF"/>
            <w:vAlign w:val="bottom"/>
            <w:hideMark/>
          </w:tcPr>
          <w:p w:rsidR="004F7BA7" w:rsidRPr="00EB135D" w:rsidRDefault="004F7BA7" w:rsidP="00C62C08">
            <w:pPr>
              <w:spacing w:after="0" w:line="240" w:lineRule="auto"/>
              <w:rPr>
                <w:rFonts w:cs="Arial"/>
                <w:color w:val="000000"/>
                <w:sz w:val="16"/>
                <w:szCs w:val="16"/>
              </w:rPr>
            </w:pPr>
            <w:r w:rsidRPr="00EB135D">
              <w:rPr>
                <w:rFonts w:cs="Arial"/>
                <w:color w:val="000000"/>
                <w:sz w:val="16"/>
                <w:szCs w:val="16"/>
              </w:rPr>
              <w:t>Královéhradecký kraj</w:t>
            </w:r>
          </w:p>
        </w:tc>
        <w:tc>
          <w:tcPr>
            <w:tcW w:w="1131" w:type="dxa"/>
            <w:tcBorders>
              <w:top w:val="nil"/>
              <w:left w:val="nil"/>
              <w:bottom w:val="nil"/>
              <w:right w:val="single" w:sz="4" w:space="0" w:color="auto"/>
            </w:tcBorders>
            <w:shd w:val="clear" w:color="000000" w:fill="FFFFFF"/>
            <w:noWrap/>
            <w:vAlign w:val="bottom"/>
            <w:hideMark/>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22,5</w:t>
            </w:r>
          </w:p>
        </w:tc>
        <w:tc>
          <w:tcPr>
            <w:tcW w:w="1131" w:type="dxa"/>
            <w:tcBorders>
              <w:top w:val="nil"/>
              <w:left w:val="nil"/>
              <w:bottom w:val="nil"/>
              <w:right w:val="single" w:sz="4" w:space="0" w:color="auto"/>
            </w:tcBorders>
            <w:shd w:val="clear" w:color="000000" w:fill="FFFFFF"/>
            <w:noWrap/>
            <w:vAlign w:val="bottom"/>
            <w:hideMark/>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10,8</w:t>
            </w:r>
          </w:p>
        </w:tc>
        <w:tc>
          <w:tcPr>
            <w:tcW w:w="1131" w:type="dxa"/>
            <w:tcBorders>
              <w:top w:val="nil"/>
              <w:left w:val="nil"/>
              <w:bottom w:val="nil"/>
              <w:right w:val="single" w:sz="4" w:space="0" w:color="auto"/>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0,3</w:t>
            </w:r>
          </w:p>
        </w:tc>
        <w:tc>
          <w:tcPr>
            <w:tcW w:w="1133" w:type="dxa"/>
            <w:tcBorders>
              <w:top w:val="nil"/>
              <w:left w:val="nil"/>
              <w:bottom w:val="nil"/>
              <w:right w:val="single" w:sz="4" w:space="0" w:color="auto"/>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0,9</w:t>
            </w:r>
          </w:p>
        </w:tc>
        <w:tc>
          <w:tcPr>
            <w:tcW w:w="1131" w:type="dxa"/>
            <w:tcBorders>
              <w:top w:val="nil"/>
              <w:left w:val="nil"/>
              <w:bottom w:val="nil"/>
              <w:right w:val="nil"/>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11,9</w:t>
            </w:r>
          </w:p>
        </w:tc>
      </w:tr>
      <w:tr w:rsidR="004F7BA7" w:rsidRPr="00EB135D" w:rsidTr="00A365B0">
        <w:trPr>
          <w:trHeight w:val="283"/>
        </w:trPr>
        <w:tc>
          <w:tcPr>
            <w:tcW w:w="2353" w:type="dxa"/>
            <w:tcBorders>
              <w:top w:val="nil"/>
              <w:left w:val="nil"/>
              <w:bottom w:val="nil"/>
              <w:right w:val="single" w:sz="4" w:space="0" w:color="auto"/>
            </w:tcBorders>
            <w:shd w:val="clear" w:color="000000" w:fill="FFFFFF"/>
            <w:vAlign w:val="bottom"/>
            <w:hideMark/>
          </w:tcPr>
          <w:p w:rsidR="004F7BA7" w:rsidRPr="00EB135D" w:rsidRDefault="004F7BA7" w:rsidP="00C62C08">
            <w:pPr>
              <w:spacing w:after="0" w:line="240" w:lineRule="auto"/>
              <w:rPr>
                <w:rFonts w:cs="Arial"/>
                <w:color w:val="000000"/>
                <w:sz w:val="16"/>
                <w:szCs w:val="16"/>
              </w:rPr>
            </w:pPr>
            <w:r w:rsidRPr="00EB135D">
              <w:rPr>
                <w:rFonts w:cs="Arial"/>
                <w:color w:val="000000"/>
                <w:sz w:val="16"/>
                <w:szCs w:val="16"/>
              </w:rPr>
              <w:t>Pardubický kraj</w:t>
            </w:r>
          </w:p>
        </w:tc>
        <w:tc>
          <w:tcPr>
            <w:tcW w:w="1131" w:type="dxa"/>
            <w:tcBorders>
              <w:top w:val="nil"/>
              <w:left w:val="nil"/>
              <w:bottom w:val="nil"/>
              <w:right w:val="single" w:sz="4" w:space="0" w:color="auto"/>
            </w:tcBorders>
            <w:shd w:val="clear" w:color="000000" w:fill="FFFFFF"/>
            <w:noWrap/>
            <w:vAlign w:val="bottom"/>
            <w:hideMark/>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23,8</w:t>
            </w:r>
          </w:p>
        </w:tc>
        <w:tc>
          <w:tcPr>
            <w:tcW w:w="1131" w:type="dxa"/>
            <w:tcBorders>
              <w:top w:val="nil"/>
              <w:left w:val="nil"/>
              <w:bottom w:val="nil"/>
              <w:right w:val="single" w:sz="4" w:space="0" w:color="auto"/>
            </w:tcBorders>
            <w:shd w:val="clear" w:color="000000" w:fill="FFFFFF"/>
            <w:noWrap/>
            <w:vAlign w:val="bottom"/>
            <w:hideMark/>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11,4</w:t>
            </w:r>
          </w:p>
        </w:tc>
        <w:tc>
          <w:tcPr>
            <w:tcW w:w="1131" w:type="dxa"/>
            <w:tcBorders>
              <w:top w:val="nil"/>
              <w:left w:val="nil"/>
              <w:bottom w:val="nil"/>
              <w:right w:val="single" w:sz="4" w:space="0" w:color="auto"/>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0,4</w:t>
            </w:r>
          </w:p>
        </w:tc>
        <w:tc>
          <w:tcPr>
            <w:tcW w:w="1133" w:type="dxa"/>
            <w:tcBorders>
              <w:top w:val="nil"/>
              <w:left w:val="nil"/>
              <w:bottom w:val="nil"/>
              <w:right w:val="single" w:sz="4" w:space="0" w:color="auto"/>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0,4</w:t>
            </w:r>
          </w:p>
        </w:tc>
        <w:tc>
          <w:tcPr>
            <w:tcW w:w="1131" w:type="dxa"/>
            <w:tcBorders>
              <w:top w:val="nil"/>
              <w:left w:val="nil"/>
              <w:bottom w:val="nil"/>
              <w:right w:val="nil"/>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12,3</w:t>
            </w:r>
          </w:p>
        </w:tc>
      </w:tr>
      <w:tr w:rsidR="004F7BA7" w:rsidRPr="00EB135D" w:rsidTr="00A365B0">
        <w:trPr>
          <w:trHeight w:val="283"/>
        </w:trPr>
        <w:tc>
          <w:tcPr>
            <w:tcW w:w="2353" w:type="dxa"/>
            <w:tcBorders>
              <w:top w:val="nil"/>
              <w:left w:val="nil"/>
              <w:bottom w:val="nil"/>
              <w:right w:val="single" w:sz="4" w:space="0" w:color="auto"/>
            </w:tcBorders>
            <w:shd w:val="clear" w:color="000000" w:fill="FFFFFF"/>
            <w:vAlign w:val="bottom"/>
            <w:hideMark/>
          </w:tcPr>
          <w:p w:rsidR="004F7BA7" w:rsidRPr="00EB135D" w:rsidRDefault="004F7BA7" w:rsidP="00C62C08">
            <w:pPr>
              <w:spacing w:after="0" w:line="240" w:lineRule="auto"/>
              <w:rPr>
                <w:rFonts w:cs="Arial"/>
                <w:color w:val="000000"/>
                <w:sz w:val="16"/>
                <w:szCs w:val="16"/>
              </w:rPr>
            </w:pPr>
            <w:r w:rsidRPr="00EB135D">
              <w:rPr>
                <w:rFonts w:cs="Arial"/>
                <w:color w:val="000000"/>
                <w:sz w:val="16"/>
                <w:szCs w:val="16"/>
              </w:rPr>
              <w:t>Kraj Vysočina</w:t>
            </w:r>
          </w:p>
        </w:tc>
        <w:tc>
          <w:tcPr>
            <w:tcW w:w="1131" w:type="dxa"/>
            <w:tcBorders>
              <w:top w:val="nil"/>
              <w:left w:val="nil"/>
              <w:bottom w:val="nil"/>
              <w:right w:val="single" w:sz="4" w:space="0" w:color="auto"/>
            </w:tcBorders>
            <w:shd w:val="clear" w:color="000000" w:fill="FFFFFF"/>
            <w:noWrap/>
            <w:vAlign w:val="bottom"/>
            <w:hideMark/>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22,2</w:t>
            </w:r>
          </w:p>
        </w:tc>
        <w:tc>
          <w:tcPr>
            <w:tcW w:w="1131" w:type="dxa"/>
            <w:tcBorders>
              <w:top w:val="nil"/>
              <w:left w:val="nil"/>
              <w:bottom w:val="nil"/>
              <w:right w:val="single" w:sz="4" w:space="0" w:color="auto"/>
            </w:tcBorders>
            <w:shd w:val="clear" w:color="000000" w:fill="FFFFFF"/>
            <w:noWrap/>
            <w:vAlign w:val="bottom"/>
            <w:hideMark/>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10,7</w:t>
            </w:r>
          </w:p>
        </w:tc>
        <w:tc>
          <w:tcPr>
            <w:tcW w:w="1131" w:type="dxa"/>
            <w:tcBorders>
              <w:top w:val="nil"/>
              <w:left w:val="nil"/>
              <w:bottom w:val="nil"/>
              <w:right w:val="single" w:sz="4" w:space="0" w:color="auto"/>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0,3</w:t>
            </w:r>
          </w:p>
        </w:tc>
        <w:tc>
          <w:tcPr>
            <w:tcW w:w="1133" w:type="dxa"/>
            <w:tcBorders>
              <w:top w:val="nil"/>
              <w:left w:val="nil"/>
              <w:bottom w:val="nil"/>
              <w:right w:val="single" w:sz="4" w:space="0" w:color="auto"/>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0,6</w:t>
            </w:r>
          </w:p>
        </w:tc>
        <w:tc>
          <w:tcPr>
            <w:tcW w:w="1131" w:type="dxa"/>
            <w:tcBorders>
              <w:top w:val="nil"/>
              <w:left w:val="nil"/>
              <w:bottom w:val="nil"/>
              <w:right w:val="nil"/>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11,9</w:t>
            </w:r>
          </w:p>
        </w:tc>
      </w:tr>
      <w:tr w:rsidR="004F7BA7" w:rsidRPr="00EB135D" w:rsidTr="00A365B0">
        <w:trPr>
          <w:trHeight w:val="283"/>
        </w:trPr>
        <w:tc>
          <w:tcPr>
            <w:tcW w:w="2353" w:type="dxa"/>
            <w:tcBorders>
              <w:top w:val="nil"/>
              <w:left w:val="nil"/>
              <w:bottom w:val="nil"/>
              <w:right w:val="single" w:sz="4" w:space="0" w:color="auto"/>
            </w:tcBorders>
            <w:shd w:val="clear" w:color="000000" w:fill="FFFFFF"/>
            <w:vAlign w:val="bottom"/>
            <w:hideMark/>
          </w:tcPr>
          <w:p w:rsidR="004F7BA7" w:rsidRPr="00EB135D" w:rsidRDefault="004F7BA7" w:rsidP="00C62C08">
            <w:pPr>
              <w:spacing w:after="0" w:line="240" w:lineRule="auto"/>
              <w:rPr>
                <w:rFonts w:cs="Arial"/>
                <w:color w:val="000000"/>
                <w:sz w:val="16"/>
                <w:szCs w:val="16"/>
              </w:rPr>
            </w:pPr>
            <w:r w:rsidRPr="00EB135D">
              <w:rPr>
                <w:rFonts w:cs="Arial"/>
                <w:color w:val="000000"/>
                <w:sz w:val="16"/>
                <w:szCs w:val="16"/>
              </w:rPr>
              <w:t>Jihomoravský kraj</w:t>
            </w:r>
          </w:p>
        </w:tc>
        <w:tc>
          <w:tcPr>
            <w:tcW w:w="1131" w:type="dxa"/>
            <w:tcBorders>
              <w:top w:val="nil"/>
              <w:left w:val="nil"/>
              <w:bottom w:val="nil"/>
              <w:right w:val="single" w:sz="4" w:space="0" w:color="auto"/>
            </w:tcBorders>
            <w:shd w:val="clear" w:color="000000" w:fill="FFFFFF"/>
            <w:noWrap/>
            <w:vAlign w:val="bottom"/>
            <w:hideMark/>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22,8</w:t>
            </w:r>
          </w:p>
        </w:tc>
        <w:tc>
          <w:tcPr>
            <w:tcW w:w="1131" w:type="dxa"/>
            <w:tcBorders>
              <w:top w:val="nil"/>
              <w:left w:val="nil"/>
              <w:bottom w:val="nil"/>
              <w:right w:val="single" w:sz="4" w:space="0" w:color="auto"/>
            </w:tcBorders>
            <w:shd w:val="clear" w:color="000000" w:fill="FFFFFF"/>
            <w:noWrap/>
            <w:vAlign w:val="bottom"/>
            <w:hideMark/>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11</w:t>
            </w:r>
            <w:r>
              <w:rPr>
                <w:rFonts w:cs="Arial"/>
                <w:color w:val="000000"/>
                <w:sz w:val="16"/>
                <w:szCs w:val="16"/>
              </w:rPr>
              <w:t>,0</w:t>
            </w:r>
          </w:p>
        </w:tc>
        <w:tc>
          <w:tcPr>
            <w:tcW w:w="1131" w:type="dxa"/>
            <w:tcBorders>
              <w:top w:val="nil"/>
              <w:left w:val="nil"/>
              <w:bottom w:val="nil"/>
              <w:right w:val="single" w:sz="4" w:space="0" w:color="auto"/>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0,4</w:t>
            </w:r>
          </w:p>
        </w:tc>
        <w:tc>
          <w:tcPr>
            <w:tcW w:w="1133" w:type="dxa"/>
            <w:tcBorders>
              <w:top w:val="nil"/>
              <w:left w:val="nil"/>
              <w:bottom w:val="nil"/>
              <w:right w:val="single" w:sz="4" w:space="0" w:color="auto"/>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0,8</w:t>
            </w:r>
          </w:p>
        </w:tc>
        <w:tc>
          <w:tcPr>
            <w:tcW w:w="1131" w:type="dxa"/>
            <w:tcBorders>
              <w:top w:val="nil"/>
              <w:left w:val="nil"/>
              <w:bottom w:val="nil"/>
              <w:right w:val="nil"/>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12,3</w:t>
            </w:r>
          </w:p>
        </w:tc>
      </w:tr>
      <w:tr w:rsidR="004F7BA7" w:rsidRPr="00EB135D" w:rsidTr="00A365B0">
        <w:trPr>
          <w:trHeight w:val="283"/>
        </w:trPr>
        <w:tc>
          <w:tcPr>
            <w:tcW w:w="2353" w:type="dxa"/>
            <w:tcBorders>
              <w:top w:val="nil"/>
              <w:left w:val="nil"/>
              <w:bottom w:val="nil"/>
              <w:right w:val="single" w:sz="4" w:space="0" w:color="auto"/>
            </w:tcBorders>
            <w:shd w:val="clear" w:color="000000" w:fill="FFFFFF"/>
            <w:vAlign w:val="bottom"/>
            <w:hideMark/>
          </w:tcPr>
          <w:p w:rsidR="004F7BA7" w:rsidRPr="00EB135D" w:rsidRDefault="004F7BA7" w:rsidP="00C62C08">
            <w:pPr>
              <w:spacing w:after="0" w:line="240" w:lineRule="auto"/>
              <w:rPr>
                <w:rFonts w:cs="Arial"/>
                <w:color w:val="000000"/>
                <w:sz w:val="16"/>
                <w:szCs w:val="16"/>
              </w:rPr>
            </w:pPr>
            <w:r w:rsidRPr="00EB135D">
              <w:rPr>
                <w:rFonts w:cs="Arial"/>
                <w:color w:val="000000"/>
                <w:sz w:val="16"/>
                <w:szCs w:val="16"/>
              </w:rPr>
              <w:t>Olomoucký kraj</w:t>
            </w:r>
          </w:p>
        </w:tc>
        <w:tc>
          <w:tcPr>
            <w:tcW w:w="1131" w:type="dxa"/>
            <w:tcBorders>
              <w:top w:val="nil"/>
              <w:left w:val="nil"/>
              <w:bottom w:val="nil"/>
              <w:right w:val="single" w:sz="4" w:space="0" w:color="auto"/>
            </w:tcBorders>
            <w:shd w:val="clear" w:color="000000" w:fill="FFFFFF"/>
            <w:noWrap/>
            <w:vAlign w:val="bottom"/>
            <w:hideMark/>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22,2</w:t>
            </w:r>
          </w:p>
        </w:tc>
        <w:tc>
          <w:tcPr>
            <w:tcW w:w="1131" w:type="dxa"/>
            <w:tcBorders>
              <w:top w:val="nil"/>
              <w:left w:val="nil"/>
              <w:bottom w:val="nil"/>
              <w:right w:val="single" w:sz="4" w:space="0" w:color="auto"/>
            </w:tcBorders>
            <w:shd w:val="clear" w:color="000000" w:fill="FFFFFF"/>
            <w:noWrap/>
            <w:vAlign w:val="bottom"/>
            <w:hideMark/>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10,7</w:t>
            </w:r>
          </w:p>
        </w:tc>
        <w:tc>
          <w:tcPr>
            <w:tcW w:w="1131" w:type="dxa"/>
            <w:tcBorders>
              <w:top w:val="nil"/>
              <w:left w:val="nil"/>
              <w:bottom w:val="nil"/>
              <w:right w:val="single" w:sz="4" w:space="0" w:color="auto"/>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0,2</w:t>
            </w:r>
          </w:p>
        </w:tc>
        <w:tc>
          <w:tcPr>
            <w:tcW w:w="1133" w:type="dxa"/>
            <w:tcBorders>
              <w:top w:val="nil"/>
              <w:left w:val="nil"/>
              <w:bottom w:val="nil"/>
              <w:right w:val="single" w:sz="4" w:space="0" w:color="auto"/>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0,6</w:t>
            </w:r>
          </w:p>
        </w:tc>
        <w:tc>
          <w:tcPr>
            <w:tcW w:w="1131" w:type="dxa"/>
            <w:tcBorders>
              <w:top w:val="nil"/>
              <w:left w:val="nil"/>
              <w:bottom w:val="nil"/>
              <w:right w:val="nil"/>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12,1</w:t>
            </w:r>
          </w:p>
        </w:tc>
      </w:tr>
      <w:tr w:rsidR="004F7BA7" w:rsidRPr="00EB135D" w:rsidTr="00A365B0">
        <w:trPr>
          <w:trHeight w:val="283"/>
        </w:trPr>
        <w:tc>
          <w:tcPr>
            <w:tcW w:w="2353" w:type="dxa"/>
            <w:tcBorders>
              <w:top w:val="nil"/>
              <w:left w:val="nil"/>
              <w:bottom w:val="nil"/>
              <w:right w:val="single" w:sz="4" w:space="0" w:color="auto"/>
            </w:tcBorders>
            <w:shd w:val="clear" w:color="000000" w:fill="FFFFFF"/>
            <w:vAlign w:val="bottom"/>
            <w:hideMark/>
          </w:tcPr>
          <w:p w:rsidR="004F7BA7" w:rsidRPr="00EB135D" w:rsidRDefault="004F7BA7" w:rsidP="00C62C08">
            <w:pPr>
              <w:spacing w:after="0" w:line="240" w:lineRule="auto"/>
              <w:rPr>
                <w:rFonts w:cs="Arial"/>
                <w:color w:val="000000"/>
                <w:sz w:val="16"/>
                <w:szCs w:val="16"/>
              </w:rPr>
            </w:pPr>
            <w:r w:rsidRPr="00EB135D">
              <w:rPr>
                <w:rFonts w:cs="Arial"/>
                <w:color w:val="000000"/>
                <w:sz w:val="16"/>
                <w:szCs w:val="16"/>
              </w:rPr>
              <w:t>Zlínský kraj</w:t>
            </w:r>
          </w:p>
        </w:tc>
        <w:tc>
          <w:tcPr>
            <w:tcW w:w="1131" w:type="dxa"/>
            <w:tcBorders>
              <w:top w:val="nil"/>
              <w:left w:val="nil"/>
              <w:bottom w:val="nil"/>
              <w:right w:val="single" w:sz="4" w:space="0" w:color="auto"/>
            </w:tcBorders>
            <w:shd w:val="clear" w:color="000000" w:fill="FFFFFF"/>
            <w:noWrap/>
            <w:vAlign w:val="bottom"/>
            <w:hideMark/>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23,2</w:t>
            </w:r>
          </w:p>
        </w:tc>
        <w:tc>
          <w:tcPr>
            <w:tcW w:w="1131" w:type="dxa"/>
            <w:tcBorders>
              <w:top w:val="nil"/>
              <w:left w:val="nil"/>
              <w:bottom w:val="nil"/>
              <w:right w:val="single" w:sz="4" w:space="0" w:color="auto"/>
            </w:tcBorders>
            <w:shd w:val="clear" w:color="000000" w:fill="FFFFFF"/>
            <w:noWrap/>
            <w:vAlign w:val="bottom"/>
            <w:hideMark/>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11</w:t>
            </w:r>
            <w:r>
              <w:rPr>
                <w:rFonts w:cs="Arial"/>
                <w:color w:val="000000"/>
                <w:sz w:val="16"/>
                <w:szCs w:val="16"/>
              </w:rPr>
              <w:t>,0</w:t>
            </w:r>
          </w:p>
        </w:tc>
        <w:tc>
          <w:tcPr>
            <w:tcW w:w="1131" w:type="dxa"/>
            <w:tcBorders>
              <w:top w:val="nil"/>
              <w:left w:val="nil"/>
              <w:bottom w:val="nil"/>
              <w:right w:val="single" w:sz="4" w:space="0" w:color="auto"/>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0,1</w:t>
            </w:r>
          </w:p>
        </w:tc>
        <w:tc>
          <w:tcPr>
            <w:tcW w:w="1133" w:type="dxa"/>
            <w:tcBorders>
              <w:top w:val="nil"/>
              <w:left w:val="nil"/>
              <w:bottom w:val="nil"/>
              <w:right w:val="single" w:sz="4" w:space="0" w:color="auto"/>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0,9</w:t>
            </w:r>
          </w:p>
        </w:tc>
        <w:tc>
          <w:tcPr>
            <w:tcW w:w="1131" w:type="dxa"/>
            <w:tcBorders>
              <w:top w:val="nil"/>
              <w:left w:val="nil"/>
              <w:bottom w:val="nil"/>
              <w:right w:val="nil"/>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12,1</w:t>
            </w:r>
          </w:p>
        </w:tc>
      </w:tr>
      <w:tr w:rsidR="004F7BA7" w:rsidRPr="00EB135D" w:rsidTr="00A365B0">
        <w:trPr>
          <w:trHeight w:val="283"/>
        </w:trPr>
        <w:tc>
          <w:tcPr>
            <w:tcW w:w="2353" w:type="dxa"/>
            <w:tcBorders>
              <w:top w:val="nil"/>
              <w:left w:val="nil"/>
              <w:bottom w:val="nil"/>
              <w:right w:val="single" w:sz="4" w:space="0" w:color="auto"/>
            </w:tcBorders>
            <w:shd w:val="clear" w:color="000000" w:fill="FFFFFF"/>
            <w:vAlign w:val="bottom"/>
            <w:hideMark/>
          </w:tcPr>
          <w:p w:rsidR="004F7BA7" w:rsidRPr="00EB135D" w:rsidRDefault="004F7BA7" w:rsidP="00C62C08">
            <w:pPr>
              <w:spacing w:after="0" w:line="240" w:lineRule="auto"/>
              <w:rPr>
                <w:rFonts w:cs="Arial"/>
                <w:color w:val="000000"/>
                <w:sz w:val="16"/>
                <w:szCs w:val="16"/>
              </w:rPr>
            </w:pPr>
            <w:r w:rsidRPr="00EB135D">
              <w:rPr>
                <w:rFonts w:cs="Arial"/>
                <w:color w:val="000000"/>
                <w:sz w:val="16"/>
                <w:szCs w:val="16"/>
              </w:rPr>
              <w:t>Moravskoslezský kraj</w:t>
            </w:r>
          </w:p>
        </w:tc>
        <w:tc>
          <w:tcPr>
            <w:tcW w:w="1131" w:type="dxa"/>
            <w:tcBorders>
              <w:top w:val="nil"/>
              <w:left w:val="nil"/>
              <w:bottom w:val="nil"/>
              <w:right w:val="single" w:sz="4" w:space="0" w:color="auto"/>
            </w:tcBorders>
            <w:shd w:val="clear" w:color="000000" w:fill="FFFFFF"/>
            <w:noWrap/>
            <w:vAlign w:val="bottom"/>
            <w:hideMark/>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22,4</w:t>
            </w:r>
          </w:p>
        </w:tc>
        <w:tc>
          <w:tcPr>
            <w:tcW w:w="1131" w:type="dxa"/>
            <w:tcBorders>
              <w:top w:val="nil"/>
              <w:left w:val="nil"/>
              <w:bottom w:val="nil"/>
              <w:right w:val="single" w:sz="4" w:space="0" w:color="auto"/>
            </w:tcBorders>
            <w:shd w:val="clear" w:color="000000" w:fill="FFFFFF"/>
            <w:noWrap/>
            <w:vAlign w:val="bottom"/>
            <w:hideMark/>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10,8</w:t>
            </w:r>
          </w:p>
        </w:tc>
        <w:tc>
          <w:tcPr>
            <w:tcW w:w="1131" w:type="dxa"/>
            <w:tcBorders>
              <w:top w:val="nil"/>
              <w:left w:val="nil"/>
              <w:bottom w:val="nil"/>
              <w:right w:val="single" w:sz="4" w:space="0" w:color="auto"/>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0,2</w:t>
            </w:r>
          </w:p>
        </w:tc>
        <w:tc>
          <w:tcPr>
            <w:tcW w:w="1133" w:type="dxa"/>
            <w:tcBorders>
              <w:top w:val="nil"/>
              <w:left w:val="nil"/>
              <w:bottom w:val="nil"/>
              <w:right w:val="single" w:sz="4" w:space="0" w:color="auto"/>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1</w:t>
            </w:r>
            <w:r>
              <w:rPr>
                <w:rFonts w:cs="Arial"/>
                <w:color w:val="000000"/>
                <w:sz w:val="16"/>
                <w:szCs w:val="16"/>
              </w:rPr>
              <w:t>,0</w:t>
            </w:r>
          </w:p>
        </w:tc>
        <w:tc>
          <w:tcPr>
            <w:tcW w:w="1131" w:type="dxa"/>
            <w:tcBorders>
              <w:top w:val="nil"/>
              <w:left w:val="nil"/>
              <w:bottom w:val="nil"/>
              <w:right w:val="nil"/>
            </w:tcBorders>
            <w:shd w:val="clear" w:color="000000" w:fill="FFFFFF"/>
            <w:noWrap/>
            <w:vAlign w:val="bottom"/>
          </w:tcPr>
          <w:p w:rsidR="004F7BA7" w:rsidRPr="00EB135D" w:rsidRDefault="004F7BA7" w:rsidP="00A365B0">
            <w:pPr>
              <w:spacing w:after="0" w:line="240" w:lineRule="auto"/>
              <w:jc w:val="right"/>
              <w:rPr>
                <w:rFonts w:cs="Arial"/>
                <w:color w:val="000000"/>
                <w:sz w:val="16"/>
                <w:szCs w:val="16"/>
              </w:rPr>
            </w:pPr>
            <w:r w:rsidRPr="00EB135D">
              <w:rPr>
                <w:rFonts w:cs="Arial"/>
                <w:color w:val="000000"/>
                <w:sz w:val="16"/>
                <w:szCs w:val="16"/>
              </w:rPr>
              <w:t>11,8</w:t>
            </w:r>
          </w:p>
        </w:tc>
      </w:tr>
    </w:tbl>
    <w:p w:rsidR="004F7BA7" w:rsidRPr="009518EE" w:rsidRDefault="003E66FB" w:rsidP="004F7BA7">
      <w:pPr>
        <w:spacing w:before="120" w:after="120"/>
        <w:rPr>
          <w:rFonts w:cs="Arial"/>
          <w:sz w:val="16"/>
          <w:szCs w:val="16"/>
        </w:rPr>
      </w:pPr>
      <w:r w:rsidRPr="003E66FB">
        <w:rPr>
          <w:rFonts w:cs="Arial"/>
          <w:sz w:val="16"/>
          <w:szCs w:val="16"/>
          <w:vertAlign w:val="superscript"/>
        </w:rPr>
        <w:t>1)</w:t>
      </w:r>
      <w:r w:rsidR="00700C5D">
        <w:rPr>
          <w:rFonts w:cs="Arial"/>
          <w:sz w:val="16"/>
          <w:szCs w:val="16"/>
        </w:rPr>
        <w:t xml:space="preserve"> </w:t>
      </w:r>
      <w:r w:rsidR="004F7BA7" w:rsidRPr="009518EE">
        <w:rPr>
          <w:rFonts w:cs="Arial"/>
          <w:sz w:val="16"/>
          <w:szCs w:val="16"/>
        </w:rPr>
        <w:t>Děti se speciálními vzdělávacími potřebami</w:t>
      </w:r>
    </w:p>
    <w:p w:rsidR="004F7BA7" w:rsidRDefault="004F7BA7" w:rsidP="004F7BA7">
      <w:pPr>
        <w:spacing w:before="120" w:after="120" w:line="276" w:lineRule="auto"/>
        <w:rPr>
          <w:rFonts w:cs="Arial"/>
          <w:sz w:val="16"/>
          <w:szCs w:val="16"/>
        </w:rPr>
      </w:pPr>
      <w:r w:rsidRPr="00FA1D8E">
        <w:rPr>
          <w:rFonts w:cs="Arial"/>
          <w:sz w:val="16"/>
          <w:szCs w:val="16"/>
        </w:rPr>
        <w:t>Zdroj: MŠMT</w:t>
      </w:r>
      <w:r>
        <w:rPr>
          <w:rFonts w:cs="Arial"/>
          <w:sz w:val="16"/>
          <w:szCs w:val="16"/>
        </w:rPr>
        <w:t xml:space="preserve"> a vlastních dopočtů ČSÚ</w:t>
      </w:r>
    </w:p>
    <w:p w:rsidR="004F7BA7" w:rsidRPr="0076068B" w:rsidRDefault="004F7BA7" w:rsidP="004F7BA7">
      <w:pPr>
        <w:pStyle w:val="Nadpis2"/>
      </w:pPr>
      <w:bookmarkStart w:id="12" w:name="_Toc523408600"/>
      <w:bookmarkStart w:id="13" w:name="_Toc523466185"/>
      <w:r w:rsidRPr="00676DC7">
        <w:t>1.</w:t>
      </w:r>
      <w:r w:rsidR="00CC0FAD" w:rsidRPr="00676DC7">
        <w:t>5</w:t>
      </w:r>
      <w:r w:rsidRPr="00676DC7">
        <w:t xml:space="preserve"> Soukromé mateřské školy</w:t>
      </w:r>
      <w:bookmarkEnd w:id="12"/>
      <w:bookmarkEnd w:id="13"/>
    </w:p>
    <w:p w:rsidR="004F7BA7" w:rsidRDefault="004F7BA7" w:rsidP="00CC0FAD">
      <w:pPr>
        <w:spacing w:after="120" w:line="276" w:lineRule="auto"/>
        <w:jc w:val="both"/>
        <w:rPr>
          <w:rFonts w:cs="Arial"/>
          <w:szCs w:val="20"/>
        </w:rPr>
      </w:pPr>
      <w:r w:rsidRPr="0073133B">
        <w:rPr>
          <w:rFonts w:cs="Arial"/>
          <w:szCs w:val="20"/>
        </w:rPr>
        <w:t xml:space="preserve">Přestože soukromé mateřské školy tvoří stále relativně malou část předškolních zařízení, </w:t>
      </w:r>
      <w:r w:rsidRPr="00CC0FAD">
        <w:rPr>
          <w:rFonts w:cs="Arial"/>
          <w:b/>
          <w:szCs w:val="20"/>
        </w:rPr>
        <w:t>jejich počet</w:t>
      </w:r>
      <w:r w:rsidRPr="0073133B">
        <w:rPr>
          <w:rFonts w:cs="Arial"/>
          <w:szCs w:val="20"/>
        </w:rPr>
        <w:t xml:space="preserve"> se každoročně zvyšuje. Například mez</w:t>
      </w:r>
      <w:r>
        <w:rPr>
          <w:rFonts w:cs="Arial"/>
          <w:szCs w:val="20"/>
        </w:rPr>
        <w:t>i </w:t>
      </w:r>
      <w:r w:rsidRPr="0073133B">
        <w:rPr>
          <w:rFonts w:cs="Arial"/>
          <w:szCs w:val="20"/>
        </w:rPr>
        <w:t>školním</w:t>
      </w:r>
      <w:r>
        <w:rPr>
          <w:rFonts w:cs="Arial"/>
          <w:szCs w:val="20"/>
        </w:rPr>
        <w:t>i roky </w:t>
      </w:r>
      <w:r w:rsidRPr="0073133B">
        <w:rPr>
          <w:rFonts w:cs="Arial"/>
          <w:szCs w:val="20"/>
        </w:rPr>
        <w:t>2011/12</w:t>
      </w:r>
      <w:r>
        <w:rPr>
          <w:rFonts w:cs="Arial"/>
          <w:szCs w:val="20"/>
        </w:rPr>
        <w:t xml:space="preserve"> a </w:t>
      </w:r>
      <w:r w:rsidRPr="0073133B">
        <w:rPr>
          <w:rFonts w:cs="Arial"/>
          <w:szCs w:val="20"/>
        </w:rPr>
        <w:t>2014/15 přibýval</w:t>
      </w:r>
      <w:r>
        <w:rPr>
          <w:rFonts w:cs="Arial"/>
          <w:szCs w:val="20"/>
        </w:rPr>
        <w:t xml:space="preserve">o </w:t>
      </w:r>
      <w:r w:rsidRPr="0073133B">
        <w:rPr>
          <w:rFonts w:cs="Arial"/>
          <w:szCs w:val="20"/>
        </w:rPr>
        <w:t>každý rok kolem padesát</w:t>
      </w:r>
      <w:r>
        <w:rPr>
          <w:rFonts w:cs="Arial"/>
          <w:szCs w:val="20"/>
        </w:rPr>
        <w:t xml:space="preserve">i </w:t>
      </w:r>
      <w:r w:rsidRPr="0073133B">
        <w:rPr>
          <w:rFonts w:cs="Arial"/>
          <w:szCs w:val="20"/>
        </w:rPr>
        <w:t>nových soukromých školek.</w:t>
      </w:r>
      <w:r>
        <w:rPr>
          <w:rFonts w:cs="Arial"/>
          <w:szCs w:val="20"/>
        </w:rPr>
        <w:t xml:space="preserve"> Ve </w:t>
      </w:r>
      <w:r w:rsidRPr="0073133B">
        <w:rPr>
          <w:rFonts w:cs="Arial"/>
          <w:szCs w:val="20"/>
        </w:rPr>
        <w:t xml:space="preserve">školním </w:t>
      </w:r>
      <w:r>
        <w:rPr>
          <w:rFonts w:cs="Arial"/>
          <w:szCs w:val="20"/>
        </w:rPr>
        <w:t>roce </w:t>
      </w:r>
      <w:r w:rsidRPr="0073133B">
        <w:rPr>
          <w:rFonts w:cs="Arial"/>
          <w:szCs w:val="20"/>
        </w:rPr>
        <w:t xml:space="preserve">2017/18 jich </w:t>
      </w:r>
      <w:r>
        <w:rPr>
          <w:rFonts w:cs="Arial"/>
          <w:szCs w:val="20"/>
        </w:rPr>
        <w:t xml:space="preserve">existovalo o pětinu </w:t>
      </w:r>
      <w:r w:rsidRPr="0073133B">
        <w:rPr>
          <w:rFonts w:cs="Arial"/>
          <w:szCs w:val="20"/>
        </w:rPr>
        <w:t>více než před 10</w:t>
      </w:r>
      <w:r>
        <w:rPr>
          <w:rFonts w:cs="Arial"/>
          <w:szCs w:val="20"/>
        </w:rPr>
        <w:t> let</w:t>
      </w:r>
      <w:r w:rsidRPr="0073133B">
        <w:rPr>
          <w:rFonts w:cs="Arial"/>
          <w:szCs w:val="20"/>
        </w:rPr>
        <w:t xml:space="preserve">y. </w:t>
      </w:r>
      <w:r>
        <w:rPr>
          <w:rFonts w:cs="Arial"/>
          <w:szCs w:val="20"/>
        </w:rPr>
        <w:t>Jak již bylo zmíněno, n</w:t>
      </w:r>
      <w:r w:rsidRPr="0073133B">
        <w:rPr>
          <w:rFonts w:cs="Arial"/>
          <w:szCs w:val="20"/>
        </w:rPr>
        <w:t>ejvíc</w:t>
      </w:r>
      <w:r>
        <w:rPr>
          <w:rFonts w:cs="Arial"/>
          <w:szCs w:val="20"/>
        </w:rPr>
        <w:t>e</w:t>
      </w:r>
      <w:r w:rsidRPr="0073133B">
        <w:rPr>
          <w:rFonts w:cs="Arial"/>
          <w:szCs w:val="20"/>
        </w:rPr>
        <w:t xml:space="preserve"> soukromých mateřských škol se nachází</w:t>
      </w:r>
      <w:r>
        <w:rPr>
          <w:rFonts w:cs="Arial"/>
          <w:szCs w:val="20"/>
        </w:rPr>
        <w:t xml:space="preserve"> v </w:t>
      </w:r>
      <w:r w:rsidRPr="0073133B">
        <w:rPr>
          <w:rFonts w:cs="Arial"/>
          <w:szCs w:val="20"/>
        </w:rPr>
        <w:t>Praze, kde tvoří 23,7</w:t>
      </w:r>
      <w:r>
        <w:rPr>
          <w:rFonts w:cs="Arial"/>
          <w:szCs w:val="20"/>
        </w:rPr>
        <w:t> % </w:t>
      </w:r>
      <w:r w:rsidRPr="0073133B">
        <w:rPr>
          <w:rFonts w:cs="Arial"/>
          <w:szCs w:val="20"/>
        </w:rPr>
        <w:t>všech pražských školek</w:t>
      </w:r>
      <w:r>
        <w:rPr>
          <w:rFonts w:cs="Arial"/>
          <w:szCs w:val="20"/>
        </w:rPr>
        <w:t xml:space="preserve"> a </w:t>
      </w:r>
      <w:r w:rsidRPr="0073133B">
        <w:rPr>
          <w:rFonts w:cs="Arial"/>
          <w:szCs w:val="20"/>
        </w:rPr>
        <w:t xml:space="preserve">navštěvuje je </w:t>
      </w:r>
      <w:r>
        <w:rPr>
          <w:rFonts w:cs="Arial"/>
          <w:szCs w:val="20"/>
        </w:rPr>
        <w:t xml:space="preserve">zde </w:t>
      </w:r>
      <w:r w:rsidRPr="0073133B">
        <w:rPr>
          <w:rFonts w:cs="Arial"/>
          <w:szCs w:val="20"/>
        </w:rPr>
        <w:t>7,5</w:t>
      </w:r>
      <w:r>
        <w:rPr>
          <w:rFonts w:cs="Arial"/>
          <w:szCs w:val="20"/>
        </w:rPr>
        <w:t xml:space="preserve"> % ze </w:t>
      </w:r>
      <w:r w:rsidRPr="0073133B">
        <w:rPr>
          <w:rFonts w:cs="Arial"/>
          <w:szCs w:val="20"/>
        </w:rPr>
        <w:t>všech dětí</w:t>
      </w:r>
      <w:r>
        <w:rPr>
          <w:rFonts w:cs="Arial"/>
          <w:szCs w:val="20"/>
        </w:rPr>
        <w:t xml:space="preserve"> navštěvujících mateřskou školu v </w:t>
      </w:r>
      <w:r w:rsidRPr="0073133B">
        <w:rPr>
          <w:rFonts w:cs="Arial"/>
          <w:szCs w:val="20"/>
        </w:rPr>
        <w:t xml:space="preserve">Praze. Druhým </w:t>
      </w:r>
      <w:r w:rsidRPr="00CC0FAD">
        <w:rPr>
          <w:rFonts w:cs="Arial"/>
          <w:b/>
          <w:szCs w:val="20"/>
        </w:rPr>
        <w:t>krajem</w:t>
      </w:r>
      <w:r w:rsidRPr="0073133B">
        <w:rPr>
          <w:rFonts w:cs="Arial"/>
          <w:szCs w:val="20"/>
        </w:rPr>
        <w:t xml:space="preserve"> </w:t>
      </w:r>
      <w:r>
        <w:rPr>
          <w:rFonts w:cs="Arial"/>
          <w:szCs w:val="20"/>
        </w:rPr>
        <w:t>s </w:t>
      </w:r>
      <w:r w:rsidRPr="0073133B">
        <w:rPr>
          <w:rFonts w:cs="Arial"/>
          <w:szCs w:val="20"/>
        </w:rPr>
        <w:t>nejvyšším podílem soukromých mateřských škol je Středočeský kraj,</w:t>
      </w:r>
      <w:r>
        <w:rPr>
          <w:rFonts w:cs="Arial"/>
          <w:szCs w:val="20"/>
        </w:rPr>
        <w:t> ve </w:t>
      </w:r>
      <w:r w:rsidRPr="0073133B">
        <w:rPr>
          <w:rFonts w:cs="Arial"/>
          <w:szCs w:val="20"/>
        </w:rPr>
        <w:t xml:space="preserve">kterém je </w:t>
      </w:r>
      <w:r>
        <w:rPr>
          <w:rFonts w:cs="Arial"/>
          <w:szCs w:val="20"/>
        </w:rPr>
        <w:t xml:space="preserve">jich </w:t>
      </w:r>
      <w:r w:rsidRPr="0073133B">
        <w:rPr>
          <w:rFonts w:cs="Arial"/>
          <w:szCs w:val="20"/>
        </w:rPr>
        <w:t>10,8</w:t>
      </w:r>
      <w:r>
        <w:rPr>
          <w:rFonts w:cs="Arial"/>
          <w:szCs w:val="20"/>
        </w:rPr>
        <w:t> %  a dochází do nich</w:t>
      </w:r>
      <w:r w:rsidRPr="0073133B">
        <w:rPr>
          <w:rFonts w:cs="Arial"/>
          <w:szCs w:val="20"/>
        </w:rPr>
        <w:t xml:space="preserve"> 5,4</w:t>
      </w:r>
      <w:r>
        <w:rPr>
          <w:rFonts w:cs="Arial"/>
          <w:szCs w:val="20"/>
        </w:rPr>
        <w:t> % </w:t>
      </w:r>
      <w:r w:rsidRPr="0073133B">
        <w:rPr>
          <w:rFonts w:cs="Arial"/>
          <w:szCs w:val="20"/>
        </w:rPr>
        <w:t>dětí</w:t>
      </w:r>
      <w:r>
        <w:rPr>
          <w:rFonts w:cs="Arial"/>
          <w:szCs w:val="20"/>
        </w:rPr>
        <w:t>.</w:t>
      </w:r>
      <w:r w:rsidRPr="0073133B">
        <w:rPr>
          <w:rFonts w:cs="Arial"/>
          <w:szCs w:val="20"/>
        </w:rPr>
        <w:t xml:space="preserve"> </w:t>
      </w:r>
      <w:r>
        <w:rPr>
          <w:rFonts w:cs="Arial"/>
          <w:szCs w:val="20"/>
        </w:rPr>
        <w:t>N</w:t>
      </w:r>
      <w:r w:rsidRPr="0073133B">
        <w:rPr>
          <w:rFonts w:cs="Arial"/>
          <w:szCs w:val="20"/>
        </w:rPr>
        <w:t xml:space="preserve">ásleduje Jihomoravský kraj </w:t>
      </w:r>
      <w:r>
        <w:rPr>
          <w:rFonts w:cs="Arial"/>
          <w:szCs w:val="20"/>
        </w:rPr>
        <w:t>s </w:t>
      </w:r>
      <w:r w:rsidRPr="0073133B">
        <w:rPr>
          <w:rFonts w:cs="Arial"/>
          <w:szCs w:val="20"/>
        </w:rPr>
        <w:t>4,8</w:t>
      </w:r>
      <w:r>
        <w:rPr>
          <w:rFonts w:cs="Arial"/>
          <w:szCs w:val="20"/>
        </w:rPr>
        <w:t> % </w:t>
      </w:r>
      <w:r w:rsidRPr="0073133B">
        <w:rPr>
          <w:rFonts w:cs="Arial"/>
          <w:szCs w:val="20"/>
        </w:rPr>
        <w:t>podílem soukromých školek</w:t>
      </w:r>
      <w:r>
        <w:rPr>
          <w:rFonts w:cs="Arial"/>
          <w:szCs w:val="20"/>
        </w:rPr>
        <w:t xml:space="preserve"> a </w:t>
      </w:r>
      <w:r w:rsidRPr="0073133B">
        <w:rPr>
          <w:rFonts w:cs="Arial"/>
          <w:szCs w:val="20"/>
        </w:rPr>
        <w:t>2,6</w:t>
      </w:r>
      <w:r>
        <w:rPr>
          <w:rFonts w:cs="Arial"/>
          <w:szCs w:val="20"/>
        </w:rPr>
        <w:t> % </w:t>
      </w:r>
      <w:r w:rsidRPr="0073133B">
        <w:rPr>
          <w:rFonts w:cs="Arial"/>
          <w:szCs w:val="20"/>
        </w:rPr>
        <w:t>dětí. Naopak, nejméně soukromých školek bychom našl</w:t>
      </w:r>
      <w:r>
        <w:rPr>
          <w:rFonts w:cs="Arial"/>
          <w:szCs w:val="20"/>
        </w:rPr>
        <w:t>i v </w:t>
      </w:r>
      <w:r w:rsidRPr="0073133B">
        <w:rPr>
          <w:rFonts w:cs="Arial"/>
          <w:szCs w:val="20"/>
        </w:rPr>
        <w:t>Pardubickém kraj</w:t>
      </w:r>
      <w:r>
        <w:rPr>
          <w:rFonts w:cs="Arial"/>
          <w:szCs w:val="20"/>
        </w:rPr>
        <w:t>i (jen 4 školky, 1 %), ve </w:t>
      </w:r>
      <w:r w:rsidRPr="0073133B">
        <w:rPr>
          <w:rFonts w:cs="Arial"/>
          <w:szCs w:val="20"/>
        </w:rPr>
        <w:t>kterém 99,4</w:t>
      </w:r>
      <w:r>
        <w:rPr>
          <w:rFonts w:cs="Arial"/>
          <w:szCs w:val="20"/>
        </w:rPr>
        <w:t> % </w:t>
      </w:r>
      <w:r w:rsidRPr="0073133B">
        <w:rPr>
          <w:rFonts w:cs="Arial"/>
          <w:szCs w:val="20"/>
        </w:rPr>
        <w:t>dětí chodí d</w:t>
      </w:r>
      <w:r>
        <w:rPr>
          <w:rFonts w:cs="Arial"/>
          <w:szCs w:val="20"/>
        </w:rPr>
        <w:t>o ve</w:t>
      </w:r>
      <w:r w:rsidRPr="0073133B">
        <w:rPr>
          <w:rFonts w:cs="Arial"/>
          <w:szCs w:val="20"/>
        </w:rPr>
        <w:t xml:space="preserve">řejných mateřských škol. </w:t>
      </w:r>
    </w:p>
    <w:p w:rsidR="004F7BA7" w:rsidRDefault="004F7BA7" w:rsidP="00CC0FAD">
      <w:pPr>
        <w:spacing w:after="120" w:line="276" w:lineRule="auto"/>
        <w:jc w:val="both"/>
        <w:rPr>
          <w:rFonts w:cs="Arial"/>
          <w:szCs w:val="20"/>
        </w:rPr>
      </w:pPr>
      <w:r>
        <w:rPr>
          <w:rFonts w:cs="Arial"/>
          <w:szCs w:val="20"/>
        </w:rPr>
        <w:t>S </w:t>
      </w:r>
      <w:r w:rsidRPr="0073133B">
        <w:rPr>
          <w:rFonts w:cs="Arial"/>
          <w:szCs w:val="20"/>
        </w:rPr>
        <w:t xml:space="preserve">nárůstem počtu soukromých mateřských škol se tvoří </w:t>
      </w:r>
      <w:r>
        <w:rPr>
          <w:rFonts w:cs="Arial"/>
          <w:szCs w:val="20"/>
        </w:rPr>
        <w:t>i </w:t>
      </w:r>
      <w:r w:rsidRPr="0073133B">
        <w:rPr>
          <w:rFonts w:cs="Arial"/>
          <w:szCs w:val="20"/>
        </w:rPr>
        <w:t>nová pracovní místa. T</w:t>
      </w:r>
      <w:r>
        <w:rPr>
          <w:rFonts w:cs="Arial"/>
          <w:szCs w:val="20"/>
        </w:rPr>
        <w:t xml:space="preserve">o </w:t>
      </w:r>
      <w:r w:rsidRPr="0073133B">
        <w:rPr>
          <w:rFonts w:cs="Arial"/>
          <w:szCs w:val="20"/>
        </w:rPr>
        <w:t xml:space="preserve">znamená, že každoročně narůstá </w:t>
      </w:r>
      <w:r>
        <w:rPr>
          <w:rFonts w:cs="Arial"/>
          <w:szCs w:val="20"/>
        </w:rPr>
        <w:t>i </w:t>
      </w:r>
      <w:r w:rsidRPr="009518EE">
        <w:rPr>
          <w:rFonts w:cs="Arial"/>
          <w:b/>
          <w:szCs w:val="20"/>
        </w:rPr>
        <w:t>počet učitelů</w:t>
      </w:r>
      <w:r>
        <w:rPr>
          <w:rFonts w:cs="Arial"/>
          <w:szCs w:val="20"/>
        </w:rPr>
        <w:t xml:space="preserve"> v soukromých </w:t>
      </w:r>
      <w:r w:rsidRPr="0073133B">
        <w:rPr>
          <w:rFonts w:cs="Arial"/>
          <w:szCs w:val="20"/>
        </w:rPr>
        <w:t>mateřských školách. Z</w:t>
      </w:r>
      <w:r>
        <w:rPr>
          <w:rFonts w:cs="Arial"/>
          <w:szCs w:val="20"/>
        </w:rPr>
        <w:t xml:space="preserve">a </w:t>
      </w:r>
      <w:r w:rsidRPr="0073133B">
        <w:rPr>
          <w:rFonts w:cs="Arial"/>
          <w:szCs w:val="20"/>
        </w:rPr>
        <w:t>posledních 10</w:t>
      </w:r>
      <w:r>
        <w:rPr>
          <w:rFonts w:cs="Arial"/>
          <w:szCs w:val="20"/>
        </w:rPr>
        <w:t> let</w:t>
      </w:r>
      <w:r w:rsidRPr="0073133B">
        <w:rPr>
          <w:rFonts w:cs="Arial"/>
          <w:szCs w:val="20"/>
        </w:rPr>
        <w:t xml:space="preserve"> </w:t>
      </w:r>
      <w:r>
        <w:rPr>
          <w:rFonts w:cs="Arial"/>
          <w:szCs w:val="20"/>
        </w:rPr>
        <w:t xml:space="preserve">vzrostl přepočtený </w:t>
      </w:r>
      <w:r w:rsidRPr="0073133B">
        <w:rPr>
          <w:rFonts w:cs="Arial"/>
          <w:szCs w:val="20"/>
        </w:rPr>
        <w:t>počet učitelů</w:t>
      </w:r>
      <w:r>
        <w:rPr>
          <w:rFonts w:cs="Arial"/>
          <w:szCs w:val="20"/>
        </w:rPr>
        <w:t xml:space="preserve"> v </w:t>
      </w:r>
      <w:r w:rsidRPr="0073133B">
        <w:rPr>
          <w:rFonts w:cs="Arial"/>
          <w:szCs w:val="20"/>
        </w:rPr>
        <w:t>soukromých mateřských školách víc</w:t>
      </w:r>
      <w:r>
        <w:rPr>
          <w:rFonts w:cs="Arial"/>
          <w:szCs w:val="20"/>
        </w:rPr>
        <w:t>e</w:t>
      </w:r>
      <w:r w:rsidRPr="0073133B">
        <w:rPr>
          <w:rFonts w:cs="Arial"/>
          <w:szCs w:val="20"/>
        </w:rPr>
        <w:t xml:space="preserve"> než </w:t>
      </w:r>
      <w:r>
        <w:rPr>
          <w:rFonts w:cs="Arial"/>
          <w:szCs w:val="20"/>
        </w:rPr>
        <w:t xml:space="preserve">čtyřikrát, z </w:t>
      </w:r>
      <w:r w:rsidRPr="0073133B">
        <w:rPr>
          <w:rFonts w:cs="Arial"/>
          <w:szCs w:val="20"/>
        </w:rPr>
        <w:t>312</w:t>
      </w:r>
      <w:r>
        <w:rPr>
          <w:rFonts w:cs="Arial"/>
          <w:szCs w:val="20"/>
        </w:rPr>
        <w:t> v roce </w:t>
      </w:r>
      <w:r w:rsidRPr="0073133B">
        <w:rPr>
          <w:rFonts w:cs="Arial"/>
          <w:szCs w:val="20"/>
        </w:rPr>
        <w:t>2007/08</w:t>
      </w:r>
      <w:r>
        <w:rPr>
          <w:rFonts w:cs="Arial"/>
          <w:szCs w:val="20"/>
        </w:rPr>
        <w:t xml:space="preserve"> na</w:t>
      </w:r>
      <w:r w:rsidRPr="0073133B">
        <w:rPr>
          <w:rFonts w:cs="Arial"/>
          <w:szCs w:val="20"/>
        </w:rPr>
        <w:t xml:space="preserve"> 1</w:t>
      </w:r>
      <w:r>
        <w:rPr>
          <w:rFonts w:cs="Arial"/>
          <w:szCs w:val="20"/>
        </w:rPr>
        <w:t> </w:t>
      </w:r>
      <w:r w:rsidRPr="0073133B">
        <w:rPr>
          <w:rFonts w:cs="Arial"/>
          <w:szCs w:val="20"/>
        </w:rPr>
        <w:t>346</w:t>
      </w:r>
      <w:r>
        <w:rPr>
          <w:rFonts w:cs="Arial"/>
          <w:szCs w:val="20"/>
        </w:rPr>
        <w:t xml:space="preserve"> v roce </w:t>
      </w:r>
      <w:r w:rsidRPr="0073133B">
        <w:rPr>
          <w:rFonts w:cs="Arial"/>
          <w:szCs w:val="20"/>
        </w:rPr>
        <w:t>2017/18. Meziroční nárůst mez</w:t>
      </w:r>
      <w:r>
        <w:rPr>
          <w:rFonts w:cs="Arial"/>
          <w:szCs w:val="20"/>
        </w:rPr>
        <w:t>i roky</w:t>
      </w:r>
      <w:r w:rsidRPr="0073133B">
        <w:rPr>
          <w:rFonts w:cs="Arial"/>
          <w:szCs w:val="20"/>
        </w:rPr>
        <w:t xml:space="preserve"> 2016/17</w:t>
      </w:r>
      <w:r>
        <w:rPr>
          <w:rFonts w:cs="Arial"/>
          <w:szCs w:val="20"/>
        </w:rPr>
        <w:t xml:space="preserve"> a </w:t>
      </w:r>
      <w:r w:rsidRPr="0073133B">
        <w:rPr>
          <w:rFonts w:cs="Arial"/>
          <w:szCs w:val="20"/>
        </w:rPr>
        <w:t>20</w:t>
      </w:r>
      <w:r>
        <w:rPr>
          <w:rFonts w:cs="Arial"/>
          <w:szCs w:val="20"/>
        </w:rPr>
        <w:t>17/18 činil téměř 100 učitelů.</w:t>
      </w:r>
    </w:p>
    <w:p w:rsidR="004F7BA7" w:rsidRDefault="004F7BA7" w:rsidP="00CC0FAD">
      <w:pPr>
        <w:spacing w:after="120" w:line="276" w:lineRule="auto"/>
        <w:jc w:val="both"/>
        <w:rPr>
          <w:rFonts w:cs="Arial"/>
          <w:szCs w:val="20"/>
        </w:rPr>
      </w:pPr>
      <w:r w:rsidRPr="0073133B">
        <w:rPr>
          <w:rFonts w:cs="Arial"/>
          <w:szCs w:val="20"/>
        </w:rPr>
        <w:t>Jaký je průměrný počet dětí připadajících n</w:t>
      </w:r>
      <w:r>
        <w:rPr>
          <w:rFonts w:cs="Arial"/>
          <w:szCs w:val="20"/>
        </w:rPr>
        <w:t xml:space="preserve">a </w:t>
      </w:r>
      <w:r w:rsidRPr="0073133B">
        <w:rPr>
          <w:rFonts w:cs="Arial"/>
          <w:szCs w:val="20"/>
        </w:rPr>
        <w:t>jedn</w:t>
      </w:r>
      <w:r>
        <w:rPr>
          <w:rFonts w:cs="Arial"/>
          <w:szCs w:val="20"/>
        </w:rPr>
        <w:t>o ve</w:t>
      </w:r>
      <w:r w:rsidRPr="0073133B">
        <w:rPr>
          <w:rFonts w:cs="Arial"/>
          <w:szCs w:val="20"/>
        </w:rPr>
        <w:t>řejné</w:t>
      </w:r>
      <w:r>
        <w:rPr>
          <w:rFonts w:cs="Arial"/>
          <w:szCs w:val="20"/>
        </w:rPr>
        <w:t xml:space="preserve"> a </w:t>
      </w:r>
      <w:r w:rsidRPr="0073133B">
        <w:rPr>
          <w:rFonts w:cs="Arial"/>
          <w:szCs w:val="20"/>
        </w:rPr>
        <w:t>soukromé zařízení? Například</w:t>
      </w:r>
      <w:r>
        <w:rPr>
          <w:rFonts w:cs="Arial"/>
          <w:szCs w:val="20"/>
        </w:rPr>
        <w:t> ve </w:t>
      </w:r>
      <w:r w:rsidRPr="0073133B">
        <w:rPr>
          <w:rFonts w:cs="Arial"/>
          <w:szCs w:val="20"/>
        </w:rPr>
        <w:t xml:space="preserve">školním </w:t>
      </w:r>
      <w:r>
        <w:rPr>
          <w:rFonts w:cs="Arial"/>
          <w:szCs w:val="20"/>
        </w:rPr>
        <w:t>roce </w:t>
      </w:r>
      <w:r w:rsidRPr="0073133B">
        <w:rPr>
          <w:rFonts w:cs="Arial"/>
          <w:szCs w:val="20"/>
        </w:rPr>
        <w:t>2017/18 měl</w:t>
      </w:r>
      <w:r>
        <w:rPr>
          <w:rFonts w:cs="Arial"/>
          <w:szCs w:val="20"/>
        </w:rPr>
        <w:t xml:space="preserve">a </w:t>
      </w:r>
      <w:r w:rsidRPr="0073133B">
        <w:rPr>
          <w:rFonts w:cs="Arial"/>
          <w:szCs w:val="20"/>
        </w:rPr>
        <w:t>jedn</w:t>
      </w:r>
      <w:r>
        <w:rPr>
          <w:rFonts w:cs="Arial"/>
          <w:szCs w:val="20"/>
        </w:rPr>
        <w:t>a ve</w:t>
      </w:r>
      <w:r w:rsidRPr="0073133B">
        <w:rPr>
          <w:rFonts w:cs="Arial"/>
          <w:szCs w:val="20"/>
        </w:rPr>
        <w:t>řejná školk</w:t>
      </w:r>
      <w:r>
        <w:rPr>
          <w:rFonts w:cs="Arial"/>
          <w:szCs w:val="20"/>
        </w:rPr>
        <w:t xml:space="preserve">a </w:t>
      </w:r>
      <w:r w:rsidRPr="0073133B">
        <w:rPr>
          <w:rFonts w:cs="Arial"/>
          <w:szCs w:val="20"/>
        </w:rPr>
        <w:t>průměrně n</w:t>
      </w:r>
      <w:r>
        <w:rPr>
          <w:rFonts w:cs="Arial"/>
          <w:szCs w:val="20"/>
        </w:rPr>
        <w:t xml:space="preserve">a </w:t>
      </w:r>
      <w:r w:rsidRPr="0073133B">
        <w:rPr>
          <w:rFonts w:cs="Arial"/>
          <w:szCs w:val="20"/>
        </w:rPr>
        <w:t xml:space="preserve">starost víc než dvakrát tolik dětí než </w:t>
      </w:r>
      <w:r>
        <w:rPr>
          <w:rFonts w:cs="Arial"/>
          <w:szCs w:val="20"/>
        </w:rPr>
        <w:t>ta soukromá. Veřejné mateřské školy mají ve </w:t>
      </w:r>
      <w:r w:rsidRPr="0073133B">
        <w:rPr>
          <w:rFonts w:cs="Arial"/>
          <w:szCs w:val="20"/>
        </w:rPr>
        <w:t>třídách</w:t>
      </w:r>
      <w:r>
        <w:rPr>
          <w:rFonts w:cs="Arial"/>
          <w:szCs w:val="20"/>
        </w:rPr>
        <w:t xml:space="preserve"> o </w:t>
      </w:r>
      <w:r w:rsidRPr="0073133B">
        <w:rPr>
          <w:rFonts w:cs="Arial"/>
          <w:szCs w:val="20"/>
        </w:rPr>
        <w:t>29,6</w:t>
      </w:r>
      <w:r>
        <w:rPr>
          <w:rFonts w:cs="Arial"/>
          <w:szCs w:val="20"/>
        </w:rPr>
        <w:t> % </w:t>
      </w:r>
      <w:r w:rsidRPr="0073133B">
        <w:rPr>
          <w:rFonts w:cs="Arial"/>
          <w:szCs w:val="20"/>
        </w:rPr>
        <w:t>víc</w:t>
      </w:r>
      <w:r>
        <w:rPr>
          <w:rFonts w:cs="Arial"/>
          <w:szCs w:val="20"/>
        </w:rPr>
        <w:t>e</w:t>
      </w:r>
      <w:r w:rsidRPr="0073133B">
        <w:rPr>
          <w:rFonts w:cs="Arial"/>
          <w:szCs w:val="20"/>
        </w:rPr>
        <w:t xml:space="preserve"> dětí než</w:t>
      </w:r>
      <w:r>
        <w:rPr>
          <w:rFonts w:cs="Arial"/>
          <w:szCs w:val="20"/>
        </w:rPr>
        <w:t xml:space="preserve"> soukromá zařízení a na </w:t>
      </w:r>
      <w:r w:rsidRPr="0073133B">
        <w:rPr>
          <w:rFonts w:cs="Arial"/>
          <w:szCs w:val="20"/>
        </w:rPr>
        <w:t>jednoh</w:t>
      </w:r>
      <w:r>
        <w:rPr>
          <w:rFonts w:cs="Arial"/>
          <w:szCs w:val="20"/>
        </w:rPr>
        <w:t xml:space="preserve">o </w:t>
      </w:r>
      <w:r w:rsidRPr="0073133B">
        <w:rPr>
          <w:rFonts w:cs="Arial"/>
          <w:szCs w:val="20"/>
        </w:rPr>
        <w:t xml:space="preserve">učitele </w:t>
      </w:r>
      <w:r>
        <w:rPr>
          <w:rFonts w:cs="Arial"/>
          <w:szCs w:val="20"/>
        </w:rPr>
        <w:t>tedy</w:t>
      </w:r>
      <w:r w:rsidRPr="0073133B">
        <w:rPr>
          <w:rFonts w:cs="Arial"/>
          <w:szCs w:val="20"/>
        </w:rPr>
        <w:t xml:space="preserve"> připadá</w:t>
      </w:r>
      <w:r>
        <w:rPr>
          <w:rFonts w:cs="Arial"/>
          <w:szCs w:val="20"/>
        </w:rPr>
        <w:t xml:space="preserve"> v průměru o </w:t>
      </w:r>
      <w:r w:rsidRPr="0073133B">
        <w:rPr>
          <w:rFonts w:cs="Arial"/>
          <w:szCs w:val="20"/>
        </w:rPr>
        <w:t>tř</w:t>
      </w:r>
      <w:r>
        <w:rPr>
          <w:rFonts w:cs="Arial"/>
          <w:szCs w:val="20"/>
        </w:rPr>
        <w:t>i žáky více</w:t>
      </w:r>
      <w:r w:rsidRPr="0073133B">
        <w:rPr>
          <w:rFonts w:cs="Arial"/>
          <w:szCs w:val="20"/>
        </w:rPr>
        <w:t xml:space="preserve">. </w:t>
      </w:r>
    </w:p>
    <w:p w:rsidR="00CC0FAD" w:rsidRDefault="00CC0FAD" w:rsidP="004F7BA7">
      <w:pPr>
        <w:spacing w:after="60" w:line="276" w:lineRule="auto"/>
        <w:rPr>
          <w:rFonts w:cs="Arial"/>
          <w:b/>
          <w:noProof/>
          <w:szCs w:val="20"/>
        </w:rPr>
      </w:pPr>
    </w:p>
    <w:p w:rsidR="00CC0FAD" w:rsidRDefault="00CC0FAD" w:rsidP="004F7BA7">
      <w:pPr>
        <w:spacing w:after="60" w:line="276" w:lineRule="auto"/>
        <w:rPr>
          <w:rFonts w:cs="Arial"/>
          <w:b/>
          <w:noProof/>
          <w:szCs w:val="20"/>
        </w:rPr>
      </w:pPr>
    </w:p>
    <w:p w:rsidR="004F7BA7" w:rsidRPr="009518EE" w:rsidRDefault="004F7BA7" w:rsidP="004F7BA7">
      <w:pPr>
        <w:spacing w:after="60" w:line="276" w:lineRule="auto"/>
        <w:rPr>
          <w:rFonts w:cs="Arial"/>
          <w:b/>
          <w:noProof/>
          <w:szCs w:val="20"/>
        </w:rPr>
      </w:pPr>
      <w:r w:rsidRPr="009518EE">
        <w:rPr>
          <w:rFonts w:cs="Arial"/>
          <w:b/>
          <w:noProof/>
          <w:szCs w:val="20"/>
        </w:rPr>
        <w:lastRenderedPageBreak/>
        <w:t xml:space="preserve">Tab. </w:t>
      </w:r>
      <w:r>
        <w:rPr>
          <w:rFonts w:cs="Arial"/>
          <w:b/>
          <w:noProof/>
          <w:szCs w:val="20"/>
        </w:rPr>
        <w:t>2</w:t>
      </w:r>
      <w:r w:rsidRPr="009518EE">
        <w:rPr>
          <w:rFonts w:cs="Arial"/>
          <w:b/>
          <w:noProof/>
          <w:szCs w:val="20"/>
        </w:rPr>
        <w:t xml:space="preserve"> </w:t>
      </w:r>
      <w:r>
        <w:rPr>
          <w:rFonts w:cs="Arial"/>
          <w:b/>
          <w:noProof/>
          <w:szCs w:val="20"/>
        </w:rPr>
        <w:t>Soukromé a veřejné m</w:t>
      </w:r>
      <w:r w:rsidRPr="009518EE">
        <w:rPr>
          <w:rFonts w:cs="Arial"/>
          <w:b/>
          <w:noProof/>
          <w:szCs w:val="20"/>
        </w:rPr>
        <w:t xml:space="preserve">ateřské školy v krajích </w:t>
      </w:r>
      <w:r w:rsidR="007E383C">
        <w:rPr>
          <w:rFonts w:cs="Arial"/>
          <w:b/>
          <w:noProof/>
          <w:szCs w:val="20"/>
        </w:rPr>
        <w:t xml:space="preserve">ČR </w:t>
      </w:r>
      <w:r w:rsidRPr="009518EE">
        <w:rPr>
          <w:rFonts w:cs="Arial"/>
          <w:b/>
          <w:noProof/>
          <w:szCs w:val="20"/>
        </w:rPr>
        <w:t>ve školním roce 2017/2018</w:t>
      </w:r>
    </w:p>
    <w:tbl>
      <w:tblPr>
        <w:tblW w:w="9135" w:type="dxa"/>
        <w:tblCellMar>
          <w:left w:w="70" w:type="dxa"/>
          <w:right w:w="70" w:type="dxa"/>
        </w:tblCellMar>
        <w:tblLook w:val="04A0" w:firstRow="1" w:lastRow="0" w:firstColumn="1" w:lastColumn="0" w:noHBand="0" w:noVBand="1"/>
      </w:tblPr>
      <w:tblGrid>
        <w:gridCol w:w="2319"/>
        <w:gridCol w:w="1136"/>
        <w:gridCol w:w="1136"/>
        <w:gridCol w:w="1136"/>
        <w:gridCol w:w="1136"/>
        <w:gridCol w:w="1136"/>
        <w:gridCol w:w="1136"/>
      </w:tblGrid>
      <w:tr w:rsidR="004F7BA7" w:rsidRPr="0076068B" w:rsidTr="00552068">
        <w:trPr>
          <w:trHeight w:val="303"/>
        </w:trPr>
        <w:tc>
          <w:tcPr>
            <w:tcW w:w="2319" w:type="dxa"/>
            <w:vMerge w:val="restart"/>
            <w:tcBorders>
              <w:top w:val="single" w:sz="4" w:space="0" w:color="auto"/>
              <w:left w:val="nil"/>
              <w:bottom w:val="single" w:sz="4" w:space="0" w:color="auto"/>
              <w:right w:val="single" w:sz="4" w:space="0" w:color="auto"/>
            </w:tcBorders>
            <w:shd w:val="clear" w:color="000000" w:fill="F2DDDC"/>
            <w:vAlign w:val="center"/>
            <w:hideMark/>
          </w:tcPr>
          <w:p w:rsidR="004F7BA7" w:rsidRPr="0076068B" w:rsidRDefault="004F7BA7" w:rsidP="00A365B0">
            <w:pPr>
              <w:spacing w:after="0" w:line="240" w:lineRule="auto"/>
              <w:jc w:val="center"/>
              <w:rPr>
                <w:rFonts w:cs="Arial"/>
                <w:color w:val="000000"/>
                <w:sz w:val="16"/>
                <w:szCs w:val="16"/>
              </w:rPr>
            </w:pPr>
            <w:r w:rsidRPr="0076068B">
              <w:rPr>
                <w:rFonts w:cs="Arial"/>
                <w:color w:val="000000"/>
                <w:sz w:val="16"/>
                <w:szCs w:val="16"/>
              </w:rPr>
              <w:t>území</w:t>
            </w:r>
          </w:p>
        </w:tc>
        <w:tc>
          <w:tcPr>
            <w:tcW w:w="3408" w:type="dxa"/>
            <w:gridSpan w:val="3"/>
            <w:tcBorders>
              <w:top w:val="single" w:sz="4" w:space="0" w:color="auto"/>
              <w:left w:val="nil"/>
              <w:bottom w:val="single" w:sz="4" w:space="0" w:color="auto"/>
              <w:right w:val="single" w:sz="4" w:space="0" w:color="auto"/>
            </w:tcBorders>
            <w:shd w:val="clear" w:color="000000" w:fill="F2DDDC"/>
            <w:vAlign w:val="center"/>
            <w:hideMark/>
          </w:tcPr>
          <w:p w:rsidR="004F7BA7" w:rsidRPr="0076068B" w:rsidRDefault="004F7BA7" w:rsidP="00A365B0">
            <w:pPr>
              <w:spacing w:after="0" w:line="240" w:lineRule="auto"/>
              <w:jc w:val="center"/>
              <w:rPr>
                <w:rFonts w:cs="Arial"/>
                <w:color w:val="000000"/>
                <w:sz w:val="16"/>
                <w:szCs w:val="16"/>
              </w:rPr>
            </w:pPr>
            <w:r w:rsidRPr="0076068B">
              <w:rPr>
                <w:rFonts w:cs="Arial"/>
                <w:color w:val="000000"/>
                <w:sz w:val="16"/>
                <w:szCs w:val="16"/>
              </w:rPr>
              <w:t>soukromé mateřské školy</w:t>
            </w:r>
          </w:p>
        </w:tc>
        <w:tc>
          <w:tcPr>
            <w:tcW w:w="3408" w:type="dxa"/>
            <w:gridSpan w:val="3"/>
            <w:tcBorders>
              <w:top w:val="single" w:sz="4" w:space="0" w:color="auto"/>
              <w:left w:val="nil"/>
              <w:bottom w:val="single" w:sz="4" w:space="0" w:color="auto"/>
            </w:tcBorders>
            <w:shd w:val="clear" w:color="000000" w:fill="F2DDDC"/>
            <w:vAlign w:val="center"/>
            <w:hideMark/>
          </w:tcPr>
          <w:p w:rsidR="004F7BA7" w:rsidRPr="0076068B" w:rsidRDefault="004F7BA7" w:rsidP="00A365B0">
            <w:pPr>
              <w:spacing w:after="0" w:line="240" w:lineRule="auto"/>
              <w:jc w:val="center"/>
              <w:rPr>
                <w:rFonts w:cs="Arial"/>
                <w:color w:val="000000"/>
                <w:sz w:val="16"/>
                <w:szCs w:val="16"/>
              </w:rPr>
            </w:pPr>
            <w:r w:rsidRPr="0076068B">
              <w:rPr>
                <w:rFonts w:cs="Arial"/>
                <w:color w:val="000000"/>
                <w:sz w:val="16"/>
                <w:szCs w:val="16"/>
              </w:rPr>
              <w:t>veřejné mateřské školy</w:t>
            </w:r>
          </w:p>
        </w:tc>
      </w:tr>
      <w:tr w:rsidR="004F7BA7" w:rsidRPr="0076068B" w:rsidTr="00A365B0">
        <w:trPr>
          <w:trHeight w:val="283"/>
        </w:trPr>
        <w:tc>
          <w:tcPr>
            <w:tcW w:w="2319" w:type="dxa"/>
            <w:vMerge/>
            <w:tcBorders>
              <w:top w:val="single" w:sz="4" w:space="0" w:color="auto"/>
              <w:left w:val="nil"/>
              <w:bottom w:val="single" w:sz="4" w:space="0" w:color="auto"/>
              <w:right w:val="single" w:sz="4" w:space="0" w:color="auto"/>
            </w:tcBorders>
            <w:vAlign w:val="center"/>
            <w:hideMark/>
          </w:tcPr>
          <w:p w:rsidR="004F7BA7" w:rsidRPr="0076068B" w:rsidRDefault="004F7BA7" w:rsidP="00A365B0">
            <w:pPr>
              <w:spacing w:after="0" w:line="240" w:lineRule="auto"/>
              <w:rPr>
                <w:rFonts w:cs="Arial"/>
                <w:color w:val="000000"/>
                <w:sz w:val="16"/>
                <w:szCs w:val="16"/>
              </w:rPr>
            </w:pPr>
          </w:p>
        </w:tc>
        <w:tc>
          <w:tcPr>
            <w:tcW w:w="1136" w:type="dxa"/>
            <w:vMerge w:val="restart"/>
            <w:tcBorders>
              <w:top w:val="nil"/>
              <w:left w:val="single" w:sz="4" w:space="0" w:color="auto"/>
              <w:bottom w:val="single" w:sz="4" w:space="0" w:color="auto"/>
              <w:right w:val="single" w:sz="4" w:space="0" w:color="auto"/>
            </w:tcBorders>
            <w:shd w:val="clear" w:color="000000" w:fill="F2DDDC"/>
            <w:vAlign w:val="center"/>
            <w:hideMark/>
          </w:tcPr>
          <w:p w:rsidR="004F7BA7" w:rsidRPr="0076068B" w:rsidRDefault="004F7BA7" w:rsidP="00A365B0">
            <w:pPr>
              <w:spacing w:after="0" w:line="240" w:lineRule="auto"/>
              <w:jc w:val="center"/>
              <w:rPr>
                <w:rFonts w:cs="Arial"/>
                <w:color w:val="000000"/>
                <w:sz w:val="16"/>
                <w:szCs w:val="16"/>
              </w:rPr>
            </w:pPr>
            <w:r w:rsidRPr="0076068B">
              <w:rPr>
                <w:rFonts w:cs="Arial"/>
                <w:color w:val="000000"/>
                <w:sz w:val="16"/>
                <w:szCs w:val="16"/>
              </w:rPr>
              <w:t>počet škol</w:t>
            </w:r>
          </w:p>
        </w:tc>
        <w:tc>
          <w:tcPr>
            <w:tcW w:w="1136" w:type="dxa"/>
            <w:vMerge w:val="restart"/>
            <w:tcBorders>
              <w:top w:val="nil"/>
              <w:left w:val="single" w:sz="4" w:space="0" w:color="auto"/>
              <w:bottom w:val="single" w:sz="4" w:space="0" w:color="auto"/>
              <w:right w:val="single" w:sz="4" w:space="0" w:color="auto"/>
            </w:tcBorders>
            <w:shd w:val="clear" w:color="000000" w:fill="F2DDDC"/>
            <w:vAlign w:val="center"/>
            <w:hideMark/>
          </w:tcPr>
          <w:p w:rsidR="004F7BA7" w:rsidRPr="0076068B" w:rsidRDefault="004F7BA7" w:rsidP="00A365B0">
            <w:pPr>
              <w:spacing w:after="0" w:line="240" w:lineRule="auto"/>
              <w:jc w:val="center"/>
              <w:rPr>
                <w:rFonts w:cs="Arial"/>
                <w:color w:val="000000"/>
                <w:sz w:val="16"/>
                <w:szCs w:val="16"/>
              </w:rPr>
            </w:pPr>
            <w:r w:rsidRPr="0076068B">
              <w:rPr>
                <w:rFonts w:cs="Arial"/>
                <w:color w:val="000000"/>
                <w:sz w:val="16"/>
                <w:szCs w:val="16"/>
              </w:rPr>
              <w:t>počet dětí na 1 školu</w:t>
            </w:r>
          </w:p>
        </w:tc>
        <w:tc>
          <w:tcPr>
            <w:tcW w:w="1136" w:type="dxa"/>
            <w:vMerge w:val="restart"/>
            <w:tcBorders>
              <w:top w:val="nil"/>
              <w:left w:val="single" w:sz="4" w:space="0" w:color="auto"/>
              <w:bottom w:val="single" w:sz="4" w:space="0" w:color="auto"/>
              <w:right w:val="single" w:sz="4" w:space="0" w:color="auto"/>
            </w:tcBorders>
            <w:shd w:val="clear" w:color="000000" w:fill="F2DDDC"/>
            <w:vAlign w:val="center"/>
            <w:hideMark/>
          </w:tcPr>
          <w:p w:rsidR="004F7BA7" w:rsidRPr="0076068B" w:rsidRDefault="004F7BA7" w:rsidP="00A365B0">
            <w:pPr>
              <w:spacing w:after="0" w:line="240" w:lineRule="auto"/>
              <w:jc w:val="center"/>
              <w:rPr>
                <w:rFonts w:cs="Arial"/>
                <w:color w:val="000000"/>
                <w:sz w:val="16"/>
                <w:szCs w:val="16"/>
              </w:rPr>
            </w:pPr>
            <w:r w:rsidRPr="0076068B">
              <w:rPr>
                <w:rFonts w:cs="Arial"/>
                <w:color w:val="000000"/>
                <w:sz w:val="16"/>
                <w:szCs w:val="16"/>
              </w:rPr>
              <w:t>počet dětí na 1 třídu</w:t>
            </w:r>
          </w:p>
        </w:tc>
        <w:tc>
          <w:tcPr>
            <w:tcW w:w="1136" w:type="dxa"/>
            <w:vMerge w:val="restart"/>
            <w:tcBorders>
              <w:top w:val="nil"/>
              <w:left w:val="single" w:sz="4" w:space="0" w:color="auto"/>
              <w:bottom w:val="single" w:sz="4" w:space="0" w:color="auto"/>
              <w:right w:val="single" w:sz="4" w:space="0" w:color="auto"/>
            </w:tcBorders>
            <w:shd w:val="clear" w:color="000000" w:fill="F2DDDC"/>
            <w:vAlign w:val="center"/>
            <w:hideMark/>
          </w:tcPr>
          <w:p w:rsidR="004F7BA7" w:rsidRPr="0076068B" w:rsidRDefault="004F7BA7" w:rsidP="00A365B0">
            <w:pPr>
              <w:spacing w:after="0" w:line="240" w:lineRule="auto"/>
              <w:jc w:val="center"/>
              <w:rPr>
                <w:rFonts w:cs="Arial"/>
                <w:color w:val="000000"/>
                <w:sz w:val="16"/>
                <w:szCs w:val="16"/>
              </w:rPr>
            </w:pPr>
            <w:r w:rsidRPr="0076068B">
              <w:rPr>
                <w:rFonts w:cs="Arial"/>
                <w:color w:val="000000"/>
                <w:sz w:val="16"/>
                <w:szCs w:val="16"/>
              </w:rPr>
              <w:t>počet škol</w:t>
            </w:r>
          </w:p>
        </w:tc>
        <w:tc>
          <w:tcPr>
            <w:tcW w:w="1136" w:type="dxa"/>
            <w:vMerge w:val="restart"/>
            <w:tcBorders>
              <w:top w:val="nil"/>
              <w:left w:val="single" w:sz="4" w:space="0" w:color="auto"/>
              <w:bottom w:val="single" w:sz="4" w:space="0" w:color="auto"/>
              <w:right w:val="single" w:sz="4" w:space="0" w:color="auto"/>
            </w:tcBorders>
            <w:shd w:val="clear" w:color="000000" w:fill="F2DDDC"/>
            <w:vAlign w:val="center"/>
            <w:hideMark/>
          </w:tcPr>
          <w:p w:rsidR="004F7BA7" w:rsidRPr="0076068B" w:rsidRDefault="004F7BA7" w:rsidP="00A365B0">
            <w:pPr>
              <w:spacing w:after="0" w:line="240" w:lineRule="auto"/>
              <w:jc w:val="center"/>
              <w:rPr>
                <w:rFonts w:cs="Arial"/>
                <w:color w:val="000000"/>
                <w:sz w:val="16"/>
                <w:szCs w:val="16"/>
              </w:rPr>
            </w:pPr>
            <w:r w:rsidRPr="0076068B">
              <w:rPr>
                <w:rFonts w:cs="Arial"/>
                <w:color w:val="000000"/>
                <w:sz w:val="16"/>
                <w:szCs w:val="16"/>
              </w:rPr>
              <w:t>počet dětí na 1 školu</w:t>
            </w:r>
          </w:p>
        </w:tc>
        <w:tc>
          <w:tcPr>
            <w:tcW w:w="1136" w:type="dxa"/>
            <w:vMerge w:val="restart"/>
            <w:tcBorders>
              <w:top w:val="nil"/>
              <w:left w:val="single" w:sz="4" w:space="0" w:color="auto"/>
              <w:bottom w:val="single" w:sz="4" w:space="0" w:color="auto"/>
              <w:right w:val="nil"/>
            </w:tcBorders>
            <w:shd w:val="clear" w:color="000000" w:fill="F2DDDC"/>
            <w:vAlign w:val="center"/>
            <w:hideMark/>
          </w:tcPr>
          <w:p w:rsidR="004F7BA7" w:rsidRPr="0076068B" w:rsidRDefault="004F7BA7" w:rsidP="00A365B0">
            <w:pPr>
              <w:spacing w:after="0" w:line="240" w:lineRule="auto"/>
              <w:jc w:val="center"/>
              <w:rPr>
                <w:rFonts w:cs="Arial"/>
                <w:color w:val="000000"/>
                <w:sz w:val="16"/>
                <w:szCs w:val="16"/>
              </w:rPr>
            </w:pPr>
            <w:r w:rsidRPr="0076068B">
              <w:rPr>
                <w:rFonts w:cs="Arial"/>
                <w:color w:val="000000"/>
                <w:sz w:val="16"/>
                <w:szCs w:val="16"/>
              </w:rPr>
              <w:t>počet dětí na 1 třídu</w:t>
            </w:r>
          </w:p>
        </w:tc>
      </w:tr>
      <w:tr w:rsidR="004F7BA7" w:rsidRPr="0076068B" w:rsidTr="00B27FBF">
        <w:trPr>
          <w:trHeight w:val="200"/>
        </w:trPr>
        <w:tc>
          <w:tcPr>
            <w:tcW w:w="2319" w:type="dxa"/>
            <w:vMerge/>
            <w:tcBorders>
              <w:top w:val="single" w:sz="4" w:space="0" w:color="auto"/>
              <w:left w:val="nil"/>
              <w:bottom w:val="single" w:sz="4" w:space="0" w:color="auto"/>
              <w:right w:val="single" w:sz="4" w:space="0" w:color="auto"/>
            </w:tcBorders>
            <w:vAlign w:val="center"/>
            <w:hideMark/>
          </w:tcPr>
          <w:p w:rsidR="004F7BA7" w:rsidRPr="0076068B" w:rsidRDefault="004F7BA7" w:rsidP="00A365B0">
            <w:pPr>
              <w:spacing w:after="0" w:line="240" w:lineRule="auto"/>
              <w:rPr>
                <w:rFonts w:cs="Arial"/>
                <w:color w:val="000000"/>
                <w:sz w:val="16"/>
                <w:szCs w:val="16"/>
              </w:rPr>
            </w:pPr>
          </w:p>
        </w:tc>
        <w:tc>
          <w:tcPr>
            <w:tcW w:w="1136" w:type="dxa"/>
            <w:vMerge/>
            <w:tcBorders>
              <w:top w:val="nil"/>
              <w:left w:val="single" w:sz="4" w:space="0" w:color="auto"/>
              <w:bottom w:val="single" w:sz="4" w:space="0" w:color="auto"/>
              <w:right w:val="single" w:sz="4" w:space="0" w:color="auto"/>
            </w:tcBorders>
            <w:vAlign w:val="center"/>
            <w:hideMark/>
          </w:tcPr>
          <w:p w:rsidR="004F7BA7" w:rsidRPr="0076068B" w:rsidRDefault="004F7BA7" w:rsidP="00A365B0">
            <w:pPr>
              <w:spacing w:after="0" w:line="240" w:lineRule="auto"/>
              <w:rPr>
                <w:rFonts w:cs="Arial"/>
                <w:color w:val="000000"/>
                <w:sz w:val="16"/>
                <w:szCs w:val="16"/>
              </w:rPr>
            </w:pPr>
          </w:p>
        </w:tc>
        <w:tc>
          <w:tcPr>
            <w:tcW w:w="1136" w:type="dxa"/>
            <w:vMerge/>
            <w:tcBorders>
              <w:top w:val="nil"/>
              <w:left w:val="single" w:sz="4" w:space="0" w:color="auto"/>
              <w:bottom w:val="single" w:sz="4" w:space="0" w:color="auto"/>
              <w:right w:val="single" w:sz="4" w:space="0" w:color="auto"/>
            </w:tcBorders>
            <w:vAlign w:val="center"/>
            <w:hideMark/>
          </w:tcPr>
          <w:p w:rsidR="004F7BA7" w:rsidRPr="0076068B" w:rsidRDefault="004F7BA7" w:rsidP="00A365B0">
            <w:pPr>
              <w:spacing w:after="0" w:line="240" w:lineRule="auto"/>
              <w:rPr>
                <w:rFonts w:cs="Arial"/>
                <w:color w:val="000000"/>
                <w:sz w:val="16"/>
                <w:szCs w:val="16"/>
              </w:rPr>
            </w:pPr>
          </w:p>
        </w:tc>
        <w:tc>
          <w:tcPr>
            <w:tcW w:w="1136" w:type="dxa"/>
            <w:vMerge/>
            <w:tcBorders>
              <w:top w:val="nil"/>
              <w:left w:val="single" w:sz="4" w:space="0" w:color="auto"/>
              <w:bottom w:val="single" w:sz="4" w:space="0" w:color="auto"/>
              <w:right w:val="single" w:sz="4" w:space="0" w:color="auto"/>
            </w:tcBorders>
            <w:vAlign w:val="center"/>
            <w:hideMark/>
          </w:tcPr>
          <w:p w:rsidR="004F7BA7" w:rsidRPr="0076068B" w:rsidRDefault="004F7BA7" w:rsidP="00A365B0">
            <w:pPr>
              <w:spacing w:after="0" w:line="240" w:lineRule="auto"/>
              <w:rPr>
                <w:rFonts w:cs="Arial"/>
                <w:color w:val="000000"/>
                <w:sz w:val="16"/>
                <w:szCs w:val="16"/>
              </w:rPr>
            </w:pPr>
          </w:p>
        </w:tc>
        <w:tc>
          <w:tcPr>
            <w:tcW w:w="1136" w:type="dxa"/>
            <w:vMerge/>
            <w:tcBorders>
              <w:top w:val="nil"/>
              <w:left w:val="single" w:sz="4" w:space="0" w:color="auto"/>
              <w:bottom w:val="single" w:sz="4" w:space="0" w:color="auto"/>
              <w:right w:val="single" w:sz="4" w:space="0" w:color="auto"/>
            </w:tcBorders>
            <w:vAlign w:val="center"/>
            <w:hideMark/>
          </w:tcPr>
          <w:p w:rsidR="004F7BA7" w:rsidRPr="0076068B" w:rsidRDefault="004F7BA7" w:rsidP="00A365B0">
            <w:pPr>
              <w:spacing w:after="0" w:line="240" w:lineRule="auto"/>
              <w:rPr>
                <w:rFonts w:cs="Arial"/>
                <w:color w:val="000000"/>
                <w:sz w:val="16"/>
                <w:szCs w:val="16"/>
              </w:rPr>
            </w:pPr>
          </w:p>
        </w:tc>
        <w:tc>
          <w:tcPr>
            <w:tcW w:w="1136" w:type="dxa"/>
            <w:vMerge/>
            <w:tcBorders>
              <w:top w:val="nil"/>
              <w:left w:val="single" w:sz="4" w:space="0" w:color="auto"/>
              <w:bottom w:val="single" w:sz="4" w:space="0" w:color="auto"/>
              <w:right w:val="single" w:sz="4" w:space="0" w:color="auto"/>
            </w:tcBorders>
            <w:vAlign w:val="center"/>
            <w:hideMark/>
          </w:tcPr>
          <w:p w:rsidR="004F7BA7" w:rsidRPr="0076068B" w:rsidRDefault="004F7BA7" w:rsidP="00A365B0">
            <w:pPr>
              <w:spacing w:after="0" w:line="240" w:lineRule="auto"/>
              <w:rPr>
                <w:rFonts w:cs="Arial"/>
                <w:color w:val="000000"/>
                <w:sz w:val="16"/>
                <w:szCs w:val="16"/>
              </w:rPr>
            </w:pPr>
          </w:p>
        </w:tc>
        <w:tc>
          <w:tcPr>
            <w:tcW w:w="1136" w:type="dxa"/>
            <w:vMerge/>
            <w:tcBorders>
              <w:top w:val="nil"/>
              <w:left w:val="single" w:sz="4" w:space="0" w:color="auto"/>
              <w:bottom w:val="single" w:sz="4" w:space="0" w:color="auto"/>
              <w:right w:val="nil"/>
            </w:tcBorders>
            <w:vAlign w:val="center"/>
            <w:hideMark/>
          </w:tcPr>
          <w:p w:rsidR="004F7BA7" w:rsidRPr="0076068B" w:rsidRDefault="004F7BA7" w:rsidP="00A365B0">
            <w:pPr>
              <w:spacing w:after="0" w:line="240" w:lineRule="auto"/>
              <w:rPr>
                <w:rFonts w:cs="Arial"/>
                <w:color w:val="000000"/>
                <w:sz w:val="16"/>
                <w:szCs w:val="16"/>
              </w:rPr>
            </w:pPr>
          </w:p>
        </w:tc>
      </w:tr>
      <w:tr w:rsidR="004F7BA7" w:rsidRPr="0076068B" w:rsidTr="00B27FBF">
        <w:trPr>
          <w:trHeight w:val="227"/>
        </w:trPr>
        <w:tc>
          <w:tcPr>
            <w:tcW w:w="2319" w:type="dxa"/>
            <w:tcBorders>
              <w:top w:val="nil"/>
              <w:left w:val="nil"/>
              <w:bottom w:val="nil"/>
              <w:right w:val="single" w:sz="4" w:space="0" w:color="auto"/>
            </w:tcBorders>
            <w:shd w:val="clear" w:color="000000" w:fill="FFFFFF"/>
            <w:vAlign w:val="bottom"/>
            <w:hideMark/>
          </w:tcPr>
          <w:p w:rsidR="004F7BA7" w:rsidRPr="009518EE" w:rsidRDefault="004F7BA7" w:rsidP="00A365B0">
            <w:pPr>
              <w:spacing w:after="0" w:line="240" w:lineRule="auto"/>
              <w:rPr>
                <w:rFonts w:cs="Arial"/>
                <w:b/>
                <w:color w:val="000000"/>
                <w:sz w:val="16"/>
                <w:szCs w:val="16"/>
              </w:rPr>
            </w:pPr>
            <w:r w:rsidRPr="009518EE">
              <w:rPr>
                <w:rFonts w:cs="Arial"/>
                <w:b/>
                <w:color w:val="000000"/>
                <w:sz w:val="16"/>
                <w:szCs w:val="16"/>
              </w:rPr>
              <w:t>Česká republika</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386</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31</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16</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4883</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72</w:t>
            </w:r>
          </w:p>
        </w:tc>
        <w:tc>
          <w:tcPr>
            <w:tcW w:w="1136" w:type="dxa"/>
            <w:tcBorders>
              <w:top w:val="nil"/>
              <w:left w:val="nil"/>
              <w:bottom w:val="nil"/>
              <w:right w:val="nil"/>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23</w:t>
            </w:r>
          </w:p>
        </w:tc>
      </w:tr>
      <w:tr w:rsidR="004F7BA7" w:rsidRPr="0076068B" w:rsidTr="00B27FBF">
        <w:trPr>
          <w:trHeight w:val="227"/>
        </w:trPr>
        <w:tc>
          <w:tcPr>
            <w:tcW w:w="2319" w:type="dxa"/>
            <w:tcBorders>
              <w:top w:val="nil"/>
              <w:left w:val="nil"/>
              <w:bottom w:val="nil"/>
              <w:right w:val="single" w:sz="4" w:space="0" w:color="auto"/>
            </w:tcBorders>
            <w:shd w:val="clear" w:color="000000" w:fill="FFFFFF"/>
            <w:vAlign w:val="bottom"/>
            <w:hideMark/>
          </w:tcPr>
          <w:p w:rsidR="004F7BA7" w:rsidRPr="0076068B" w:rsidRDefault="004F7BA7" w:rsidP="00C62C08">
            <w:pPr>
              <w:spacing w:after="0" w:line="240" w:lineRule="auto"/>
              <w:ind w:right="-373"/>
              <w:rPr>
                <w:rFonts w:cs="Arial"/>
                <w:color w:val="000000"/>
                <w:sz w:val="16"/>
                <w:szCs w:val="16"/>
              </w:rPr>
            </w:pPr>
            <w:r w:rsidRPr="0076068B">
              <w:rPr>
                <w:rFonts w:cs="Arial"/>
                <w:color w:val="000000"/>
                <w:sz w:val="16"/>
                <w:szCs w:val="16"/>
              </w:rPr>
              <w:t>Hlavní město Praha</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101</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32</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14</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325</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123</w:t>
            </w:r>
          </w:p>
        </w:tc>
        <w:tc>
          <w:tcPr>
            <w:tcW w:w="1136" w:type="dxa"/>
            <w:tcBorders>
              <w:top w:val="nil"/>
              <w:left w:val="nil"/>
              <w:bottom w:val="nil"/>
              <w:right w:val="nil"/>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25</w:t>
            </w:r>
          </w:p>
        </w:tc>
      </w:tr>
      <w:tr w:rsidR="004F7BA7" w:rsidRPr="0076068B" w:rsidTr="00B27FBF">
        <w:trPr>
          <w:trHeight w:val="227"/>
        </w:trPr>
        <w:tc>
          <w:tcPr>
            <w:tcW w:w="2319" w:type="dxa"/>
            <w:tcBorders>
              <w:top w:val="nil"/>
              <w:left w:val="nil"/>
              <w:bottom w:val="nil"/>
              <w:right w:val="single" w:sz="4" w:space="0" w:color="auto"/>
            </w:tcBorders>
            <w:shd w:val="clear" w:color="000000" w:fill="FFFFFF"/>
            <w:vAlign w:val="bottom"/>
            <w:hideMark/>
          </w:tcPr>
          <w:p w:rsidR="004F7BA7" w:rsidRPr="0076068B" w:rsidRDefault="004F7BA7" w:rsidP="00A365B0">
            <w:pPr>
              <w:spacing w:after="0" w:line="240" w:lineRule="auto"/>
              <w:rPr>
                <w:rFonts w:cs="Arial"/>
                <w:color w:val="000000"/>
                <w:sz w:val="16"/>
                <w:szCs w:val="16"/>
              </w:rPr>
            </w:pPr>
            <w:r w:rsidRPr="0076068B">
              <w:rPr>
                <w:rFonts w:cs="Arial"/>
                <w:color w:val="000000"/>
                <w:sz w:val="16"/>
                <w:szCs w:val="16"/>
              </w:rPr>
              <w:t>Středočeský kraj</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85</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32</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17</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700</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68</w:t>
            </w:r>
          </w:p>
        </w:tc>
        <w:tc>
          <w:tcPr>
            <w:tcW w:w="1136" w:type="dxa"/>
            <w:tcBorders>
              <w:top w:val="nil"/>
              <w:left w:val="nil"/>
              <w:bottom w:val="nil"/>
              <w:right w:val="nil"/>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23</w:t>
            </w:r>
          </w:p>
        </w:tc>
      </w:tr>
      <w:tr w:rsidR="004F7BA7" w:rsidRPr="0076068B" w:rsidTr="00B27FBF">
        <w:trPr>
          <w:trHeight w:val="227"/>
        </w:trPr>
        <w:tc>
          <w:tcPr>
            <w:tcW w:w="2319" w:type="dxa"/>
            <w:tcBorders>
              <w:top w:val="nil"/>
              <w:left w:val="nil"/>
              <w:bottom w:val="nil"/>
              <w:right w:val="single" w:sz="4" w:space="0" w:color="auto"/>
            </w:tcBorders>
            <w:shd w:val="clear" w:color="000000" w:fill="FFFFFF"/>
            <w:vAlign w:val="bottom"/>
            <w:hideMark/>
          </w:tcPr>
          <w:p w:rsidR="004F7BA7" w:rsidRPr="0076068B" w:rsidRDefault="004F7BA7" w:rsidP="00A365B0">
            <w:pPr>
              <w:spacing w:after="0" w:line="240" w:lineRule="auto"/>
              <w:rPr>
                <w:rFonts w:cs="Arial"/>
                <w:color w:val="000000"/>
                <w:sz w:val="16"/>
                <w:szCs w:val="16"/>
              </w:rPr>
            </w:pPr>
            <w:r w:rsidRPr="0076068B">
              <w:rPr>
                <w:rFonts w:cs="Arial"/>
                <w:color w:val="000000"/>
                <w:sz w:val="16"/>
                <w:szCs w:val="16"/>
              </w:rPr>
              <w:t>Jihočeský kraj</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17</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22</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15</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302</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75</w:t>
            </w:r>
          </w:p>
        </w:tc>
        <w:tc>
          <w:tcPr>
            <w:tcW w:w="1136" w:type="dxa"/>
            <w:tcBorders>
              <w:top w:val="nil"/>
              <w:left w:val="nil"/>
              <w:bottom w:val="nil"/>
              <w:right w:val="nil"/>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23</w:t>
            </w:r>
          </w:p>
        </w:tc>
      </w:tr>
      <w:tr w:rsidR="004F7BA7" w:rsidRPr="0076068B" w:rsidTr="00B27FBF">
        <w:trPr>
          <w:trHeight w:val="227"/>
        </w:trPr>
        <w:tc>
          <w:tcPr>
            <w:tcW w:w="2319" w:type="dxa"/>
            <w:tcBorders>
              <w:top w:val="nil"/>
              <w:left w:val="nil"/>
              <w:bottom w:val="nil"/>
              <w:right w:val="single" w:sz="4" w:space="0" w:color="auto"/>
            </w:tcBorders>
            <w:shd w:val="clear" w:color="000000" w:fill="FFFFFF"/>
            <w:vAlign w:val="bottom"/>
            <w:hideMark/>
          </w:tcPr>
          <w:p w:rsidR="004F7BA7" w:rsidRPr="0076068B" w:rsidRDefault="004F7BA7" w:rsidP="00A365B0">
            <w:pPr>
              <w:spacing w:after="0" w:line="240" w:lineRule="auto"/>
              <w:rPr>
                <w:rFonts w:cs="Arial"/>
                <w:color w:val="000000"/>
                <w:sz w:val="16"/>
                <w:szCs w:val="16"/>
              </w:rPr>
            </w:pPr>
            <w:r w:rsidRPr="0076068B">
              <w:rPr>
                <w:rFonts w:cs="Arial"/>
                <w:color w:val="000000"/>
                <w:sz w:val="16"/>
                <w:szCs w:val="16"/>
              </w:rPr>
              <w:t>Plzeňský kraj</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11</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30</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18</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263</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70</w:t>
            </w:r>
          </w:p>
        </w:tc>
        <w:tc>
          <w:tcPr>
            <w:tcW w:w="1136" w:type="dxa"/>
            <w:tcBorders>
              <w:top w:val="nil"/>
              <w:left w:val="nil"/>
              <w:bottom w:val="nil"/>
              <w:right w:val="nil"/>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22</w:t>
            </w:r>
          </w:p>
        </w:tc>
      </w:tr>
      <w:tr w:rsidR="004F7BA7" w:rsidRPr="0076068B" w:rsidTr="00B27FBF">
        <w:trPr>
          <w:trHeight w:val="227"/>
        </w:trPr>
        <w:tc>
          <w:tcPr>
            <w:tcW w:w="2319" w:type="dxa"/>
            <w:tcBorders>
              <w:top w:val="nil"/>
              <w:left w:val="nil"/>
              <w:bottom w:val="nil"/>
              <w:right w:val="single" w:sz="4" w:space="0" w:color="auto"/>
            </w:tcBorders>
            <w:shd w:val="clear" w:color="000000" w:fill="FFFFFF"/>
            <w:vAlign w:val="bottom"/>
            <w:hideMark/>
          </w:tcPr>
          <w:p w:rsidR="004F7BA7" w:rsidRPr="0076068B" w:rsidRDefault="004F7BA7" w:rsidP="00A365B0">
            <w:pPr>
              <w:spacing w:after="0" w:line="240" w:lineRule="auto"/>
              <w:rPr>
                <w:rFonts w:cs="Arial"/>
                <w:color w:val="000000"/>
                <w:sz w:val="16"/>
                <w:szCs w:val="16"/>
              </w:rPr>
            </w:pPr>
            <w:r w:rsidRPr="0076068B">
              <w:rPr>
                <w:rFonts w:cs="Arial"/>
                <w:color w:val="000000"/>
                <w:sz w:val="16"/>
                <w:szCs w:val="16"/>
              </w:rPr>
              <w:t>Karlovarský kraj</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7</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28</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15</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117</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75</w:t>
            </w:r>
          </w:p>
        </w:tc>
        <w:tc>
          <w:tcPr>
            <w:tcW w:w="1136" w:type="dxa"/>
            <w:tcBorders>
              <w:top w:val="nil"/>
              <w:left w:val="nil"/>
              <w:bottom w:val="nil"/>
              <w:right w:val="nil"/>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24</w:t>
            </w:r>
          </w:p>
        </w:tc>
      </w:tr>
      <w:tr w:rsidR="004F7BA7" w:rsidRPr="0076068B" w:rsidTr="00B27FBF">
        <w:trPr>
          <w:trHeight w:val="227"/>
        </w:trPr>
        <w:tc>
          <w:tcPr>
            <w:tcW w:w="2319" w:type="dxa"/>
            <w:tcBorders>
              <w:top w:val="nil"/>
              <w:left w:val="nil"/>
              <w:bottom w:val="nil"/>
              <w:right w:val="single" w:sz="4" w:space="0" w:color="auto"/>
            </w:tcBorders>
            <w:shd w:val="clear" w:color="000000" w:fill="FFFFFF"/>
            <w:vAlign w:val="bottom"/>
            <w:hideMark/>
          </w:tcPr>
          <w:p w:rsidR="004F7BA7" w:rsidRPr="0076068B" w:rsidRDefault="004F7BA7" w:rsidP="00A365B0">
            <w:pPr>
              <w:spacing w:after="0" w:line="240" w:lineRule="auto"/>
              <w:rPr>
                <w:rFonts w:cs="Arial"/>
                <w:color w:val="000000"/>
                <w:sz w:val="16"/>
                <w:szCs w:val="16"/>
              </w:rPr>
            </w:pPr>
            <w:r w:rsidRPr="0076068B">
              <w:rPr>
                <w:rFonts w:cs="Arial"/>
                <w:color w:val="000000"/>
                <w:sz w:val="16"/>
                <w:szCs w:val="16"/>
              </w:rPr>
              <w:t>Ústecký kraj</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25</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29</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16</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332</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74</w:t>
            </w:r>
          </w:p>
        </w:tc>
        <w:tc>
          <w:tcPr>
            <w:tcW w:w="1136" w:type="dxa"/>
            <w:tcBorders>
              <w:top w:val="nil"/>
              <w:left w:val="nil"/>
              <w:bottom w:val="nil"/>
              <w:right w:val="nil"/>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23</w:t>
            </w:r>
          </w:p>
        </w:tc>
      </w:tr>
      <w:tr w:rsidR="004F7BA7" w:rsidRPr="0076068B" w:rsidTr="00B27FBF">
        <w:trPr>
          <w:trHeight w:val="227"/>
        </w:trPr>
        <w:tc>
          <w:tcPr>
            <w:tcW w:w="2319" w:type="dxa"/>
            <w:tcBorders>
              <w:top w:val="nil"/>
              <w:left w:val="nil"/>
              <w:bottom w:val="nil"/>
              <w:right w:val="single" w:sz="4" w:space="0" w:color="auto"/>
            </w:tcBorders>
            <w:shd w:val="clear" w:color="000000" w:fill="FFFFFF"/>
            <w:vAlign w:val="bottom"/>
            <w:hideMark/>
          </w:tcPr>
          <w:p w:rsidR="004F7BA7" w:rsidRPr="0076068B" w:rsidRDefault="004F7BA7" w:rsidP="00A365B0">
            <w:pPr>
              <w:spacing w:after="0" w:line="240" w:lineRule="auto"/>
              <w:rPr>
                <w:rFonts w:cs="Arial"/>
                <w:color w:val="000000"/>
                <w:sz w:val="16"/>
                <w:szCs w:val="16"/>
              </w:rPr>
            </w:pPr>
            <w:r w:rsidRPr="0076068B">
              <w:rPr>
                <w:rFonts w:cs="Arial"/>
                <w:color w:val="000000"/>
                <w:sz w:val="16"/>
                <w:szCs w:val="16"/>
              </w:rPr>
              <w:t>Liberecký kraj</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15</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32</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19</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221</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66</w:t>
            </w:r>
          </w:p>
        </w:tc>
        <w:tc>
          <w:tcPr>
            <w:tcW w:w="1136" w:type="dxa"/>
            <w:tcBorders>
              <w:top w:val="nil"/>
              <w:left w:val="nil"/>
              <w:bottom w:val="nil"/>
              <w:right w:val="nil"/>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22</w:t>
            </w:r>
          </w:p>
        </w:tc>
      </w:tr>
      <w:tr w:rsidR="004F7BA7" w:rsidRPr="0076068B" w:rsidTr="00B27FBF">
        <w:trPr>
          <w:trHeight w:val="227"/>
        </w:trPr>
        <w:tc>
          <w:tcPr>
            <w:tcW w:w="2319" w:type="dxa"/>
            <w:tcBorders>
              <w:top w:val="nil"/>
              <w:left w:val="nil"/>
              <w:bottom w:val="nil"/>
              <w:right w:val="single" w:sz="4" w:space="0" w:color="auto"/>
            </w:tcBorders>
            <w:shd w:val="clear" w:color="000000" w:fill="FFFFFF"/>
            <w:vAlign w:val="bottom"/>
            <w:hideMark/>
          </w:tcPr>
          <w:p w:rsidR="004F7BA7" w:rsidRPr="0076068B" w:rsidRDefault="004F7BA7" w:rsidP="00A365B0">
            <w:pPr>
              <w:spacing w:after="0" w:line="240" w:lineRule="auto"/>
              <w:rPr>
                <w:rFonts w:cs="Arial"/>
                <w:color w:val="000000"/>
                <w:sz w:val="16"/>
                <w:szCs w:val="16"/>
              </w:rPr>
            </w:pPr>
            <w:r w:rsidRPr="0076068B">
              <w:rPr>
                <w:rFonts w:cs="Arial"/>
                <w:color w:val="000000"/>
                <w:sz w:val="16"/>
                <w:szCs w:val="16"/>
              </w:rPr>
              <w:t>Královéhradecký kraj</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16</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21</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16</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298</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63</w:t>
            </w:r>
          </w:p>
        </w:tc>
        <w:tc>
          <w:tcPr>
            <w:tcW w:w="1136" w:type="dxa"/>
            <w:tcBorders>
              <w:top w:val="nil"/>
              <w:left w:val="nil"/>
              <w:bottom w:val="nil"/>
              <w:right w:val="nil"/>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23</w:t>
            </w:r>
          </w:p>
        </w:tc>
      </w:tr>
      <w:tr w:rsidR="004F7BA7" w:rsidRPr="0076068B" w:rsidTr="00B27FBF">
        <w:trPr>
          <w:trHeight w:val="227"/>
        </w:trPr>
        <w:tc>
          <w:tcPr>
            <w:tcW w:w="2319" w:type="dxa"/>
            <w:tcBorders>
              <w:top w:val="nil"/>
              <w:left w:val="nil"/>
              <w:bottom w:val="nil"/>
              <w:right w:val="single" w:sz="4" w:space="0" w:color="auto"/>
            </w:tcBorders>
            <w:shd w:val="clear" w:color="000000" w:fill="FFFFFF"/>
            <w:vAlign w:val="bottom"/>
            <w:hideMark/>
          </w:tcPr>
          <w:p w:rsidR="004F7BA7" w:rsidRPr="0076068B" w:rsidRDefault="004F7BA7" w:rsidP="00A365B0">
            <w:pPr>
              <w:spacing w:after="0" w:line="240" w:lineRule="auto"/>
              <w:rPr>
                <w:rFonts w:cs="Arial"/>
                <w:color w:val="000000"/>
                <w:sz w:val="16"/>
                <w:szCs w:val="16"/>
              </w:rPr>
            </w:pPr>
            <w:r w:rsidRPr="0076068B">
              <w:rPr>
                <w:rFonts w:cs="Arial"/>
                <w:color w:val="000000"/>
                <w:sz w:val="16"/>
                <w:szCs w:val="16"/>
              </w:rPr>
              <w:t>Pardubický kraj</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4</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27</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21</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312</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59</w:t>
            </w:r>
          </w:p>
        </w:tc>
        <w:tc>
          <w:tcPr>
            <w:tcW w:w="1136" w:type="dxa"/>
            <w:tcBorders>
              <w:top w:val="nil"/>
              <w:left w:val="nil"/>
              <w:bottom w:val="nil"/>
              <w:right w:val="nil"/>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24</w:t>
            </w:r>
          </w:p>
        </w:tc>
      </w:tr>
      <w:tr w:rsidR="004F7BA7" w:rsidRPr="0076068B" w:rsidTr="00B27FBF">
        <w:trPr>
          <w:trHeight w:val="227"/>
        </w:trPr>
        <w:tc>
          <w:tcPr>
            <w:tcW w:w="2319" w:type="dxa"/>
            <w:tcBorders>
              <w:top w:val="nil"/>
              <w:left w:val="nil"/>
              <w:bottom w:val="nil"/>
              <w:right w:val="single" w:sz="4" w:space="0" w:color="auto"/>
            </w:tcBorders>
            <w:shd w:val="clear" w:color="000000" w:fill="FFFFFF"/>
            <w:vAlign w:val="bottom"/>
            <w:hideMark/>
          </w:tcPr>
          <w:p w:rsidR="004F7BA7" w:rsidRPr="0076068B" w:rsidRDefault="004F7BA7" w:rsidP="00A365B0">
            <w:pPr>
              <w:spacing w:after="0" w:line="240" w:lineRule="auto"/>
              <w:rPr>
                <w:rFonts w:cs="Arial"/>
                <w:color w:val="000000"/>
                <w:sz w:val="16"/>
                <w:szCs w:val="16"/>
              </w:rPr>
            </w:pPr>
            <w:r w:rsidRPr="0076068B">
              <w:rPr>
                <w:rFonts w:cs="Arial"/>
                <w:color w:val="000000"/>
                <w:sz w:val="16"/>
                <w:szCs w:val="16"/>
              </w:rPr>
              <w:t>Kraj Vysočina</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9</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35</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19</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277</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63</w:t>
            </w:r>
          </w:p>
        </w:tc>
        <w:tc>
          <w:tcPr>
            <w:tcW w:w="1136" w:type="dxa"/>
            <w:tcBorders>
              <w:top w:val="nil"/>
              <w:left w:val="nil"/>
              <w:bottom w:val="nil"/>
              <w:right w:val="nil"/>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22</w:t>
            </w:r>
          </w:p>
        </w:tc>
      </w:tr>
      <w:tr w:rsidR="004F7BA7" w:rsidRPr="0076068B" w:rsidTr="00B27FBF">
        <w:trPr>
          <w:trHeight w:val="227"/>
        </w:trPr>
        <w:tc>
          <w:tcPr>
            <w:tcW w:w="2319" w:type="dxa"/>
            <w:tcBorders>
              <w:top w:val="nil"/>
              <w:left w:val="nil"/>
              <w:bottom w:val="nil"/>
              <w:right w:val="single" w:sz="4" w:space="0" w:color="auto"/>
            </w:tcBorders>
            <w:shd w:val="clear" w:color="000000" w:fill="FFFFFF"/>
            <w:vAlign w:val="bottom"/>
            <w:hideMark/>
          </w:tcPr>
          <w:p w:rsidR="004F7BA7" w:rsidRPr="0076068B" w:rsidRDefault="004F7BA7" w:rsidP="00A365B0">
            <w:pPr>
              <w:spacing w:after="0" w:line="240" w:lineRule="auto"/>
              <w:rPr>
                <w:rFonts w:cs="Arial"/>
                <w:color w:val="000000"/>
                <w:sz w:val="16"/>
                <w:szCs w:val="16"/>
              </w:rPr>
            </w:pPr>
            <w:r w:rsidRPr="0076068B">
              <w:rPr>
                <w:rFonts w:cs="Arial"/>
                <w:color w:val="000000"/>
                <w:sz w:val="16"/>
                <w:szCs w:val="16"/>
              </w:rPr>
              <w:t>Jihomoravský kraj</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32</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34</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18</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635</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63</w:t>
            </w:r>
          </w:p>
        </w:tc>
        <w:tc>
          <w:tcPr>
            <w:tcW w:w="1136" w:type="dxa"/>
            <w:tcBorders>
              <w:top w:val="nil"/>
              <w:left w:val="nil"/>
              <w:bottom w:val="nil"/>
              <w:right w:val="nil"/>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23</w:t>
            </w:r>
          </w:p>
        </w:tc>
      </w:tr>
      <w:tr w:rsidR="004F7BA7" w:rsidRPr="0076068B" w:rsidTr="00B27FBF">
        <w:trPr>
          <w:trHeight w:val="227"/>
        </w:trPr>
        <w:tc>
          <w:tcPr>
            <w:tcW w:w="2319" w:type="dxa"/>
            <w:tcBorders>
              <w:top w:val="nil"/>
              <w:left w:val="nil"/>
              <w:bottom w:val="nil"/>
              <w:right w:val="single" w:sz="4" w:space="0" w:color="auto"/>
            </w:tcBorders>
            <w:shd w:val="clear" w:color="000000" w:fill="FFFFFF"/>
            <w:vAlign w:val="bottom"/>
            <w:hideMark/>
          </w:tcPr>
          <w:p w:rsidR="004F7BA7" w:rsidRPr="0076068B" w:rsidRDefault="004F7BA7" w:rsidP="00A365B0">
            <w:pPr>
              <w:spacing w:after="0" w:line="240" w:lineRule="auto"/>
              <w:rPr>
                <w:rFonts w:cs="Arial"/>
                <w:color w:val="000000"/>
                <w:sz w:val="16"/>
                <w:szCs w:val="16"/>
              </w:rPr>
            </w:pPr>
            <w:r w:rsidRPr="0076068B">
              <w:rPr>
                <w:rFonts w:cs="Arial"/>
                <w:color w:val="000000"/>
                <w:sz w:val="16"/>
                <w:szCs w:val="16"/>
              </w:rPr>
              <w:t>Olomoucký kraj</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21</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37</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18</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361</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60</w:t>
            </w:r>
          </w:p>
        </w:tc>
        <w:tc>
          <w:tcPr>
            <w:tcW w:w="1136" w:type="dxa"/>
            <w:tcBorders>
              <w:top w:val="nil"/>
              <w:left w:val="nil"/>
              <w:bottom w:val="nil"/>
              <w:right w:val="nil"/>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22</w:t>
            </w:r>
          </w:p>
        </w:tc>
      </w:tr>
      <w:tr w:rsidR="004F7BA7" w:rsidRPr="0076068B" w:rsidTr="00B27FBF">
        <w:trPr>
          <w:trHeight w:val="227"/>
        </w:trPr>
        <w:tc>
          <w:tcPr>
            <w:tcW w:w="2319" w:type="dxa"/>
            <w:tcBorders>
              <w:top w:val="nil"/>
              <w:left w:val="nil"/>
              <w:bottom w:val="nil"/>
              <w:right w:val="single" w:sz="4" w:space="0" w:color="auto"/>
            </w:tcBorders>
            <w:shd w:val="clear" w:color="000000" w:fill="FFFFFF"/>
            <w:vAlign w:val="bottom"/>
            <w:hideMark/>
          </w:tcPr>
          <w:p w:rsidR="004F7BA7" w:rsidRPr="0076068B" w:rsidRDefault="004F7BA7" w:rsidP="00A365B0">
            <w:pPr>
              <w:spacing w:after="0" w:line="240" w:lineRule="auto"/>
              <w:rPr>
                <w:rFonts w:cs="Arial"/>
                <w:color w:val="000000"/>
                <w:sz w:val="16"/>
                <w:szCs w:val="16"/>
              </w:rPr>
            </w:pPr>
            <w:r w:rsidRPr="0076068B">
              <w:rPr>
                <w:rFonts w:cs="Arial"/>
                <w:color w:val="000000"/>
                <w:sz w:val="16"/>
                <w:szCs w:val="16"/>
              </w:rPr>
              <w:t>Zlínský kraj</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12</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36</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17</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304</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64</w:t>
            </w:r>
          </w:p>
        </w:tc>
        <w:tc>
          <w:tcPr>
            <w:tcW w:w="1136" w:type="dxa"/>
            <w:tcBorders>
              <w:top w:val="nil"/>
              <w:left w:val="nil"/>
              <w:bottom w:val="nil"/>
              <w:right w:val="nil"/>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23</w:t>
            </w:r>
          </w:p>
        </w:tc>
      </w:tr>
      <w:tr w:rsidR="004F7BA7" w:rsidRPr="0076068B" w:rsidTr="00B27FBF">
        <w:trPr>
          <w:trHeight w:val="227"/>
        </w:trPr>
        <w:tc>
          <w:tcPr>
            <w:tcW w:w="2319" w:type="dxa"/>
            <w:tcBorders>
              <w:top w:val="nil"/>
              <w:left w:val="nil"/>
              <w:bottom w:val="nil"/>
              <w:right w:val="single" w:sz="4" w:space="0" w:color="auto"/>
            </w:tcBorders>
            <w:shd w:val="clear" w:color="000000" w:fill="FFFFFF"/>
            <w:vAlign w:val="bottom"/>
            <w:hideMark/>
          </w:tcPr>
          <w:p w:rsidR="004F7BA7" w:rsidRPr="0076068B" w:rsidRDefault="004F7BA7" w:rsidP="00A365B0">
            <w:pPr>
              <w:spacing w:after="0" w:line="240" w:lineRule="auto"/>
              <w:rPr>
                <w:rFonts w:cs="Arial"/>
                <w:color w:val="000000"/>
                <w:sz w:val="16"/>
                <w:szCs w:val="16"/>
              </w:rPr>
            </w:pPr>
            <w:r w:rsidRPr="0076068B">
              <w:rPr>
                <w:rFonts w:cs="Arial"/>
                <w:color w:val="000000"/>
                <w:sz w:val="16"/>
                <w:szCs w:val="16"/>
              </w:rPr>
              <w:t>Moravskoslezský kraj</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31</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32</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17</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436</w:t>
            </w:r>
          </w:p>
        </w:tc>
        <w:tc>
          <w:tcPr>
            <w:tcW w:w="1136" w:type="dxa"/>
            <w:tcBorders>
              <w:top w:val="nil"/>
              <w:left w:val="nil"/>
              <w:bottom w:val="nil"/>
              <w:right w:val="single" w:sz="4" w:space="0" w:color="auto"/>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88</w:t>
            </w:r>
          </w:p>
        </w:tc>
        <w:tc>
          <w:tcPr>
            <w:tcW w:w="1136" w:type="dxa"/>
            <w:tcBorders>
              <w:top w:val="nil"/>
              <w:left w:val="nil"/>
              <w:bottom w:val="nil"/>
              <w:right w:val="nil"/>
            </w:tcBorders>
            <w:shd w:val="clear" w:color="000000" w:fill="FFFFFF"/>
            <w:noWrap/>
            <w:vAlign w:val="bottom"/>
            <w:hideMark/>
          </w:tcPr>
          <w:p w:rsidR="004F7BA7" w:rsidRPr="0076068B" w:rsidRDefault="004F7BA7" w:rsidP="00A365B0">
            <w:pPr>
              <w:spacing w:after="0" w:line="240" w:lineRule="auto"/>
              <w:jc w:val="right"/>
              <w:rPr>
                <w:rFonts w:cs="Arial"/>
                <w:color w:val="000000"/>
                <w:sz w:val="16"/>
                <w:szCs w:val="16"/>
              </w:rPr>
            </w:pPr>
            <w:r w:rsidRPr="0076068B">
              <w:rPr>
                <w:rFonts w:cs="Arial"/>
                <w:color w:val="000000"/>
                <w:sz w:val="16"/>
                <w:szCs w:val="16"/>
              </w:rPr>
              <w:t>23</w:t>
            </w:r>
          </w:p>
        </w:tc>
      </w:tr>
    </w:tbl>
    <w:p w:rsidR="004F7BA7" w:rsidRDefault="004F7BA7" w:rsidP="004F7BA7">
      <w:pPr>
        <w:spacing w:before="120" w:after="120" w:line="276" w:lineRule="auto"/>
        <w:rPr>
          <w:rFonts w:cs="Arial"/>
          <w:sz w:val="16"/>
          <w:szCs w:val="16"/>
        </w:rPr>
      </w:pPr>
      <w:r w:rsidRPr="00FA1D8E">
        <w:rPr>
          <w:rFonts w:cs="Arial"/>
          <w:sz w:val="16"/>
          <w:szCs w:val="16"/>
        </w:rPr>
        <w:t>Zdroj: MŠMT</w:t>
      </w:r>
      <w:r>
        <w:rPr>
          <w:rFonts w:cs="Arial"/>
          <w:sz w:val="16"/>
          <w:szCs w:val="16"/>
        </w:rPr>
        <w:t xml:space="preserve"> a vlastních dopočtů ČSÚ</w:t>
      </w:r>
    </w:p>
    <w:p w:rsidR="004F7BA7" w:rsidRPr="00676DC7" w:rsidRDefault="004F7BA7" w:rsidP="004F7BA7">
      <w:pPr>
        <w:pStyle w:val="Nadpis2"/>
      </w:pPr>
      <w:bookmarkStart w:id="14" w:name="_Toc523408601"/>
      <w:bookmarkStart w:id="15" w:name="_Toc523466186"/>
      <w:r w:rsidRPr="00676DC7">
        <w:t>1.</w:t>
      </w:r>
      <w:r w:rsidR="00CC0FAD" w:rsidRPr="00676DC7">
        <w:t>6</w:t>
      </w:r>
      <w:r w:rsidRPr="00676DC7">
        <w:t xml:space="preserve"> Věkové složení dětí v mateřských školách</w:t>
      </w:r>
      <w:bookmarkEnd w:id="14"/>
      <w:bookmarkEnd w:id="15"/>
    </w:p>
    <w:p w:rsidR="004F7BA7" w:rsidRPr="004C33B1" w:rsidRDefault="004F7BA7" w:rsidP="00CC0FAD">
      <w:pPr>
        <w:spacing w:after="120" w:line="276" w:lineRule="auto"/>
        <w:jc w:val="both"/>
        <w:rPr>
          <w:rFonts w:cs="Arial"/>
          <w:szCs w:val="20"/>
        </w:rPr>
      </w:pPr>
      <w:r w:rsidRPr="004C33B1">
        <w:rPr>
          <w:rFonts w:cs="Arial"/>
          <w:szCs w:val="20"/>
        </w:rPr>
        <w:t>Mateřské školy navštěvují různé věkové skupiny dětí. Nejvíce dětí se vyskytuje ve skupině tříletých až pětiletých, ale procentuální zastoupení této skupiny v posledních pěti letech klesá. V roce 2012/13 to bylo 302 503 dětí, což představovalo 85,4 % všech dětí v mateřských školách, ve školním roce 2017/18 klesl počet dětí v této věkové skupině na 296 573 dětí, tj. 81,8 % všech dětí v mateřských školách.</w:t>
      </w:r>
    </w:p>
    <w:p w:rsidR="004F7BA7" w:rsidRPr="004C33B1" w:rsidRDefault="004F7BA7" w:rsidP="00CC0FAD">
      <w:pPr>
        <w:spacing w:after="120" w:line="276" w:lineRule="auto"/>
        <w:jc w:val="both"/>
        <w:rPr>
          <w:rFonts w:cs="Arial"/>
          <w:szCs w:val="20"/>
        </w:rPr>
      </w:pPr>
      <w:r w:rsidRPr="004C33B1">
        <w:rPr>
          <w:rFonts w:cs="Arial"/>
          <w:szCs w:val="20"/>
        </w:rPr>
        <w:t xml:space="preserve">Pokud má mateřská škola dostatečný počet volných míst, mohou do ní docházet také děti mladší </w:t>
      </w:r>
      <w:proofErr w:type="gramStart"/>
      <w:r w:rsidRPr="004C33B1">
        <w:rPr>
          <w:rFonts w:cs="Arial"/>
          <w:szCs w:val="20"/>
        </w:rPr>
        <w:t>tří</w:t>
      </w:r>
      <w:proofErr w:type="gramEnd"/>
      <w:r w:rsidRPr="004C33B1">
        <w:rPr>
          <w:rFonts w:cs="Arial"/>
          <w:szCs w:val="20"/>
        </w:rPr>
        <w:t xml:space="preserve"> let. Tato věková skupina dětí zaznamenala za posledních deset let největší nárůst</w:t>
      </w:r>
      <w:r>
        <w:rPr>
          <w:rFonts w:cs="Arial"/>
          <w:szCs w:val="20"/>
        </w:rPr>
        <w:t xml:space="preserve"> a jejich počet se </w:t>
      </w:r>
      <w:r w:rsidRPr="004C33B1">
        <w:rPr>
          <w:rFonts w:cs="Arial"/>
          <w:szCs w:val="20"/>
        </w:rPr>
        <w:t xml:space="preserve">téměř zdvojnásobil. </w:t>
      </w:r>
      <w:r>
        <w:rPr>
          <w:rFonts w:cs="Arial"/>
          <w:szCs w:val="20"/>
        </w:rPr>
        <w:t>Z</w:t>
      </w:r>
      <w:r w:rsidRPr="004C33B1">
        <w:rPr>
          <w:rFonts w:cs="Arial"/>
          <w:szCs w:val="20"/>
        </w:rPr>
        <w:t xml:space="preserve"> 23 710 dětí (8,1 % z celkového počtu dětí v mateřských školách) </w:t>
      </w:r>
      <w:r>
        <w:rPr>
          <w:rFonts w:cs="Arial"/>
          <w:szCs w:val="20"/>
        </w:rPr>
        <w:t>ve školním roce 2007/08 na</w:t>
      </w:r>
      <w:r w:rsidRPr="004C33B1">
        <w:rPr>
          <w:rFonts w:cs="Arial"/>
          <w:szCs w:val="20"/>
        </w:rPr>
        <w:t xml:space="preserve"> 45 471 dětí ve školním roce 2017/18, což představuje již 12,5 % z celkového počtu dětí v mateřských školách.</w:t>
      </w:r>
    </w:p>
    <w:p w:rsidR="004F7BA7" w:rsidRPr="004C33B1" w:rsidRDefault="004F7BA7" w:rsidP="00CC0FAD">
      <w:pPr>
        <w:spacing w:after="120" w:line="276" w:lineRule="auto"/>
        <w:jc w:val="both"/>
        <w:rPr>
          <w:rFonts w:cs="Arial"/>
          <w:szCs w:val="20"/>
        </w:rPr>
      </w:pPr>
      <w:r w:rsidRPr="004C33B1">
        <w:rPr>
          <w:rFonts w:cs="Arial"/>
          <w:szCs w:val="20"/>
        </w:rPr>
        <w:t>Procentuální zastoupení šestiletých a starších dětí navštěvující</w:t>
      </w:r>
      <w:r>
        <w:rPr>
          <w:rFonts w:cs="Arial"/>
          <w:szCs w:val="20"/>
        </w:rPr>
        <w:t>ch</w:t>
      </w:r>
      <w:r w:rsidRPr="004C33B1">
        <w:rPr>
          <w:rFonts w:cs="Arial"/>
          <w:szCs w:val="20"/>
        </w:rPr>
        <w:t xml:space="preserve"> mateřskou školu (děti, které by již měly navštěvovat základní školu</w:t>
      </w:r>
      <w:r>
        <w:rPr>
          <w:rFonts w:cs="Arial"/>
          <w:szCs w:val="20"/>
        </w:rPr>
        <w:t xml:space="preserve"> –</w:t>
      </w:r>
      <w:r w:rsidRPr="004C33B1">
        <w:rPr>
          <w:rFonts w:cs="Arial"/>
          <w:szCs w:val="20"/>
        </w:rPr>
        <w:t xml:space="preserve"> jedná se tedy o děti s odloženou povinnou školní docházkou) se v posledních třech letech ustálilo na 5,7 %, </w:t>
      </w:r>
      <w:r>
        <w:rPr>
          <w:rFonts w:cs="Arial"/>
          <w:szCs w:val="20"/>
        </w:rPr>
        <w:t xml:space="preserve">tj. </w:t>
      </w:r>
      <w:r w:rsidRPr="004C33B1">
        <w:rPr>
          <w:rFonts w:cs="Arial"/>
          <w:szCs w:val="20"/>
        </w:rPr>
        <w:t>20 712 dětí ve školním roce 2017/18.</w:t>
      </w:r>
    </w:p>
    <w:p w:rsidR="004F7BA7" w:rsidRPr="00EB135D" w:rsidRDefault="004F7BA7" w:rsidP="00A8100D">
      <w:pPr>
        <w:spacing w:after="0" w:line="276" w:lineRule="auto"/>
        <w:jc w:val="both"/>
        <w:rPr>
          <w:rFonts w:cs="Arial"/>
          <w:b/>
          <w:szCs w:val="20"/>
        </w:rPr>
      </w:pPr>
      <w:r w:rsidRPr="00A8100D">
        <w:rPr>
          <w:rFonts w:cs="Arial"/>
          <w:b/>
          <w:szCs w:val="20"/>
        </w:rPr>
        <w:t xml:space="preserve">Graf 10: </w:t>
      </w:r>
      <w:r w:rsidR="00B27FBF">
        <w:rPr>
          <w:rFonts w:cs="Arial"/>
          <w:b/>
          <w:szCs w:val="20"/>
        </w:rPr>
        <w:t>D</w:t>
      </w:r>
      <w:r w:rsidRPr="00A8100D">
        <w:rPr>
          <w:rFonts w:cs="Arial"/>
          <w:b/>
          <w:szCs w:val="20"/>
        </w:rPr>
        <w:t xml:space="preserve">ětí v mateřských školách v ČR </w:t>
      </w:r>
      <w:r w:rsidR="00B27FBF">
        <w:rPr>
          <w:rFonts w:cs="Arial"/>
          <w:b/>
          <w:szCs w:val="20"/>
        </w:rPr>
        <w:t xml:space="preserve">podle jejich věku </w:t>
      </w:r>
      <w:r w:rsidRPr="00A8100D">
        <w:rPr>
          <w:rFonts w:cs="Arial"/>
          <w:b/>
          <w:szCs w:val="20"/>
        </w:rPr>
        <w:t>v letech 20</w:t>
      </w:r>
      <w:r w:rsidR="00B27FBF">
        <w:rPr>
          <w:rFonts w:cs="Arial"/>
          <w:b/>
          <w:szCs w:val="20"/>
        </w:rPr>
        <w:t>13</w:t>
      </w:r>
      <w:r w:rsidRPr="00A8100D">
        <w:rPr>
          <w:rFonts w:cs="Arial"/>
          <w:b/>
          <w:szCs w:val="20"/>
        </w:rPr>
        <w:t>/20</w:t>
      </w:r>
      <w:r w:rsidR="00B27FBF">
        <w:rPr>
          <w:rFonts w:cs="Arial"/>
          <w:b/>
          <w:szCs w:val="20"/>
        </w:rPr>
        <w:t>14</w:t>
      </w:r>
      <w:r w:rsidRPr="00A8100D">
        <w:rPr>
          <w:rFonts w:cs="Arial"/>
          <w:b/>
          <w:szCs w:val="20"/>
        </w:rPr>
        <w:t xml:space="preserve"> až 2017/2018</w:t>
      </w:r>
      <w:r w:rsidRPr="00EB135D">
        <w:rPr>
          <w:rFonts w:cs="Arial"/>
          <w:b/>
          <w:szCs w:val="20"/>
        </w:rPr>
        <w:t xml:space="preserve"> </w:t>
      </w:r>
    </w:p>
    <w:p w:rsidR="004F7BA7" w:rsidRDefault="001C064A" w:rsidP="00B27FBF">
      <w:pPr>
        <w:spacing w:after="0" w:line="276" w:lineRule="auto"/>
        <w:rPr>
          <w:rFonts w:cs="Arial"/>
          <w:szCs w:val="20"/>
        </w:rPr>
      </w:pPr>
      <w:r>
        <w:rPr>
          <w:rFonts w:cs="Arial"/>
          <w:noProof/>
          <w:szCs w:val="20"/>
        </w:rPr>
        <w:drawing>
          <wp:inline distT="0" distB="0" distL="0" distR="0" wp14:anchorId="74E72281">
            <wp:extent cx="3566160" cy="2877820"/>
            <wp:effectExtent l="0" t="0" r="0"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66160" cy="2877820"/>
                    </a:xfrm>
                    <a:prstGeom prst="rect">
                      <a:avLst/>
                    </a:prstGeom>
                    <a:noFill/>
                  </pic:spPr>
                </pic:pic>
              </a:graphicData>
            </a:graphic>
          </wp:inline>
        </w:drawing>
      </w:r>
      <w:r>
        <w:rPr>
          <w:rFonts w:cs="Arial"/>
          <w:noProof/>
          <w:szCs w:val="20"/>
        </w:rPr>
        <w:drawing>
          <wp:inline distT="0" distB="0" distL="0" distR="0" wp14:anchorId="0AE26D07">
            <wp:extent cx="2481580" cy="2877820"/>
            <wp:effectExtent l="0" t="0" r="0"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81580" cy="2877820"/>
                    </a:xfrm>
                    <a:prstGeom prst="rect">
                      <a:avLst/>
                    </a:prstGeom>
                    <a:noFill/>
                  </pic:spPr>
                </pic:pic>
              </a:graphicData>
            </a:graphic>
          </wp:inline>
        </w:drawing>
      </w:r>
    </w:p>
    <w:p w:rsidR="00B27FBF" w:rsidRDefault="00B27FBF" w:rsidP="00B27FBF">
      <w:pPr>
        <w:spacing w:line="276" w:lineRule="auto"/>
        <w:rPr>
          <w:rFonts w:cs="Arial"/>
          <w:sz w:val="16"/>
          <w:szCs w:val="16"/>
        </w:rPr>
      </w:pPr>
      <w:r w:rsidRPr="00FA1D8E">
        <w:rPr>
          <w:rFonts w:cs="Arial"/>
          <w:sz w:val="16"/>
          <w:szCs w:val="16"/>
        </w:rPr>
        <w:t>Zdroj: MŠMT</w:t>
      </w:r>
      <w:r>
        <w:rPr>
          <w:rFonts w:cs="Arial"/>
          <w:sz w:val="16"/>
          <w:szCs w:val="16"/>
        </w:rPr>
        <w:t xml:space="preserve"> a vlastní dopočty ČSÚ</w:t>
      </w:r>
    </w:p>
    <w:p w:rsidR="00B27FBF" w:rsidRPr="002A566C" w:rsidRDefault="008E45A5" w:rsidP="002A566C">
      <w:pPr>
        <w:spacing w:after="120" w:line="276" w:lineRule="auto"/>
        <w:jc w:val="both"/>
        <w:rPr>
          <w:rFonts w:cs="Arial"/>
          <w:szCs w:val="20"/>
        </w:rPr>
      </w:pPr>
      <w:r w:rsidRPr="002A566C">
        <w:rPr>
          <w:rFonts w:cs="Arial"/>
          <w:szCs w:val="20"/>
        </w:rPr>
        <w:lastRenderedPageBreak/>
        <w:t xml:space="preserve">Procentuální zastoupení dětí </w:t>
      </w:r>
      <w:r w:rsidR="00B27FBF" w:rsidRPr="002A566C">
        <w:rPr>
          <w:rFonts w:cs="Arial"/>
          <w:szCs w:val="20"/>
        </w:rPr>
        <w:t>mladších 3 let</w:t>
      </w:r>
      <w:r w:rsidRPr="002A566C">
        <w:rPr>
          <w:rFonts w:cs="Arial"/>
          <w:szCs w:val="20"/>
        </w:rPr>
        <w:t xml:space="preserve"> na všech dětech ve školkách se </w:t>
      </w:r>
      <w:r w:rsidR="00B27FBF" w:rsidRPr="002A566C">
        <w:rPr>
          <w:rFonts w:cs="Arial"/>
          <w:szCs w:val="20"/>
        </w:rPr>
        <w:t>v jednotlivých krajích České republiky</w:t>
      </w:r>
      <w:r w:rsidRPr="002A566C">
        <w:rPr>
          <w:rFonts w:cs="Arial"/>
          <w:szCs w:val="20"/>
        </w:rPr>
        <w:t xml:space="preserve"> poměrně výrazně liší. </w:t>
      </w:r>
      <w:r w:rsidR="00B27FBF" w:rsidRPr="002A566C">
        <w:rPr>
          <w:rFonts w:cs="Arial"/>
          <w:szCs w:val="20"/>
        </w:rPr>
        <w:t>Ve školním roc</w:t>
      </w:r>
      <w:r w:rsidRPr="002A566C">
        <w:rPr>
          <w:rFonts w:cs="Arial"/>
          <w:szCs w:val="20"/>
        </w:rPr>
        <w:t>e 2017/18 byl jejich podíl nejvyšší v</w:t>
      </w:r>
      <w:r w:rsidR="002A566C">
        <w:rPr>
          <w:rFonts w:cs="Arial"/>
          <w:szCs w:val="20"/>
        </w:rPr>
        <w:t> Olomouckém kraji (15,7 %)</w:t>
      </w:r>
      <w:r w:rsidRPr="002A566C">
        <w:rPr>
          <w:rFonts w:cs="Arial"/>
          <w:szCs w:val="20"/>
        </w:rPr>
        <w:t xml:space="preserve"> a naopak nejnižší </w:t>
      </w:r>
      <w:r w:rsidR="002A566C">
        <w:rPr>
          <w:rFonts w:cs="Arial"/>
          <w:szCs w:val="20"/>
        </w:rPr>
        <w:t xml:space="preserve">v Praze (9,4 %). Průměr za mateřské školy v ČR celkem byl ve stejném školním roce výše zmíněných 12,5 %. Procento dětí v České republice ve věku 2 let, které ve školním roce 2017/18 chodilo do mateřských škol, se rovnalo 41 %. Před pěti lety to bylo 27 %. V krajském srovnání </w:t>
      </w:r>
      <w:r w:rsidR="0023397D">
        <w:rPr>
          <w:rFonts w:cs="Arial"/>
          <w:szCs w:val="20"/>
        </w:rPr>
        <w:t>z populace dvouletých dětí do mateřských škol nejvíce (55 %) chodilo dětí v Olomouckém kraji.</w:t>
      </w:r>
    </w:p>
    <w:p w:rsidR="002A566C" w:rsidRPr="00EB135D" w:rsidRDefault="002A566C" w:rsidP="002A566C">
      <w:pPr>
        <w:spacing w:after="0" w:line="276" w:lineRule="auto"/>
        <w:jc w:val="both"/>
        <w:rPr>
          <w:rFonts w:cs="Arial"/>
          <w:b/>
          <w:szCs w:val="20"/>
        </w:rPr>
      </w:pPr>
      <w:r w:rsidRPr="00A8100D">
        <w:rPr>
          <w:rFonts w:cs="Arial"/>
          <w:b/>
          <w:szCs w:val="20"/>
        </w:rPr>
        <w:t>Graf 1</w:t>
      </w:r>
      <w:r w:rsidR="004377B2">
        <w:rPr>
          <w:rFonts w:cs="Arial"/>
          <w:b/>
          <w:szCs w:val="20"/>
        </w:rPr>
        <w:t>1</w:t>
      </w:r>
      <w:r w:rsidRPr="00A8100D">
        <w:rPr>
          <w:rFonts w:cs="Arial"/>
          <w:b/>
          <w:szCs w:val="20"/>
        </w:rPr>
        <w:t xml:space="preserve">: </w:t>
      </w:r>
      <w:r>
        <w:rPr>
          <w:rFonts w:cs="Arial"/>
          <w:b/>
          <w:szCs w:val="20"/>
        </w:rPr>
        <w:t>D</w:t>
      </w:r>
      <w:r w:rsidRPr="00A8100D">
        <w:rPr>
          <w:rFonts w:cs="Arial"/>
          <w:b/>
          <w:szCs w:val="20"/>
        </w:rPr>
        <w:t xml:space="preserve">ětí </w:t>
      </w:r>
      <w:r>
        <w:rPr>
          <w:rFonts w:cs="Arial"/>
          <w:b/>
          <w:szCs w:val="20"/>
        </w:rPr>
        <w:t xml:space="preserve">mladší 3 let </w:t>
      </w:r>
      <w:r w:rsidRPr="00A8100D">
        <w:rPr>
          <w:rFonts w:cs="Arial"/>
          <w:b/>
          <w:szCs w:val="20"/>
        </w:rPr>
        <w:t>v mateřských školách v</w:t>
      </w:r>
      <w:r>
        <w:rPr>
          <w:rFonts w:cs="Arial"/>
          <w:b/>
          <w:szCs w:val="20"/>
        </w:rPr>
        <w:t> jednotlivých krajích ČR</w:t>
      </w:r>
      <w:r w:rsidRPr="00A8100D">
        <w:rPr>
          <w:rFonts w:cs="Arial"/>
          <w:b/>
          <w:szCs w:val="20"/>
        </w:rPr>
        <w:t xml:space="preserve"> </w:t>
      </w:r>
      <w:r>
        <w:rPr>
          <w:rFonts w:cs="Arial"/>
          <w:b/>
          <w:szCs w:val="20"/>
        </w:rPr>
        <w:t>ve školním roce</w:t>
      </w:r>
      <w:r w:rsidRPr="00A8100D">
        <w:rPr>
          <w:rFonts w:cs="Arial"/>
          <w:b/>
          <w:szCs w:val="20"/>
        </w:rPr>
        <w:t xml:space="preserve"> 2017/2018</w:t>
      </w:r>
      <w:r w:rsidRPr="00EB135D">
        <w:rPr>
          <w:rFonts w:cs="Arial"/>
          <w:b/>
          <w:szCs w:val="20"/>
        </w:rPr>
        <w:t xml:space="preserve"> </w:t>
      </w:r>
    </w:p>
    <w:p w:rsidR="002A566C" w:rsidRDefault="001C064A" w:rsidP="00676DC7">
      <w:pPr>
        <w:spacing w:after="120" w:line="276" w:lineRule="auto"/>
        <w:rPr>
          <w:rFonts w:cs="Arial"/>
          <w:sz w:val="16"/>
          <w:szCs w:val="16"/>
        </w:rPr>
      </w:pPr>
      <w:r>
        <w:rPr>
          <w:rFonts w:cs="Arial"/>
          <w:noProof/>
          <w:sz w:val="16"/>
          <w:szCs w:val="16"/>
        </w:rPr>
        <w:drawing>
          <wp:inline distT="0" distB="0" distL="0" distR="0" wp14:anchorId="160DDED0">
            <wp:extent cx="5974715" cy="3005455"/>
            <wp:effectExtent l="0" t="0" r="6985" b="4445"/>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4715" cy="3005455"/>
                    </a:xfrm>
                    <a:prstGeom prst="rect">
                      <a:avLst/>
                    </a:prstGeom>
                    <a:noFill/>
                  </pic:spPr>
                </pic:pic>
              </a:graphicData>
            </a:graphic>
          </wp:inline>
        </w:drawing>
      </w:r>
    </w:p>
    <w:p w:rsidR="004F7BA7" w:rsidRPr="00676DC7" w:rsidRDefault="004F7BA7" w:rsidP="004F7BA7">
      <w:pPr>
        <w:pStyle w:val="Nadpis2"/>
      </w:pPr>
      <w:bookmarkStart w:id="16" w:name="_Toc523408602"/>
      <w:bookmarkStart w:id="17" w:name="_Toc523466187"/>
      <w:r w:rsidRPr="00676DC7">
        <w:t>1.</w:t>
      </w:r>
      <w:r w:rsidR="00A8100D" w:rsidRPr="00676DC7">
        <w:t>7</w:t>
      </w:r>
      <w:r w:rsidRPr="00676DC7">
        <w:t xml:space="preserve"> Děti s cizím státním občanstvím v mateřských školách</w:t>
      </w:r>
      <w:bookmarkEnd w:id="16"/>
      <w:bookmarkEnd w:id="17"/>
    </w:p>
    <w:p w:rsidR="004F7BA7" w:rsidRDefault="004F7BA7" w:rsidP="004F7BA7">
      <w:pPr>
        <w:spacing w:line="276" w:lineRule="auto"/>
        <w:jc w:val="both"/>
        <w:rPr>
          <w:rFonts w:cs="Arial"/>
          <w:szCs w:val="20"/>
        </w:rPr>
      </w:pPr>
      <w:r w:rsidRPr="00053060">
        <w:rPr>
          <w:rFonts w:cs="Arial"/>
          <w:szCs w:val="20"/>
        </w:rPr>
        <w:t>Vzhledem k tomu, že i na děti cizinců, kteří pobývají na území České republiky, se vztahuje povinná školní docházka, je důležitá také jejich předškolní příprava. U dětí s odlišným mateřským jazykem je pobyt v mateřské škole často prvním setkáním s českým jazykovým prostředím. V mateřských školách cizinců každoročně přibývá. Ve školním roce 2017/18 s</w:t>
      </w:r>
      <w:r>
        <w:rPr>
          <w:rFonts w:cs="Arial"/>
          <w:szCs w:val="20"/>
        </w:rPr>
        <w:t>e v</w:t>
      </w:r>
      <w:r w:rsidRPr="0036645E">
        <w:rPr>
          <w:rFonts w:cs="Arial"/>
          <w:szCs w:val="20"/>
        </w:rPr>
        <w:t xml:space="preserve"> mateřských školách vzdě</w:t>
      </w:r>
      <w:r>
        <w:rPr>
          <w:rFonts w:cs="Arial"/>
          <w:szCs w:val="20"/>
        </w:rPr>
        <w:t>lávalo 10 469 cizinců, tedy 2,9 </w:t>
      </w:r>
      <w:r w:rsidRPr="0036645E">
        <w:rPr>
          <w:rFonts w:cs="Arial"/>
          <w:szCs w:val="20"/>
        </w:rPr>
        <w:t>% všech dětí mateřských</w:t>
      </w:r>
      <w:r>
        <w:rPr>
          <w:rFonts w:cs="Arial"/>
          <w:szCs w:val="20"/>
        </w:rPr>
        <w:t xml:space="preserve"> </w:t>
      </w:r>
      <w:r w:rsidRPr="0036645E">
        <w:rPr>
          <w:rFonts w:cs="Arial"/>
          <w:szCs w:val="20"/>
        </w:rPr>
        <w:t xml:space="preserve">škol. Počet dětí (cizinců) </w:t>
      </w:r>
      <w:r w:rsidRPr="00053060">
        <w:rPr>
          <w:rFonts w:cs="Arial"/>
          <w:szCs w:val="20"/>
        </w:rPr>
        <w:t xml:space="preserve">od školního roku 2010/11 vzrostl 2,5krát a podíl na celkovém počtu dětí v MŠ se </w:t>
      </w:r>
      <w:r w:rsidR="0039776A" w:rsidRPr="00053060">
        <w:rPr>
          <w:rFonts w:cs="Arial"/>
          <w:szCs w:val="20"/>
        </w:rPr>
        <w:t>zvýšil ze 1,3</w:t>
      </w:r>
      <w:r w:rsidRPr="00053060">
        <w:rPr>
          <w:rFonts w:cs="Arial"/>
          <w:szCs w:val="20"/>
        </w:rPr>
        <w:t> % na výše uvedených 2,9 %.</w:t>
      </w:r>
      <w:r>
        <w:rPr>
          <w:rFonts w:cs="Arial"/>
          <w:szCs w:val="20"/>
        </w:rPr>
        <w:t xml:space="preserve"> N</w:t>
      </w:r>
      <w:r w:rsidRPr="0036645E">
        <w:rPr>
          <w:rFonts w:cs="Arial"/>
          <w:szCs w:val="20"/>
        </w:rPr>
        <w:t>ejpočetnější</w:t>
      </w:r>
      <w:r>
        <w:rPr>
          <w:rFonts w:cs="Arial"/>
          <w:szCs w:val="20"/>
        </w:rPr>
        <w:t>mi skupinami</w:t>
      </w:r>
      <w:r w:rsidRPr="0036645E">
        <w:rPr>
          <w:rFonts w:cs="Arial"/>
          <w:szCs w:val="20"/>
        </w:rPr>
        <w:t xml:space="preserve"> </w:t>
      </w:r>
      <w:r>
        <w:rPr>
          <w:rFonts w:cs="Arial"/>
          <w:szCs w:val="20"/>
        </w:rPr>
        <w:t>těchto dětí byli</w:t>
      </w:r>
      <w:r w:rsidRPr="0036645E">
        <w:rPr>
          <w:rFonts w:cs="Arial"/>
          <w:szCs w:val="20"/>
        </w:rPr>
        <w:t xml:space="preserve"> Vietnamci (26,4 %), Ukrajinci</w:t>
      </w:r>
      <w:r>
        <w:rPr>
          <w:rFonts w:cs="Arial"/>
          <w:szCs w:val="20"/>
        </w:rPr>
        <w:t xml:space="preserve"> </w:t>
      </w:r>
      <w:r w:rsidRPr="0036645E">
        <w:rPr>
          <w:rFonts w:cs="Arial"/>
          <w:szCs w:val="20"/>
        </w:rPr>
        <w:t>(23,7 %) a Slováci (18,4 %)</w:t>
      </w:r>
      <w:r>
        <w:rPr>
          <w:rFonts w:cs="Arial"/>
          <w:szCs w:val="20"/>
        </w:rPr>
        <w:t xml:space="preserve"> – údaje za školní rok 2017/18</w:t>
      </w:r>
      <w:r w:rsidRPr="0036645E">
        <w:rPr>
          <w:rFonts w:cs="Arial"/>
          <w:szCs w:val="20"/>
        </w:rPr>
        <w:t>.</w:t>
      </w:r>
      <w:r>
        <w:rPr>
          <w:rFonts w:cs="Arial"/>
          <w:szCs w:val="20"/>
        </w:rPr>
        <w:t xml:space="preserve"> </w:t>
      </w:r>
    </w:p>
    <w:p w:rsidR="004F7BA7" w:rsidRPr="00EB135D" w:rsidRDefault="004F7BA7" w:rsidP="004F7BA7">
      <w:pPr>
        <w:spacing w:after="0" w:line="276" w:lineRule="auto"/>
        <w:jc w:val="both"/>
        <w:rPr>
          <w:rFonts w:cs="Arial"/>
          <w:b/>
          <w:szCs w:val="20"/>
        </w:rPr>
      </w:pPr>
      <w:r w:rsidRPr="00BA4755">
        <w:rPr>
          <w:rFonts w:cs="Arial"/>
          <w:b/>
          <w:szCs w:val="20"/>
        </w:rPr>
        <w:t>Graf 1</w:t>
      </w:r>
      <w:r w:rsidR="004377B2">
        <w:rPr>
          <w:rFonts w:cs="Arial"/>
          <w:b/>
          <w:szCs w:val="20"/>
        </w:rPr>
        <w:t>2</w:t>
      </w:r>
      <w:r w:rsidRPr="00BA4755">
        <w:rPr>
          <w:rFonts w:cs="Arial"/>
          <w:b/>
          <w:szCs w:val="20"/>
        </w:rPr>
        <w:t>: Děti v mateřských školách v ČR s cizím státním občanstvím v letech 2012/2013 až 2017/2018</w:t>
      </w:r>
    </w:p>
    <w:p w:rsidR="004F7BA7" w:rsidRDefault="001C064A" w:rsidP="004F7BA7">
      <w:pPr>
        <w:spacing w:after="0" w:line="276" w:lineRule="auto"/>
        <w:rPr>
          <w:rFonts w:cs="Arial"/>
          <w:szCs w:val="20"/>
        </w:rPr>
      </w:pPr>
      <w:r>
        <w:rPr>
          <w:rFonts w:cs="Arial"/>
          <w:noProof/>
          <w:szCs w:val="20"/>
        </w:rPr>
        <w:drawing>
          <wp:inline distT="0" distB="0" distL="0" distR="0" wp14:anchorId="788ECDD7">
            <wp:extent cx="5974715" cy="2700655"/>
            <wp:effectExtent l="0" t="0" r="6985" b="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4715" cy="2700655"/>
                    </a:xfrm>
                    <a:prstGeom prst="rect">
                      <a:avLst/>
                    </a:prstGeom>
                    <a:noFill/>
                  </pic:spPr>
                </pic:pic>
              </a:graphicData>
            </a:graphic>
          </wp:inline>
        </w:drawing>
      </w:r>
    </w:p>
    <w:p w:rsidR="004F7BA7" w:rsidRDefault="004F7BA7" w:rsidP="004F7BA7">
      <w:pPr>
        <w:spacing w:before="120" w:after="120" w:line="276" w:lineRule="auto"/>
        <w:rPr>
          <w:rFonts w:cs="Arial"/>
          <w:sz w:val="16"/>
          <w:szCs w:val="16"/>
        </w:rPr>
      </w:pPr>
      <w:r w:rsidRPr="00FA1D8E">
        <w:rPr>
          <w:rFonts w:cs="Arial"/>
          <w:sz w:val="16"/>
          <w:szCs w:val="16"/>
        </w:rPr>
        <w:t>Zdroj: MŠMT</w:t>
      </w:r>
      <w:r>
        <w:rPr>
          <w:rFonts w:cs="Arial"/>
          <w:sz w:val="16"/>
          <w:szCs w:val="16"/>
        </w:rPr>
        <w:t xml:space="preserve"> a vlastních dopočtů ČSÚ</w:t>
      </w:r>
    </w:p>
    <w:p w:rsidR="009E4DA8" w:rsidRPr="000752B8" w:rsidRDefault="009E4DA8" w:rsidP="0039776A">
      <w:pPr>
        <w:spacing w:after="120" w:line="276" w:lineRule="auto"/>
        <w:jc w:val="both"/>
        <w:rPr>
          <w:rFonts w:cs="Arial"/>
          <w:szCs w:val="20"/>
        </w:rPr>
      </w:pPr>
      <w:r w:rsidRPr="000752B8">
        <w:rPr>
          <w:rFonts w:cs="Arial"/>
          <w:szCs w:val="20"/>
        </w:rPr>
        <w:lastRenderedPageBreak/>
        <w:t xml:space="preserve">Nejčastěji navštěvovaly děti s cizím státním občanstvím mateřské školy v Praze, kde představovaly 9,7 % všech dětí ve školkách. Více než </w:t>
      </w:r>
      <w:r w:rsidR="00220045">
        <w:rPr>
          <w:rFonts w:cs="Arial"/>
          <w:szCs w:val="20"/>
        </w:rPr>
        <w:t>5</w:t>
      </w:r>
      <w:r w:rsidRPr="000752B8">
        <w:rPr>
          <w:rFonts w:cs="Arial"/>
          <w:szCs w:val="20"/>
        </w:rPr>
        <w:t xml:space="preserve"> % dětí v MŠ tvořili cizinci v Karlovarském </w:t>
      </w:r>
      <w:r w:rsidR="00220045">
        <w:rPr>
          <w:rFonts w:cs="Arial"/>
          <w:szCs w:val="20"/>
        </w:rPr>
        <w:t>k</w:t>
      </w:r>
      <w:r w:rsidRPr="000752B8">
        <w:rPr>
          <w:rFonts w:cs="Arial"/>
          <w:szCs w:val="20"/>
        </w:rPr>
        <w:t>raji. Naopak v</w:t>
      </w:r>
      <w:r w:rsidR="00220045">
        <w:rPr>
          <w:rFonts w:cs="Arial"/>
          <w:szCs w:val="20"/>
        </w:rPr>
        <w:t> </w:t>
      </w:r>
      <w:r w:rsidR="00220045" w:rsidRPr="000752B8">
        <w:rPr>
          <w:rFonts w:cs="Arial"/>
          <w:szCs w:val="20"/>
        </w:rPr>
        <w:t>Moravskoslezském</w:t>
      </w:r>
      <w:r w:rsidR="00220045">
        <w:rPr>
          <w:rFonts w:cs="Arial"/>
          <w:szCs w:val="20"/>
        </w:rPr>
        <w:t>,</w:t>
      </w:r>
      <w:r w:rsidR="00220045" w:rsidRPr="000752B8">
        <w:rPr>
          <w:rFonts w:cs="Arial"/>
          <w:szCs w:val="20"/>
        </w:rPr>
        <w:t xml:space="preserve"> </w:t>
      </w:r>
      <w:r w:rsidRPr="000752B8">
        <w:rPr>
          <w:rFonts w:cs="Arial"/>
          <w:szCs w:val="20"/>
        </w:rPr>
        <w:t>Olomouckém</w:t>
      </w:r>
      <w:r w:rsidR="00220045">
        <w:rPr>
          <w:rFonts w:cs="Arial"/>
          <w:szCs w:val="20"/>
        </w:rPr>
        <w:t xml:space="preserve"> a</w:t>
      </w:r>
      <w:r w:rsidRPr="000752B8">
        <w:rPr>
          <w:rFonts w:cs="Arial"/>
          <w:szCs w:val="20"/>
        </w:rPr>
        <w:t xml:space="preserve"> Zlínském kraji nedosahoval počet dětí s cizím </w:t>
      </w:r>
      <w:r>
        <w:rPr>
          <w:rFonts w:cs="Arial"/>
          <w:szCs w:val="20"/>
        </w:rPr>
        <w:t xml:space="preserve">státním občanstvím </w:t>
      </w:r>
      <w:r w:rsidRPr="000752B8">
        <w:rPr>
          <w:rFonts w:cs="Arial"/>
          <w:szCs w:val="20"/>
        </w:rPr>
        <w:t xml:space="preserve">ve školkách </w:t>
      </w:r>
      <w:r>
        <w:rPr>
          <w:rFonts w:cs="Arial"/>
          <w:szCs w:val="20"/>
        </w:rPr>
        <w:t>ani 1 %.</w:t>
      </w:r>
    </w:p>
    <w:p w:rsidR="009E4DA8" w:rsidRPr="00DA5962" w:rsidRDefault="004377B2" w:rsidP="009E4DA8">
      <w:pPr>
        <w:spacing w:after="0" w:line="276" w:lineRule="auto"/>
        <w:jc w:val="both"/>
        <w:rPr>
          <w:rFonts w:cs="Arial"/>
          <w:b/>
          <w:szCs w:val="20"/>
        </w:rPr>
      </w:pPr>
      <w:r>
        <w:rPr>
          <w:rFonts w:cs="Arial"/>
          <w:b/>
          <w:szCs w:val="20"/>
        </w:rPr>
        <w:t>Graf 13</w:t>
      </w:r>
      <w:r w:rsidR="009E4DA8" w:rsidRPr="0039776A">
        <w:rPr>
          <w:rFonts w:cs="Arial"/>
          <w:b/>
          <w:szCs w:val="20"/>
        </w:rPr>
        <w:t>: Děti v mateřských školách s cizím státním občanstvím v</w:t>
      </w:r>
      <w:r w:rsidR="007E383C" w:rsidRPr="0039776A">
        <w:rPr>
          <w:rFonts w:cs="Arial"/>
          <w:b/>
          <w:szCs w:val="20"/>
        </w:rPr>
        <w:t> </w:t>
      </w:r>
      <w:r w:rsidR="009E4DA8" w:rsidRPr="0039776A">
        <w:rPr>
          <w:rFonts w:cs="Arial"/>
          <w:b/>
          <w:szCs w:val="20"/>
        </w:rPr>
        <w:t xml:space="preserve"> krajích</w:t>
      </w:r>
      <w:r w:rsidR="007E383C" w:rsidRPr="0039776A">
        <w:rPr>
          <w:rFonts w:cs="Arial"/>
          <w:b/>
          <w:szCs w:val="20"/>
        </w:rPr>
        <w:t xml:space="preserve"> ČR v letech</w:t>
      </w:r>
      <w:r w:rsidR="007E383C">
        <w:rPr>
          <w:rFonts w:cs="Arial"/>
          <w:b/>
          <w:szCs w:val="20"/>
        </w:rPr>
        <w:t xml:space="preserve"> </w:t>
      </w:r>
    </w:p>
    <w:p w:rsidR="009E4DA8" w:rsidRDefault="001C064A" w:rsidP="009E4DA8">
      <w:pPr>
        <w:spacing w:after="0" w:line="276" w:lineRule="auto"/>
        <w:rPr>
          <w:rFonts w:cs="Arial"/>
          <w:szCs w:val="20"/>
        </w:rPr>
      </w:pPr>
      <w:r>
        <w:rPr>
          <w:rFonts w:cs="Arial"/>
          <w:noProof/>
          <w:szCs w:val="20"/>
        </w:rPr>
        <w:drawing>
          <wp:inline distT="0" distB="0" distL="0" distR="0" wp14:anchorId="1341E875">
            <wp:extent cx="5968365" cy="2359660"/>
            <wp:effectExtent l="0" t="0" r="0" b="254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68365" cy="2359660"/>
                    </a:xfrm>
                    <a:prstGeom prst="rect">
                      <a:avLst/>
                    </a:prstGeom>
                    <a:noFill/>
                  </pic:spPr>
                </pic:pic>
              </a:graphicData>
            </a:graphic>
          </wp:inline>
        </w:drawing>
      </w:r>
    </w:p>
    <w:p w:rsidR="00166B2C" w:rsidRDefault="00166B2C" w:rsidP="00166B2C">
      <w:pPr>
        <w:spacing w:after="0" w:line="276" w:lineRule="auto"/>
        <w:rPr>
          <w:rFonts w:cs="Arial"/>
          <w:sz w:val="16"/>
          <w:szCs w:val="16"/>
        </w:rPr>
      </w:pPr>
      <w:r w:rsidRPr="00220045">
        <w:rPr>
          <w:rFonts w:cs="Arial"/>
          <w:sz w:val="16"/>
          <w:szCs w:val="16"/>
        </w:rPr>
        <w:t xml:space="preserve">* podíl na dětech v MŠ v Praze ve školním roce 2017/2018 činil </w:t>
      </w:r>
      <w:r w:rsidR="00220045" w:rsidRPr="00220045">
        <w:rPr>
          <w:rFonts w:cs="Arial"/>
          <w:sz w:val="16"/>
          <w:szCs w:val="16"/>
        </w:rPr>
        <w:t>9</w:t>
      </w:r>
      <w:r w:rsidRPr="00220045">
        <w:rPr>
          <w:rFonts w:cs="Arial"/>
          <w:sz w:val="16"/>
          <w:szCs w:val="16"/>
        </w:rPr>
        <w:t>,</w:t>
      </w:r>
      <w:r w:rsidR="00220045" w:rsidRPr="00220045">
        <w:rPr>
          <w:rFonts w:cs="Arial"/>
          <w:sz w:val="16"/>
          <w:szCs w:val="16"/>
        </w:rPr>
        <w:t>7</w:t>
      </w:r>
      <w:r w:rsidRPr="00220045">
        <w:rPr>
          <w:rFonts w:cs="Arial"/>
          <w:sz w:val="16"/>
          <w:szCs w:val="16"/>
        </w:rPr>
        <w:t xml:space="preserve"> %</w:t>
      </w:r>
    </w:p>
    <w:p w:rsidR="009E4DA8" w:rsidRDefault="009E4DA8" w:rsidP="0039776A">
      <w:pPr>
        <w:spacing w:before="120" w:after="120" w:line="276" w:lineRule="auto"/>
        <w:rPr>
          <w:rFonts w:cs="Arial"/>
          <w:sz w:val="16"/>
          <w:szCs w:val="16"/>
        </w:rPr>
      </w:pPr>
      <w:r w:rsidRPr="00FA1D8E">
        <w:rPr>
          <w:rFonts w:cs="Arial"/>
          <w:sz w:val="16"/>
          <w:szCs w:val="16"/>
        </w:rPr>
        <w:t>Zdroj: MŠMT</w:t>
      </w:r>
      <w:r>
        <w:rPr>
          <w:rFonts w:cs="Arial"/>
          <w:sz w:val="16"/>
          <w:szCs w:val="16"/>
        </w:rPr>
        <w:t xml:space="preserve"> a vlastních dopočtů ČSÚ</w:t>
      </w:r>
    </w:p>
    <w:p w:rsidR="009E4DA8" w:rsidRPr="00676DC7" w:rsidRDefault="009E4DA8" w:rsidP="009E4DA8">
      <w:pPr>
        <w:pStyle w:val="Nadpis2"/>
      </w:pPr>
      <w:bookmarkStart w:id="18" w:name="_Toc523408603"/>
      <w:bookmarkStart w:id="19" w:name="_Toc523466188"/>
      <w:r w:rsidRPr="00676DC7">
        <w:t>1.</w:t>
      </w:r>
      <w:r w:rsidR="0039776A" w:rsidRPr="00676DC7">
        <w:t>8</w:t>
      </w:r>
      <w:r w:rsidRPr="00676DC7">
        <w:t xml:space="preserve"> Děti se speciálními vzdělávacími potřebami</w:t>
      </w:r>
      <w:bookmarkEnd w:id="18"/>
      <w:r w:rsidR="0023455E" w:rsidRPr="00676DC7">
        <w:t xml:space="preserve"> v mateřských školách</w:t>
      </w:r>
      <w:bookmarkEnd w:id="19"/>
    </w:p>
    <w:p w:rsidR="00D73EE0" w:rsidRDefault="009E4DA8" w:rsidP="00E13797">
      <w:pPr>
        <w:spacing w:after="120" w:line="276" w:lineRule="auto"/>
        <w:jc w:val="both"/>
        <w:rPr>
          <w:rFonts w:cs="Arial"/>
          <w:szCs w:val="20"/>
        </w:rPr>
      </w:pPr>
      <w:r w:rsidRPr="009363F2">
        <w:rPr>
          <w:rFonts w:cs="Arial"/>
          <w:szCs w:val="20"/>
        </w:rPr>
        <w:t>Mateřské školy navštěvovalo ve školním roce 2017/18 celkem 10 788 zdravotně postižených dětí</w:t>
      </w:r>
      <w:r w:rsidR="00E13797">
        <w:rPr>
          <w:rFonts w:cs="Arial"/>
          <w:szCs w:val="20"/>
        </w:rPr>
        <w:t xml:space="preserve"> – dětí se</w:t>
      </w:r>
      <w:r w:rsidR="00E13797" w:rsidRPr="00E13797">
        <w:rPr>
          <w:rFonts w:cs="Arial"/>
          <w:szCs w:val="20"/>
        </w:rPr>
        <w:t xml:space="preserve"> </w:t>
      </w:r>
      <w:r w:rsidR="00E13797" w:rsidRPr="00E13797">
        <w:rPr>
          <w:rFonts w:cs="Arial"/>
          <w:b/>
          <w:szCs w:val="20"/>
        </w:rPr>
        <w:t>speciálními vzdělávacími potřebami (SVP)</w:t>
      </w:r>
      <w:r w:rsidR="00E13797">
        <w:rPr>
          <w:rFonts w:cs="Arial"/>
          <w:szCs w:val="20"/>
        </w:rPr>
        <w:t xml:space="preserve"> - </w:t>
      </w:r>
      <w:r w:rsidRPr="009363F2">
        <w:rPr>
          <w:rFonts w:cs="Arial"/>
          <w:szCs w:val="20"/>
        </w:rPr>
        <w:t>z nichž 50,5 % mělo vadu řeči. Podíl dětí se SVP na celkovém počtu dětí v předškolním vzdělávání v České republice činí 3 % a v čase se příliš nemění. Více jak třetina (35,0 %) zdravotně postižených dětí bylo individuálně integrováno do běžných tříd mateřských škol. Běžné třídy mateřských škol tak navštěvovalo v minulém školním roce 3,7 tis. dětí se SVP.</w:t>
      </w:r>
    </w:p>
    <w:p w:rsidR="004F7BA7" w:rsidRPr="009518EE" w:rsidRDefault="004F7BA7" w:rsidP="00D73EE0">
      <w:pPr>
        <w:spacing w:after="60" w:line="276" w:lineRule="auto"/>
        <w:jc w:val="both"/>
        <w:rPr>
          <w:rFonts w:cs="Arial"/>
          <w:b/>
          <w:noProof/>
          <w:szCs w:val="20"/>
        </w:rPr>
      </w:pPr>
      <w:r w:rsidRPr="00E13797">
        <w:rPr>
          <w:rFonts w:cs="Arial"/>
          <w:b/>
          <w:noProof/>
          <w:szCs w:val="20"/>
        </w:rPr>
        <w:t xml:space="preserve">Tab. 3 Děti </w:t>
      </w:r>
      <w:r w:rsidR="007E383C" w:rsidRPr="00E13797">
        <w:rPr>
          <w:rFonts w:cs="Arial"/>
          <w:b/>
          <w:bCs/>
          <w:noProof/>
          <w:szCs w:val="20"/>
        </w:rPr>
        <w:t xml:space="preserve">se SVP </w:t>
      </w:r>
      <w:r w:rsidRPr="00E13797">
        <w:rPr>
          <w:rFonts w:cs="Arial"/>
          <w:b/>
          <w:bCs/>
          <w:noProof/>
          <w:szCs w:val="20"/>
        </w:rPr>
        <w:t>v mateřských školách v krajích ČR ve školním roce 2017/2018</w:t>
      </w:r>
    </w:p>
    <w:tbl>
      <w:tblPr>
        <w:tblW w:w="9850" w:type="dxa"/>
        <w:jc w:val="center"/>
        <w:tblInd w:w="70" w:type="dxa"/>
        <w:tblCellMar>
          <w:left w:w="70" w:type="dxa"/>
          <w:right w:w="70" w:type="dxa"/>
        </w:tblCellMar>
        <w:tblLook w:val="04A0" w:firstRow="1" w:lastRow="0" w:firstColumn="1" w:lastColumn="0" w:noHBand="0" w:noVBand="1"/>
      </w:tblPr>
      <w:tblGrid>
        <w:gridCol w:w="1867"/>
        <w:gridCol w:w="717"/>
        <w:gridCol w:w="944"/>
        <w:gridCol w:w="990"/>
        <w:gridCol w:w="717"/>
        <w:gridCol w:w="944"/>
        <w:gridCol w:w="996"/>
        <w:gridCol w:w="740"/>
        <w:gridCol w:w="944"/>
        <w:gridCol w:w="991"/>
      </w:tblGrid>
      <w:tr w:rsidR="00D73EE0" w:rsidRPr="00F70F2A" w:rsidTr="00D73EE0">
        <w:trPr>
          <w:trHeight w:val="280"/>
          <w:jc w:val="center"/>
        </w:trPr>
        <w:tc>
          <w:tcPr>
            <w:tcW w:w="1867" w:type="dxa"/>
            <w:vMerge w:val="restart"/>
            <w:tcBorders>
              <w:top w:val="single" w:sz="4" w:space="0" w:color="auto"/>
              <w:left w:val="nil"/>
              <w:bottom w:val="single" w:sz="4" w:space="0" w:color="auto"/>
              <w:right w:val="single" w:sz="4" w:space="0" w:color="auto"/>
            </w:tcBorders>
            <w:shd w:val="clear" w:color="000000" w:fill="F2DDDC"/>
            <w:vAlign w:val="center"/>
            <w:hideMark/>
          </w:tcPr>
          <w:p w:rsidR="00D73EE0" w:rsidRPr="00F70F2A" w:rsidRDefault="00D73EE0" w:rsidP="00695F91">
            <w:pPr>
              <w:spacing w:after="0" w:line="240" w:lineRule="auto"/>
              <w:jc w:val="center"/>
              <w:rPr>
                <w:rFonts w:cs="Arial"/>
                <w:color w:val="000000"/>
                <w:sz w:val="16"/>
                <w:szCs w:val="16"/>
              </w:rPr>
            </w:pPr>
            <w:r w:rsidRPr="00F70F2A">
              <w:rPr>
                <w:rFonts w:cs="Arial"/>
                <w:color w:val="000000"/>
                <w:sz w:val="16"/>
                <w:szCs w:val="16"/>
              </w:rPr>
              <w:t>území</w:t>
            </w:r>
          </w:p>
        </w:tc>
        <w:tc>
          <w:tcPr>
            <w:tcW w:w="2651" w:type="dxa"/>
            <w:gridSpan w:val="3"/>
            <w:vMerge w:val="restart"/>
            <w:tcBorders>
              <w:top w:val="single" w:sz="4" w:space="0" w:color="auto"/>
              <w:left w:val="single" w:sz="4" w:space="0" w:color="auto"/>
              <w:right w:val="single" w:sz="4" w:space="0" w:color="auto"/>
            </w:tcBorders>
            <w:shd w:val="clear" w:color="000000" w:fill="F2DDDC"/>
            <w:noWrap/>
            <w:vAlign w:val="center"/>
            <w:hideMark/>
          </w:tcPr>
          <w:p w:rsidR="00D73EE0" w:rsidRPr="00F70F2A" w:rsidRDefault="00D73EE0" w:rsidP="00695F91">
            <w:pPr>
              <w:spacing w:after="0" w:line="240" w:lineRule="auto"/>
              <w:jc w:val="center"/>
              <w:rPr>
                <w:rFonts w:cs="Arial"/>
                <w:color w:val="000000"/>
                <w:sz w:val="16"/>
                <w:szCs w:val="16"/>
              </w:rPr>
            </w:pPr>
            <w:r w:rsidRPr="00F70F2A">
              <w:rPr>
                <w:rFonts w:cs="Arial"/>
                <w:color w:val="000000"/>
                <w:sz w:val="16"/>
                <w:szCs w:val="16"/>
              </w:rPr>
              <w:t>školní rok 2017/2018</w:t>
            </w:r>
          </w:p>
        </w:tc>
        <w:tc>
          <w:tcPr>
            <w:tcW w:w="2657" w:type="dxa"/>
            <w:gridSpan w:val="3"/>
            <w:vMerge w:val="restart"/>
            <w:tcBorders>
              <w:top w:val="single" w:sz="4" w:space="0" w:color="auto"/>
              <w:left w:val="single" w:sz="4" w:space="0" w:color="auto"/>
              <w:right w:val="single" w:sz="4" w:space="0" w:color="auto"/>
            </w:tcBorders>
            <w:shd w:val="clear" w:color="000000" w:fill="F2DDDC"/>
            <w:noWrap/>
            <w:vAlign w:val="center"/>
            <w:hideMark/>
          </w:tcPr>
          <w:p w:rsidR="00D73EE0" w:rsidRPr="00F70F2A" w:rsidRDefault="00D73EE0" w:rsidP="00695F91">
            <w:pPr>
              <w:spacing w:after="0" w:line="240" w:lineRule="auto"/>
              <w:jc w:val="center"/>
              <w:rPr>
                <w:rFonts w:cs="Arial"/>
                <w:color w:val="000000"/>
                <w:sz w:val="16"/>
                <w:szCs w:val="16"/>
              </w:rPr>
            </w:pPr>
            <w:r w:rsidRPr="00F70F2A">
              <w:rPr>
                <w:rFonts w:cs="Arial"/>
                <w:color w:val="000000"/>
                <w:sz w:val="16"/>
                <w:szCs w:val="16"/>
              </w:rPr>
              <w:t>školní rok 2007/2008</w:t>
            </w:r>
          </w:p>
        </w:tc>
        <w:tc>
          <w:tcPr>
            <w:tcW w:w="2675" w:type="dxa"/>
            <w:gridSpan w:val="3"/>
            <w:tcBorders>
              <w:top w:val="single" w:sz="4" w:space="0" w:color="auto"/>
              <w:left w:val="nil"/>
              <w:bottom w:val="single" w:sz="4" w:space="0" w:color="auto"/>
            </w:tcBorders>
            <w:shd w:val="clear" w:color="000000" w:fill="F2DDDC"/>
            <w:vAlign w:val="center"/>
            <w:hideMark/>
          </w:tcPr>
          <w:p w:rsidR="00D73EE0" w:rsidRPr="00F70F2A" w:rsidRDefault="00D73EE0" w:rsidP="00695F91">
            <w:pPr>
              <w:spacing w:after="0" w:line="240" w:lineRule="auto"/>
              <w:jc w:val="center"/>
              <w:rPr>
                <w:rFonts w:cs="Arial"/>
                <w:color w:val="000000"/>
                <w:sz w:val="16"/>
                <w:szCs w:val="16"/>
              </w:rPr>
            </w:pPr>
            <w:r w:rsidRPr="00F70F2A">
              <w:rPr>
                <w:rFonts w:cs="Arial"/>
                <w:color w:val="000000"/>
                <w:sz w:val="16"/>
                <w:szCs w:val="16"/>
              </w:rPr>
              <w:t>změna za 10 let</w:t>
            </w:r>
          </w:p>
        </w:tc>
      </w:tr>
      <w:tr w:rsidR="00D73EE0" w:rsidRPr="00F70F2A" w:rsidTr="00D73EE0">
        <w:trPr>
          <w:trHeight w:val="280"/>
          <w:jc w:val="center"/>
        </w:trPr>
        <w:tc>
          <w:tcPr>
            <w:tcW w:w="1867" w:type="dxa"/>
            <w:vMerge/>
            <w:tcBorders>
              <w:left w:val="nil"/>
              <w:bottom w:val="single" w:sz="4" w:space="0" w:color="auto"/>
              <w:right w:val="single" w:sz="4" w:space="0" w:color="auto"/>
            </w:tcBorders>
            <w:vAlign w:val="center"/>
            <w:hideMark/>
          </w:tcPr>
          <w:p w:rsidR="00D73EE0" w:rsidRPr="00F70F2A" w:rsidRDefault="00D73EE0" w:rsidP="00695F91">
            <w:pPr>
              <w:spacing w:after="0" w:line="240" w:lineRule="auto"/>
              <w:rPr>
                <w:rFonts w:cs="Arial"/>
                <w:color w:val="000000"/>
                <w:sz w:val="16"/>
                <w:szCs w:val="16"/>
              </w:rPr>
            </w:pPr>
          </w:p>
        </w:tc>
        <w:tc>
          <w:tcPr>
            <w:tcW w:w="2651" w:type="dxa"/>
            <w:gridSpan w:val="3"/>
            <w:vMerge/>
            <w:tcBorders>
              <w:left w:val="single" w:sz="4" w:space="0" w:color="auto"/>
              <w:bottom w:val="single" w:sz="4" w:space="0" w:color="auto"/>
              <w:right w:val="single" w:sz="4" w:space="0" w:color="auto"/>
            </w:tcBorders>
            <w:vAlign w:val="center"/>
            <w:hideMark/>
          </w:tcPr>
          <w:p w:rsidR="00D73EE0" w:rsidRPr="00F70F2A" w:rsidRDefault="00D73EE0" w:rsidP="00695F91">
            <w:pPr>
              <w:spacing w:after="0" w:line="240" w:lineRule="auto"/>
              <w:rPr>
                <w:rFonts w:cs="Arial"/>
                <w:color w:val="000000"/>
                <w:sz w:val="16"/>
                <w:szCs w:val="16"/>
              </w:rPr>
            </w:pPr>
          </w:p>
        </w:tc>
        <w:tc>
          <w:tcPr>
            <w:tcW w:w="2657" w:type="dxa"/>
            <w:gridSpan w:val="3"/>
            <w:vMerge/>
            <w:tcBorders>
              <w:left w:val="single" w:sz="4" w:space="0" w:color="auto"/>
              <w:bottom w:val="single" w:sz="4" w:space="0" w:color="auto"/>
              <w:right w:val="single" w:sz="4" w:space="0" w:color="auto"/>
            </w:tcBorders>
            <w:vAlign w:val="center"/>
            <w:hideMark/>
          </w:tcPr>
          <w:p w:rsidR="00D73EE0" w:rsidRPr="00F70F2A" w:rsidRDefault="00D73EE0" w:rsidP="00695F91">
            <w:pPr>
              <w:spacing w:after="0" w:line="240" w:lineRule="auto"/>
              <w:rPr>
                <w:rFonts w:cs="Arial"/>
                <w:color w:val="000000"/>
                <w:sz w:val="16"/>
                <w:szCs w:val="16"/>
              </w:rPr>
            </w:pPr>
          </w:p>
        </w:tc>
        <w:tc>
          <w:tcPr>
            <w:tcW w:w="2675" w:type="dxa"/>
            <w:gridSpan w:val="3"/>
            <w:tcBorders>
              <w:top w:val="single" w:sz="4" w:space="0" w:color="auto"/>
              <w:left w:val="nil"/>
              <w:bottom w:val="single" w:sz="4" w:space="0" w:color="auto"/>
            </w:tcBorders>
            <w:shd w:val="clear" w:color="000000" w:fill="F2DDDC"/>
            <w:vAlign w:val="center"/>
            <w:hideMark/>
          </w:tcPr>
          <w:p w:rsidR="00D73EE0" w:rsidRPr="00F70F2A" w:rsidRDefault="00D73EE0" w:rsidP="00695F91">
            <w:pPr>
              <w:spacing w:after="0" w:line="240" w:lineRule="auto"/>
              <w:jc w:val="center"/>
              <w:rPr>
                <w:rFonts w:cs="Arial"/>
                <w:color w:val="000000"/>
                <w:sz w:val="16"/>
                <w:szCs w:val="16"/>
              </w:rPr>
            </w:pPr>
            <w:r w:rsidRPr="00F70F2A">
              <w:rPr>
                <w:rFonts w:cs="Arial"/>
                <w:color w:val="000000"/>
                <w:sz w:val="16"/>
                <w:szCs w:val="16"/>
              </w:rPr>
              <w:t>(07/08-17/18)</w:t>
            </w:r>
          </w:p>
        </w:tc>
      </w:tr>
      <w:tr w:rsidR="00D73EE0" w:rsidRPr="00F70F2A" w:rsidTr="00D73EE0">
        <w:trPr>
          <w:trHeight w:val="1129"/>
          <w:jc w:val="center"/>
        </w:trPr>
        <w:tc>
          <w:tcPr>
            <w:tcW w:w="1867" w:type="dxa"/>
            <w:vMerge/>
            <w:tcBorders>
              <w:left w:val="nil"/>
              <w:bottom w:val="single" w:sz="4" w:space="0" w:color="auto"/>
              <w:right w:val="single" w:sz="4" w:space="0" w:color="auto"/>
            </w:tcBorders>
            <w:vAlign w:val="center"/>
            <w:hideMark/>
          </w:tcPr>
          <w:p w:rsidR="00D73EE0" w:rsidRPr="00F70F2A" w:rsidRDefault="00D73EE0" w:rsidP="00695F91">
            <w:pPr>
              <w:spacing w:after="0" w:line="240" w:lineRule="auto"/>
              <w:rPr>
                <w:rFonts w:cs="Arial"/>
                <w:color w:val="000000"/>
                <w:sz w:val="16"/>
                <w:szCs w:val="16"/>
              </w:rPr>
            </w:pPr>
          </w:p>
        </w:tc>
        <w:tc>
          <w:tcPr>
            <w:tcW w:w="717" w:type="dxa"/>
            <w:tcBorders>
              <w:top w:val="nil"/>
              <w:left w:val="single" w:sz="4" w:space="0" w:color="auto"/>
              <w:bottom w:val="single" w:sz="4" w:space="0" w:color="auto"/>
              <w:right w:val="single" w:sz="4" w:space="0" w:color="auto"/>
            </w:tcBorders>
            <w:shd w:val="clear" w:color="000000" w:fill="F2DDDC"/>
            <w:vAlign w:val="center"/>
            <w:hideMark/>
          </w:tcPr>
          <w:p w:rsidR="00D73EE0" w:rsidRPr="00F70F2A" w:rsidRDefault="00D73EE0" w:rsidP="00695F91">
            <w:pPr>
              <w:spacing w:after="0" w:line="240" w:lineRule="auto"/>
              <w:jc w:val="center"/>
              <w:rPr>
                <w:rFonts w:cs="Arial"/>
                <w:color w:val="000000"/>
                <w:sz w:val="16"/>
                <w:szCs w:val="16"/>
              </w:rPr>
            </w:pPr>
            <w:r w:rsidRPr="00F70F2A">
              <w:rPr>
                <w:rFonts w:cs="Arial"/>
                <w:color w:val="000000"/>
                <w:sz w:val="16"/>
                <w:szCs w:val="16"/>
              </w:rPr>
              <w:t>celkem</w:t>
            </w:r>
          </w:p>
        </w:tc>
        <w:tc>
          <w:tcPr>
            <w:tcW w:w="944" w:type="dxa"/>
            <w:tcBorders>
              <w:top w:val="nil"/>
              <w:left w:val="single" w:sz="4" w:space="0" w:color="auto"/>
              <w:bottom w:val="single" w:sz="4" w:space="0" w:color="auto"/>
              <w:right w:val="single" w:sz="4" w:space="0" w:color="auto"/>
            </w:tcBorders>
            <w:shd w:val="clear" w:color="000000" w:fill="F2DDDC"/>
            <w:vAlign w:val="center"/>
            <w:hideMark/>
          </w:tcPr>
          <w:p w:rsidR="00D73EE0" w:rsidRPr="00F70F2A" w:rsidRDefault="00D73EE0" w:rsidP="00695F91">
            <w:pPr>
              <w:spacing w:after="0" w:line="240" w:lineRule="auto"/>
              <w:jc w:val="center"/>
              <w:rPr>
                <w:rFonts w:cs="Arial"/>
                <w:color w:val="000000"/>
                <w:sz w:val="16"/>
                <w:szCs w:val="16"/>
              </w:rPr>
            </w:pPr>
            <w:r w:rsidRPr="00F70F2A">
              <w:rPr>
                <w:rFonts w:cs="Arial"/>
                <w:color w:val="000000"/>
                <w:sz w:val="16"/>
                <w:szCs w:val="16"/>
              </w:rPr>
              <w:t>ve speciálních třídách</w:t>
            </w:r>
          </w:p>
        </w:tc>
        <w:tc>
          <w:tcPr>
            <w:tcW w:w="990" w:type="dxa"/>
            <w:tcBorders>
              <w:top w:val="nil"/>
              <w:left w:val="single" w:sz="4" w:space="0" w:color="auto"/>
              <w:bottom w:val="single" w:sz="4" w:space="0" w:color="auto"/>
              <w:right w:val="single" w:sz="4" w:space="0" w:color="auto"/>
            </w:tcBorders>
            <w:shd w:val="clear" w:color="000000" w:fill="F2DDDC"/>
            <w:vAlign w:val="center"/>
            <w:hideMark/>
          </w:tcPr>
          <w:p w:rsidR="00D73EE0" w:rsidRPr="00F70F2A" w:rsidRDefault="00D73EE0" w:rsidP="00695F91">
            <w:pPr>
              <w:spacing w:after="0" w:line="240" w:lineRule="auto"/>
              <w:jc w:val="center"/>
              <w:rPr>
                <w:rFonts w:cs="Arial"/>
                <w:color w:val="000000"/>
                <w:sz w:val="16"/>
                <w:szCs w:val="16"/>
              </w:rPr>
            </w:pPr>
            <w:r w:rsidRPr="00F70F2A">
              <w:rPr>
                <w:rFonts w:cs="Arial"/>
                <w:color w:val="000000"/>
                <w:sz w:val="16"/>
                <w:szCs w:val="16"/>
              </w:rPr>
              <w:t>individuálně integrované v běžných třídách</w:t>
            </w:r>
          </w:p>
        </w:tc>
        <w:tc>
          <w:tcPr>
            <w:tcW w:w="717" w:type="dxa"/>
            <w:tcBorders>
              <w:top w:val="nil"/>
              <w:left w:val="single" w:sz="4" w:space="0" w:color="auto"/>
              <w:bottom w:val="single" w:sz="4" w:space="0" w:color="auto"/>
              <w:right w:val="single" w:sz="4" w:space="0" w:color="auto"/>
            </w:tcBorders>
            <w:shd w:val="clear" w:color="000000" w:fill="F2DDDC"/>
            <w:vAlign w:val="center"/>
            <w:hideMark/>
          </w:tcPr>
          <w:p w:rsidR="00D73EE0" w:rsidRPr="00F70F2A" w:rsidRDefault="00D73EE0" w:rsidP="00695F91">
            <w:pPr>
              <w:spacing w:after="0" w:line="240" w:lineRule="auto"/>
              <w:jc w:val="center"/>
              <w:rPr>
                <w:rFonts w:cs="Arial"/>
                <w:color w:val="000000"/>
                <w:sz w:val="16"/>
                <w:szCs w:val="16"/>
              </w:rPr>
            </w:pPr>
            <w:r w:rsidRPr="00F70F2A">
              <w:rPr>
                <w:rFonts w:cs="Arial"/>
                <w:color w:val="000000"/>
                <w:sz w:val="16"/>
                <w:szCs w:val="16"/>
              </w:rPr>
              <w:t>celkem</w:t>
            </w:r>
          </w:p>
        </w:tc>
        <w:tc>
          <w:tcPr>
            <w:tcW w:w="944" w:type="dxa"/>
            <w:tcBorders>
              <w:top w:val="nil"/>
              <w:left w:val="single" w:sz="4" w:space="0" w:color="auto"/>
              <w:bottom w:val="single" w:sz="4" w:space="0" w:color="auto"/>
              <w:right w:val="single" w:sz="4" w:space="0" w:color="auto"/>
            </w:tcBorders>
            <w:shd w:val="clear" w:color="000000" w:fill="F2DDDC"/>
            <w:vAlign w:val="center"/>
            <w:hideMark/>
          </w:tcPr>
          <w:p w:rsidR="00D73EE0" w:rsidRPr="00F70F2A" w:rsidRDefault="00D73EE0" w:rsidP="00695F91">
            <w:pPr>
              <w:spacing w:after="0" w:line="240" w:lineRule="auto"/>
              <w:jc w:val="center"/>
              <w:rPr>
                <w:rFonts w:cs="Arial"/>
                <w:color w:val="000000"/>
                <w:sz w:val="16"/>
                <w:szCs w:val="16"/>
              </w:rPr>
            </w:pPr>
            <w:r w:rsidRPr="00F70F2A">
              <w:rPr>
                <w:rFonts w:cs="Arial"/>
                <w:color w:val="000000"/>
                <w:sz w:val="16"/>
                <w:szCs w:val="16"/>
              </w:rPr>
              <w:t>ve speciálních třídách</w:t>
            </w:r>
          </w:p>
        </w:tc>
        <w:tc>
          <w:tcPr>
            <w:tcW w:w="996" w:type="dxa"/>
            <w:tcBorders>
              <w:top w:val="nil"/>
              <w:left w:val="single" w:sz="4" w:space="0" w:color="auto"/>
              <w:bottom w:val="single" w:sz="4" w:space="0" w:color="auto"/>
              <w:right w:val="single" w:sz="4" w:space="0" w:color="auto"/>
            </w:tcBorders>
            <w:shd w:val="clear" w:color="000000" w:fill="F2DDDC"/>
            <w:vAlign w:val="center"/>
            <w:hideMark/>
          </w:tcPr>
          <w:p w:rsidR="00D73EE0" w:rsidRPr="00F70F2A" w:rsidRDefault="00D73EE0" w:rsidP="00695F91">
            <w:pPr>
              <w:spacing w:after="0" w:line="240" w:lineRule="auto"/>
              <w:jc w:val="center"/>
              <w:rPr>
                <w:rFonts w:cs="Arial"/>
                <w:color w:val="000000"/>
                <w:sz w:val="16"/>
                <w:szCs w:val="16"/>
              </w:rPr>
            </w:pPr>
            <w:r w:rsidRPr="00F70F2A">
              <w:rPr>
                <w:rFonts w:cs="Arial"/>
                <w:color w:val="000000"/>
                <w:sz w:val="16"/>
                <w:szCs w:val="16"/>
              </w:rPr>
              <w:t>individuálně integrované v běžných třídách</w:t>
            </w:r>
          </w:p>
        </w:tc>
        <w:tc>
          <w:tcPr>
            <w:tcW w:w="740" w:type="dxa"/>
            <w:tcBorders>
              <w:top w:val="single" w:sz="4" w:space="0" w:color="auto"/>
              <w:left w:val="nil"/>
              <w:bottom w:val="single" w:sz="4" w:space="0" w:color="auto"/>
              <w:right w:val="single" w:sz="4" w:space="0" w:color="auto"/>
            </w:tcBorders>
            <w:shd w:val="clear" w:color="000000" w:fill="F2DDDC"/>
            <w:vAlign w:val="center"/>
            <w:hideMark/>
          </w:tcPr>
          <w:p w:rsidR="00D73EE0" w:rsidRPr="00F70F2A" w:rsidRDefault="00D73EE0" w:rsidP="00695F91">
            <w:pPr>
              <w:spacing w:after="0" w:line="240" w:lineRule="auto"/>
              <w:jc w:val="center"/>
              <w:rPr>
                <w:rFonts w:cs="Arial"/>
                <w:color w:val="000000"/>
                <w:sz w:val="16"/>
                <w:szCs w:val="16"/>
              </w:rPr>
            </w:pPr>
            <w:r w:rsidRPr="00F70F2A">
              <w:rPr>
                <w:rFonts w:cs="Arial"/>
                <w:color w:val="000000"/>
                <w:sz w:val="16"/>
                <w:szCs w:val="16"/>
              </w:rPr>
              <w:t>celkem</w:t>
            </w:r>
          </w:p>
        </w:tc>
        <w:tc>
          <w:tcPr>
            <w:tcW w:w="944" w:type="dxa"/>
            <w:tcBorders>
              <w:top w:val="single" w:sz="4" w:space="0" w:color="auto"/>
              <w:left w:val="single" w:sz="4" w:space="0" w:color="auto"/>
              <w:bottom w:val="single" w:sz="4" w:space="0" w:color="auto"/>
              <w:right w:val="single" w:sz="4" w:space="0" w:color="auto"/>
            </w:tcBorders>
            <w:shd w:val="clear" w:color="000000" w:fill="F2DDDC"/>
            <w:vAlign w:val="center"/>
          </w:tcPr>
          <w:p w:rsidR="00D73EE0" w:rsidRPr="00F70F2A" w:rsidRDefault="00D73EE0" w:rsidP="00695F91">
            <w:pPr>
              <w:spacing w:after="0" w:line="240" w:lineRule="auto"/>
              <w:jc w:val="center"/>
              <w:rPr>
                <w:rFonts w:cs="Arial"/>
                <w:color w:val="000000"/>
                <w:sz w:val="16"/>
                <w:szCs w:val="16"/>
              </w:rPr>
            </w:pPr>
            <w:r w:rsidRPr="00F70F2A">
              <w:rPr>
                <w:rFonts w:cs="Arial"/>
                <w:color w:val="000000"/>
                <w:sz w:val="16"/>
                <w:szCs w:val="16"/>
              </w:rPr>
              <w:t>ve speciálních třídách</w:t>
            </w:r>
          </w:p>
        </w:tc>
        <w:tc>
          <w:tcPr>
            <w:tcW w:w="991" w:type="dxa"/>
            <w:tcBorders>
              <w:top w:val="single" w:sz="4" w:space="0" w:color="auto"/>
              <w:left w:val="single" w:sz="4" w:space="0" w:color="auto"/>
              <w:bottom w:val="single" w:sz="4" w:space="0" w:color="auto"/>
            </w:tcBorders>
            <w:shd w:val="clear" w:color="000000" w:fill="F2DDDC"/>
            <w:vAlign w:val="center"/>
          </w:tcPr>
          <w:p w:rsidR="00D73EE0" w:rsidRDefault="00D73EE0" w:rsidP="00695F91">
            <w:pPr>
              <w:spacing w:after="0" w:line="240" w:lineRule="auto"/>
              <w:jc w:val="center"/>
              <w:rPr>
                <w:rFonts w:cs="Arial"/>
                <w:color w:val="000000"/>
                <w:sz w:val="16"/>
                <w:szCs w:val="16"/>
              </w:rPr>
            </w:pPr>
            <w:r w:rsidRPr="00F70F2A">
              <w:rPr>
                <w:rFonts w:cs="Arial"/>
                <w:color w:val="000000"/>
                <w:sz w:val="16"/>
                <w:szCs w:val="16"/>
              </w:rPr>
              <w:t>individuálně integrované v běžných třídách</w:t>
            </w:r>
          </w:p>
          <w:p w:rsidR="00D73EE0" w:rsidRPr="00F70F2A" w:rsidRDefault="00D73EE0" w:rsidP="00695F91">
            <w:pPr>
              <w:spacing w:after="0" w:line="240" w:lineRule="auto"/>
              <w:jc w:val="center"/>
              <w:rPr>
                <w:rFonts w:cs="Arial"/>
                <w:color w:val="000000"/>
                <w:sz w:val="16"/>
                <w:szCs w:val="16"/>
              </w:rPr>
            </w:pPr>
          </w:p>
        </w:tc>
      </w:tr>
      <w:tr w:rsidR="00D73EE0" w:rsidRPr="00F70F2A" w:rsidTr="00D73EE0">
        <w:trPr>
          <w:trHeight w:val="280"/>
          <w:jc w:val="center"/>
        </w:trPr>
        <w:tc>
          <w:tcPr>
            <w:tcW w:w="1867" w:type="dxa"/>
            <w:tcBorders>
              <w:top w:val="single" w:sz="4" w:space="0" w:color="auto"/>
              <w:left w:val="nil"/>
              <w:bottom w:val="nil"/>
              <w:right w:val="single" w:sz="4" w:space="0" w:color="auto"/>
            </w:tcBorders>
            <w:shd w:val="clear" w:color="000000" w:fill="FFFFFF"/>
            <w:vAlign w:val="center"/>
            <w:hideMark/>
          </w:tcPr>
          <w:p w:rsidR="00C62C08" w:rsidRPr="00F70F2A" w:rsidRDefault="00C62C08" w:rsidP="00695F91">
            <w:pPr>
              <w:spacing w:after="0" w:line="240" w:lineRule="auto"/>
              <w:rPr>
                <w:rFonts w:cs="Arial"/>
                <w:b/>
                <w:bCs/>
                <w:color w:val="000000"/>
                <w:sz w:val="16"/>
                <w:szCs w:val="16"/>
              </w:rPr>
            </w:pPr>
            <w:r w:rsidRPr="00F70F2A">
              <w:rPr>
                <w:rFonts w:cs="Arial"/>
                <w:b/>
                <w:bCs/>
                <w:color w:val="000000"/>
                <w:sz w:val="16"/>
                <w:szCs w:val="16"/>
              </w:rPr>
              <w:t>Česká republika</w:t>
            </w:r>
          </w:p>
        </w:tc>
        <w:tc>
          <w:tcPr>
            <w:tcW w:w="717" w:type="dxa"/>
            <w:tcBorders>
              <w:top w:val="nil"/>
              <w:left w:val="nil"/>
              <w:bottom w:val="nil"/>
              <w:right w:val="single" w:sz="4" w:space="0" w:color="auto"/>
            </w:tcBorders>
            <w:shd w:val="clear" w:color="000000" w:fill="FFFFFF"/>
            <w:noWrap/>
            <w:vAlign w:val="bottom"/>
            <w:hideMark/>
          </w:tcPr>
          <w:p w:rsidR="00C62C08" w:rsidRPr="00E13797" w:rsidRDefault="00C62C08" w:rsidP="00695F91">
            <w:pPr>
              <w:spacing w:after="0" w:line="240" w:lineRule="auto"/>
              <w:jc w:val="right"/>
              <w:rPr>
                <w:rFonts w:cs="Arial"/>
                <w:b/>
                <w:color w:val="000000"/>
                <w:sz w:val="16"/>
                <w:szCs w:val="16"/>
              </w:rPr>
            </w:pPr>
            <w:r w:rsidRPr="00E13797">
              <w:rPr>
                <w:rFonts w:cs="Arial"/>
                <w:b/>
                <w:color w:val="000000"/>
                <w:sz w:val="16"/>
                <w:szCs w:val="16"/>
              </w:rPr>
              <w:t>10 788</w:t>
            </w:r>
          </w:p>
        </w:tc>
        <w:tc>
          <w:tcPr>
            <w:tcW w:w="944" w:type="dxa"/>
            <w:tcBorders>
              <w:top w:val="nil"/>
              <w:left w:val="nil"/>
              <w:bottom w:val="nil"/>
              <w:right w:val="single" w:sz="4" w:space="0" w:color="auto"/>
            </w:tcBorders>
            <w:shd w:val="clear" w:color="000000" w:fill="FFFFFF"/>
            <w:noWrap/>
            <w:vAlign w:val="bottom"/>
            <w:hideMark/>
          </w:tcPr>
          <w:p w:rsidR="00C62C08" w:rsidRPr="00E13797" w:rsidRDefault="00C62C08" w:rsidP="00695F91">
            <w:pPr>
              <w:spacing w:after="0" w:line="240" w:lineRule="auto"/>
              <w:jc w:val="right"/>
              <w:rPr>
                <w:rFonts w:cs="Arial"/>
                <w:b/>
                <w:color w:val="000000"/>
                <w:sz w:val="16"/>
                <w:szCs w:val="16"/>
              </w:rPr>
            </w:pPr>
            <w:r w:rsidRPr="00E13797">
              <w:rPr>
                <w:rFonts w:cs="Arial"/>
                <w:b/>
                <w:color w:val="000000"/>
                <w:sz w:val="16"/>
                <w:szCs w:val="16"/>
              </w:rPr>
              <w:t>7 014</w:t>
            </w:r>
          </w:p>
        </w:tc>
        <w:tc>
          <w:tcPr>
            <w:tcW w:w="990" w:type="dxa"/>
            <w:tcBorders>
              <w:top w:val="single" w:sz="4" w:space="0" w:color="auto"/>
              <w:left w:val="nil"/>
              <w:bottom w:val="nil"/>
              <w:right w:val="single" w:sz="4" w:space="0" w:color="auto"/>
            </w:tcBorders>
            <w:shd w:val="clear" w:color="000000" w:fill="FFFFFF"/>
            <w:noWrap/>
            <w:vAlign w:val="bottom"/>
            <w:hideMark/>
          </w:tcPr>
          <w:p w:rsidR="00C62C08" w:rsidRPr="00E13797" w:rsidRDefault="00C62C08" w:rsidP="00695F91">
            <w:pPr>
              <w:spacing w:after="0" w:line="240" w:lineRule="auto"/>
              <w:jc w:val="right"/>
              <w:rPr>
                <w:rFonts w:cs="Arial"/>
                <w:b/>
                <w:color w:val="000000"/>
                <w:sz w:val="16"/>
                <w:szCs w:val="16"/>
              </w:rPr>
            </w:pPr>
            <w:r w:rsidRPr="00E13797">
              <w:rPr>
                <w:rFonts w:cs="Arial"/>
                <w:b/>
                <w:color w:val="000000"/>
                <w:sz w:val="16"/>
                <w:szCs w:val="16"/>
              </w:rPr>
              <w:t>3 774</w:t>
            </w:r>
          </w:p>
        </w:tc>
        <w:tc>
          <w:tcPr>
            <w:tcW w:w="717" w:type="dxa"/>
            <w:tcBorders>
              <w:top w:val="single" w:sz="4" w:space="0" w:color="auto"/>
              <w:left w:val="nil"/>
              <w:bottom w:val="nil"/>
              <w:right w:val="single" w:sz="4" w:space="0" w:color="auto"/>
            </w:tcBorders>
            <w:shd w:val="clear" w:color="000000" w:fill="FFFFFF"/>
            <w:noWrap/>
            <w:vAlign w:val="bottom"/>
            <w:hideMark/>
          </w:tcPr>
          <w:p w:rsidR="00C62C08" w:rsidRPr="00E13797" w:rsidRDefault="00C62C08" w:rsidP="00695F91">
            <w:pPr>
              <w:spacing w:after="0" w:line="240" w:lineRule="auto"/>
              <w:jc w:val="right"/>
              <w:rPr>
                <w:rFonts w:cs="Arial"/>
                <w:b/>
                <w:color w:val="000000"/>
                <w:sz w:val="16"/>
                <w:szCs w:val="16"/>
              </w:rPr>
            </w:pPr>
            <w:r w:rsidRPr="00E13797">
              <w:rPr>
                <w:rFonts w:cs="Arial"/>
                <w:b/>
                <w:color w:val="000000"/>
                <w:sz w:val="16"/>
                <w:szCs w:val="16"/>
              </w:rPr>
              <w:t>8 533</w:t>
            </w:r>
          </w:p>
        </w:tc>
        <w:tc>
          <w:tcPr>
            <w:tcW w:w="944" w:type="dxa"/>
            <w:tcBorders>
              <w:top w:val="single" w:sz="4" w:space="0" w:color="auto"/>
              <w:left w:val="nil"/>
              <w:bottom w:val="nil"/>
              <w:right w:val="single" w:sz="4" w:space="0" w:color="auto"/>
            </w:tcBorders>
            <w:shd w:val="clear" w:color="000000" w:fill="FFFFFF"/>
            <w:noWrap/>
            <w:vAlign w:val="bottom"/>
            <w:hideMark/>
          </w:tcPr>
          <w:p w:rsidR="00C62C08" w:rsidRPr="00E13797" w:rsidRDefault="00C62C08" w:rsidP="00695F91">
            <w:pPr>
              <w:spacing w:after="0" w:line="240" w:lineRule="auto"/>
              <w:jc w:val="right"/>
              <w:rPr>
                <w:rFonts w:cs="Arial"/>
                <w:b/>
                <w:color w:val="000000"/>
                <w:sz w:val="16"/>
                <w:szCs w:val="16"/>
              </w:rPr>
            </w:pPr>
            <w:r w:rsidRPr="00E13797">
              <w:rPr>
                <w:rFonts w:cs="Arial"/>
                <w:b/>
                <w:color w:val="000000"/>
                <w:sz w:val="16"/>
                <w:szCs w:val="16"/>
              </w:rPr>
              <w:t>6 850</w:t>
            </w:r>
          </w:p>
        </w:tc>
        <w:tc>
          <w:tcPr>
            <w:tcW w:w="996" w:type="dxa"/>
            <w:tcBorders>
              <w:top w:val="single" w:sz="4" w:space="0" w:color="auto"/>
              <w:left w:val="nil"/>
              <w:bottom w:val="nil"/>
              <w:right w:val="single" w:sz="4" w:space="0" w:color="auto"/>
            </w:tcBorders>
            <w:shd w:val="clear" w:color="000000" w:fill="FFFFFF"/>
            <w:noWrap/>
            <w:vAlign w:val="bottom"/>
            <w:hideMark/>
          </w:tcPr>
          <w:p w:rsidR="00C62C08" w:rsidRPr="00E13797" w:rsidRDefault="00C62C08" w:rsidP="00695F91">
            <w:pPr>
              <w:spacing w:after="0" w:line="240" w:lineRule="auto"/>
              <w:jc w:val="right"/>
              <w:rPr>
                <w:rFonts w:cs="Arial"/>
                <w:b/>
                <w:color w:val="000000"/>
                <w:sz w:val="16"/>
                <w:szCs w:val="16"/>
              </w:rPr>
            </w:pPr>
            <w:r w:rsidRPr="00E13797">
              <w:rPr>
                <w:rFonts w:cs="Arial"/>
                <w:b/>
                <w:color w:val="000000"/>
                <w:sz w:val="16"/>
                <w:szCs w:val="16"/>
              </w:rPr>
              <w:t>1 683</w:t>
            </w:r>
          </w:p>
        </w:tc>
        <w:tc>
          <w:tcPr>
            <w:tcW w:w="740" w:type="dxa"/>
            <w:tcBorders>
              <w:top w:val="single" w:sz="4" w:space="0" w:color="auto"/>
              <w:left w:val="nil"/>
              <w:bottom w:val="nil"/>
              <w:right w:val="single" w:sz="4" w:space="0" w:color="auto"/>
            </w:tcBorders>
            <w:shd w:val="clear" w:color="000000" w:fill="FFFFFF"/>
            <w:noWrap/>
            <w:vAlign w:val="bottom"/>
            <w:hideMark/>
          </w:tcPr>
          <w:p w:rsidR="00C62C08" w:rsidRPr="00E13797" w:rsidRDefault="00C62C08" w:rsidP="00D73EE0">
            <w:pPr>
              <w:spacing w:after="0" w:line="240" w:lineRule="auto"/>
              <w:jc w:val="right"/>
              <w:rPr>
                <w:rFonts w:cs="Arial"/>
                <w:b/>
                <w:color w:val="000000"/>
                <w:sz w:val="16"/>
                <w:szCs w:val="16"/>
              </w:rPr>
            </w:pPr>
            <w:r w:rsidRPr="00E13797">
              <w:rPr>
                <w:rFonts w:cs="Arial"/>
                <w:b/>
                <w:color w:val="000000"/>
                <w:sz w:val="16"/>
                <w:szCs w:val="16"/>
              </w:rPr>
              <w:t>26,4%</w:t>
            </w:r>
          </w:p>
        </w:tc>
        <w:tc>
          <w:tcPr>
            <w:tcW w:w="944" w:type="dxa"/>
            <w:tcBorders>
              <w:top w:val="single" w:sz="4" w:space="0" w:color="auto"/>
              <w:left w:val="nil"/>
              <w:bottom w:val="nil"/>
              <w:right w:val="single" w:sz="4" w:space="0" w:color="auto"/>
            </w:tcBorders>
            <w:shd w:val="clear" w:color="000000" w:fill="FFFFFF"/>
            <w:noWrap/>
            <w:vAlign w:val="bottom"/>
            <w:hideMark/>
          </w:tcPr>
          <w:p w:rsidR="00C62C08" w:rsidRPr="00E13797" w:rsidRDefault="00D73EE0" w:rsidP="00695F91">
            <w:pPr>
              <w:spacing w:after="0" w:line="240" w:lineRule="auto"/>
              <w:jc w:val="right"/>
              <w:rPr>
                <w:rFonts w:cs="Arial"/>
                <w:b/>
                <w:color w:val="000000"/>
                <w:sz w:val="16"/>
                <w:szCs w:val="16"/>
              </w:rPr>
            </w:pPr>
            <w:r w:rsidRPr="00E13797">
              <w:rPr>
                <w:rFonts w:cs="Arial"/>
                <w:b/>
                <w:color w:val="000000"/>
                <w:sz w:val="16"/>
                <w:szCs w:val="16"/>
              </w:rPr>
              <w:t>2,4</w:t>
            </w:r>
            <w:r w:rsidR="00C62C08" w:rsidRPr="00E13797">
              <w:rPr>
                <w:rFonts w:cs="Arial"/>
                <w:b/>
                <w:color w:val="000000"/>
                <w:sz w:val="16"/>
                <w:szCs w:val="16"/>
              </w:rPr>
              <w:t>%</w:t>
            </w:r>
          </w:p>
        </w:tc>
        <w:tc>
          <w:tcPr>
            <w:tcW w:w="991" w:type="dxa"/>
            <w:tcBorders>
              <w:top w:val="single" w:sz="4" w:space="0" w:color="auto"/>
              <w:left w:val="nil"/>
              <w:bottom w:val="nil"/>
              <w:right w:val="nil"/>
            </w:tcBorders>
            <w:shd w:val="clear" w:color="000000" w:fill="FFFFFF"/>
            <w:noWrap/>
            <w:vAlign w:val="bottom"/>
            <w:hideMark/>
          </w:tcPr>
          <w:p w:rsidR="00C62C08" w:rsidRPr="00E13797" w:rsidRDefault="00D73EE0" w:rsidP="00695F91">
            <w:pPr>
              <w:spacing w:after="0" w:line="240" w:lineRule="auto"/>
              <w:jc w:val="right"/>
              <w:rPr>
                <w:rFonts w:cs="Arial"/>
                <w:b/>
                <w:color w:val="000000"/>
                <w:sz w:val="16"/>
                <w:szCs w:val="16"/>
              </w:rPr>
            </w:pPr>
            <w:r w:rsidRPr="00E13797">
              <w:rPr>
                <w:rFonts w:cs="Arial"/>
                <w:b/>
                <w:color w:val="000000"/>
                <w:sz w:val="16"/>
                <w:szCs w:val="16"/>
              </w:rPr>
              <w:t>124,2</w:t>
            </w:r>
            <w:r w:rsidR="00C62C08" w:rsidRPr="00E13797">
              <w:rPr>
                <w:rFonts w:cs="Arial"/>
                <w:b/>
                <w:color w:val="000000"/>
                <w:sz w:val="16"/>
                <w:szCs w:val="16"/>
              </w:rPr>
              <w:t>%</w:t>
            </w:r>
          </w:p>
        </w:tc>
      </w:tr>
      <w:tr w:rsidR="00D73EE0" w:rsidRPr="00F70F2A" w:rsidTr="00D73EE0">
        <w:trPr>
          <w:trHeight w:val="280"/>
          <w:jc w:val="center"/>
        </w:trPr>
        <w:tc>
          <w:tcPr>
            <w:tcW w:w="1867" w:type="dxa"/>
            <w:tcBorders>
              <w:top w:val="nil"/>
              <w:left w:val="nil"/>
              <w:bottom w:val="nil"/>
              <w:right w:val="single" w:sz="4" w:space="0" w:color="auto"/>
            </w:tcBorders>
            <w:shd w:val="clear" w:color="000000" w:fill="FFFFFF"/>
            <w:vAlign w:val="center"/>
            <w:hideMark/>
          </w:tcPr>
          <w:p w:rsidR="00C62C08" w:rsidRPr="00F70F2A" w:rsidRDefault="00C62C08" w:rsidP="003E66FB">
            <w:pPr>
              <w:spacing w:after="0" w:line="240" w:lineRule="auto"/>
              <w:rPr>
                <w:rFonts w:cs="Arial"/>
                <w:color w:val="000000"/>
                <w:sz w:val="16"/>
                <w:szCs w:val="16"/>
              </w:rPr>
            </w:pPr>
            <w:r w:rsidRPr="00F70F2A">
              <w:rPr>
                <w:rFonts w:cs="Arial"/>
                <w:color w:val="000000"/>
                <w:sz w:val="16"/>
                <w:szCs w:val="16"/>
              </w:rPr>
              <w:t>Hlavní město Praha</w:t>
            </w:r>
          </w:p>
        </w:tc>
        <w:tc>
          <w:tcPr>
            <w:tcW w:w="717"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1 126</w:t>
            </w:r>
          </w:p>
        </w:tc>
        <w:tc>
          <w:tcPr>
            <w:tcW w:w="944"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778</w:t>
            </w:r>
          </w:p>
        </w:tc>
        <w:tc>
          <w:tcPr>
            <w:tcW w:w="990"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348</w:t>
            </w:r>
          </w:p>
        </w:tc>
        <w:tc>
          <w:tcPr>
            <w:tcW w:w="717"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844</w:t>
            </w:r>
          </w:p>
        </w:tc>
        <w:tc>
          <w:tcPr>
            <w:tcW w:w="944"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661</w:t>
            </w:r>
          </w:p>
        </w:tc>
        <w:tc>
          <w:tcPr>
            <w:tcW w:w="996"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183</w:t>
            </w:r>
          </w:p>
        </w:tc>
        <w:tc>
          <w:tcPr>
            <w:tcW w:w="740" w:type="dxa"/>
            <w:tcBorders>
              <w:top w:val="nil"/>
              <w:left w:val="nil"/>
              <w:bottom w:val="nil"/>
              <w:right w:val="single" w:sz="4" w:space="0" w:color="auto"/>
            </w:tcBorders>
            <w:shd w:val="clear" w:color="000000" w:fill="FFFFFF"/>
            <w:noWrap/>
            <w:vAlign w:val="bottom"/>
            <w:hideMark/>
          </w:tcPr>
          <w:p w:rsidR="00C62C08" w:rsidRPr="00F70F2A" w:rsidRDefault="00D73EE0" w:rsidP="00695F91">
            <w:pPr>
              <w:spacing w:after="0" w:line="240" w:lineRule="auto"/>
              <w:jc w:val="right"/>
              <w:rPr>
                <w:rFonts w:cs="Arial"/>
                <w:color w:val="000000"/>
                <w:sz w:val="16"/>
                <w:szCs w:val="16"/>
              </w:rPr>
            </w:pPr>
            <w:r>
              <w:rPr>
                <w:rFonts w:cs="Arial"/>
                <w:color w:val="000000"/>
                <w:sz w:val="16"/>
                <w:szCs w:val="16"/>
              </w:rPr>
              <w:t>33,4</w:t>
            </w:r>
            <w:r w:rsidR="00C62C08" w:rsidRPr="00F70F2A">
              <w:rPr>
                <w:rFonts w:cs="Arial"/>
                <w:color w:val="000000"/>
                <w:sz w:val="16"/>
                <w:szCs w:val="16"/>
              </w:rPr>
              <w:t>%</w:t>
            </w:r>
          </w:p>
        </w:tc>
        <w:tc>
          <w:tcPr>
            <w:tcW w:w="944" w:type="dxa"/>
            <w:tcBorders>
              <w:top w:val="nil"/>
              <w:left w:val="nil"/>
              <w:bottom w:val="nil"/>
              <w:right w:val="single" w:sz="4" w:space="0" w:color="auto"/>
            </w:tcBorders>
            <w:shd w:val="clear" w:color="000000" w:fill="FFFFFF"/>
            <w:noWrap/>
            <w:vAlign w:val="bottom"/>
            <w:hideMark/>
          </w:tcPr>
          <w:p w:rsidR="00C62C08" w:rsidRPr="00F70F2A" w:rsidRDefault="00D73EE0" w:rsidP="00695F91">
            <w:pPr>
              <w:spacing w:after="0" w:line="240" w:lineRule="auto"/>
              <w:jc w:val="right"/>
              <w:rPr>
                <w:rFonts w:cs="Arial"/>
                <w:color w:val="000000"/>
                <w:sz w:val="16"/>
                <w:szCs w:val="16"/>
              </w:rPr>
            </w:pPr>
            <w:r>
              <w:rPr>
                <w:rFonts w:cs="Arial"/>
                <w:color w:val="000000"/>
                <w:sz w:val="16"/>
                <w:szCs w:val="16"/>
              </w:rPr>
              <w:t>17,7</w:t>
            </w:r>
            <w:r w:rsidR="00C62C08" w:rsidRPr="00F70F2A">
              <w:rPr>
                <w:rFonts w:cs="Arial"/>
                <w:color w:val="000000"/>
                <w:sz w:val="16"/>
                <w:szCs w:val="16"/>
              </w:rPr>
              <w:t>%</w:t>
            </w:r>
          </w:p>
        </w:tc>
        <w:tc>
          <w:tcPr>
            <w:tcW w:w="991" w:type="dxa"/>
            <w:tcBorders>
              <w:top w:val="nil"/>
              <w:left w:val="nil"/>
              <w:bottom w:val="nil"/>
              <w:right w:val="nil"/>
            </w:tcBorders>
            <w:shd w:val="clear" w:color="000000" w:fill="FFFFFF"/>
            <w:noWrap/>
            <w:vAlign w:val="bottom"/>
            <w:hideMark/>
          </w:tcPr>
          <w:p w:rsidR="00C62C08" w:rsidRPr="00F70F2A" w:rsidRDefault="00D73EE0" w:rsidP="00695F91">
            <w:pPr>
              <w:spacing w:after="0" w:line="240" w:lineRule="auto"/>
              <w:jc w:val="right"/>
              <w:rPr>
                <w:rFonts w:cs="Arial"/>
                <w:color w:val="000000"/>
                <w:sz w:val="16"/>
                <w:szCs w:val="16"/>
              </w:rPr>
            </w:pPr>
            <w:r>
              <w:rPr>
                <w:rFonts w:cs="Arial"/>
                <w:color w:val="000000"/>
                <w:sz w:val="16"/>
                <w:szCs w:val="16"/>
              </w:rPr>
              <w:t>90,2</w:t>
            </w:r>
            <w:r w:rsidR="00C62C08" w:rsidRPr="00F70F2A">
              <w:rPr>
                <w:rFonts w:cs="Arial"/>
                <w:color w:val="000000"/>
                <w:sz w:val="16"/>
                <w:szCs w:val="16"/>
              </w:rPr>
              <w:t>%</w:t>
            </w:r>
          </w:p>
        </w:tc>
      </w:tr>
      <w:tr w:rsidR="00D73EE0" w:rsidRPr="00F70F2A" w:rsidTr="00D73EE0">
        <w:trPr>
          <w:trHeight w:val="280"/>
          <w:jc w:val="center"/>
        </w:trPr>
        <w:tc>
          <w:tcPr>
            <w:tcW w:w="1867" w:type="dxa"/>
            <w:tcBorders>
              <w:top w:val="nil"/>
              <w:left w:val="nil"/>
              <w:bottom w:val="nil"/>
              <w:right w:val="single" w:sz="4" w:space="0" w:color="auto"/>
            </w:tcBorders>
            <w:shd w:val="clear" w:color="000000" w:fill="FFFFFF"/>
            <w:vAlign w:val="center"/>
            <w:hideMark/>
          </w:tcPr>
          <w:p w:rsidR="00C62C08" w:rsidRPr="00F70F2A" w:rsidRDefault="00C62C08" w:rsidP="003E66FB">
            <w:pPr>
              <w:spacing w:after="0" w:line="240" w:lineRule="auto"/>
              <w:rPr>
                <w:rFonts w:cs="Arial"/>
                <w:color w:val="000000"/>
                <w:sz w:val="16"/>
                <w:szCs w:val="16"/>
              </w:rPr>
            </w:pPr>
            <w:r w:rsidRPr="00F70F2A">
              <w:rPr>
                <w:rFonts w:cs="Arial"/>
                <w:color w:val="000000"/>
                <w:sz w:val="16"/>
                <w:szCs w:val="16"/>
              </w:rPr>
              <w:t>Středočeský kraj</w:t>
            </w:r>
          </w:p>
        </w:tc>
        <w:tc>
          <w:tcPr>
            <w:tcW w:w="717"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848</w:t>
            </w:r>
          </w:p>
        </w:tc>
        <w:tc>
          <w:tcPr>
            <w:tcW w:w="944"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310</w:t>
            </w:r>
          </w:p>
        </w:tc>
        <w:tc>
          <w:tcPr>
            <w:tcW w:w="990"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538</w:t>
            </w:r>
          </w:p>
        </w:tc>
        <w:tc>
          <w:tcPr>
            <w:tcW w:w="717"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476</w:t>
            </w:r>
          </w:p>
        </w:tc>
        <w:tc>
          <w:tcPr>
            <w:tcW w:w="944"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317</w:t>
            </w:r>
          </w:p>
        </w:tc>
        <w:tc>
          <w:tcPr>
            <w:tcW w:w="996"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159</w:t>
            </w:r>
          </w:p>
        </w:tc>
        <w:tc>
          <w:tcPr>
            <w:tcW w:w="740" w:type="dxa"/>
            <w:tcBorders>
              <w:top w:val="nil"/>
              <w:left w:val="nil"/>
              <w:bottom w:val="nil"/>
              <w:right w:val="single" w:sz="4" w:space="0" w:color="auto"/>
            </w:tcBorders>
            <w:shd w:val="clear" w:color="000000" w:fill="FFFFFF"/>
            <w:noWrap/>
            <w:vAlign w:val="bottom"/>
            <w:hideMark/>
          </w:tcPr>
          <w:p w:rsidR="00C62C08" w:rsidRPr="00F70F2A" w:rsidRDefault="00D73EE0" w:rsidP="00695F91">
            <w:pPr>
              <w:spacing w:after="0" w:line="240" w:lineRule="auto"/>
              <w:jc w:val="right"/>
              <w:rPr>
                <w:rFonts w:cs="Arial"/>
                <w:color w:val="000000"/>
                <w:sz w:val="16"/>
                <w:szCs w:val="16"/>
              </w:rPr>
            </w:pPr>
            <w:r>
              <w:rPr>
                <w:rFonts w:cs="Arial"/>
                <w:color w:val="000000"/>
                <w:sz w:val="16"/>
                <w:szCs w:val="16"/>
              </w:rPr>
              <w:t>78,2</w:t>
            </w:r>
            <w:r w:rsidR="00C62C08" w:rsidRPr="00F70F2A">
              <w:rPr>
                <w:rFonts w:cs="Arial"/>
                <w:color w:val="000000"/>
                <w:sz w:val="16"/>
                <w:szCs w:val="16"/>
              </w:rPr>
              <w:t>%</w:t>
            </w:r>
          </w:p>
        </w:tc>
        <w:tc>
          <w:tcPr>
            <w:tcW w:w="944" w:type="dxa"/>
            <w:tcBorders>
              <w:top w:val="nil"/>
              <w:left w:val="nil"/>
              <w:bottom w:val="nil"/>
              <w:right w:val="single" w:sz="4" w:space="0" w:color="auto"/>
            </w:tcBorders>
            <w:shd w:val="clear" w:color="000000" w:fill="FFFFFF"/>
            <w:noWrap/>
            <w:vAlign w:val="bottom"/>
            <w:hideMark/>
          </w:tcPr>
          <w:p w:rsidR="00C62C08" w:rsidRPr="00F70F2A" w:rsidRDefault="00D73EE0" w:rsidP="00695F91">
            <w:pPr>
              <w:spacing w:after="0" w:line="240" w:lineRule="auto"/>
              <w:jc w:val="right"/>
              <w:rPr>
                <w:rFonts w:cs="Arial"/>
                <w:color w:val="000000"/>
                <w:sz w:val="16"/>
                <w:szCs w:val="16"/>
              </w:rPr>
            </w:pPr>
            <w:r>
              <w:rPr>
                <w:rFonts w:cs="Arial"/>
                <w:color w:val="000000"/>
                <w:sz w:val="16"/>
                <w:szCs w:val="16"/>
              </w:rPr>
              <w:t>-2,2</w:t>
            </w:r>
            <w:r w:rsidR="00C62C08" w:rsidRPr="00F70F2A">
              <w:rPr>
                <w:rFonts w:cs="Arial"/>
                <w:color w:val="000000"/>
                <w:sz w:val="16"/>
                <w:szCs w:val="16"/>
              </w:rPr>
              <w:t>%</w:t>
            </w:r>
          </w:p>
        </w:tc>
        <w:tc>
          <w:tcPr>
            <w:tcW w:w="991" w:type="dxa"/>
            <w:tcBorders>
              <w:top w:val="nil"/>
              <w:left w:val="nil"/>
              <w:bottom w:val="nil"/>
              <w:right w:val="nil"/>
            </w:tcBorders>
            <w:shd w:val="clear" w:color="000000" w:fill="FFFFFF"/>
            <w:noWrap/>
            <w:vAlign w:val="bottom"/>
            <w:hideMark/>
          </w:tcPr>
          <w:p w:rsidR="00C62C08" w:rsidRPr="00F70F2A" w:rsidRDefault="00D73EE0" w:rsidP="00695F91">
            <w:pPr>
              <w:spacing w:after="0" w:line="240" w:lineRule="auto"/>
              <w:jc w:val="right"/>
              <w:rPr>
                <w:rFonts w:cs="Arial"/>
                <w:color w:val="000000"/>
                <w:sz w:val="16"/>
                <w:szCs w:val="16"/>
              </w:rPr>
            </w:pPr>
            <w:r>
              <w:rPr>
                <w:rFonts w:cs="Arial"/>
                <w:color w:val="000000"/>
                <w:sz w:val="16"/>
                <w:szCs w:val="16"/>
              </w:rPr>
              <w:t>238,4</w:t>
            </w:r>
            <w:r w:rsidR="00C62C08" w:rsidRPr="00F70F2A">
              <w:rPr>
                <w:rFonts w:cs="Arial"/>
                <w:color w:val="000000"/>
                <w:sz w:val="16"/>
                <w:szCs w:val="16"/>
              </w:rPr>
              <w:t>%</w:t>
            </w:r>
          </w:p>
        </w:tc>
      </w:tr>
      <w:tr w:rsidR="00D73EE0" w:rsidRPr="00F70F2A" w:rsidTr="00D73EE0">
        <w:trPr>
          <w:trHeight w:val="280"/>
          <w:jc w:val="center"/>
        </w:trPr>
        <w:tc>
          <w:tcPr>
            <w:tcW w:w="1867" w:type="dxa"/>
            <w:tcBorders>
              <w:top w:val="nil"/>
              <w:left w:val="nil"/>
              <w:bottom w:val="nil"/>
              <w:right w:val="single" w:sz="4" w:space="0" w:color="auto"/>
            </w:tcBorders>
            <w:shd w:val="clear" w:color="000000" w:fill="FFFFFF"/>
            <w:vAlign w:val="center"/>
            <w:hideMark/>
          </w:tcPr>
          <w:p w:rsidR="00C62C08" w:rsidRPr="00F70F2A" w:rsidRDefault="00C62C08" w:rsidP="003E66FB">
            <w:pPr>
              <w:spacing w:after="0" w:line="240" w:lineRule="auto"/>
              <w:rPr>
                <w:rFonts w:cs="Arial"/>
                <w:color w:val="000000"/>
                <w:sz w:val="16"/>
                <w:szCs w:val="16"/>
              </w:rPr>
            </w:pPr>
            <w:r w:rsidRPr="00F70F2A">
              <w:rPr>
                <w:rFonts w:cs="Arial"/>
                <w:color w:val="000000"/>
                <w:sz w:val="16"/>
                <w:szCs w:val="16"/>
              </w:rPr>
              <w:t>Jihočeský kraj</w:t>
            </w:r>
          </w:p>
        </w:tc>
        <w:tc>
          <w:tcPr>
            <w:tcW w:w="717"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476</w:t>
            </w:r>
          </w:p>
        </w:tc>
        <w:tc>
          <w:tcPr>
            <w:tcW w:w="944"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282</w:t>
            </w:r>
          </w:p>
        </w:tc>
        <w:tc>
          <w:tcPr>
            <w:tcW w:w="990"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194</w:t>
            </w:r>
          </w:p>
        </w:tc>
        <w:tc>
          <w:tcPr>
            <w:tcW w:w="717"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341</w:t>
            </w:r>
          </w:p>
        </w:tc>
        <w:tc>
          <w:tcPr>
            <w:tcW w:w="944"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202</w:t>
            </w:r>
          </w:p>
        </w:tc>
        <w:tc>
          <w:tcPr>
            <w:tcW w:w="996"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139</w:t>
            </w:r>
          </w:p>
        </w:tc>
        <w:tc>
          <w:tcPr>
            <w:tcW w:w="740" w:type="dxa"/>
            <w:tcBorders>
              <w:top w:val="nil"/>
              <w:left w:val="nil"/>
              <w:bottom w:val="nil"/>
              <w:right w:val="single" w:sz="4" w:space="0" w:color="auto"/>
            </w:tcBorders>
            <w:shd w:val="clear" w:color="000000" w:fill="FFFFFF"/>
            <w:noWrap/>
            <w:vAlign w:val="bottom"/>
            <w:hideMark/>
          </w:tcPr>
          <w:p w:rsidR="00C62C08" w:rsidRPr="00F70F2A" w:rsidRDefault="00D73EE0" w:rsidP="00695F91">
            <w:pPr>
              <w:spacing w:after="0" w:line="240" w:lineRule="auto"/>
              <w:jc w:val="right"/>
              <w:rPr>
                <w:rFonts w:cs="Arial"/>
                <w:color w:val="000000"/>
                <w:sz w:val="16"/>
                <w:szCs w:val="16"/>
              </w:rPr>
            </w:pPr>
            <w:r>
              <w:rPr>
                <w:rFonts w:cs="Arial"/>
                <w:color w:val="000000"/>
                <w:sz w:val="16"/>
                <w:szCs w:val="16"/>
              </w:rPr>
              <w:t>39,6</w:t>
            </w:r>
            <w:r w:rsidR="00C62C08" w:rsidRPr="00F70F2A">
              <w:rPr>
                <w:rFonts w:cs="Arial"/>
                <w:color w:val="000000"/>
                <w:sz w:val="16"/>
                <w:szCs w:val="16"/>
              </w:rPr>
              <w:t>%</w:t>
            </w:r>
          </w:p>
        </w:tc>
        <w:tc>
          <w:tcPr>
            <w:tcW w:w="944" w:type="dxa"/>
            <w:tcBorders>
              <w:top w:val="nil"/>
              <w:left w:val="nil"/>
              <w:bottom w:val="nil"/>
              <w:right w:val="single" w:sz="4" w:space="0" w:color="auto"/>
            </w:tcBorders>
            <w:shd w:val="clear" w:color="000000" w:fill="FFFFFF"/>
            <w:noWrap/>
            <w:vAlign w:val="bottom"/>
            <w:hideMark/>
          </w:tcPr>
          <w:p w:rsidR="00C62C08" w:rsidRPr="00F70F2A" w:rsidRDefault="00D73EE0" w:rsidP="00695F91">
            <w:pPr>
              <w:spacing w:after="0" w:line="240" w:lineRule="auto"/>
              <w:jc w:val="right"/>
              <w:rPr>
                <w:rFonts w:cs="Arial"/>
                <w:color w:val="000000"/>
                <w:sz w:val="16"/>
                <w:szCs w:val="16"/>
              </w:rPr>
            </w:pPr>
            <w:r>
              <w:rPr>
                <w:rFonts w:cs="Arial"/>
                <w:color w:val="000000"/>
                <w:sz w:val="16"/>
                <w:szCs w:val="16"/>
              </w:rPr>
              <w:t>39,6</w:t>
            </w:r>
            <w:r w:rsidR="00C62C08" w:rsidRPr="00F70F2A">
              <w:rPr>
                <w:rFonts w:cs="Arial"/>
                <w:color w:val="000000"/>
                <w:sz w:val="16"/>
                <w:szCs w:val="16"/>
              </w:rPr>
              <w:t>%</w:t>
            </w:r>
          </w:p>
        </w:tc>
        <w:tc>
          <w:tcPr>
            <w:tcW w:w="991" w:type="dxa"/>
            <w:tcBorders>
              <w:top w:val="nil"/>
              <w:left w:val="nil"/>
              <w:bottom w:val="nil"/>
              <w:right w:val="nil"/>
            </w:tcBorders>
            <w:shd w:val="clear" w:color="000000" w:fill="FFFFFF"/>
            <w:noWrap/>
            <w:vAlign w:val="bottom"/>
            <w:hideMark/>
          </w:tcPr>
          <w:p w:rsidR="00C62C08" w:rsidRPr="00F70F2A" w:rsidRDefault="00D73EE0" w:rsidP="00695F91">
            <w:pPr>
              <w:spacing w:after="0" w:line="240" w:lineRule="auto"/>
              <w:jc w:val="right"/>
              <w:rPr>
                <w:rFonts w:cs="Arial"/>
                <w:color w:val="000000"/>
                <w:sz w:val="16"/>
                <w:szCs w:val="16"/>
              </w:rPr>
            </w:pPr>
            <w:r>
              <w:rPr>
                <w:rFonts w:cs="Arial"/>
                <w:color w:val="000000"/>
                <w:sz w:val="16"/>
                <w:szCs w:val="16"/>
              </w:rPr>
              <w:t>39,6</w:t>
            </w:r>
            <w:r w:rsidR="00C62C08" w:rsidRPr="00F70F2A">
              <w:rPr>
                <w:rFonts w:cs="Arial"/>
                <w:color w:val="000000"/>
                <w:sz w:val="16"/>
                <w:szCs w:val="16"/>
              </w:rPr>
              <w:t>%</w:t>
            </w:r>
          </w:p>
        </w:tc>
      </w:tr>
      <w:tr w:rsidR="00D73EE0" w:rsidRPr="00F70F2A" w:rsidTr="00D73EE0">
        <w:trPr>
          <w:trHeight w:val="280"/>
          <w:jc w:val="center"/>
        </w:trPr>
        <w:tc>
          <w:tcPr>
            <w:tcW w:w="1867" w:type="dxa"/>
            <w:tcBorders>
              <w:top w:val="nil"/>
              <w:left w:val="nil"/>
              <w:bottom w:val="nil"/>
              <w:right w:val="single" w:sz="4" w:space="0" w:color="auto"/>
            </w:tcBorders>
            <w:shd w:val="clear" w:color="000000" w:fill="FFFFFF"/>
            <w:vAlign w:val="center"/>
            <w:hideMark/>
          </w:tcPr>
          <w:p w:rsidR="00C62C08" w:rsidRPr="00F70F2A" w:rsidRDefault="00C62C08" w:rsidP="003E66FB">
            <w:pPr>
              <w:spacing w:after="0" w:line="240" w:lineRule="auto"/>
              <w:rPr>
                <w:rFonts w:cs="Arial"/>
                <w:color w:val="000000"/>
                <w:sz w:val="16"/>
                <w:szCs w:val="16"/>
              </w:rPr>
            </w:pPr>
            <w:r w:rsidRPr="00F70F2A">
              <w:rPr>
                <w:rFonts w:cs="Arial"/>
                <w:color w:val="000000"/>
                <w:sz w:val="16"/>
                <w:szCs w:val="16"/>
              </w:rPr>
              <w:t>Plzeňský kraj</w:t>
            </w:r>
          </w:p>
        </w:tc>
        <w:tc>
          <w:tcPr>
            <w:tcW w:w="717"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486</w:t>
            </w:r>
          </w:p>
        </w:tc>
        <w:tc>
          <w:tcPr>
            <w:tcW w:w="944"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276</w:t>
            </w:r>
          </w:p>
        </w:tc>
        <w:tc>
          <w:tcPr>
            <w:tcW w:w="990"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210</w:t>
            </w:r>
          </w:p>
        </w:tc>
        <w:tc>
          <w:tcPr>
            <w:tcW w:w="717"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428</w:t>
            </w:r>
          </w:p>
        </w:tc>
        <w:tc>
          <w:tcPr>
            <w:tcW w:w="944"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344</w:t>
            </w:r>
          </w:p>
        </w:tc>
        <w:tc>
          <w:tcPr>
            <w:tcW w:w="996"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84</w:t>
            </w:r>
          </w:p>
        </w:tc>
        <w:tc>
          <w:tcPr>
            <w:tcW w:w="740" w:type="dxa"/>
            <w:tcBorders>
              <w:top w:val="nil"/>
              <w:left w:val="nil"/>
              <w:bottom w:val="nil"/>
              <w:right w:val="single" w:sz="4" w:space="0" w:color="auto"/>
            </w:tcBorders>
            <w:shd w:val="clear" w:color="000000" w:fill="FFFFFF"/>
            <w:noWrap/>
            <w:vAlign w:val="bottom"/>
            <w:hideMark/>
          </w:tcPr>
          <w:p w:rsidR="00C62C08" w:rsidRPr="00F70F2A" w:rsidRDefault="00D73EE0" w:rsidP="00695F91">
            <w:pPr>
              <w:spacing w:after="0" w:line="240" w:lineRule="auto"/>
              <w:jc w:val="right"/>
              <w:rPr>
                <w:rFonts w:cs="Arial"/>
                <w:color w:val="000000"/>
                <w:sz w:val="16"/>
                <w:szCs w:val="16"/>
              </w:rPr>
            </w:pPr>
            <w:r>
              <w:rPr>
                <w:rFonts w:cs="Arial"/>
                <w:color w:val="000000"/>
                <w:sz w:val="16"/>
                <w:szCs w:val="16"/>
              </w:rPr>
              <w:t>13,6</w:t>
            </w:r>
            <w:r w:rsidR="00C62C08" w:rsidRPr="00F70F2A">
              <w:rPr>
                <w:rFonts w:cs="Arial"/>
                <w:color w:val="000000"/>
                <w:sz w:val="16"/>
                <w:szCs w:val="16"/>
              </w:rPr>
              <w:t>%</w:t>
            </w:r>
          </w:p>
        </w:tc>
        <w:tc>
          <w:tcPr>
            <w:tcW w:w="944" w:type="dxa"/>
            <w:tcBorders>
              <w:top w:val="nil"/>
              <w:left w:val="nil"/>
              <w:bottom w:val="nil"/>
              <w:right w:val="single" w:sz="4" w:space="0" w:color="auto"/>
            </w:tcBorders>
            <w:shd w:val="clear" w:color="000000" w:fill="FFFFFF"/>
            <w:noWrap/>
            <w:vAlign w:val="bottom"/>
            <w:hideMark/>
          </w:tcPr>
          <w:p w:rsidR="00C62C08" w:rsidRPr="00F70F2A" w:rsidRDefault="00D73EE0" w:rsidP="00695F91">
            <w:pPr>
              <w:spacing w:after="0" w:line="240" w:lineRule="auto"/>
              <w:jc w:val="right"/>
              <w:rPr>
                <w:rFonts w:cs="Arial"/>
                <w:color w:val="000000"/>
                <w:sz w:val="16"/>
                <w:szCs w:val="16"/>
              </w:rPr>
            </w:pPr>
            <w:r>
              <w:rPr>
                <w:rFonts w:cs="Arial"/>
                <w:color w:val="000000"/>
                <w:sz w:val="16"/>
                <w:szCs w:val="16"/>
              </w:rPr>
              <w:t>-19,8</w:t>
            </w:r>
            <w:r w:rsidR="00C62C08" w:rsidRPr="00F70F2A">
              <w:rPr>
                <w:rFonts w:cs="Arial"/>
                <w:color w:val="000000"/>
                <w:sz w:val="16"/>
                <w:szCs w:val="16"/>
              </w:rPr>
              <w:t>%</w:t>
            </w:r>
          </w:p>
        </w:tc>
        <w:tc>
          <w:tcPr>
            <w:tcW w:w="991" w:type="dxa"/>
            <w:tcBorders>
              <w:top w:val="nil"/>
              <w:left w:val="nil"/>
              <w:bottom w:val="nil"/>
              <w:right w:val="nil"/>
            </w:tcBorders>
            <w:shd w:val="clear" w:color="000000" w:fill="FFFFFF"/>
            <w:noWrap/>
            <w:vAlign w:val="bottom"/>
            <w:hideMark/>
          </w:tcPr>
          <w:p w:rsidR="00C62C08" w:rsidRPr="00F70F2A" w:rsidRDefault="00D73EE0" w:rsidP="00695F91">
            <w:pPr>
              <w:spacing w:after="0" w:line="240" w:lineRule="auto"/>
              <w:jc w:val="right"/>
              <w:rPr>
                <w:rFonts w:cs="Arial"/>
                <w:color w:val="000000"/>
                <w:sz w:val="16"/>
                <w:szCs w:val="16"/>
              </w:rPr>
            </w:pPr>
            <w:r>
              <w:rPr>
                <w:rFonts w:cs="Arial"/>
                <w:color w:val="000000"/>
                <w:sz w:val="16"/>
                <w:szCs w:val="16"/>
              </w:rPr>
              <w:t>150,0</w:t>
            </w:r>
            <w:r w:rsidR="00C62C08" w:rsidRPr="00F70F2A">
              <w:rPr>
                <w:rFonts w:cs="Arial"/>
                <w:color w:val="000000"/>
                <w:sz w:val="16"/>
                <w:szCs w:val="16"/>
              </w:rPr>
              <w:t>%</w:t>
            </w:r>
          </w:p>
        </w:tc>
      </w:tr>
      <w:tr w:rsidR="00D73EE0" w:rsidRPr="00F70F2A" w:rsidTr="00D73EE0">
        <w:trPr>
          <w:trHeight w:val="280"/>
          <w:jc w:val="center"/>
        </w:trPr>
        <w:tc>
          <w:tcPr>
            <w:tcW w:w="1867" w:type="dxa"/>
            <w:tcBorders>
              <w:top w:val="nil"/>
              <w:left w:val="nil"/>
              <w:bottom w:val="nil"/>
              <w:right w:val="single" w:sz="4" w:space="0" w:color="auto"/>
            </w:tcBorders>
            <w:shd w:val="clear" w:color="000000" w:fill="FFFFFF"/>
            <w:vAlign w:val="center"/>
            <w:hideMark/>
          </w:tcPr>
          <w:p w:rsidR="00C62C08" w:rsidRPr="00F70F2A" w:rsidRDefault="00C62C08" w:rsidP="003E66FB">
            <w:pPr>
              <w:spacing w:after="0" w:line="240" w:lineRule="auto"/>
              <w:rPr>
                <w:rFonts w:cs="Arial"/>
                <w:color w:val="000000"/>
                <w:sz w:val="16"/>
                <w:szCs w:val="16"/>
              </w:rPr>
            </w:pPr>
            <w:r w:rsidRPr="00F70F2A">
              <w:rPr>
                <w:rFonts w:cs="Arial"/>
                <w:color w:val="000000"/>
                <w:sz w:val="16"/>
                <w:szCs w:val="16"/>
              </w:rPr>
              <w:t>Karlovarský kraj</w:t>
            </w:r>
          </w:p>
        </w:tc>
        <w:tc>
          <w:tcPr>
            <w:tcW w:w="717"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210</w:t>
            </w:r>
          </w:p>
        </w:tc>
        <w:tc>
          <w:tcPr>
            <w:tcW w:w="944"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104</w:t>
            </w:r>
          </w:p>
        </w:tc>
        <w:tc>
          <w:tcPr>
            <w:tcW w:w="990"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106</w:t>
            </w:r>
          </w:p>
        </w:tc>
        <w:tc>
          <w:tcPr>
            <w:tcW w:w="717"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197</w:t>
            </w:r>
          </w:p>
        </w:tc>
        <w:tc>
          <w:tcPr>
            <w:tcW w:w="944"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162</w:t>
            </w:r>
          </w:p>
        </w:tc>
        <w:tc>
          <w:tcPr>
            <w:tcW w:w="996"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35</w:t>
            </w:r>
          </w:p>
        </w:tc>
        <w:tc>
          <w:tcPr>
            <w:tcW w:w="740" w:type="dxa"/>
            <w:tcBorders>
              <w:top w:val="nil"/>
              <w:left w:val="nil"/>
              <w:bottom w:val="nil"/>
              <w:right w:val="single" w:sz="4" w:space="0" w:color="auto"/>
            </w:tcBorders>
            <w:shd w:val="clear" w:color="000000" w:fill="FFFFFF"/>
            <w:noWrap/>
            <w:vAlign w:val="bottom"/>
            <w:hideMark/>
          </w:tcPr>
          <w:p w:rsidR="00C62C08" w:rsidRPr="00F70F2A" w:rsidRDefault="00D73EE0" w:rsidP="00695F91">
            <w:pPr>
              <w:spacing w:after="0" w:line="240" w:lineRule="auto"/>
              <w:jc w:val="right"/>
              <w:rPr>
                <w:rFonts w:cs="Arial"/>
                <w:color w:val="000000"/>
                <w:sz w:val="16"/>
                <w:szCs w:val="16"/>
              </w:rPr>
            </w:pPr>
            <w:r>
              <w:rPr>
                <w:rFonts w:cs="Arial"/>
                <w:color w:val="000000"/>
                <w:sz w:val="16"/>
                <w:szCs w:val="16"/>
              </w:rPr>
              <w:t>6,6</w:t>
            </w:r>
            <w:r w:rsidR="00C62C08" w:rsidRPr="00F70F2A">
              <w:rPr>
                <w:rFonts w:cs="Arial"/>
                <w:color w:val="000000"/>
                <w:sz w:val="16"/>
                <w:szCs w:val="16"/>
              </w:rPr>
              <w:t>%</w:t>
            </w:r>
          </w:p>
        </w:tc>
        <w:tc>
          <w:tcPr>
            <w:tcW w:w="944" w:type="dxa"/>
            <w:tcBorders>
              <w:top w:val="nil"/>
              <w:left w:val="nil"/>
              <w:bottom w:val="nil"/>
              <w:right w:val="single" w:sz="4" w:space="0" w:color="auto"/>
            </w:tcBorders>
            <w:shd w:val="clear" w:color="000000" w:fill="FFFFFF"/>
            <w:noWrap/>
            <w:vAlign w:val="bottom"/>
            <w:hideMark/>
          </w:tcPr>
          <w:p w:rsidR="00C62C08" w:rsidRPr="00F70F2A" w:rsidRDefault="00D73EE0" w:rsidP="00695F91">
            <w:pPr>
              <w:spacing w:after="0" w:line="240" w:lineRule="auto"/>
              <w:jc w:val="right"/>
              <w:rPr>
                <w:rFonts w:cs="Arial"/>
                <w:color w:val="000000"/>
                <w:sz w:val="16"/>
                <w:szCs w:val="16"/>
              </w:rPr>
            </w:pPr>
            <w:r>
              <w:rPr>
                <w:rFonts w:cs="Arial"/>
                <w:color w:val="000000"/>
                <w:sz w:val="16"/>
                <w:szCs w:val="16"/>
              </w:rPr>
              <w:t>-35,8</w:t>
            </w:r>
            <w:r w:rsidR="00C62C08" w:rsidRPr="00F70F2A">
              <w:rPr>
                <w:rFonts w:cs="Arial"/>
                <w:color w:val="000000"/>
                <w:sz w:val="16"/>
                <w:szCs w:val="16"/>
              </w:rPr>
              <w:t>%</w:t>
            </w:r>
          </w:p>
        </w:tc>
        <w:tc>
          <w:tcPr>
            <w:tcW w:w="991" w:type="dxa"/>
            <w:tcBorders>
              <w:top w:val="nil"/>
              <w:left w:val="nil"/>
              <w:bottom w:val="nil"/>
              <w:right w:val="nil"/>
            </w:tcBorders>
            <w:shd w:val="clear" w:color="000000" w:fill="FFFFFF"/>
            <w:noWrap/>
            <w:vAlign w:val="bottom"/>
            <w:hideMark/>
          </w:tcPr>
          <w:p w:rsidR="00C62C08" w:rsidRPr="00F70F2A" w:rsidRDefault="00D73EE0" w:rsidP="00695F91">
            <w:pPr>
              <w:spacing w:after="0" w:line="240" w:lineRule="auto"/>
              <w:jc w:val="right"/>
              <w:rPr>
                <w:rFonts w:cs="Arial"/>
                <w:color w:val="000000"/>
                <w:sz w:val="16"/>
                <w:szCs w:val="16"/>
              </w:rPr>
            </w:pPr>
            <w:r>
              <w:rPr>
                <w:rFonts w:cs="Arial"/>
                <w:color w:val="000000"/>
                <w:sz w:val="16"/>
                <w:szCs w:val="16"/>
              </w:rPr>
              <w:t>202,9</w:t>
            </w:r>
            <w:r w:rsidR="00C62C08" w:rsidRPr="00F70F2A">
              <w:rPr>
                <w:rFonts w:cs="Arial"/>
                <w:color w:val="000000"/>
                <w:sz w:val="16"/>
                <w:szCs w:val="16"/>
              </w:rPr>
              <w:t>%</w:t>
            </w:r>
          </w:p>
        </w:tc>
      </w:tr>
      <w:tr w:rsidR="00D73EE0" w:rsidRPr="00F70F2A" w:rsidTr="00D73EE0">
        <w:trPr>
          <w:trHeight w:val="280"/>
          <w:jc w:val="center"/>
        </w:trPr>
        <w:tc>
          <w:tcPr>
            <w:tcW w:w="1867" w:type="dxa"/>
            <w:tcBorders>
              <w:top w:val="nil"/>
              <w:left w:val="nil"/>
              <w:bottom w:val="nil"/>
              <w:right w:val="single" w:sz="4" w:space="0" w:color="auto"/>
            </w:tcBorders>
            <w:shd w:val="clear" w:color="000000" w:fill="FFFFFF"/>
            <w:vAlign w:val="center"/>
            <w:hideMark/>
          </w:tcPr>
          <w:p w:rsidR="00C62C08" w:rsidRPr="00F70F2A" w:rsidRDefault="00C62C08" w:rsidP="003E66FB">
            <w:pPr>
              <w:spacing w:after="0" w:line="240" w:lineRule="auto"/>
              <w:rPr>
                <w:rFonts w:cs="Arial"/>
                <w:color w:val="000000"/>
                <w:sz w:val="16"/>
                <w:szCs w:val="16"/>
              </w:rPr>
            </w:pPr>
            <w:r w:rsidRPr="00F70F2A">
              <w:rPr>
                <w:rFonts w:cs="Arial"/>
                <w:color w:val="000000"/>
                <w:sz w:val="16"/>
                <w:szCs w:val="16"/>
              </w:rPr>
              <w:t>Ústecký kraj</w:t>
            </w:r>
          </w:p>
        </w:tc>
        <w:tc>
          <w:tcPr>
            <w:tcW w:w="717"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970</w:t>
            </w:r>
          </w:p>
        </w:tc>
        <w:tc>
          <w:tcPr>
            <w:tcW w:w="944"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598</w:t>
            </w:r>
          </w:p>
        </w:tc>
        <w:tc>
          <w:tcPr>
            <w:tcW w:w="990"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372</w:t>
            </w:r>
          </w:p>
        </w:tc>
        <w:tc>
          <w:tcPr>
            <w:tcW w:w="717"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740</w:t>
            </w:r>
          </w:p>
        </w:tc>
        <w:tc>
          <w:tcPr>
            <w:tcW w:w="944"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661</w:t>
            </w:r>
          </w:p>
        </w:tc>
        <w:tc>
          <w:tcPr>
            <w:tcW w:w="996"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79</w:t>
            </w:r>
          </w:p>
        </w:tc>
        <w:tc>
          <w:tcPr>
            <w:tcW w:w="740" w:type="dxa"/>
            <w:tcBorders>
              <w:top w:val="nil"/>
              <w:left w:val="nil"/>
              <w:bottom w:val="nil"/>
              <w:right w:val="single" w:sz="4" w:space="0" w:color="auto"/>
            </w:tcBorders>
            <w:shd w:val="clear" w:color="000000" w:fill="FFFFFF"/>
            <w:noWrap/>
            <w:vAlign w:val="bottom"/>
            <w:hideMark/>
          </w:tcPr>
          <w:p w:rsidR="00C62C08" w:rsidRPr="00F70F2A" w:rsidRDefault="00D73EE0" w:rsidP="00695F91">
            <w:pPr>
              <w:spacing w:after="0" w:line="240" w:lineRule="auto"/>
              <w:jc w:val="right"/>
              <w:rPr>
                <w:rFonts w:cs="Arial"/>
                <w:color w:val="000000"/>
                <w:sz w:val="16"/>
                <w:szCs w:val="16"/>
              </w:rPr>
            </w:pPr>
            <w:r>
              <w:rPr>
                <w:rFonts w:cs="Arial"/>
                <w:color w:val="000000"/>
                <w:sz w:val="16"/>
                <w:szCs w:val="16"/>
              </w:rPr>
              <w:t>31,1</w:t>
            </w:r>
            <w:r w:rsidR="00C62C08" w:rsidRPr="00F70F2A">
              <w:rPr>
                <w:rFonts w:cs="Arial"/>
                <w:color w:val="000000"/>
                <w:sz w:val="16"/>
                <w:szCs w:val="16"/>
              </w:rPr>
              <w:t>%</w:t>
            </w:r>
          </w:p>
        </w:tc>
        <w:tc>
          <w:tcPr>
            <w:tcW w:w="944" w:type="dxa"/>
            <w:tcBorders>
              <w:top w:val="nil"/>
              <w:left w:val="nil"/>
              <w:bottom w:val="nil"/>
              <w:right w:val="single" w:sz="4" w:space="0" w:color="auto"/>
            </w:tcBorders>
            <w:shd w:val="clear" w:color="000000" w:fill="FFFFFF"/>
            <w:noWrap/>
            <w:vAlign w:val="bottom"/>
            <w:hideMark/>
          </w:tcPr>
          <w:p w:rsidR="00C62C08" w:rsidRPr="00F70F2A" w:rsidRDefault="00D73EE0" w:rsidP="00695F91">
            <w:pPr>
              <w:spacing w:after="0" w:line="240" w:lineRule="auto"/>
              <w:jc w:val="right"/>
              <w:rPr>
                <w:rFonts w:cs="Arial"/>
                <w:color w:val="000000"/>
                <w:sz w:val="16"/>
                <w:szCs w:val="16"/>
              </w:rPr>
            </w:pPr>
            <w:r>
              <w:rPr>
                <w:rFonts w:cs="Arial"/>
                <w:color w:val="000000"/>
                <w:sz w:val="16"/>
                <w:szCs w:val="16"/>
              </w:rPr>
              <w:t>-9,5</w:t>
            </w:r>
            <w:r w:rsidR="00C62C08" w:rsidRPr="00F70F2A">
              <w:rPr>
                <w:rFonts w:cs="Arial"/>
                <w:color w:val="000000"/>
                <w:sz w:val="16"/>
                <w:szCs w:val="16"/>
              </w:rPr>
              <w:t>%</w:t>
            </w:r>
          </w:p>
        </w:tc>
        <w:tc>
          <w:tcPr>
            <w:tcW w:w="991" w:type="dxa"/>
            <w:tcBorders>
              <w:top w:val="nil"/>
              <w:left w:val="nil"/>
              <w:bottom w:val="nil"/>
              <w:right w:val="nil"/>
            </w:tcBorders>
            <w:shd w:val="clear" w:color="000000" w:fill="FFFFFF"/>
            <w:noWrap/>
            <w:vAlign w:val="bottom"/>
            <w:hideMark/>
          </w:tcPr>
          <w:p w:rsidR="00C62C08" w:rsidRPr="00F70F2A" w:rsidRDefault="00D73EE0" w:rsidP="00695F91">
            <w:pPr>
              <w:spacing w:after="0" w:line="240" w:lineRule="auto"/>
              <w:jc w:val="right"/>
              <w:rPr>
                <w:rFonts w:cs="Arial"/>
                <w:color w:val="000000"/>
                <w:sz w:val="16"/>
                <w:szCs w:val="16"/>
              </w:rPr>
            </w:pPr>
            <w:r>
              <w:rPr>
                <w:rFonts w:cs="Arial"/>
                <w:color w:val="000000"/>
                <w:sz w:val="16"/>
                <w:szCs w:val="16"/>
              </w:rPr>
              <w:t>370,9</w:t>
            </w:r>
            <w:r w:rsidR="00C62C08" w:rsidRPr="00F70F2A">
              <w:rPr>
                <w:rFonts w:cs="Arial"/>
                <w:color w:val="000000"/>
                <w:sz w:val="16"/>
                <w:szCs w:val="16"/>
              </w:rPr>
              <w:t>%</w:t>
            </w:r>
          </w:p>
        </w:tc>
      </w:tr>
      <w:tr w:rsidR="00D73EE0" w:rsidRPr="00F70F2A" w:rsidTr="00D73EE0">
        <w:trPr>
          <w:trHeight w:val="280"/>
          <w:jc w:val="center"/>
        </w:trPr>
        <w:tc>
          <w:tcPr>
            <w:tcW w:w="1867" w:type="dxa"/>
            <w:tcBorders>
              <w:top w:val="nil"/>
              <w:left w:val="nil"/>
              <w:bottom w:val="nil"/>
              <w:right w:val="single" w:sz="4" w:space="0" w:color="auto"/>
            </w:tcBorders>
            <w:shd w:val="clear" w:color="000000" w:fill="FFFFFF"/>
            <w:vAlign w:val="center"/>
            <w:hideMark/>
          </w:tcPr>
          <w:p w:rsidR="00C62C08" w:rsidRPr="00F70F2A" w:rsidRDefault="00C62C08" w:rsidP="003E66FB">
            <w:pPr>
              <w:spacing w:after="0" w:line="240" w:lineRule="auto"/>
              <w:rPr>
                <w:rFonts w:cs="Arial"/>
                <w:color w:val="000000"/>
                <w:sz w:val="16"/>
                <w:szCs w:val="16"/>
              </w:rPr>
            </w:pPr>
            <w:r w:rsidRPr="00F70F2A">
              <w:rPr>
                <w:rFonts w:cs="Arial"/>
                <w:color w:val="000000"/>
                <w:sz w:val="16"/>
                <w:szCs w:val="16"/>
              </w:rPr>
              <w:t>Liberecký kraj</w:t>
            </w:r>
          </w:p>
        </w:tc>
        <w:tc>
          <w:tcPr>
            <w:tcW w:w="717"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506</w:t>
            </w:r>
          </w:p>
        </w:tc>
        <w:tc>
          <w:tcPr>
            <w:tcW w:w="944"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386</w:t>
            </w:r>
          </w:p>
        </w:tc>
        <w:tc>
          <w:tcPr>
            <w:tcW w:w="990"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120</w:t>
            </w:r>
          </w:p>
        </w:tc>
        <w:tc>
          <w:tcPr>
            <w:tcW w:w="717"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645</w:t>
            </w:r>
          </w:p>
        </w:tc>
        <w:tc>
          <w:tcPr>
            <w:tcW w:w="944"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489</w:t>
            </w:r>
          </w:p>
        </w:tc>
        <w:tc>
          <w:tcPr>
            <w:tcW w:w="996"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156</w:t>
            </w:r>
          </w:p>
        </w:tc>
        <w:tc>
          <w:tcPr>
            <w:tcW w:w="740" w:type="dxa"/>
            <w:tcBorders>
              <w:top w:val="nil"/>
              <w:left w:val="nil"/>
              <w:bottom w:val="nil"/>
              <w:right w:val="single" w:sz="4" w:space="0" w:color="auto"/>
            </w:tcBorders>
            <w:shd w:val="clear" w:color="000000" w:fill="FFFFFF"/>
            <w:noWrap/>
            <w:vAlign w:val="bottom"/>
            <w:hideMark/>
          </w:tcPr>
          <w:p w:rsidR="00C62C08" w:rsidRPr="00F70F2A" w:rsidRDefault="00D73EE0" w:rsidP="00695F91">
            <w:pPr>
              <w:spacing w:after="0" w:line="240" w:lineRule="auto"/>
              <w:jc w:val="right"/>
              <w:rPr>
                <w:rFonts w:cs="Arial"/>
                <w:color w:val="000000"/>
                <w:sz w:val="16"/>
                <w:szCs w:val="16"/>
              </w:rPr>
            </w:pPr>
            <w:r>
              <w:rPr>
                <w:rFonts w:cs="Arial"/>
                <w:color w:val="000000"/>
                <w:sz w:val="16"/>
                <w:szCs w:val="16"/>
              </w:rPr>
              <w:t>-21,6</w:t>
            </w:r>
            <w:r w:rsidR="00C62C08" w:rsidRPr="00F70F2A">
              <w:rPr>
                <w:rFonts w:cs="Arial"/>
                <w:color w:val="000000"/>
                <w:sz w:val="16"/>
                <w:szCs w:val="16"/>
              </w:rPr>
              <w:t>%</w:t>
            </w:r>
          </w:p>
        </w:tc>
        <w:tc>
          <w:tcPr>
            <w:tcW w:w="944" w:type="dxa"/>
            <w:tcBorders>
              <w:top w:val="nil"/>
              <w:left w:val="nil"/>
              <w:bottom w:val="nil"/>
              <w:right w:val="single" w:sz="4" w:space="0" w:color="auto"/>
            </w:tcBorders>
            <w:shd w:val="clear" w:color="000000" w:fill="FFFFFF"/>
            <w:noWrap/>
            <w:vAlign w:val="bottom"/>
            <w:hideMark/>
          </w:tcPr>
          <w:p w:rsidR="00C62C08" w:rsidRPr="00F70F2A" w:rsidRDefault="00D73EE0" w:rsidP="00695F91">
            <w:pPr>
              <w:spacing w:after="0" w:line="240" w:lineRule="auto"/>
              <w:jc w:val="right"/>
              <w:rPr>
                <w:rFonts w:cs="Arial"/>
                <w:color w:val="000000"/>
                <w:sz w:val="16"/>
                <w:szCs w:val="16"/>
              </w:rPr>
            </w:pPr>
            <w:r>
              <w:rPr>
                <w:rFonts w:cs="Arial"/>
                <w:color w:val="000000"/>
                <w:sz w:val="16"/>
                <w:szCs w:val="16"/>
              </w:rPr>
              <w:t>-21,1</w:t>
            </w:r>
            <w:r w:rsidR="00C62C08" w:rsidRPr="00F70F2A">
              <w:rPr>
                <w:rFonts w:cs="Arial"/>
                <w:color w:val="000000"/>
                <w:sz w:val="16"/>
                <w:szCs w:val="16"/>
              </w:rPr>
              <w:t>%</w:t>
            </w:r>
          </w:p>
        </w:tc>
        <w:tc>
          <w:tcPr>
            <w:tcW w:w="991" w:type="dxa"/>
            <w:tcBorders>
              <w:top w:val="nil"/>
              <w:left w:val="nil"/>
              <w:bottom w:val="nil"/>
              <w:right w:val="nil"/>
            </w:tcBorders>
            <w:shd w:val="clear" w:color="000000" w:fill="FFFFFF"/>
            <w:noWrap/>
            <w:vAlign w:val="bottom"/>
            <w:hideMark/>
          </w:tcPr>
          <w:p w:rsidR="00C62C08" w:rsidRPr="00F70F2A" w:rsidRDefault="00D73EE0" w:rsidP="00695F91">
            <w:pPr>
              <w:spacing w:after="0" w:line="240" w:lineRule="auto"/>
              <w:jc w:val="right"/>
              <w:rPr>
                <w:rFonts w:cs="Arial"/>
                <w:color w:val="000000"/>
                <w:sz w:val="16"/>
                <w:szCs w:val="16"/>
              </w:rPr>
            </w:pPr>
            <w:r>
              <w:rPr>
                <w:rFonts w:cs="Arial"/>
                <w:color w:val="000000"/>
                <w:sz w:val="16"/>
                <w:szCs w:val="16"/>
              </w:rPr>
              <w:t>-23,1</w:t>
            </w:r>
            <w:r w:rsidR="00C62C08" w:rsidRPr="00F70F2A">
              <w:rPr>
                <w:rFonts w:cs="Arial"/>
                <w:color w:val="000000"/>
                <w:sz w:val="16"/>
                <w:szCs w:val="16"/>
              </w:rPr>
              <w:t>%</w:t>
            </w:r>
          </w:p>
        </w:tc>
      </w:tr>
      <w:tr w:rsidR="00D73EE0" w:rsidRPr="00F70F2A" w:rsidTr="00D73EE0">
        <w:trPr>
          <w:trHeight w:val="280"/>
          <w:jc w:val="center"/>
        </w:trPr>
        <w:tc>
          <w:tcPr>
            <w:tcW w:w="1867" w:type="dxa"/>
            <w:tcBorders>
              <w:top w:val="nil"/>
              <w:left w:val="nil"/>
              <w:bottom w:val="nil"/>
              <w:right w:val="single" w:sz="4" w:space="0" w:color="auto"/>
            </w:tcBorders>
            <w:shd w:val="clear" w:color="000000" w:fill="FFFFFF"/>
            <w:vAlign w:val="center"/>
            <w:hideMark/>
          </w:tcPr>
          <w:p w:rsidR="00C62C08" w:rsidRPr="00F70F2A" w:rsidRDefault="00C62C08" w:rsidP="003E66FB">
            <w:pPr>
              <w:spacing w:after="0" w:line="240" w:lineRule="auto"/>
              <w:rPr>
                <w:rFonts w:cs="Arial"/>
                <w:color w:val="000000"/>
                <w:sz w:val="16"/>
                <w:szCs w:val="16"/>
              </w:rPr>
            </w:pPr>
            <w:r w:rsidRPr="00F70F2A">
              <w:rPr>
                <w:rFonts w:cs="Arial"/>
                <w:color w:val="000000"/>
                <w:sz w:val="16"/>
                <w:szCs w:val="16"/>
              </w:rPr>
              <w:t>Královéhradecký kraj</w:t>
            </w:r>
          </w:p>
        </w:tc>
        <w:tc>
          <w:tcPr>
            <w:tcW w:w="717"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794</w:t>
            </w:r>
          </w:p>
        </w:tc>
        <w:tc>
          <w:tcPr>
            <w:tcW w:w="944"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538</w:t>
            </w:r>
          </w:p>
        </w:tc>
        <w:tc>
          <w:tcPr>
            <w:tcW w:w="990"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256</w:t>
            </w:r>
          </w:p>
        </w:tc>
        <w:tc>
          <w:tcPr>
            <w:tcW w:w="717"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647</w:t>
            </w:r>
          </w:p>
        </w:tc>
        <w:tc>
          <w:tcPr>
            <w:tcW w:w="944"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580</w:t>
            </w:r>
          </w:p>
        </w:tc>
        <w:tc>
          <w:tcPr>
            <w:tcW w:w="996"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67</w:t>
            </w:r>
          </w:p>
        </w:tc>
        <w:tc>
          <w:tcPr>
            <w:tcW w:w="740" w:type="dxa"/>
            <w:tcBorders>
              <w:top w:val="nil"/>
              <w:left w:val="nil"/>
              <w:bottom w:val="nil"/>
              <w:right w:val="single" w:sz="4" w:space="0" w:color="auto"/>
            </w:tcBorders>
            <w:shd w:val="clear" w:color="000000" w:fill="FFFFFF"/>
            <w:noWrap/>
            <w:vAlign w:val="bottom"/>
            <w:hideMark/>
          </w:tcPr>
          <w:p w:rsidR="00C62C08" w:rsidRPr="00F70F2A" w:rsidRDefault="00D73EE0" w:rsidP="00695F91">
            <w:pPr>
              <w:spacing w:after="0" w:line="240" w:lineRule="auto"/>
              <w:jc w:val="right"/>
              <w:rPr>
                <w:rFonts w:cs="Arial"/>
                <w:color w:val="000000"/>
                <w:sz w:val="16"/>
                <w:szCs w:val="16"/>
              </w:rPr>
            </w:pPr>
            <w:r>
              <w:rPr>
                <w:rFonts w:cs="Arial"/>
                <w:color w:val="000000"/>
                <w:sz w:val="16"/>
                <w:szCs w:val="16"/>
              </w:rPr>
              <w:t>22,7</w:t>
            </w:r>
            <w:r w:rsidR="00C62C08" w:rsidRPr="00F70F2A">
              <w:rPr>
                <w:rFonts w:cs="Arial"/>
                <w:color w:val="000000"/>
                <w:sz w:val="16"/>
                <w:szCs w:val="16"/>
              </w:rPr>
              <w:t>%</w:t>
            </w:r>
          </w:p>
        </w:tc>
        <w:tc>
          <w:tcPr>
            <w:tcW w:w="944" w:type="dxa"/>
            <w:tcBorders>
              <w:top w:val="nil"/>
              <w:left w:val="nil"/>
              <w:bottom w:val="nil"/>
              <w:right w:val="single" w:sz="4" w:space="0" w:color="auto"/>
            </w:tcBorders>
            <w:shd w:val="clear" w:color="000000" w:fill="FFFFFF"/>
            <w:noWrap/>
            <w:vAlign w:val="bottom"/>
            <w:hideMark/>
          </w:tcPr>
          <w:p w:rsidR="00C62C08" w:rsidRPr="00F70F2A" w:rsidRDefault="00D73EE0" w:rsidP="00695F91">
            <w:pPr>
              <w:spacing w:after="0" w:line="240" w:lineRule="auto"/>
              <w:jc w:val="right"/>
              <w:rPr>
                <w:rFonts w:cs="Arial"/>
                <w:color w:val="000000"/>
                <w:sz w:val="16"/>
                <w:szCs w:val="16"/>
              </w:rPr>
            </w:pPr>
            <w:r>
              <w:rPr>
                <w:rFonts w:cs="Arial"/>
                <w:color w:val="000000"/>
                <w:sz w:val="16"/>
                <w:szCs w:val="16"/>
              </w:rPr>
              <w:t>-7,2</w:t>
            </w:r>
            <w:r w:rsidR="00C62C08" w:rsidRPr="00F70F2A">
              <w:rPr>
                <w:rFonts w:cs="Arial"/>
                <w:color w:val="000000"/>
                <w:sz w:val="16"/>
                <w:szCs w:val="16"/>
              </w:rPr>
              <w:t>%</w:t>
            </w:r>
          </w:p>
        </w:tc>
        <w:tc>
          <w:tcPr>
            <w:tcW w:w="991" w:type="dxa"/>
            <w:tcBorders>
              <w:top w:val="nil"/>
              <w:left w:val="nil"/>
              <w:bottom w:val="nil"/>
              <w:right w:val="nil"/>
            </w:tcBorders>
            <w:shd w:val="clear" w:color="000000" w:fill="FFFFFF"/>
            <w:noWrap/>
            <w:vAlign w:val="bottom"/>
            <w:hideMark/>
          </w:tcPr>
          <w:p w:rsidR="00C62C08" w:rsidRPr="00F70F2A" w:rsidRDefault="00D73EE0" w:rsidP="00695F91">
            <w:pPr>
              <w:spacing w:after="0" w:line="240" w:lineRule="auto"/>
              <w:jc w:val="right"/>
              <w:rPr>
                <w:rFonts w:cs="Arial"/>
                <w:color w:val="000000"/>
                <w:sz w:val="16"/>
                <w:szCs w:val="16"/>
              </w:rPr>
            </w:pPr>
            <w:r>
              <w:rPr>
                <w:rFonts w:cs="Arial"/>
                <w:color w:val="000000"/>
                <w:sz w:val="16"/>
                <w:szCs w:val="16"/>
              </w:rPr>
              <w:t>282,1</w:t>
            </w:r>
            <w:r w:rsidR="00C62C08" w:rsidRPr="00F70F2A">
              <w:rPr>
                <w:rFonts w:cs="Arial"/>
                <w:color w:val="000000"/>
                <w:sz w:val="16"/>
                <w:szCs w:val="16"/>
              </w:rPr>
              <w:t>%</w:t>
            </w:r>
          </w:p>
        </w:tc>
      </w:tr>
      <w:tr w:rsidR="00D73EE0" w:rsidRPr="00F70F2A" w:rsidTr="00D73EE0">
        <w:trPr>
          <w:trHeight w:val="280"/>
          <w:jc w:val="center"/>
        </w:trPr>
        <w:tc>
          <w:tcPr>
            <w:tcW w:w="1867" w:type="dxa"/>
            <w:tcBorders>
              <w:top w:val="nil"/>
              <w:left w:val="nil"/>
              <w:bottom w:val="nil"/>
              <w:right w:val="single" w:sz="4" w:space="0" w:color="auto"/>
            </w:tcBorders>
            <w:shd w:val="clear" w:color="000000" w:fill="FFFFFF"/>
            <w:vAlign w:val="center"/>
            <w:hideMark/>
          </w:tcPr>
          <w:p w:rsidR="00C62C08" w:rsidRPr="00F70F2A" w:rsidRDefault="00C62C08" w:rsidP="003E66FB">
            <w:pPr>
              <w:spacing w:after="0" w:line="240" w:lineRule="auto"/>
              <w:rPr>
                <w:rFonts w:cs="Arial"/>
                <w:color w:val="000000"/>
                <w:sz w:val="16"/>
                <w:szCs w:val="16"/>
              </w:rPr>
            </w:pPr>
            <w:r w:rsidRPr="00F70F2A">
              <w:rPr>
                <w:rFonts w:cs="Arial"/>
                <w:color w:val="000000"/>
                <w:sz w:val="16"/>
                <w:szCs w:val="16"/>
              </w:rPr>
              <w:t>Pardubický kraj</w:t>
            </w:r>
          </w:p>
        </w:tc>
        <w:tc>
          <w:tcPr>
            <w:tcW w:w="717"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282</w:t>
            </w:r>
          </w:p>
        </w:tc>
        <w:tc>
          <w:tcPr>
            <w:tcW w:w="944"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134</w:t>
            </w:r>
          </w:p>
        </w:tc>
        <w:tc>
          <w:tcPr>
            <w:tcW w:w="990"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148</w:t>
            </w:r>
          </w:p>
        </w:tc>
        <w:tc>
          <w:tcPr>
            <w:tcW w:w="717"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291</w:t>
            </w:r>
          </w:p>
        </w:tc>
        <w:tc>
          <w:tcPr>
            <w:tcW w:w="944"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221</w:t>
            </w:r>
          </w:p>
        </w:tc>
        <w:tc>
          <w:tcPr>
            <w:tcW w:w="996"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70</w:t>
            </w:r>
          </w:p>
        </w:tc>
        <w:tc>
          <w:tcPr>
            <w:tcW w:w="740" w:type="dxa"/>
            <w:tcBorders>
              <w:top w:val="nil"/>
              <w:left w:val="nil"/>
              <w:bottom w:val="nil"/>
              <w:right w:val="single" w:sz="4" w:space="0" w:color="auto"/>
            </w:tcBorders>
            <w:shd w:val="clear" w:color="000000" w:fill="FFFFFF"/>
            <w:noWrap/>
            <w:vAlign w:val="bottom"/>
            <w:hideMark/>
          </w:tcPr>
          <w:p w:rsidR="00C62C08" w:rsidRPr="00F70F2A" w:rsidRDefault="00D73EE0" w:rsidP="00695F91">
            <w:pPr>
              <w:spacing w:after="0" w:line="240" w:lineRule="auto"/>
              <w:jc w:val="right"/>
              <w:rPr>
                <w:rFonts w:cs="Arial"/>
                <w:color w:val="000000"/>
                <w:sz w:val="16"/>
                <w:szCs w:val="16"/>
              </w:rPr>
            </w:pPr>
            <w:r>
              <w:rPr>
                <w:rFonts w:cs="Arial"/>
                <w:color w:val="000000"/>
                <w:sz w:val="16"/>
                <w:szCs w:val="16"/>
              </w:rPr>
              <w:t>-3,1</w:t>
            </w:r>
            <w:r w:rsidR="00C62C08" w:rsidRPr="00F70F2A">
              <w:rPr>
                <w:rFonts w:cs="Arial"/>
                <w:color w:val="000000"/>
                <w:sz w:val="16"/>
                <w:szCs w:val="16"/>
              </w:rPr>
              <w:t>%</w:t>
            </w:r>
          </w:p>
        </w:tc>
        <w:tc>
          <w:tcPr>
            <w:tcW w:w="944" w:type="dxa"/>
            <w:tcBorders>
              <w:top w:val="nil"/>
              <w:left w:val="nil"/>
              <w:bottom w:val="nil"/>
              <w:right w:val="single" w:sz="4" w:space="0" w:color="auto"/>
            </w:tcBorders>
            <w:shd w:val="clear" w:color="000000" w:fill="FFFFFF"/>
            <w:noWrap/>
            <w:vAlign w:val="bottom"/>
            <w:hideMark/>
          </w:tcPr>
          <w:p w:rsidR="00C62C08" w:rsidRPr="00F70F2A" w:rsidRDefault="00D73EE0" w:rsidP="00695F91">
            <w:pPr>
              <w:spacing w:after="0" w:line="240" w:lineRule="auto"/>
              <w:jc w:val="right"/>
              <w:rPr>
                <w:rFonts w:cs="Arial"/>
                <w:color w:val="000000"/>
                <w:sz w:val="16"/>
                <w:szCs w:val="16"/>
              </w:rPr>
            </w:pPr>
            <w:r>
              <w:rPr>
                <w:rFonts w:cs="Arial"/>
                <w:color w:val="000000"/>
                <w:sz w:val="16"/>
                <w:szCs w:val="16"/>
              </w:rPr>
              <w:t>-39,4</w:t>
            </w:r>
            <w:r w:rsidR="00C62C08" w:rsidRPr="00F70F2A">
              <w:rPr>
                <w:rFonts w:cs="Arial"/>
                <w:color w:val="000000"/>
                <w:sz w:val="16"/>
                <w:szCs w:val="16"/>
              </w:rPr>
              <w:t>%</w:t>
            </w:r>
          </w:p>
        </w:tc>
        <w:tc>
          <w:tcPr>
            <w:tcW w:w="991" w:type="dxa"/>
            <w:tcBorders>
              <w:top w:val="nil"/>
              <w:left w:val="nil"/>
              <w:bottom w:val="nil"/>
              <w:right w:val="nil"/>
            </w:tcBorders>
            <w:shd w:val="clear" w:color="000000" w:fill="FFFFFF"/>
            <w:noWrap/>
            <w:vAlign w:val="bottom"/>
            <w:hideMark/>
          </w:tcPr>
          <w:p w:rsidR="00C62C08" w:rsidRPr="00F70F2A" w:rsidRDefault="00D73EE0" w:rsidP="00695F91">
            <w:pPr>
              <w:spacing w:after="0" w:line="240" w:lineRule="auto"/>
              <w:jc w:val="right"/>
              <w:rPr>
                <w:rFonts w:cs="Arial"/>
                <w:color w:val="000000"/>
                <w:sz w:val="16"/>
                <w:szCs w:val="16"/>
              </w:rPr>
            </w:pPr>
            <w:r>
              <w:rPr>
                <w:rFonts w:cs="Arial"/>
                <w:color w:val="000000"/>
                <w:sz w:val="16"/>
                <w:szCs w:val="16"/>
              </w:rPr>
              <w:t>111,4</w:t>
            </w:r>
            <w:r w:rsidR="00C62C08" w:rsidRPr="00F70F2A">
              <w:rPr>
                <w:rFonts w:cs="Arial"/>
                <w:color w:val="000000"/>
                <w:sz w:val="16"/>
                <w:szCs w:val="16"/>
              </w:rPr>
              <w:t>%</w:t>
            </w:r>
          </w:p>
        </w:tc>
      </w:tr>
      <w:tr w:rsidR="00D73EE0" w:rsidRPr="00F70F2A" w:rsidTr="00D73EE0">
        <w:trPr>
          <w:trHeight w:val="280"/>
          <w:jc w:val="center"/>
        </w:trPr>
        <w:tc>
          <w:tcPr>
            <w:tcW w:w="1867" w:type="dxa"/>
            <w:tcBorders>
              <w:top w:val="nil"/>
              <w:left w:val="nil"/>
              <w:bottom w:val="nil"/>
              <w:right w:val="single" w:sz="4" w:space="0" w:color="auto"/>
            </w:tcBorders>
            <w:shd w:val="clear" w:color="000000" w:fill="FFFFFF"/>
            <w:vAlign w:val="center"/>
            <w:hideMark/>
          </w:tcPr>
          <w:p w:rsidR="00C62C08" w:rsidRPr="00F70F2A" w:rsidRDefault="00C62C08" w:rsidP="003E66FB">
            <w:pPr>
              <w:spacing w:after="0" w:line="240" w:lineRule="auto"/>
              <w:rPr>
                <w:rFonts w:cs="Arial"/>
                <w:color w:val="000000"/>
                <w:sz w:val="16"/>
                <w:szCs w:val="16"/>
              </w:rPr>
            </w:pPr>
            <w:r w:rsidRPr="00F70F2A">
              <w:rPr>
                <w:rFonts w:cs="Arial"/>
                <w:color w:val="000000"/>
                <w:sz w:val="16"/>
                <w:szCs w:val="16"/>
              </w:rPr>
              <w:t>Kraj Vysočina</w:t>
            </w:r>
          </w:p>
        </w:tc>
        <w:tc>
          <w:tcPr>
            <w:tcW w:w="717"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489</w:t>
            </w:r>
          </w:p>
        </w:tc>
        <w:tc>
          <w:tcPr>
            <w:tcW w:w="944"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253</w:t>
            </w:r>
          </w:p>
        </w:tc>
        <w:tc>
          <w:tcPr>
            <w:tcW w:w="990"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236</w:t>
            </w:r>
          </w:p>
        </w:tc>
        <w:tc>
          <w:tcPr>
            <w:tcW w:w="717"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386</w:t>
            </w:r>
          </w:p>
        </w:tc>
        <w:tc>
          <w:tcPr>
            <w:tcW w:w="944"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285</w:t>
            </w:r>
          </w:p>
        </w:tc>
        <w:tc>
          <w:tcPr>
            <w:tcW w:w="996"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101</w:t>
            </w:r>
          </w:p>
        </w:tc>
        <w:tc>
          <w:tcPr>
            <w:tcW w:w="740" w:type="dxa"/>
            <w:tcBorders>
              <w:top w:val="nil"/>
              <w:left w:val="nil"/>
              <w:bottom w:val="nil"/>
              <w:right w:val="single" w:sz="4" w:space="0" w:color="auto"/>
            </w:tcBorders>
            <w:shd w:val="clear" w:color="000000" w:fill="FFFFFF"/>
            <w:noWrap/>
            <w:vAlign w:val="bottom"/>
            <w:hideMark/>
          </w:tcPr>
          <w:p w:rsidR="00C62C08" w:rsidRPr="00F70F2A" w:rsidRDefault="00D73EE0" w:rsidP="00695F91">
            <w:pPr>
              <w:spacing w:after="0" w:line="240" w:lineRule="auto"/>
              <w:jc w:val="right"/>
              <w:rPr>
                <w:rFonts w:cs="Arial"/>
                <w:color w:val="000000"/>
                <w:sz w:val="16"/>
                <w:szCs w:val="16"/>
              </w:rPr>
            </w:pPr>
            <w:r>
              <w:rPr>
                <w:rFonts w:cs="Arial"/>
                <w:color w:val="000000"/>
                <w:sz w:val="16"/>
                <w:szCs w:val="16"/>
              </w:rPr>
              <w:t>26,7</w:t>
            </w:r>
            <w:r w:rsidR="00C62C08" w:rsidRPr="00F70F2A">
              <w:rPr>
                <w:rFonts w:cs="Arial"/>
                <w:color w:val="000000"/>
                <w:sz w:val="16"/>
                <w:szCs w:val="16"/>
              </w:rPr>
              <w:t>%</w:t>
            </w:r>
          </w:p>
        </w:tc>
        <w:tc>
          <w:tcPr>
            <w:tcW w:w="944" w:type="dxa"/>
            <w:tcBorders>
              <w:top w:val="nil"/>
              <w:left w:val="nil"/>
              <w:bottom w:val="nil"/>
              <w:right w:val="single" w:sz="4" w:space="0" w:color="auto"/>
            </w:tcBorders>
            <w:shd w:val="clear" w:color="000000" w:fill="FFFFFF"/>
            <w:noWrap/>
            <w:vAlign w:val="bottom"/>
            <w:hideMark/>
          </w:tcPr>
          <w:p w:rsidR="00C62C08" w:rsidRPr="00F70F2A" w:rsidRDefault="00D73EE0" w:rsidP="00695F91">
            <w:pPr>
              <w:spacing w:after="0" w:line="240" w:lineRule="auto"/>
              <w:jc w:val="right"/>
              <w:rPr>
                <w:rFonts w:cs="Arial"/>
                <w:color w:val="000000"/>
                <w:sz w:val="16"/>
                <w:szCs w:val="16"/>
              </w:rPr>
            </w:pPr>
            <w:r>
              <w:rPr>
                <w:rFonts w:cs="Arial"/>
                <w:color w:val="000000"/>
                <w:sz w:val="16"/>
                <w:szCs w:val="16"/>
              </w:rPr>
              <w:t>-11,2</w:t>
            </w:r>
            <w:r w:rsidR="00C62C08" w:rsidRPr="00F70F2A">
              <w:rPr>
                <w:rFonts w:cs="Arial"/>
                <w:color w:val="000000"/>
                <w:sz w:val="16"/>
                <w:szCs w:val="16"/>
              </w:rPr>
              <w:t>%</w:t>
            </w:r>
          </w:p>
        </w:tc>
        <w:tc>
          <w:tcPr>
            <w:tcW w:w="991" w:type="dxa"/>
            <w:tcBorders>
              <w:top w:val="nil"/>
              <w:left w:val="nil"/>
              <w:bottom w:val="nil"/>
              <w:right w:val="nil"/>
            </w:tcBorders>
            <w:shd w:val="clear" w:color="000000" w:fill="FFFFFF"/>
            <w:noWrap/>
            <w:vAlign w:val="bottom"/>
            <w:hideMark/>
          </w:tcPr>
          <w:p w:rsidR="00C62C08" w:rsidRPr="00F70F2A" w:rsidRDefault="00D73EE0" w:rsidP="00695F91">
            <w:pPr>
              <w:spacing w:after="0" w:line="240" w:lineRule="auto"/>
              <w:jc w:val="right"/>
              <w:rPr>
                <w:rFonts w:cs="Arial"/>
                <w:color w:val="000000"/>
                <w:sz w:val="16"/>
                <w:szCs w:val="16"/>
              </w:rPr>
            </w:pPr>
            <w:r>
              <w:rPr>
                <w:rFonts w:cs="Arial"/>
                <w:color w:val="000000"/>
                <w:sz w:val="16"/>
                <w:szCs w:val="16"/>
              </w:rPr>
              <w:t>133,7</w:t>
            </w:r>
            <w:r w:rsidR="00C62C08" w:rsidRPr="00F70F2A">
              <w:rPr>
                <w:rFonts w:cs="Arial"/>
                <w:color w:val="000000"/>
                <w:sz w:val="16"/>
                <w:szCs w:val="16"/>
              </w:rPr>
              <w:t>%</w:t>
            </w:r>
          </w:p>
        </w:tc>
      </w:tr>
      <w:tr w:rsidR="00D73EE0" w:rsidRPr="00F70F2A" w:rsidTr="00D73EE0">
        <w:trPr>
          <w:trHeight w:val="280"/>
          <w:jc w:val="center"/>
        </w:trPr>
        <w:tc>
          <w:tcPr>
            <w:tcW w:w="1867" w:type="dxa"/>
            <w:tcBorders>
              <w:top w:val="nil"/>
              <w:left w:val="nil"/>
              <w:bottom w:val="nil"/>
              <w:right w:val="single" w:sz="4" w:space="0" w:color="auto"/>
            </w:tcBorders>
            <w:shd w:val="clear" w:color="000000" w:fill="FFFFFF"/>
            <w:vAlign w:val="center"/>
            <w:hideMark/>
          </w:tcPr>
          <w:p w:rsidR="00C62C08" w:rsidRPr="00F70F2A" w:rsidRDefault="00C62C08" w:rsidP="003E66FB">
            <w:pPr>
              <w:spacing w:after="0" w:line="240" w:lineRule="auto"/>
              <w:rPr>
                <w:rFonts w:cs="Arial"/>
                <w:color w:val="000000"/>
                <w:sz w:val="16"/>
                <w:szCs w:val="16"/>
              </w:rPr>
            </w:pPr>
            <w:r w:rsidRPr="00F70F2A">
              <w:rPr>
                <w:rFonts w:cs="Arial"/>
                <w:color w:val="000000"/>
                <w:sz w:val="16"/>
                <w:szCs w:val="16"/>
              </w:rPr>
              <w:t>Jihomoravský kraj</w:t>
            </w:r>
          </w:p>
        </w:tc>
        <w:tc>
          <w:tcPr>
            <w:tcW w:w="717"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1 400</w:t>
            </w:r>
          </w:p>
        </w:tc>
        <w:tc>
          <w:tcPr>
            <w:tcW w:w="944"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982</w:t>
            </w:r>
          </w:p>
        </w:tc>
        <w:tc>
          <w:tcPr>
            <w:tcW w:w="990"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418</w:t>
            </w:r>
          </w:p>
        </w:tc>
        <w:tc>
          <w:tcPr>
            <w:tcW w:w="717"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912</w:t>
            </w:r>
          </w:p>
        </w:tc>
        <w:tc>
          <w:tcPr>
            <w:tcW w:w="944"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822</w:t>
            </w:r>
          </w:p>
        </w:tc>
        <w:tc>
          <w:tcPr>
            <w:tcW w:w="996"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90</w:t>
            </w:r>
          </w:p>
        </w:tc>
        <w:tc>
          <w:tcPr>
            <w:tcW w:w="740" w:type="dxa"/>
            <w:tcBorders>
              <w:top w:val="nil"/>
              <w:left w:val="nil"/>
              <w:bottom w:val="nil"/>
              <w:right w:val="single" w:sz="4" w:space="0" w:color="auto"/>
            </w:tcBorders>
            <w:shd w:val="clear" w:color="000000" w:fill="FFFFFF"/>
            <w:noWrap/>
            <w:vAlign w:val="bottom"/>
            <w:hideMark/>
          </w:tcPr>
          <w:p w:rsidR="00C62C08" w:rsidRPr="00F70F2A" w:rsidRDefault="00D73EE0" w:rsidP="00695F91">
            <w:pPr>
              <w:spacing w:after="0" w:line="240" w:lineRule="auto"/>
              <w:jc w:val="right"/>
              <w:rPr>
                <w:rFonts w:cs="Arial"/>
                <w:color w:val="000000"/>
                <w:sz w:val="16"/>
                <w:szCs w:val="16"/>
              </w:rPr>
            </w:pPr>
            <w:r>
              <w:rPr>
                <w:rFonts w:cs="Arial"/>
                <w:color w:val="000000"/>
                <w:sz w:val="16"/>
                <w:szCs w:val="16"/>
              </w:rPr>
              <w:t>53,5</w:t>
            </w:r>
            <w:r w:rsidR="00C62C08" w:rsidRPr="00F70F2A">
              <w:rPr>
                <w:rFonts w:cs="Arial"/>
                <w:color w:val="000000"/>
                <w:sz w:val="16"/>
                <w:szCs w:val="16"/>
              </w:rPr>
              <w:t>%</w:t>
            </w:r>
          </w:p>
        </w:tc>
        <w:tc>
          <w:tcPr>
            <w:tcW w:w="944" w:type="dxa"/>
            <w:tcBorders>
              <w:top w:val="nil"/>
              <w:left w:val="nil"/>
              <w:bottom w:val="nil"/>
              <w:right w:val="single" w:sz="4" w:space="0" w:color="auto"/>
            </w:tcBorders>
            <w:shd w:val="clear" w:color="000000" w:fill="FFFFFF"/>
            <w:noWrap/>
            <w:vAlign w:val="bottom"/>
            <w:hideMark/>
          </w:tcPr>
          <w:p w:rsidR="00C62C08" w:rsidRPr="00F70F2A" w:rsidRDefault="00D73EE0" w:rsidP="00695F91">
            <w:pPr>
              <w:spacing w:after="0" w:line="240" w:lineRule="auto"/>
              <w:jc w:val="right"/>
              <w:rPr>
                <w:rFonts w:cs="Arial"/>
                <w:color w:val="000000"/>
                <w:sz w:val="16"/>
                <w:szCs w:val="16"/>
              </w:rPr>
            </w:pPr>
            <w:r>
              <w:rPr>
                <w:rFonts w:cs="Arial"/>
                <w:color w:val="000000"/>
                <w:sz w:val="16"/>
                <w:szCs w:val="16"/>
              </w:rPr>
              <w:t>19,5</w:t>
            </w:r>
            <w:r w:rsidR="00C62C08" w:rsidRPr="00F70F2A">
              <w:rPr>
                <w:rFonts w:cs="Arial"/>
                <w:color w:val="000000"/>
                <w:sz w:val="16"/>
                <w:szCs w:val="16"/>
              </w:rPr>
              <w:t>%</w:t>
            </w:r>
          </w:p>
        </w:tc>
        <w:tc>
          <w:tcPr>
            <w:tcW w:w="991" w:type="dxa"/>
            <w:tcBorders>
              <w:top w:val="nil"/>
              <w:left w:val="nil"/>
              <w:bottom w:val="nil"/>
              <w:right w:val="nil"/>
            </w:tcBorders>
            <w:shd w:val="clear" w:color="000000" w:fill="FFFFFF"/>
            <w:noWrap/>
            <w:vAlign w:val="bottom"/>
            <w:hideMark/>
          </w:tcPr>
          <w:p w:rsidR="00C62C08" w:rsidRPr="00F70F2A" w:rsidRDefault="00D73EE0" w:rsidP="00695F91">
            <w:pPr>
              <w:spacing w:after="0" w:line="240" w:lineRule="auto"/>
              <w:jc w:val="right"/>
              <w:rPr>
                <w:rFonts w:cs="Arial"/>
                <w:color w:val="000000"/>
                <w:sz w:val="16"/>
                <w:szCs w:val="16"/>
              </w:rPr>
            </w:pPr>
            <w:r>
              <w:rPr>
                <w:rFonts w:cs="Arial"/>
                <w:color w:val="000000"/>
                <w:sz w:val="16"/>
                <w:szCs w:val="16"/>
              </w:rPr>
              <w:t>364,4</w:t>
            </w:r>
            <w:r w:rsidR="00C62C08" w:rsidRPr="00F70F2A">
              <w:rPr>
                <w:rFonts w:cs="Arial"/>
                <w:color w:val="000000"/>
                <w:sz w:val="16"/>
                <w:szCs w:val="16"/>
              </w:rPr>
              <w:t>%</w:t>
            </w:r>
          </w:p>
        </w:tc>
      </w:tr>
      <w:tr w:rsidR="00D73EE0" w:rsidRPr="00F70F2A" w:rsidTr="00D73EE0">
        <w:trPr>
          <w:trHeight w:val="280"/>
          <w:jc w:val="center"/>
        </w:trPr>
        <w:tc>
          <w:tcPr>
            <w:tcW w:w="1867" w:type="dxa"/>
            <w:tcBorders>
              <w:top w:val="nil"/>
              <w:left w:val="nil"/>
              <w:bottom w:val="nil"/>
              <w:right w:val="single" w:sz="4" w:space="0" w:color="auto"/>
            </w:tcBorders>
            <w:shd w:val="clear" w:color="000000" w:fill="FFFFFF"/>
            <w:vAlign w:val="center"/>
            <w:hideMark/>
          </w:tcPr>
          <w:p w:rsidR="00C62C08" w:rsidRPr="00F70F2A" w:rsidRDefault="00C62C08" w:rsidP="003E66FB">
            <w:pPr>
              <w:spacing w:after="0" w:line="240" w:lineRule="auto"/>
              <w:rPr>
                <w:rFonts w:cs="Arial"/>
                <w:color w:val="000000"/>
                <w:sz w:val="16"/>
                <w:szCs w:val="16"/>
              </w:rPr>
            </w:pPr>
            <w:r w:rsidRPr="00F70F2A">
              <w:rPr>
                <w:rFonts w:cs="Arial"/>
                <w:color w:val="000000"/>
                <w:sz w:val="16"/>
                <w:szCs w:val="16"/>
              </w:rPr>
              <w:t>Olomoucký kraj</w:t>
            </w:r>
          </w:p>
        </w:tc>
        <w:tc>
          <w:tcPr>
            <w:tcW w:w="717"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623</w:t>
            </w:r>
          </w:p>
        </w:tc>
        <w:tc>
          <w:tcPr>
            <w:tcW w:w="944"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445</w:t>
            </w:r>
          </w:p>
        </w:tc>
        <w:tc>
          <w:tcPr>
            <w:tcW w:w="990"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178</w:t>
            </w:r>
          </w:p>
        </w:tc>
        <w:tc>
          <w:tcPr>
            <w:tcW w:w="717"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519</w:t>
            </w:r>
          </w:p>
        </w:tc>
        <w:tc>
          <w:tcPr>
            <w:tcW w:w="944"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403</w:t>
            </w:r>
          </w:p>
        </w:tc>
        <w:tc>
          <w:tcPr>
            <w:tcW w:w="996"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116</w:t>
            </w:r>
          </w:p>
        </w:tc>
        <w:tc>
          <w:tcPr>
            <w:tcW w:w="740" w:type="dxa"/>
            <w:tcBorders>
              <w:top w:val="nil"/>
              <w:left w:val="nil"/>
              <w:bottom w:val="nil"/>
              <w:right w:val="single" w:sz="4" w:space="0" w:color="auto"/>
            </w:tcBorders>
            <w:shd w:val="clear" w:color="000000" w:fill="FFFFFF"/>
            <w:noWrap/>
            <w:vAlign w:val="bottom"/>
            <w:hideMark/>
          </w:tcPr>
          <w:p w:rsidR="00C62C08" w:rsidRPr="00F70F2A" w:rsidRDefault="00D73EE0" w:rsidP="00695F91">
            <w:pPr>
              <w:spacing w:after="0" w:line="240" w:lineRule="auto"/>
              <w:jc w:val="right"/>
              <w:rPr>
                <w:rFonts w:cs="Arial"/>
                <w:color w:val="000000"/>
                <w:sz w:val="16"/>
                <w:szCs w:val="16"/>
              </w:rPr>
            </w:pPr>
            <w:r>
              <w:rPr>
                <w:rFonts w:cs="Arial"/>
                <w:color w:val="000000"/>
                <w:sz w:val="16"/>
                <w:szCs w:val="16"/>
              </w:rPr>
              <w:t>20,0</w:t>
            </w:r>
            <w:r w:rsidR="00C62C08" w:rsidRPr="00F70F2A">
              <w:rPr>
                <w:rFonts w:cs="Arial"/>
                <w:color w:val="000000"/>
                <w:sz w:val="16"/>
                <w:szCs w:val="16"/>
              </w:rPr>
              <w:t>%</w:t>
            </w:r>
          </w:p>
        </w:tc>
        <w:tc>
          <w:tcPr>
            <w:tcW w:w="944" w:type="dxa"/>
            <w:tcBorders>
              <w:top w:val="nil"/>
              <w:left w:val="nil"/>
              <w:bottom w:val="nil"/>
              <w:right w:val="single" w:sz="4" w:space="0" w:color="auto"/>
            </w:tcBorders>
            <w:shd w:val="clear" w:color="000000" w:fill="FFFFFF"/>
            <w:noWrap/>
            <w:vAlign w:val="bottom"/>
            <w:hideMark/>
          </w:tcPr>
          <w:p w:rsidR="00C62C08" w:rsidRPr="00F70F2A" w:rsidRDefault="00D73EE0" w:rsidP="00695F91">
            <w:pPr>
              <w:spacing w:after="0" w:line="240" w:lineRule="auto"/>
              <w:jc w:val="right"/>
              <w:rPr>
                <w:rFonts w:cs="Arial"/>
                <w:color w:val="000000"/>
                <w:sz w:val="16"/>
                <w:szCs w:val="16"/>
              </w:rPr>
            </w:pPr>
            <w:r>
              <w:rPr>
                <w:rFonts w:cs="Arial"/>
                <w:color w:val="000000"/>
                <w:sz w:val="16"/>
                <w:szCs w:val="16"/>
              </w:rPr>
              <w:t>10,4</w:t>
            </w:r>
            <w:r w:rsidR="00C62C08" w:rsidRPr="00F70F2A">
              <w:rPr>
                <w:rFonts w:cs="Arial"/>
                <w:color w:val="000000"/>
                <w:sz w:val="16"/>
                <w:szCs w:val="16"/>
              </w:rPr>
              <w:t>%</w:t>
            </w:r>
          </w:p>
        </w:tc>
        <w:tc>
          <w:tcPr>
            <w:tcW w:w="991" w:type="dxa"/>
            <w:tcBorders>
              <w:top w:val="nil"/>
              <w:left w:val="nil"/>
              <w:bottom w:val="nil"/>
              <w:right w:val="nil"/>
            </w:tcBorders>
            <w:shd w:val="clear" w:color="000000" w:fill="FFFFFF"/>
            <w:noWrap/>
            <w:vAlign w:val="bottom"/>
            <w:hideMark/>
          </w:tcPr>
          <w:p w:rsidR="00C62C08" w:rsidRPr="00F70F2A" w:rsidRDefault="00D73EE0" w:rsidP="00695F91">
            <w:pPr>
              <w:spacing w:after="0" w:line="240" w:lineRule="auto"/>
              <w:jc w:val="right"/>
              <w:rPr>
                <w:rFonts w:cs="Arial"/>
                <w:color w:val="000000"/>
                <w:sz w:val="16"/>
                <w:szCs w:val="16"/>
              </w:rPr>
            </w:pPr>
            <w:r>
              <w:rPr>
                <w:rFonts w:cs="Arial"/>
                <w:color w:val="000000"/>
                <w:sz w:val="16"/>
                <w:szCs w:val="16"/>
              </w:rPr>
              <w:t>53,4</w:t>
            </w:r>
            <w:r w:rsidR="00C62C08" w:rsidRPr="00F70F2A">
              <w:rPr>
                <w:rFonts w:cs="Arial"/>
                <w:color w:val="000000"/>
                <w:sz w:val="16"/>
                <w:szCs w:val="16"/>
              </w:rPr>
              <w:t>%</w:t>
            </w:r>
          </w:p>
        </w:tc>
      </w:tr>
      <w:tr w:rsidR="00D73EE0" w:rsidRPr="00F70F2A" w:rsidTr="00D73EE0">
        <w:trPr>
          <w:trHeight w:val="280"/>
          <w:jc w:val="center"/>
        </w:trPr>
        <w:tc>
          <w:tcPr>
            <w:tcW w:w="1867" w:type="dxa"/>
            <w:tcBorders>
              <w:top w:val="nil"/>
              <w:left w:val="nil"/>
              <w:bottom w:val="nil"/>
              <w:right w:val="single" w:sz="4" w:space="0" w:color="auto"/>
            </w:tcBorders>
            <w:shd w:val="clear" w:color="000000" w:fill="FFFFFF"/>
            <w:vAlign w:val="center"/>
            <w:hideMark/>
          </w:tcPr>
          <w:p w:rsidR="00C62C08" w:rsidRPr="00F70F2A" w:rsidRDefault="00C62C08" w:rsidP="003E66FB">
            <w:pPr>
              <w:spacing w:after="0" w:line="240" w:lineRule="auto"/>
              <w:rPr>
                <w:rFonts w:cs="Arial"/>
                <w:color w:val="000000"/>
                <w:sz w:val="16"/>
                <w:szCs w:val="16"/>
              </w:rPr>
            </w:pPr>
            <w:r w:rsidRPr="00F70F2A">
              <w:rPr>
                <w:rFonts w:cs="Arial"/>
                <w:color w:val="000000"/>
                <w:sz w:val="16"/>
                <w:szCs w:val="16"/>
              </w:rPr>
              <w:t>Zlínský kraj</w:t>
            </w:r>
          </w:p>
        </w:tc>
        <w:tc>
          <w:tcPr>
            <w:tcW w:w="717"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786</w:t>
            </w:r>
          </w:p>
        </w:tc>
        <w:tc>
          <w:tcPr>
            <w:tcW w:w="944"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593</w:t>
            </w:r>
          </w:p>
        </w:tc>
        <w:tc>
          <w:tcPr>
            <w:tcW w:w="990"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193</w:t>
            </w:r>
          </w:p>
        </w:tc>
        <w:tc>
          <w:tcPr>
            <w:tcW w:w="717"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592</w:t>
            </w:r>
          </w:p>
        </w:tc>
        <w:tc>
          <w:tcPr>
            <w:tcW w:w="944"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428</w:t>
            </w:r>
          </w:p>
        </w:tc>
        <w:tc>
          <w:tcPr>
            <w:tcW w:w="996"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164</w:t>
            </w:r>
          </w:p>
        </w:tc>
        <w:tc>
          <w:tcPr>
            <w:tcW w:w="740" w:type="dxa"/>
            <w:tcBorders>
              <w:top w:val="nil"/>
              <w:left w:val="nil"/>
              <w:bottom w:val="nil"/>
              <w:right w:val="single" w:sz="4" w:space="0" w:color="auto"/>
            </w:tcBorders>
            <w:shd w:val="clear" w:color="000000" w:fill="FFFFFF"/>
            <w:noWrap/>
            <w:vAlign w:val="bottom"/>
            <w:hideMark/>
          </w:tcPr>
          <w:p w:rsidR="00C62C08" w:rsidRPr="00F70F2A" w:rsidRDefault="00D73EE0" w:rsidP="00695F91">
            <w:pPr>
              <w:spacing w:after="0" w:line="240" w:lineRule="auto"/>
              <w:jc w:val="right"/>
              <w:rPr>
                <w:rFonts w:cs="Arial"/>
                <w:color w:val="000000"/>
                <w:sz w:val="16"/>
                <w:szCs w:val="16"/>
              </w:rPr>
            </w:pPr>
            <w:r>
              <w:rPr>
                <w:rFonts w:cs="Arial"/>
                <w:color w:val="000000"/>
                <w:sz w:val="16"/>
                <w:szCs w:val="16"/>
              </w:rPr>
              <w:t>32,8</w:t>
            </w:r>
            <w:r w:rsidR="00C62C08" w:rsidRPr="00F70F2A">
              <w:rPr>
                <w:rFonts w:cs="Arial"/>
                <w:color w:val="000000"/>
                <w:sz w:val="16"/>
                <w:szCs w:val="16"/>
              </w:rPr>
              <w:t>%</w:t>
            </w:r>
          </w:p>
        </w:tc>
        <w:tc>
          <w:tcPr>
            <w:tcW w:w="944" w:type="dxa"/>
            <w:tcBorders>
              <w:top w:val="nil"/>
              <w:left w:val="nil"/>
              <w:bottom w:val="nil"/>
              <w:right w:val="single" w:sz="4" w:space="0" w:color="auto"/>
            </w:tcBorders>
            <w:shd w:val="clear" w:color="000000" w:fill="FFFFFF"/>
            <w:noWrap/>
            <w:vAlign w:val="bottom"/>
            <w:hideMark/>
          </w:tcPr>
          <w:p w:rsidR="00C62C08" w:rsidRPr="00F70F2A" w:rsidRDefault="00D73EE0" w:rsidP="00695F91">
            <w:pPr>
              <w:spacing w:after="0" w:line="240" w:lineRule="auto"/>
              <w:jc w:val="right"/>
              <w:rPr>
                <w:rFonts w:cs="Arial"/>
                <w:color w:val="000000"/>
                <w:sz w:val="16"/>
                <w:szCs w:val="16"/>
              </w:rPr>
            </w:pPr>
            <w:r>
              <w:rPr>
                <w:rFonts w:cs="Arial"/>
                <w:color w:val="000000"/>
                <w:sz w:val="16"/>
                <w:szCs w:val="16"/>
              </w:rPr>
              <w:t>38,6</w:t>
            </w:r>
            <w:r w:rsidR="00C62C08" w:rsidRPr="00F70F2A">
              <w:rPr>
                <w:rFonts w:cs="Arial"/>
                <w:color w:val="000000"/>
                <w:sz w:val="16"/>
                <w:szCs w:val="16"/>
              </w:rPr>
              <w:t>%</w:t>
            </w:r>
          </w:p>
        </w:tc>
        <w:tc>
          <w:tcPr>
            <w:tcW w:w="991" w:type="dxa"/>
            <w:tcBorders>
              <w:top w:val="nil"/>
              <w:left w:val="nil"/>
              <w:bottom w:val="nil"/>
              <w:right w:val="nil"/>
            </w:tcBorders>
            <w:shd w:val="clear" w:color="000000" w:fill="FFFFFF"/>
            <w:noWrap/>
            <w:vAlign w:val="bottom"/>
            <w:hideMark/>
          </w:tcPr>
          <w:p w:rsidR="00C62C08" w:rsidRPr="00F70F2A" w:rsidRDefault="00D73EE0" w:rsidP="00695F91">
            <w:pPr>
              <w:spacing w:after="0" w:line="240" w:lineRule="auto"/>
              <w:jc w:val="right"/>
              <w:rPr>
                <w:rFonts w:cs="Arial"/>
                <w:color w:val="000000"/>
                <w:sz w:val="16"/>
                <w:szCs w:val="16"/>
              </w:rPr>
            </w:pPr>
            <w:r>
              <w:rPr>
                <w:rFonts w:cs="Arial"/>
                <w:color w:val="000000"/>
                <w:sz w:val="16"/>
                <w:szCs w:val="16"/>
              </w:rPr>
              <w:t>17,7</w:t>
            </w:r>
            <w:r w:rsidR="00C62C08" w:rsidRPr="00F70F2A">
              <w:rPr>
                <w:rFonts w:cs="Arial"/>
                <w:color w:val="000000"/>
                <w:sz w:val="16"/>
                <w:szCs w:val="16"/>
              </w:rPr>
              <w:t>%</w:t>
            </w:r>
          </w:p>
        </w:tc>
      </w:tr>
      <w:tr w:rsidR="00D73EE0" w:rsidRPr="00F70F2A" w:rsidTr="00D73EE0">
        <w:trPr>
          <w:trHeight w:val="280"/>
          <w:jc w:val="center"/>
        </w:trPr>
        <w:tc>
          <w:tcPr>
            <w:tcW w:w="1867" w:type="dxa"/>
            <w:tcBorders>
              <w:top w:val="nil"/>
              <w:left w:val="nil"/>
              <w:bottom w:val="nil"/>
              <w:right w:val="single" w:sz="4" w:space="0" w:color="auto"/>
            </w:tcBorders>
            <w:shd w:val="clear" w:color="000000" w:fill="FFFFFF"/>
            <w:vAlign w:val="center"/>
            <w:hideMark/>
          </w:tcPr>
          <w:p w:rsidR="00C62C08" w:rsidRPr="00F70F2A" w:rsidRDefault="00C62C08" w:rsidP="003E66FB">
            <w:pPr>
              <w:spacing w:after="0" w:line="240" w:lineRule="auto"/>
              <w:rPr>
                <w:rFonts w:cs="Arial"/>
                <w:color w:val="000000"/>
                <w:sz w:val="16"/>
                <w:szCs w:val="16"/>
              </w:rPr>
            </w:pPr>
            <w:r w:rsidRPr="00F70F2A">
              <w:rPr>
                <w:rFonts w:cs="Arial"/>
                <w:color w:val="000000"/>
                <w:sz w:val="16"/>
                <w:szCs w:val="16"/>
              </w:rPr>
              <w:t>Moravskoslezský kraj</w:t>
            </w:r>
          </w:p>
        </w:tc>
        <w:tc>
          <w:tcPr>
            <w:tcW w:w="717"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1 792</w:t>
            </w:r>
          </w:p>
        </w:tc>
        <w:tc>
          <w:tcPr>
            <w:tcW w:w="944"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1 335</w:t>
            </w:r>
          </w:p>
        </w:tc>
        <w:tc>
          <w:tcPr>
            <w:tcW w:w="990"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457</w:t>
            </w:r>
          </w:p>
        </w:tc>
        <w:tc>
          <w:tcPr>
            <w:tcW w:w="717"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1 515</w:t>
            </w:r>
          </w:p>
        </w:tc>
        <w:tc>
          <w:tcPr>
            <w:tcW w:w="944"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1 275</w:t>
            </w:r>
          </w:p>
        </w:tc>
        <w:tc>
          <w:tcPr>
            <w:tcW w:w="996" w:type="dxa"/>
            <w:tcBorders>
              <w:top w:val="nil"/>
              <w:left w:val="nil"/>
              <w:bottom w:val="nil"/>
              <w:right w:val="single" w:sz="4" w:space="0" w:color="auto"/>
            </w:tcBorders>
            <w:shd w:val="clear" w:color="000000" w:fill="FFFFFF"/>
            <w:noWrap/>
            <w:vAlign w:val="bottom"/>
            <w:hideMark/>
          </w:tcPr>
          <w:p w:rsidR="00C62C08" w:rsidRPr="00F70F2A" w:rsidRDefault="00C62C08" w:rsidP="00695F91">
            <w:pPr>
              <w:spacing w:after="0" w:line="240" w:lineRule="auto"/>
              <w:jc w:val="right"/>
              <w:rPr>
                <w:rFonts w:cs="Arial"/>
                <w:color w:val="000000"/>
                <w:sz w:val="16"/>
                <w:szCs w:val="16"/>
              </w:rPr>
            </w:pPr>
            <w:r w:rsidRPr="00F70F2A">
              <w:rPr>
                <w:rFonts w:cs="Arial"/>
                <w:color w:val="000000"/>
                <w:sz w:val="16"/>
                <w:szCs w:val="16"/>
              </w:rPr>
              <w:t>240</w:t>
            </w:r>
          </w:p>
        </w:tc>
        <w:tc>
          <w:tcPr>
            <w:tcW w:w="740" w:type="dxa"/>
            <w:tcBorders>
              <w:top w:val="nil"/>
              <w:left w:val="nil"/>
              <w:bottom w:val="nil"/>
              <w:right w:val="single" w:sz="4" w:space="0" w:color="auto"/>
            </w:tcBorders>
            <w:shd w:val="clear" w:color="000000" w:fill="FFFFFF"/>
            <w:noWrap/>
            <w:vAlign w:val="bottom"/>
            <w:hideMark/>
          </w:tcPr>
          <w:p w:rsidR="00C62C08" w:rsidRPr="00F70F2A" w:rsidRDefault="00D73EE0" w:rsidP="00695F91">
            <w:pPr>
              <w:spacing w:after="0" w:line="240" w:lineRule="auto"/>
              <w:jc w:val="right"/>
              <w:rPr>
                <w:rFonts w:cs="Arial"/>
                <w:color w:val="000000"/>
                <w:sz w:val="16"/>
                <w:szCs w:val="16"/>
              </w:rPr>
            </w:pPr>
            <w:r>
              <w:rPr>
                <w:rFonts w:cs="Arial"/>
                <w:color w:val="000000"/>
                <w:sz w:val="16"/>
                <w:szCs w:val="16"/>
              </w:rPr>
              <w:t>18,3</w:t>
            </w:r>
            <w:r w:rsidR="00C62C08" w:rsidRPr="00F70F2A">
              <w:rPr>
                <w:rFonts w:cs="Arial"/>
                <w:color w:val="000000"/>
                <w:sz w:val="16"/>
                <w:szCs w:val="16"/>
              </w:rPr>
              <w:t>%</w:t>
            </w:r>
          </w:p>
        </w:tc>
        <w:tc>
          <w:tcPr>
            <w:tcW w:w="944" w:type="dxa"/>
            <w:tcBorders>
              <w:top w:val="nil"/>
              <w:left w:val="nil"/>
              <w:bottom w:val="nil"/>
              <w:right w:val="single" w:sz="4" w:space="0" w:color="auto"/>
            </w:tcBorders>
            <w:shd w:val="clear" w:color="000000" w:fill="FFFFFF"/>
            <w:noWrap/>
            <w:vAlign w:val="bottom"/>
            <w:hideMark/>
          </w:tcPr>
          <w:p w:rsidR="00C62C08" w:rsidRPr="00F70F2A" w:rsidRDefault="00D73EE0" w:rsidP="00695F91">
            <w:pPr>
              <w:spacing w:after="0" w:line="240" w:lineRule="auto"/>
              <w:jc w:val="right"/>
              <w:rPr>
                <w:rFonts w:cs="Arial"/>
                <w:color w:val="000000"/>
                <w:sz w:val="16"/>
                <w:szCs w:val="16"/>
              </w:rPr>
            </w:pPr>
            <w:r>
              <w:rPr>
                <w:rFonts w:cs="Arial"/>
                <w:color w:val="000000"/>
                <w:sz w:val="16"/>
                <w:szCs w:val="16"/>
              </w:rPr>
              <w:t>4,7</w:t>
            </w:r>
            <w:r w:rsidR="00C62C08" w:rsidRPr="00F70F2A">
              <w:rPr>
                <w:rFonts w:cs="Arial"/>
                <w:color w:val="000000"/>
                <w:sz w:val="16"/>
                <w:szCs w:val="16"/>
              </w:rPr>
              <w:t>%</w:t>
            </w:r>
          </w:p>
        </w:tc>
        <w:tc>
          <w:tcPr>
            <w:tcW w:w="991" w:type="dxa"/>
            <w:tcBorders>
              <w:top w:val="nil"/>
              <w:left w:val="nil"/>
              <w:bottom w:val="nil"/>
              <w:right w:val="nil"/>
            </w:tcBorders>
            <w:shd w:val="clear" w:color="000000" w:fill="FFFFFF"/>
            <w:noWrap/>
            <w:vAlign w:val="bottom"/>
            <w:hideMark/>
          </w:tcPr>
          <w:p w:rsidR="00C62C08" w:rsidRPr="00F70F2A" w:rsidRDefault="00D73EE0" w:rsidP="00695F91">
            <w:pPr>
              <w:spacing w:after="0" w:line="240" w:lineRule="auto"/>
              <w:jc w:val="right"/>
              <w:rPr>
                <w:rFonts w:cs="Arial"/>
                <w:color w:val="000000"/>
                <w:sz w:val="16"/>
                <w:szCs w:val="16"/>
              </w:rPr>
            </w:pPr>
            <w:r>
              <w:rPr>
                <w:rFonts w:cs="Arial"/>
                <w:color w:val="000000"/>
                <w:sz w:val="16"/>
                <w:szCs w:val="16"/>
              </w:rPr>
              <w:t>90,4</w:t>
            </w:r>
            <w:r w:rsidR="00C62C08" w:rsidRPr="00F70F2A">
              <w:rPr>
                <w:rFonts w:cs="Arial"/>
                <w:color w:val="000000"/>
                <w:sz w:val="16"/>
                <w:szCs w:val="16"/>
              </w:rPr>
              <w:t>%</w:t>
            </w:r>
          </w:p>
        </w:tc>
      </w:tr>
    </w:tbl>
    <w:p w:rsidR="004F7BA7" w:rsidRDefault="004F7BA7" w:rsidP="004F7BA7">
      <w:pPr>
        <w:spacing w:before="120" w:after="120" w:line="276" w:lineRule="auto"/>
        <w:rPr>
          <w:rFonts w:cs="Arial"/>
          <w:sz w:val="16"/>
          <w:szCs w:val="16"/>
        </w:rPr>
      </w:pPr>
      <w:r w:rsidRPr="00FA1D8E">
        <w:rPr>
          <w:rFonts w:cs="Arial"/>
          <w:sz w:val="16"/>
          <w:szCs w:val="16"/>
        </w:rPr>
        <w:t>Zdroj: MŠMT</w:t>
      </w:r>
      <w:r>
        <w:rPr>
          <w:rFonts w:cs="Arial"/>
          <w:sz w:val="16"/>
          <w:szCs w:val="16"/>
        </w:rPr>
        <w:t xml:space="preserve"> a vlastních dopočtů ČSÚ</w:t>
      </w:r>
    </w:p>
    <w:p w:rsidR="004F7BA7" w:rsidRDefault="004F7BA7" w:rsidP="00676DC7">
      <w:pPr>
        <w:spacing w:after="120" w:line="276" w:lineRule="auto"/>
        <w:jc w:val="both"/>
        <w:rPr>
          <w:rFonts w:cs="Arial"/>
          <w:szCs w:val="20"/>
        </w:rPr>
      </w:pPr>
      <w:r w:rsidRPr="009363F2">
        <w:rPr>
          <w:rFonts w:cs="Arial"/>
          <w:szCs w:val="20"/>
        </w:rPr>
        <w:lastRenderedPageBreak/>
        <w:t>Až polovina dětí se SVP v mateřských školách je postižená vadami řeči. Poruchami autistického spektra trpí 10,3 % dětí se SVP. Mezi postiženými dětmi je více chlapců než dívek. Jejich podíl zůstává během posledních 10 let konstantní. Pohyboval se v rozmezí mezi 65 % a 68 %.</w:t>
      </w:r>
    </w:p>
    <w:p w:rsidR="004F7BA7" w:rsidRPr="00676DC7" w:rsidRDefault="004F7BA7" w:rsidP="004F7BA7">
      <w:pPr>
        <w:pStyle w:val="Nadpis2"/>
      </w:pPr>
      <w:bookmarkStart w:id="20" w:name="_Toc523408604"/>
      <w:bookmarkStart w:id="21" w:name="_Toc523466189"/>
      <w:r w:rsidRPr="00676DC7">
        <w:t>1.</w:t>
      </w:r>
      <w:r w:rsidR="00E13797" w:rsidRPr="00676DC7">
        <w:t>9</w:t>
      </w:r>
      <w:r w:rsidRPr="00676DC7">
        <w:t xml:space="preserve"> Předškolní vzdělávání v základních školách</w:t>
      </w:r>
      <w:bookmarkEnd w:id="20"/>
      <w:bookmarkEnd w:id="21"/>
    </w:p>
    <w:p w:rsidR="004F7BA7" w:rsidRPr="000325B6" w:rsidRDefault="004F7BA7" w:rsidP="00E13797">
      <w:pPr>
        <w:spacing w:after="120" w:line="276" w:lineRule="auto"/>
        <w:jc w:val="both"/>
        <w:rPr>
          <w:rFonts w:cs="Arial"/>
          <w:szCs w:val="20"/>
        </w:rPr>
      </w:pPr>
      <w:r w:rsidRPr="000325B6">
        <w:rPr>
          <w:rFonts w:cs="Arial"/>
          <w:szCs w:val="20"/>
        </w:rPr>
        <w:t xml:space="preserve">Předškolní vzdělávání se uskutečňuje rovněž </w:t>
      </w:r>
      <w:r w:rsidRPr="000325B6">
        <w:rPr>
          <w:rFonts w:cs="Arial"/>
          <w:b/>
          <w:szCs w:val="20"/>
        </w:rPr>
        <w:t>v přípravných třídách základních škol</w:t>
      </w:r>
      <w:r w:rsidRPr="000325B6">
        <w:rPr>
          <w:rFonts w:cs="Arial"/>
          <w:szCs w:val="20"/>
        </w:rPr>
        <w:t>. Ty jsou určeny dětem v posledním roce před zahájením povinné školní docházky, u kterých je předpoklad, že zařazení do přípravné třídy vyrovná jejich vývoj, a kterým byl povolen odklad povinné školní docházky. Počet základních škol, ve kterých jsou přípravné třídy zřízeny, poprvé ve sledovaném období klesl, a to o 11,9 %, tj. z 295 na 260 škol. Rovněž se značně snížil i počet přípravných tříd, a to z 345 na 286 tříd, což přestavuje pokles o</w:t>
      </w:r>
      <w:r w:rsidR="00C55813">
        <w:rPr>
          <w:rFonts w:cs="Arial"/>
          <w:szCs w:val="20"/>
        </w:rPr>
        <w:t> </w:t>
      </w:r>
      <w:r w:rsidRPr="000325B6">
        <w:rPr>
          <w:rFonts w:cs="Arial"/>
          <w:szCs w:val="20"/>
        </w:rPr>
        <w:t>17,1 %. V souvislosti s tím došlo k významnému poklesu počtu dětí v přípravných třídách, a to o 25,4 %, tj. o 1 162 dětí. Procentuální zastoupení dívek v přípravných třídách od roku 2013/14 kleslo ze 42,5 % až na 35,8 % ve školním roce 2017/18.</w:t>
      </w:r>
    </w:p>
    <w:p w:rsidR="00527839" w:rsidRDefault="004F7BA7" w:rsidP="00E13797">
      <w:pPr>
        <w:spacing w:after="120" w:line="276" w:lineRule="auto"/>
        <w:jc w:val="both"/>
        <w:rPr>
          <w:rFonts w:cs="Arial"/>
          <w:b/>
          <w:szCs w:val="32"/>
        </w:rPr>
      </w:pPr>
      <w:r w:rsidRPr="000325B6">
        <w:rPr>
          <w:rFonts w:cs="Arial"/>
          <w:b/>
          <w:szCs w:val="20"/>
        </w:rPr>
        <w:t>Přípravný stupeň základní školy speciální připravuje</w:t>
      </w:r>
      <w:r w:rsidRPr="000325B6">
        <w:rPr>
          <w:rFonts w:cs="Arial"/>
          <w:szCs w:val="20"/>
        </w:rPr>
        <w:t xml:space="preserve"> na povinnou školní docházku děti se středně těžkým a těžkým mentálním postižením, se souběžným postižením více vadami nebo s autismem. Dítě může být přijato nejdříve ve věku pěti let, a to i v průběhu školního roku, a na přípravném stupni setrvává až do zahájení povinné školní docházky, přičemž jeho docházka do přípravného stupně nesmí přesáhnout tři školní roky.</w:t>
      </w:r>
      <w:r w:rsidRPr="00E53A8A">
        <w:rPr>
          <w:rFonts w:cs="Arial"/>
          <w:szCs w:val="20"/>
        </w:rPr>
        <w:t xml:space="preserve"> V letošním školním roce došlo ke snížení počtu základních škol speciálních s přípravným stupněm na 50 škol. Naopak mírně vzrostl počet tříd přípravného stupně, a to z 32 na 34 tříd. Počet dětí se snížil z 231 v roce 2016/17 na 228 v letošním školním roce. Procentuální zastoupení dívek v přípravných třídách se pohybuje od 32,9 % (v roce 2016/17) až po současných 34,2 %.</w:t>
      </w:r>
    </w:p>
    <w:p w:rsidR="0073133B" w:rsidRPr="00A365B0" w:rsidRDefault="0073133B" w:rsidP="00A365B0">
      <w:pPr>
        <w:pStyle w:val="Nadpis1"/>
      </w:pPr>
      <w:bookmarkStart w:id="22" w:name="_Toc523408605"/>
      <w:bookmarkStart w:id="23" w:name="_Toc523466190"/>
      <w:r w:rsidRPr="00A365B0">
        <w:t>2. Základní vzdělávání</w:t>
      </w:r>
      <w:bookmarkEnd w:id="22"/>
      <w:bookmarkEnd w:id="23"/>
    </w:p>
    <w:p w:rsidR="00C03051" w:rsidRPr="00B273E8" w:rsidRDefault="00C03051" w:rsidP="003A3CFC">
      <w:pPr>
        <w:spacing w:after="120" w:line="276" w:lineRule="auto"/>
        <w:jc w:val="both"/>
        <w:rPr>
          <w:rFonts w:cs="Arial"/>
          <w:szCs w:val="20"/>
        </w:rPr>
      </w:pPr>
      <w:r w:rsidRPr="00B273E8">
        <w:rPr>
          <w:rFonts w:cs="Arial"/>
          <w:szCs w:val="20"/>
        </w:rPr>
        <w:t xml:space="preserve">Základní vzdělávání je dalším stupněm ve vzdělávací soustavě České republiky. Cílem základního vzdělávání je vést žáky k osvojení potřebné strategie učení a motivovat k celoživotnímu </w:t>
      </w:r>
      <w:r>
        <w:rPr>
          <w:rFonts w:cs="Arial"/>
          <w:szCs w:val="20"/>
        </w:rPr>
        <w:t>vzdělávání</w:t>
      </w:r>
      <w:r w:rsidRPr="00B273E8">
        <w:rPr>
          <w:rFonts w:cs="Arial"/>
          <w:szCs w:val="20"/>
        </w:rPr>
        <w:t>. Napomáhá žákům poznávat své schopnosti a uplatňovat je spolu s osvojenými vědomostmi a dovednostmi při rozhodování o své další životní dráze a svém profesním uplatnění.</w:t>
      </w:r>
    </w:p>
    <w:p w:rsidR="00C03051" w:rsidRPr="00A87D0E" w:rsidRDefault="00C03051" w:rsidP="003A3CFC">
      <w:pPr>
        <w:spacing w:after="120" w:line="276" w:lineRule="auto"/>
        <w:jc w:val="both"/>
        <w:rPr>
          <w:rFonts w:cs="Arial"/>
          <w:szCs w:val="20"/>
        </w:rPr>
      </w:pPr>
      <w:r w:rsidRPr="00A87D0E">
        <w:rPr>
          <w:rFonts w:cs="Arial"/>
          <w:szCs w:val="20"/>
        </w:rPr>
        <w:t>Základní vzdělání získá žák úspěšným ukončením vzdělávacího programu základního vzdělávání v základní škole, na nižším stupni šestiletého nebo osmiletého gymnázia nebo v odpovídajících ročnících osmiletého vzdělávacího programu konzervatoře. Základní vzdělávání má 9 ročníků a člení se na první a druhý stupeň. První stupeň je tvořen prvním až pátým ročníkem a druhý stupeň šestým až devátým ročníkem základní školy (příp. odpovídajícími ročníky víceletých gymnázií či osmiletých konzervatoří).</w:t>
      </w:r>
    </w:p>
    <w:p w:rsidR="00C03051" w:rsidRPr="00B273E8" w:rsidRDefault="00C03051" w:rsidP="003A3CFC">
      <w:pPr>
        <w:spacing w:after="120" w:line="276" w:lineRule="auto"/>
        <w:jc w:val="both"/>
        <w:rPr>
          <w:rFonts w:cs="Arial"/>
          <w:szCs w:val="20"/>
        </w:rPr>
      </w:pPr>
      <w:r w:rsidRPr="00B273E8">
        <w:rPr>
          <w:rFonts w:cs="Arial"/>
          <w:szCs w:val="20"/>
        </w:rPr>
        <w:t>Přechod z prvního stupně na druhý není podmíněn přijímacími zkouškami. Žák po úspěšném absolvování pátého ročníku pokračuje ve studiu. Jinou možností je přestup na víceleté gymnázium, které poskytuje osmileté studium, resp. šestileté studium po ukončení 7. třídy ZŠ. Přestup na gymnázium je podmíněn přijímacími zkouškami a vyhovujícím prospěchem na prvním stupni základní školy.</w:t>
      </w:r>
    </w:p>
    <w:p w:rsidR="00C03051" w:rsidRPr="00A87D0E" w:rsidRDefault="00C03051" w:rsidP="003A3CFC">
      <w:pPr>
        <w:spacing w:after="120" w:line="276" w:lineRule="auto"/>
        <w:jc w:val="both"/>
        <w:rPr>
          <w:rFonts w:cs="Arial"/>
          <w:szCs w:val="20"/>
        </w:rPr>
      </w:pPr>
      <w:r w:rsidRPr="00A87D0E">
        <w:rPr>
          <w:rFonts w:cs="Arial"/>
          <w:szCs w:val="20"/>
        </w:rPr>
        <w:t xml:space="preserve">U žáků se speciálními vzdělávacími potřebami </w:t>
      </w:r>
      <w:r>
        <w:rPr>
          <w:rFonts w:cs="Arial"/>
          <w:szCs w:val="20"/>
        </w:rPr>
        <w:t xml:space="preserve">(SVP) </w:t>
      </w:r>
      <w:r w:rsidRPr="00A87D0E">
        <w:rPr>
          <w:rFonts w:cs="Arial"/>
          <w:szCs w:val="20"/>
        </w:rPr>
        <w:t xml:space="preserve">je možné prodloužení základního vzdělávání na deset let, kde první stupeň končí šestým ročníkem základní školy. Žáci se </w:t>
      </w:r>
      <w:r>
        <w:rPr>
          <w:rFonts w:cs="Arial"/>
          <w:szCs w:val="20"/>
        </w:rPr>
        <w:t xml:space="preserve">SVP </w:t>
      </w:r>
      <w:r w:rsidRPr="00A87D0E">
        <w:rPr>
          <w:rFonts w:cs="Arial"/>
          <w:szCs w:val="20"/>
        </w:rPr>
        <w:t xml:space="preserve">mohou být zařazeni do speciálních tříd na běžných základních školách nebo individuálně integrováni do běžných tříd základních škol. Jsou pro ně určeny také školy zaměřené primárně na výuku žáků se speciálními vzdělávacími potřebami. </w:t>
      </w:r>
      <w:r>
        <w:rPr>
          <w:rFonts w:cs="Arial"/>
          <w:szCs w:val="20"/>
        </w:rPr>
        <w:t xml:space="preserve">Základní školy speciální </w:t>
      </w:r>
      <w:r w:rsidRPr="00A87D0E">
        <w:rPr>
          <w:rFonts w:cs="Arial"/>
          <w:szCs w:val="20"/>
        </w:rPr>
        <w:t xml:space="preserve">mají deset postupných ročníků. </w:t>
      </w:r>
    </w:p>
    <w:p w:rsidR="00C03051" w:rsidRDefault="00C03051" w:rsidP="003A3CFC">
      <w:pPr>
        <w:spacing w:after="120" w:line="276" w:lineRule="auto"/>
        <w:jc w:val="both"/>
        <w:rPr>
          <w:rFonts w:cs="Arial"/>
          <w:szCs w:val="20"/>
        </w:rPr>
      </w:pPr>
      <w:r w:rsidRPr="00B273E8">
        <w:rPr>
          <w:rFonts w:cs="Arial"/>
          <w:szCs w:val="20"/>
        </w:rPr>
        <w:t xml:space="preserve">V základním vzdělávání se ve školním roce 2017/18 </w:t>
      </w:r>
      <w:r w:rsidR="00291E81">
        <w:rPr>
          <w:rFonts w:cs="Arial"/>
          <w:szCs w:val="20"/>
        </w:rPr>
        <w:t>celkem</w:t>
      </w:r>
      <w:r w:rsidR="00291E81" w:rsidRPr="00B273E8">
        <w:rPr>
          <w:rFonts w:cs="Arial"/>
          <w:szCs w:val="20"/>
        </w:rPr>
        <w:t xml:space="preserve"> </w:t>
      </w:r>
      <w:r w:rsidRPr="00B273E8">
        <w:rPr>
          <w:rFonts w:cs="Arial"/>
          <w:szCs w:val="20"/>
        </w:rPr>
        <w:t xml:space="preserve">vzdělával </w:t>
      </w:r>
      <w:r>
        <w:rPr>
          <w:rFonts w:cs="Arial"/>
          <w:szCs w:val="20"/>
        </w:rPr>
        <w:t xml:space="preserve">téměř milion dětí (967 717 žáků), tj. nejvíce za posledních deset let. Za posledních pět let vzrostl počet těchto žáků o více jak 100 tis. – ve školním roce 2012/13 se účastnilo základního vzdělávání 848 755 žáků. V posledních deseti letech se podíl žáků plnících povinnou školní docházku na základních školách pohyboval mezi 95 a 96 %. Ve školním roce 2017/18 to bylo 95,7 % (926 108 žáků) </w:t>
      </w:r>
      <w:r w:rsidRPr="00B273E8">
        <w:rPr>
          <w:rFonts w:cs="Arial"/>
          <w:szCs w:val="20"/>
        </w:rPr>
        <w:t xml:space="preserve">– z toho na 1. stupni 575 699 a na 2. stupni 350 409 žáků. </w:t>
      </w:r>
      <w:r>
        <w:rPr>
          <w:rFonts w:cs="Arial"/>
          <w:szCs w:val="20"/>
        </w:rPr>
        <w:t xml:space="preserve">Zbylých </w:t>
      </w:r>
      <w:r w:rsidRPr="00B273E8">
        <w:rPr>
          <w:rFonts w:cs="Arial"/>
          <w:szCs w:val="20"/>
        </w:rPr>
        <w:t xml:space="preserve">41 609 (4,3 %) žáků plnilo povinnou školní docházku </w:t>
      </w:r>
      <w:r w:rsidR="00291E81">
        <w:rPr>
          <w:rFonts w:cs="Arial"/>
          <w:szCs w:val="20"/>
        </w:rPr>
        <w:t>na</w:t>
      </w:r>
      <w:r w:rsidRPr="00B273E8">
        <w:rPr>
          <w:rFonts w:cs="Arial"/>
          <w:szCs w:val="20"/>
        </w:rPr>
        <w:t xml:space="preserve"> víceletých gymnázií</w:t>
      </w:r>
      <w:r w:rsidR="00291E81">
        <w:rPr>
          <w:rFonts w:cs="Arial"/>
          <w:szCs w:val="20"/>
        </w:rPr>
        <w:t>ch</w:t>
      </w:r>
      <w:r w:rsidRPr="00B273E8">
        <w:rPr>
          <w:rFonts w:cs="Arial"/>
          <w:szCs w:val="20"/>
        </w:rPr>
        <w:t xml:space="preserve"> a konzervatoří</w:t>
      </w:r>
      <w:r w:rsidR="00291E81">
        <w:rPr>
          <w:rFonts w:cs="Arial"/>
          <w:szCs w:val="20"/>
        </w:rPr>
        <w:t>ch</w:t>
      </w:r>
      <w:r w:rsidRPr="00B273E8">
        <w:rPr>
          <w:rFonts w:cs="Arial"/>
          <w:szCs w:val="20"/>
        </w:rPr>
        <w:t xml:space="preserve"> – z toho </w:t>
      </w:r>
      <w:r w:rsidR="00291E81">
        <w:rPr>
          <w:rFonts w:cs="Arial"/>
          <w:szCs w:val="20"/>
        </w:rPr>
        <w:br/>
      </w:r>
      <w:proofErr w:type="gramStart"/>
      <w:r w:rsidRPr="00B273E8">
        <w:rPr>
          <w:rFonts w:cs="Arial"/>
          <w:szCs w:val="20"/>
        </w:rPr>
        <w:t>4 740 v 1.–2. ročníku</w:t>
      </w:r>
      <w:proofErr w:type="gramEnd"/>
      <w:r w:rsidRPr="00B273E8">
        <w:rPr>
          <w:rFonts w:cs="Arial"/>
          <w:szCs w:val="20"/>
        </w:rPr>
        <w:t xml:space="preserve"> š</w:t>
      </w:r>
      <w:r w:rsidR="00291E81">
        <w:rPr>
          <w:rFonts w:cs="Arial"/>
          <w:szCs w:val="20"/>
        </w:rPr>
        <w:t>estiletých gymnázií, 36 520 v 1.</w:t>
      </w:r>
      <w:r w:rsidRPr="00B273E8">
        <w:rPr>
          <w:rFonts w:cs="Arial"/>
          <w:szCs w:val="20"/>
        </w:rPr>
        <w:t xml:space="preserve">–4. ročníku osmiletých gymnázií a 349 v 1.–4. ročníku osmiletých konzervatoří. </w:t>
      </w:r>
    </w:p>
    <w:p w:rsidR="00C6098D" w:rsidRPr="00424EB4" w:rsidRDefault="0073133B" w:rsidP="003A3CFC">
      <w:pPr>
        <w:pStyle w:val="Nadpis2"/>
      </w:pPr>
      <w:bookmarkStart w:id="24" w:name="_Toc523408606"/>
      <w:bookmarkStart w:id="25" w:name="_Toc523466191"/>
      <w:r w:rsidRPr="00676DC7">
        <w:lastRenderedPageBreak/>
        <w:t>2.1 Základní školy</w:t>
      </w:r>
      <w:r w:rsidR="00E45B56" w:rsidRPr="00676DC7">
        <w:t xml:space="preserve"> – </w:t>
      </w:r>
      <w:bookmarkStart w:id="26" w:name="_Toc523408607"/>
      <w:bookmarkEnd w:id="24"/>
      <w:r w:rsidR="003A3CFC" w:rsidRPr="00676DC7">
        <w:t>p</w:t>
      </w:r>
      <w:r w:rsidR="00C6098D" w:rsidRPr="00676DC7">
        <w:t xml:space="preserve">očty škol a </w:t>
      </w:r>
      <w:r w:rsidR="003A3CFC" w:rsidRPr="00676DC7">
        <w:t xml:space="preserve">jejich </w:t>
      </w:r>
      <w:r w:rsidR="00C6098D" w:rsidRPr="00676DC7">
        <w:t>tříd</w:t>
      </w:r>
      <w:bookmarkEnd w:id="26"/>
      <w:bookmarkEnd w:id="25"/>
    </w:p>
    <w:p w:rsidR="00967F54" w:rsidRDefault="00C6098D" w:rsidP="003A3CFC">
      <w:pPr>
        <w:spacing w:after="120" w:line="276" w:lineRule="auto"/>
        <w:jc w:val="both"/>
        <w:rPr>
          <w:rFonts w:cs="Arial"/>
          <w:szCs w:val="20"/>
        </w:rPr>
      </w:pPr>
      <w:r w:rsidRPr="005B31C7">
        <w:rPr>
          <w:rFonts w:cs="Arial"/>
          <w:szCs w:val="20"/>
        </w:rPr>
        <w:t xml:space="preserve">V České republice ve školním roce 2017/18 zajišťovalo základní vzdělávání celkem </w:t>
      </w:r>
      <w:r w:rsidRPr="00D1349A">
        <w:rPr>
          <w:rFonts w:cs="Arial"/>
          <w:b/>
          <w:szCs w:val="20"/>
        </w:rPr>
        <w:t>4 155 základních škol</w:t>
      </w:r>
      <w:r w:rsidRPr="005B31C7">
        <w:rPr>
          <w:rFonts w:cs="Arial"/>
          <w:szCs w:val="20"/>
        </w:rPr>
        <w:t xml:space="preserve"> </w:t>
      </w:r>
      <w:r w:rsidR="00291E81">
        <w:rPr>
          <w:rFonts w:cs="Arial"/>
          <w:szCs w:val="20"/>
        </w:rPr>
        <w:t>–</w:t>
      </w:r>
      <w:r w:rsidRPr="005B31C7">
        <w:rPr>
          <w:rFonts w:cs="Arial"/>
          <w:szCs w:val="20"/>
        </w:rPr>
        <w:t xml:space="preserve"> o 15 více než v předchozím školním roce či o 49 </w:t>
      </w:r>
      <w:r w:rsidR="00291E81">
        <w:rPr>
          <w:rFonts w:cs="Arial"/>
          <w:szCs w:val="20"/>
        </w:rPr>
        <w:t xml:space="preserve">více </w:t>
      </w:r>
      <w:r w:rsidRPr="005B31C7">
        <w:rPr>
          <w:rFonts w:cs="Arial"/>
          <w:szCs w:val="20"/>
        </w:rPr>
        <w:t xml:space="preserve">než před třemi lety, ale stejně jako ve školním roce 2007/08. </w:t>
      </w:r>
      <w:r w:rsidR="00967F54">
        <w:rPr>
          <w:rFonts w:cs="Arial"/>
          <w:szCs w:val="20"/>
        </w:rPr>
        <w:t>Z výše uvedených 4 155 škol bylo 92 % (3 823)</w:t>
      </w:r>
      <w:r w:rsidR="00B66B4E">
        <w:rPr>
          <w:rFonts w:cs="Arial"/>
          <w:szCs w:val="20"/>
        </w:rPr>
        <w:t xml:space="preserve"> </w:t>
      </w:r>
      <w:r w:rsidR="00B66B4E" w:rsidRPr="00B66B4E">
        <w:rPr>
          <w:rFonts w:cs="Arial"/>
          <w:b/>
          <w:szCs w:val="20"/>
        </w:rPr>
        <w:t>běžných škol</w:t>
      </w:r>
      <w:r w:rsidR="00B66B4E">
        <w:rPr>
          <w:rFonts w:cs="Arial"/>
          <w:szCs w:val="20"/>
        </w:rPr>
        <w:t xml:space="preserve"> a zbylých 332 škol pak tvořily školy pro žáky </w:t>
      </w:r>
      <w:r w:rsidR="00B66B4E" w:rsidRPr="00B66B4E">
        <w:rPr>
          <w:rFonts w:cs="Arial"/>
          <w:b/>
          <w:szCs w:val="20"/>
        </w:rPr>
        <w:t>se speciálními vzdělávacími potřebami</w:t>
      </w:r>
      <w:r w:rsidR="00D93ACF">
        <w:rPr>
          <w:rFonts w:cs="Arial"/>
          <w:b/>
          <w:szCs w:val="20"/>
        </w:rPr>
        <w:t xml:space="preserve"> (SVP)</w:t>
      </w:r>
      <w:r w:rsidR="00B66B4E">
        <w:rPr>
          <w:rFonts w:cs="Arial"/>
          <w:szCs w:val="20"/>
        </w:rPr>
        <w:t>.</w:t>
      </w:r>
      <w:r w:rsidR="00D93ACF">
        <w:rPr>
          <w:rFonts w:cs="Arial"/>
          <w:szCs w:val="20"/>
        </w:rPr>
        <w:t xml:space="preserve"> Počet speciálních základních škol v česku postupně klesá. Meziročně se jejich počet snížil o 17 (5 %) a za deset let o téměř čtvrtinu (103 škol). </w:t>
      </w:r>
    </w:p>
    <w:p w:rsidR="00C6098D" w:rsidRPr="005B31C7" w:rsidRDefault="00C03051" w:rsidP="003A3CFC">
      <w:pPr>
        <w:spacing w:after="120" w:line="276" w:lineRule="auto"/>
        <w:jc w:val="both"/>
        <w:rPr>
          <w:rFonts w:cs="Arial"/>
          <w:szCs w:val="20"/>
        </w:rPr>
      </w:pPr>
      <w:r>
        <w:rPr>
          <w:rFonts w:cs="Arial"/>
          <w:szCs w:val="20"/>
        </w:rPr>
        <w:t>Z </w:t>
      </w:r>
      <w:r w:rsidRPr="00967F54">
        <w:rPr>
          <w:rFonts w:cs="Arial"/>
          <w:b/>
          <w:szCs w:val="20"/>
        </w:rPr>
        <w:t>hlediska velikosti</w:t>
      </w:r>
      <w:r>
        <w:rPr>
          <w:rFonts w:cs="Arial"/>
          <w:szCs w:val="20"/>
        </w:rPr>
        <w:t xml:space="preserve"> tvořily ve školním roce 2017/18 přibližně polovinu </w:t>
      </w:r>
      <w:r w:rsidR="00291E81">
        <w:rPr>
          <w:rFonts w:cs="Arial"/>
          <w:szCs w:val="20"/>
        </w:rPr>
        <w:t xml:space="preserve">škol </w:t>
      </w:r>
      <w:r>
        <w:rPr>
          <w:rFonts w:cs="Arial"/>
          <w:szCs w:val="20"/>
        </w:rPr>
        <w:t xml:space="preserve">(52 %) malé základní školy, kde se vzdělávalo 150 a méně žáků. Jde často o školy, kde probíhá výuka pouze na první stupni. Středně velké školy </w:t>
      </w:r>
      <w:r w:rsidR="00291E81">
        <w:rPr>
          <w:rFonts w:cs="Arial"/>
          <w:szCs w:val="20"/>
        </w:rPr>
        <w:t>se 151 až 500 žáky se podílely</w:t>
      </w:r>
      <w:r>
        <w:rPr>
          <w:rFonts w:cs="Arial"/>
          <w:szCs w:val="20"/>
        </w:rPr>
        <w:t xml:space="preserve"> na celkovém počtu škol 35 %. Zbylých 13 % tvořily velké školy s více jak 500 žáky. </w:t>
      </w:r>
      <w:r w:rsidR="005B31C7">
        <w:rPr>
          <w:rFonts w:cs="Arial"/>
          <w:szCs w:val="20"/>
        </w:rPr>
        <w:t xml:space="preserve">Z pohledu </w:t>
      </w:r>
      <w:r w:rsidR="005B31C7" w:rsidRPr="005B31C7">
        <w:rPr>
          <w:rFonts w:cs="Arial"/>
          <w:b/>
          <w:szCs w:val="20"/>
        </w:rPr>
        <w:t>krajského srovnání</w:t>
      </w:r>
      <w:r w:rsidR="005B31C7">
        <w:rPr>
          <w:rFonts w:cs="Arial"/>
          <w:szCs w:val="20"/>
        </w:rPr>
        <w:t xml:space="preserve"> je n</w:t>
      </w:r>
      <w:r w:rsidR="00C6098D" w:rsidRPr="005B31C7">
        <w:rPr>
          <w:rFonts w:cs="Arial"/>
          <w:szCs w:val="20"/>
        </w:rPr>
        <w:t>ejvíce základních škol (533) ve Středočeském kraji, následovaném krajem Jihomoravským se 482 školami a Moravskoslezským s 441 školam</w:t>
      </w:r>
      <w:r w:rsidR="00D1349A">
        <w:rPr>
          <w:rFonts w:cs="Arial"/>
          <w:szCs w:val="20"/>
        </w:rPr>
        <w:t>i</w:t>
      </w:r>
      <w:r w:rsidR="00C6098D" w:rsidRPr="005B31C7">
        <w:rPr>
          <w:rFonts w:cs="Arial"/>
          <w:szCs w:val="20"/>
        </w:rPr>
        <w:t>. Počet škol v</w:t>
      </w:r>
      <w:r w:rsidR="00C55813">
        <w:rPr>
          <w:rFonts w:cs="Arial"/>
          <w:szCs w:val="20"/>
        </w:rPr>
        <w:t> </w:t>
      </w:r>
      <w:r w:rsidR="00C6098D" w:rsidRPr="005B31C7">
        <w:rPr>
          <w:rFonts w:cs="Arial"/>
          <w:szCs w:val="20"/>
        </w:rPr>
        <w:t>jednotlivých krajích je ovlivněn jak velikostí populace daného kraje, tak dostupností jednotlivých sídel.</w:t>
      </w:r>
    </w:p>
    <w:p w:rsidR="00C03051" w:rsidRPr="005B31C7" w:rsidRDefault="00C03051" w:rsidP="003A3CFC">
      <w:pPr>
        <w:spacing w:after="120" w:line="276" w:lineRule="auto"/>
        <w:jc w:val="both"/>
        <w:rPr>
          <w:rFonts w:cs="Arial"/>
          <w:szCs w:val="20"/>
        </w:rPr>
      </w:pPr>
      <w:r w:rsidRPr="005B31C7">
        <w:rPr>
          <w:rFonts w:cs="Arial"/>
          <w:szCs w:val="20"/>
        </w:rPr>
        <w:t xml:space="preserve">Většina základních škol (3 914; 92,7 %) v České republice </w:t>
      </w:r>
      <w:r w:rsidR="00291E81" w:rsidRPr="005B31C7">
        <w:rPr>
          <w:rFonts w:cs="Arial"/>
          <w:szCs w:val="20"/>
        </w:rPr>
        <w:t>je</w:t>
      </w:r>
      <w:r w:rsidR="00291E81" w:rsidRPr="005B31C7">
        <w:rPr>
          <w:rFonts w:cs="Arial"/>
          <w:b/>
          <w:szCs w:val="20"/>
        </w:rPr>
        <w:t xml:space="preserve"> </w:t>
      </w:r>
      <w:r w:rsidRPr="005B31C7">
        <w:rPr>
          <w:rFonts w:cs="Arial"/>
          <w:b/>
          <w:szCs w:val="20"/>
        </w:rPr>
        <w:t>veřejná</w:t>
      </w:r>
      <w:r w:rsidRPr="00291E81">
        <w:rPr>
          <w:rFonts w:cs="Arial"/>
          <w:szCs w:val="20"/>
        </w:rPr>
        <w:t>.</w:t>
      </w:r>
      <w:r>
        <w:rPr>
          <w:rFonts w:cs="Arial"/>
          <w:b/>
          <w:szCs w:val="20"/>
        </w:rPr>
        <w:t xml:space="preserve"> </w:t>
      </w:r>
      <w:r w:rsidRPr="00D93ACF">
        <w:rPr>
          <w:rFonts w:cs="Arial"/>
          <w:szCs w:val="20"/>
        </w:rPr>
        <w:t>Nejčastějším zřizovatelem veřejných škol jsou jednotlivé</w:t>
      </w:r>
      <w:r>
        <w:rPr>
          <w:rFonts w:cs="Arial"/>
          <w:b/>
          <w:szCs w:val="20"/>
        </w:rPr>
        <w:t xml:space="preserve"> obce. </w:t>
      </w:r>
      <w:r w:rsidRPr="00D93ACF">
        <w:rPr>
          <w:rFonts w:cs="Arial"/>
          <w:szCs w:val="20"/>
        </w:rPr>
        <w:t>Ve školním roce 2017/18 patřilo obcím</w:t>
      </w:r>
      <w:r>
        <w:rPr>
          <w:rFonts w:cs="Arial"/>
          <w:b/>
          <w:szCs w:val="20"/>
        </w:rPr>
        <w:t xml:space="preserve"> </w:t>
      </w:r>
      <w:r w:rsidRPr="005B31C7">
        <w:rPr>
          <w:rFonts w:cs="Arial"/>
          <w:szCs w:val="20"/>
        </w:rPr>
        <w:t xml:space="preserve">3 619 </w:t>
      </w:r>
      <w:r>
        <w:rPr>
          <w:rFonts w:cs="Arial"/>
          <w:szCs w:val="20"/>
        </w:rPr>
        <w:t xml:space="preserve">základních </w:t>
      </w:r>
      <w:r w:rsidR="00A735F4">
        <w:rPr>
          <w:rFonts w:cs="Arial"/>
          <w:szCs w:val="20"/>
        </w:rPr>
        <w:t xml:space="preserve">škol – </w:t>
      </w:r>
      <w:r>
        <w:rPr>
          <w:rFonts w:cs="Arial"/>
          <w:szCs w:val="20"/>
        </w:rPr>
        <w:t xml:space="preserve">o 81 méně než ve školním roce 2007/08. Ve </w:t>
      </w:r>
      <w:r w:rsidRPr="005B31C7">
        <w:rPr>
          <w:rFonts w:cs="Arial"/>
          <w:szCs w:val="20"/>
        </w:rPr>
        <w:t>251</w:t>
      </w:r>
      <w:r>
        <w:rPr>
          <w:rFonts w:cs="Arial"/>
          <w:szCs w:val="20"/>
        </w:rPr>
        <w:t xml:space="preserve"> případech byl zřizovatelem </w:t>
      </w:r>
      <w:r w:rsidRPr="00D93ACF">
        <w:rPr>
          <w:rFonts w:cs="Arial"/>
          <w:b/>
          <w:szCs w:val="20"/>
        </w:rPr>
        <w:t xml:space="preserve">kraj </w:t>
      </w:r>
      <w:r>
        <w:rPr>
          <w:rFonts w:cs="Arial"/>
          <w:szCs w:val="20"/>
        </w:rPr>
        <w:t xml:space="preserve">a ve </w:t>
      </w:r>
      <w:r w:rsidRPr="005B31C7">
        <w:rPr>
          <w:rFonts w:cs="Arial"/>
          <w:szCs w:val="20"/>
        </w:rPr>
        <w:t xml:space="preserve">44 </w:t>
      </w:r>
      <w:r w:rsidRPr="00D93ACF">
        <w:rPr>
          <w:rFonts w:cs="Arial"/>
          <w:b/>
          <w:szCs w:val="20"/>
        </w:rPr>
        <w:t>MŠMT</w:t>
      </w:r>
      <w:r w:rsidRPr="005B31C7">
        <w:rPr>
          <w:rFonts w:cs="Arial"/>
          <w:szCs w:val="20"/>
        </w:rPr>
        <w:t>. Kromě veřejných základních škol se mohou děti vzdělávat i v </w:t>
      </w:r>
      <w:r w:rsidRPr="005B31C7">
        <w:rPr>
          <w:rFonts w:cs="Arial"/>
          <w:b/>
          <w:szCs w:val="20"/>
        </w:rPr>
        <w:t>soukromých a církevních</w:t>
      </w:r>
      <w:r w:rsidRPr="005B31C7">
        <w:rPr>
          <w:rFonts w:cs="Arial"/>
          <w:szCs w:val="20"/>
        </w:rPr>
        <w:t xml:space="preserve"> školách. Tyto základní školy – stejně jako v případě škol mateřských </w:t>
      </w:r>
      <w:r>
        <w:rPr>
          <w:rFonts w:cs="Arial"/>
          <w:szCs w:val="20"/>
        </w:rPr>
        <w:t>–</w:t>
      </w:r>
      <w:r w:rsidRPr="005B31C7">
        <w:rPr>
          <w:rFonts w:cs="Arial"/>
          <w:szCs w:val="20"/>
        </w:rPr>
        <w:t xml:space="preserve"> </w:t>
      </w:r>
      <w:r>
        <w:rPr>
          <w:rFonts w:cs="Arial"/>
          <w:szCs w:val="20"/>
        </w:rPr>
        <w:t xml:space="preserve">však stále </w:t>
      </w:r>
      <w:r w:rsidRPr="005B31C7">
        <w:rPr>
          <w:rFonts w:cs="Arial"/>
          <w:szCs w:val="20"/>
        </w:rPr>
        <w:t>reprezentují poměrně malý podíl z celkového počtu základních škol v České republice.</w:t>
      </w:r>
      <w:r>
        <w:rPr>
          <w:rFonts w:cs="Arial"/>
          <w:szCs w:val="20"/>
        </w:rPr>
        <w:t xml:space="preserve"> </w:t>
      </w:r>
      <w:r w:rsidRPr="005B31C7">
        <w:rPr>
          <w:rFonts w:cs="Arial"/>
          <w:szCs w:val="20"/>
        </w:rPr>
        <w:t>Ve školním roce 2017/18 bylo v Česku 196 soukromých a 45 církevních základních škol.</w:t>
      </w:r>
      <w:r>
        <w:rPr>
          <w:rFonts w:cs="Arial"/>
          <w:szCs w:val="20"/>
        </w:rPr>
        <w:t xml:space="preserve"> </w:t>
      </w:r>
      <w:r w:rsidRPr="00DA5962">
        <w:rPr>
          <w:rFonts w:cs="Arial"/>
          <w:szCs w:val="20"/>
        </w:rPr>
        <w:t xml:space="preserve">Tyto školy se sice podílely </w:t>
      </w:r>
      <w:r>
        <w:rPr>
          <w:rFonts w:cs="Arial"/>
          <w:szCs w:val="20"/>
        </w:rPr>
        <w:t>5</w:t>
      </w:r>
      <w:r w:rsidRPr="00DA5962">
        <w:rPr>
          <w:rFonts w:cs="Arial"/>
          <w:szCs w:val="20"/>
        </w:rPr>
        <w:t>,</w:t>
      </w:r>
      <w:r>
        <w:rPr>
          <w:rFonts w:cs="Arial"/>
          <w:szCs w:val="20"/>
        </w:rPr>
        <w:t>8</w:t>
      </w:r>
      <w:r w:rsidRPr="00DA5962">
        <w:rPr>
          <w:rFonts w:cs="Arial"/>
          <w:szCs w:val="20"/>
        </w:rPr>
        <w:t xml:space="preserve"> % na celkovém počtu </w:t>
      </w:r>
      <w:r>
        <w:rPr>
          <w:rFonts w:cs="Arial"/>
          <w:szCs w:val="20"/>
        </w:rPr>
        <w:t xml:space="preserve">základních </w:t>
      </w:r>
      <w:r w:rsidRPr="00DA5962">
        <w:rPr>
          <w:rFonts w:cs="Arial"/>
          <w:szCs w:val="20"/>
        </w:rPr>
        <w:t xml:space="preserve">škol v ČR, ale chodilo do nich „jen“ </w:t>
      </w:r>
      <w:r>
        <w:rPr>
          <w:rFonts w:cs="Arial"/>
          <w:szCs w:val="20"/>
        </w:rPr>
        <w:t>2</w:t>
      </w:r>
      <w:r w:rsidRPr="00DA5962">
        <w:rPr>
          <w:rFonts w:cs="Arial"/>
          <w:szCs w:val="20"/>
        </w:rPr>
        <w:t>,</w:t>
      </w:r>
      <w:r>
        <w:rPr>
          <w:rFonts w:cs="Arial"/>
          <w:szCs w:val="20"/>
        </w:rPr>
        <w:t>3</w:t>
      </w:r>
      <w:r w:rsidRPr="00DA5962">
        <w:rPr>
          <w:rFonts w:cs="Arial"/>
          <w:szCs w:val="20"/>
        </w:rPr>
        <w:t> % (</w:t>
      </w:r>
      <w:r>
        <w:rPr>
          <w:rFonts w:cs="Arial"/>
          <w:szCs w:val="20"/>
        </w:rPr>
        <w:t>20</w:t>
      </w:r>
      <w:r w:rsidRPr="00DA5962">
        <w:rPr>
          <w:rFonts w:cs="Arial"/>
          <w:szCs w:val="20"/>
        </w:rPr>
        <w:t> </w:t>
      </w:r>
      <w:r>
        <w:rPr>
          <w:rFonts w:cs="Arial"/>
          <w:szCs w:val="20"/>
        </w:rPr>
        <w:t>863</w:t>
      </w:r>
      <w:r w:rsidRPr="00DA5962">
        <w:rPr>
          <w:rFonts w:cs="Arial"/>
          <w:szCs w:val="20"/>
        </w:rPr>
        <w:t xml:space="preserve">) </w:t>
      </w:r>
      <w:r>
        <w:rPr>
          <w:rFonts w:cs="Arial"/>
          <w:szCs w:val="20"/>
        </w:rPr>
        <w:t xml:space="preserve">žáků, </w:t>
      </w:r>
      <w:r w:rsidRPr="00DA5962">
        <w:rPr>
          <w:rFonts w:cs="Arial"/>
          <w:szCs w:val="20"/>
        </w:rPr>
        <w:t xml:space="preserve">jelikož jde ve většině případů o menší zařízení. </w:t>
      </w:r>
      <w:r>
        <w:rPr>
          <w:rFonts w:cs="Arial"/>
          <w:szCs w:val="20"/>
        </w:rPr>
        <w:t>N</w:t>
      </w:r>
      <w:r w:rsidRPr="005B31C7">
        <w:rPr>
          <w:rFonts w:cs="Arial"/>
          <w:szCs w:val="20"/>
        </w:rPr>
        <w:t>a rozdíl od veřejných škol, jejichž počet v posledních letech klesá (o 3,5 %; 143 škol za posledních deset let), tak především soukromých škol každoročně přibývá. Za posledních deset let jejich počet vzrostl z 62 ve školním roce 2007/08 na 196 ve školním roce 2017/18 a jejich podíl na celkovém počtu škol se ve stejném období zvýšil ze 1,5 % na 4,7 %.</w:t>
      </w:r>
    </w:p>
    <w:p w:rsidR="003F5AB8" w:rsidRPr="00B34465" w:rsidRDefault="004377B2" w:rsidP="003A3CFC">
      <w:pPr>
        <w:spacing w:after="120" w:line="276" w:lineRule="auto"/>
        <w:rPr>
          <w:rFonts w:cs="Arial"/>
          <w:b/>
          <w:noProof/>
          <w:szCs w:val="20"/>
        </w:rPr>
      </w:pPr>
      <w:r>
        <w:rPr>
          <w:rFonts w:cs="Arial"/>
          <w:b/>
          <w:noProof/>
          <w:szCs w:val="20"/>
        </w:rPr>
        <w:t>Obrázek 2</w:t>
      </w:r>
      <w:r w:rsidR="003F5AB8">
        <w:rPr>
          <w:rFonts w:cs="Arial"/>
          <w:b/>
          <w:noProof/>
          <w:szCs w:val="20"/>
        </w:rPr>
        <w:t>:</w:t>
      </w:r>
      <w:r w:rsidR="003F5AB8" w:rsidRPr="00B34465">
        <w:rPr>
          <w:rFonts w:cs="Arial"/>
          <w:b/>
          <w:noProof/>
          <w:szCs w:val="20"/>
        </w:rPr>
        <w:t xml:space="preserve"> Počet </w:t>
      </w:r>
      <w:r w:rsidR="003F5AB8">
        <w:rPr>
          <w:rFonts w:cs="Arial"/>
          <w:b/>
          <w:noProof/>
          <w:szCs w:val="20"/>
        </w:rPr>
        <w:t xml:space="preserve">základních </w:t>
      </w:r>
      <w:r w:rsidR="003F5AB8" w:rsidRPr="00B34465">
        <w:rPr>
          <w:rFonts w:cs="Arial"/>
          <w:b/>
          <w:noProof/>
          <w:szCs w:val="20"/>
        </w:rPr>
        <w:t xml:space="preserve">škol </w:t>
      </w:r>
      <w:r w:rsidR="003F5AB8">
        <w:rPr>
          <w:rFonts w:cs="Arial"/>
          <w:b/>
          <w:noProof/>
          <w:szCs w:val="20"/>
        </w:rPr>
        <w:t>v ČR podle zřizovatele ve školním roce 2007/08 a 2017/18</w:t>
      </w:r>
      <w:r w:rsidR="003F5AB8" w:rsidRPr="00B34465">
        <w:rPr>
          <w:rFonts w:cs="Arial"/>
          <w:b/>
          <w:noProof/>
          <w:szCs w:val="20"/>
        </w:rPr>
        <w:t xml:space="preserve">  </w:t>
      </w:r>
    </w:p>
    <w:p w:rsidR="003F5AB8" w:rsidRPr="00CF731B" w:rsidRDefault="003F5AB8" w:rsidP="003F5AB8">
      <w:pPr>
        <w:spacing w:after="0" w:line="276" w:lineRule="auto"/>
        <w:rPr>
          <w:rFonts w:cs="Arial"/>
          <w:b/>
          <w:i/>
          <w:noProof/>
          <w:szCs w:val="20"/>
        </w:rPr>
      </w:pPr>
      <w:r w:rsidRPr="00B66B4E">
        <w:rPr>
          <w:rFonts w:cs="Arial"/>
          <w:b/>
          <w:i/>
          <w:noProof/>
          <w:szCs w:val="20"/>
        </w:rPr>
        <w:t>Školní rok 2007/2008</w:t>
      </w:r>
    </w:p>
    <w:p w:rsidR="003F5AB8" w:rsidRPr="00646642" w:rsidRDefault="003F5AB8" w:rsidP="003F5AB8">
      <w:pPr>
        <w:spacing w:line="276" w:lineRule="auto"/>
        <w:jc w:val="both"/>
        <w:rPr>
          <w:rFonts w:cs="Arial"/>
          <w:szCs w:val="20"/>
        </w:rPr>
      </w:pPr>
      <w:r w:rsidRPr="00CF731B">
        <w:rPr>
          <w:rFonts w:cs="Arial"/>
          <w:b/>
          <w:noProof/>
          <w:szCs w:val="20"/>
        </w:rPr>
        <w:t xml:space="preserve"> </w:t>
      </w:r>
      <w:r w:rsidRPr="00CF731B">
        <w:rPr>
          <w:rFonts w:cs="Arial"/>
          <w:b/>
          <w:noProof/>
          <w:szCs w:val="20"/>
        </w:rPr>
        <w:drawing>
          <wp:inline distT="0" distB="0" distL="0" distR="0" wp14:anchorId="146A2C87" wp14:editId="483AE92B">
            <wp:extent cx="4905955" cy="628153"/>
            <wp:effectExtent l="0" t="0" r="9525" b="635"/>
            <wp:docPr id="19" name="Diagram 1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3F5AB8" w:rsidRPr="00CF731B" w:rsidRDefault="003F5AB8" w:rsidP="003F5AB8">
      <w:pPr>
        <w:spacing w:after="0" w:line="276" w:lineRule="auto"/>
        <w:rPr>
          <w:rFonts w:cs="Arial"/>
          <w:b/>
          <w:i/>
          <w:noProof/>
          <w:szCs w:val="20"/>
        </w:rPr>
      </w:pPr>
      <w:r w:rsidRPr="00CF731B">
        <w:rPr>
          <w:rFonts w:cs="Arial"/>
          <w:b/>
          <w:i/>
          <w:noProof/>
          <w:szCs w:val="20"/>
        </w:rPr>
        <w:t>Školní rok 2017/2018</w:t>
      </w:r>
    </w:p>
    <w:p w:rsidR="003F5AB8" w:rsidRPr="00646642" w:rsidRDefault="003F5AB8" w:rsidP="003F5AB8">
      <w:pPr>
        <w:spacing w:line="276" w:lineRule="auto"/>
        <w:jc w:val="both"/>
        <w:rPr>
          <w:rFonts w:cs="Arial"/>
          <w:szCs w:val="20"/>
        </w:rPr>
      </w:pPr>
      <w:r w:rsidRPr="00CF731B">
        <w:rPr>
          <w:rFonts w:cs="Arial"/>
          <w:b/>
          <w:noProof/>
          <w:szCs w:val="20"/>
        </w:rPr>
        <w:drawing>
          <wp:inline distT="0" distB="0" distL="0" distR="0" wp14:anchorId="17100452" wp14:editId="5C826E44">
            <wp:extent cx="5049078" cy="548640"/>
            <wp:effectExtent l="0" t="0" r="0" b="22860"/>
            <wp:docPr id="20" name="Diagram 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C03051" w:rsidRDefault="00C03051" w:rsidP="003A3CFC">
      <w:pPr>
        <w:spacing w:after="120" w:line="276" w:lineRule="auto"/>
        <w:jc w:val="both"/>
        <w:rPr>
          <w:rFonts w:cs="Arial"/>
          <w:szCs w:val="20"/>
        </w:rPr>
      </w:pPr>
      <w:r w:rsidRPr="005B31C7">
        <w:rPr>
          <w:rFonts w:cs="Arial"/>
          <w:szCs w:val="20"/>
        </w:rPr>
        <w:t xml:space="preserve">Téměř čtyři z deseti soukromých základních škol </w:t>
      </w:r>
      <w:r>
        <w:rPr>
          <w:rFonts w:cs="Arial"/>
          <w:szCs w:val="20"/>
        </w:rPr>
        <w:t xml:space="preserve">se nachází </w:t>
      </w:r>
      <w:r w:rsidRPr="005B31C7">
        <w:rPr>
          <w:rFonts w:cs="Arial"/>
          <w:szCs w:val="20"/>
        </w:rPr>
        <w:t xml:space="preserve">v Praze (38 škol) nebo ve Středočeském kraji (35 škol). V Praze se ve školním roce 2017/18 podílely tyto soukromé školy 14 % na celkovém počtu </w:t>
      </w:r>
      <w:r>
        <w:rPr>
          <w:rFonts w:cs="Arial"/>
          <w:szCs w:val="20"/>
        </w:rPr>
        <w:t>pražských základních škol</w:t>
      </w:r>
      <w:r w:rsidRPr="005B31C7">
        <w:rPr>
          <w:rFonts w:cs="Arial"/>
          <w:szCs w:val="20"/>
        </w:rPr>
        <w:t xml:space="preserve"> a chodilo do nich 3,2 % žáků. Naopak ve Zlínském kraji soukromé školy tvořily jen 1,6 % </w:t>
      </w:r>
      <w:r>
        <w:rPr>
          <w:rFonts w:cs="Arial"/>
          <w:szCs w:val="20"/>
        </w:rPr>
        <w:t xml:space="preserve">základních škol </w:t>
      </w:r>
      <w:r w:rsidRPr="005B31C7">
        <w:rPr>
          <w:rFonts w:cs="Arial"/>
          <w:szCs w:val="20"/>
        </w:rPr>
        <w:t>a chodilo do nich 0,9 % žáků.</w:t>
      </w:r>
    </w:p>
    <w:p w:rsidR="00B1475D" w:rsidRDefault="00C03051" w:rsidP="003A3CFC">
      <w:pPr>
        <w:spacing w:after="120" w:line="276" w:lineRule="auto"/>
        <w:jc w:val="both"/>
        <w:rPr>
          <w:rFonts w:cs="Arial"/>
          <w:szCs w:val="20"/>
        </w:rPr>
      </w:pPr>
      <w:r>
        <w:rPr>
          <w:rFonts w:cs="Arial"/>
          <w:szCs w:val="20"/>
        </w:rPr>
        <w:t xml:space="preserve">V základních školách bylo v </w:t>
      </w:r>
      <w:r w:rsidRPr="0073133B">
        <w:rPr>
          <w:rFonts w:cs="Arial"/>
          <w:szCs w:val="20"/>
        </w:rPr>
        <w:t>minulém školním roce</w:t>
      </w:r>
      <w:r>
        <w:rPr>
          <w:rFonts w:cs="Arial"/>
          <w:szCs w:val="20"/>
        </w:rPr>
        <w:t xml:space="preserve"> zřízeno celkem </w:t>
      </w:r>
      <w:r w:rsidRPr="00072763">
        <w:rPr>
          <w:rFonts w:cs="Arial"/>
          <w:b/>
          <w:szCs w:val="20"/>
        </w:rPr>
        <w:t>46 </w:t>
      </w:r>
      <w:r>
        <w:rPr>
          <w:rFonts w:cs="Arial"/>
          <w:b/>
          <w:szCs w:val="20"/>
        </w:rPr>
        <w:t>023</w:t>
      </w:r>
      <w:r w:rsidRPr="00DB0EA9">
        <w:rPr>
          <w:rFonts w:cs="Arial"/>
          <w:b/>
          <w:szCs w:val="20"/>
        </w:rPr>
        <w:t> tříd</w:t>
      </w:r>
      <w:r>
        <w:rPr>
          <w:rFonts w:cs="Arial"/>
          <w:b/>
          <w:szCs w:val="20"/>
        </w:rPr>
        <w:t xml:space="preserve">, </w:t>
      </w:r>
      <w:r w:rsidRPr="00215E55">
        <w:rPr>
          <w:rFonts w:cs="Arial"/>
          <w:szCs w:val="20"/>
        </w:rPr>
        <w:t>tj</w:t>
      </w:r>
      <w:r>
        <w:rPr>
          <w:rFonts w:cs="Arial"/>
          <w:szCs w:val="20"/>
        </w:rPr>
        <w:t>.</w:t>
      </w:r>
      <w:r w:rsidRPr="00215E55">
        <w:rPr>
          <w:rFonts w:cs="Arial"/>
          <w:szCs w:val="20"/>
        </w:rPr>
        <w:t xml:space="preserve"> o</w:t>
      </w:r>
      <w:r>
        <w:rPr>
          <w:rFonts w:cs="Arial"/>
          <w:b/>
          <w:szCs w:val="20"/>
        </w:rPr>
        <w:t xml:space="preserve"> </w:t>
      </w:r>
      <w:r w:rsidRPr="00072763">
        <w:rPr>
          <w:rFonts w:cs="Arial"/>
          <w:szCs w:val="20"/>
        </w:rPr>
        <w:t>907</w:t>
      </w:r>
      <w:r w:rsidRPr="002D0251">
        <w:rPr>
          <w:rFonts w:cs="Arial"/>
          <w:szCs w:val="20"/>
        </w:rPr>
        <w:t xml:space="preserve"> </w:t>
      </w:r>
      <w:r>
        <w:rPr>
          <w:rFonts w:cs="Arial"/>
          <w:szCs w:val="20"/>
        </w:rPr>
        <w:t xml:space="preserve">tříd </w:t>
      </w:r>
      <w:r w:rsidRPr="002D0251">
        <w:rPr>
          <w:rFonts w:cs="Arial"/>
          <w:szCs w:val="20"/>
        </w:rPr>
        <w:t>více než v předchozím školním roce.</w:t>
      </w:r>
      <w:r>
        <w:rPr>
          <w:rFonts w:cs="Arial"/>
          <w:szCs w:val="20"/>
        </w:rPr>
        <w:t xml:space="preserve"> Počet </w:t>
      </w:r>
      <w:r w:rsidRPr="00C236E9">
        <w:rPr>
          <w:rFonts w:cs="Arial"/>
          <w:szCs w:val="20"/>
        </w:rPr>
        <w:t xml:space="preserve">tříd v posledních </w:t>
      </w:r>
      <w:r>
        <w:rPr>
          <w:rFonts w:cs="Arial"/>
          <w:szCs w:val="20"/>
        </w:rPr>
        <w:t>pěti letech roste výrazně rychleji než počet škol. P</w:t>
      </w:r>
      <w:r w:rsidRPr="00C236E9">
        <w:rPr>
          <w:rFonts w:cs="Arial"/>
          <w:szCs w:val="20"/>
        </w:rPr>
        <w:t xml:space="preserve">očet škol vzrostl </w:t>
      </w:r>
      <w:r>
        <w:rPr>
          <w:rFonts w:cs="Arial"/>
          <w:szCs w:val="20"/>
        </w:rPr>
        <w:t xml:space="preserve">„jen“ </w:t>
      </w:r>
      <w:r w:rsidRPr="00C236E9">
        <w:rPr>
          <w:rFonts w:cs="Arial"/>
          <w:szCs w:val="20"/>
        </w:rPr>
        <w:t xml:space="preserve">o </w:t>
      </w:r>
      <w:r>
        <w:rPr>
          <w:rFonts w:cs="Arial"/>
          <w:szCs w:val="20"/>
        </w:rPr>
        <w:t xml:space="preserve">1,5 % (v absolutním vyjádření přibylo 60 nových škol), zato </w:t>
      </w:r>
      <w:r w:rsidRPr="00C236E9">
        <w:rPr>
          <w:rFonts w:cs="Arial"/>
          <w:szCs w:val="20"/>
        </w:rPr>
        <w:t xml:space="preserve">počet </w:t>
      </w:r>
      <w:r>
        <w:rPr>
          <w:rFonts w:cs="Arial"/>
          <w:szCs w:val="20"/>
        </w:rPr>
        <w:t xml:space="preserve">jejich </w:t>
      </w:r>
      <w:r w:rsidRPr="00C236E9">
        <w:rPr>
          <w:rFonts w:cs="Arial"/>
          <w:szCs w:val="20"/>
        </w:rPr>
        <w:t xml:space="preserve">tříd </w:t>
      </w:r>
      <w:r>
        <w:rPr>
          <w:rFonts w:cs="Arial"/>
          <w:szCs w:val="20"/>
        </w:rPr>
        <w:t>o</w:t>
      </w:r>
      <w:r w:rsidRPr="00C236E9">
        <w:rPr>
          <w:rFonts w:cs="Arial"/>
          <w:szCs w:val="20"/>
        </w:rPr>
        <w:t xml:space="preserve"> </w:t>
      </w:r>
      <w:r>
        <w:rPr>
          <w:rFonts w:cs="Arial"/>
          <w:szCs w:val="20"/>
        </w:rPr>
        <w:t>desetinu – v</w:t>
      </w:r>
      <w:r w:rsidR="00C55813">
        <w:rPr>
          <w:rFonts w:cs="Arial"/>
          <w:szCs w:val="20"/>
        </w:rPr>
        <w:t> </w:t>
      </w:r>
      <w:r>
        <w:rPr>
          <w:rFonts w:cs="Arial"/>
          <w:szCs w:val="20"/>
        </w:rPr>
        <w:t>absolutním vyjádření přibylo od školního roku 2012/13 na základních školách 4 284 nových tříd. Z výše uvedeného plyne, že roste velikost škol měřena počtem jejich tříd, a to především v případě škol veřejných – z průměrných 10,3 třídy na jednu školu ve školním roce 2012/13 na 11,3 třídy ve školním roce 2017/18. Naopak u soukromých škol tento ukazatel poklesl ve stejném období z 6,6 na 5,7 třídy.</w:t>
      </w:r>
    </w:p>
    <w:p w:rsidR="00B1475D" w:rsidRDefault="00B1475D">
      <w:pPr>
        <w:spacing w:after="0" w:line="240" w:lineRule="auto"/>
        <w:rPr>
          <w:rFonts w:cs="Arial"/>
          <w:szCs w:val="20"/>
        </w:rPr>
      </w:pPr>
      <w:r>
        <w:rPr>
          <w:rFonts w:cs="Arial"/>
          <w:szCs w:val="20"/>
        </w:rPr>
        <w:br w:type="page"/>
      </w:r>
    </w:p>
    <w:p w:rsidR="00C6098D" w:rsidRPr="00B34465" w:rsidRDefault="00C6098D" w:rsidP="003A3CFC">
      <w:pPr>
        <w:spacing w:after="0" w:line="276" w:lineRule="auto"/>
        <w:rPr>
          <w:rFonts w:cs="Arial"/>
          <w:b/>
          <w:noProof/>
          <w:szCs w:val="20"/>
        </w:rPr>
      </w:pPr>
      <w:r w:rsidRPr="00B34465">
        <w:rPr>
          <w:rFonts w:cs="Arial"/>
          <w:b/>
          <w:noProof/>
          <w:szCs w:val="20"/>
        </w:rPr>
        <w:lastRenderedPageBreak/>
        <w:t xml:space="preserve">Graf </w:t>
      </w:r>
      <w:r>
        <w:rPr>
          <w:rFonts w:cs="Arial"/>
          <w:b/>
          <w:noProof/>
          <w:szCs w:val="20"/>
        </w:rPr>
        <w:t>1</w:t>
      </w:r>
      <w:r w:rsidR="004377B2">
        <w:rPr>
          <w:rFonts w:cs="Arial"/>
          <w:b/>
          <w:noProof/>
          <w:szCs w:val="20"/>
        </w:rPr>
        <w:t>4</w:t>
      </w:r>
      <w:r>
        <w:rPr>
          <w:rFonts w:cs="Arial"/>
          <w:b/>
          <w:noProof/>
          <w:szCs w:val="20"/>
        </w:rPr>
        <w:t>:</w:t>
      </w:r>
      <w:r w:rsidRPr="00B34465">
        <w:rPr>
          <w:rFonts w:cs="Arial"/>
          <w:b/>
          <w:noProof/>
          <w:szCs w:val="20"/>
        </w:rPr>
        <w:t xml:space="preserve"> Počet </w:t>
      </w:r>
      <w:r w:rsidR="00C03051">
        <w:rPr>
          <w:rFonts w:cs="Arial"/>
          <w:b/>
          <w:noProof/>
          <w:szCs w:val="20"/>
        </w:rPr>
        <w:t xml:space="preserve">základních </w:t>
      </w:r>
      <w:r w:rsidRPr="00B34465">
        <w:rPr>
          <w:rFonts w:cs="Arial"/>
          <w:b/>
          <w:noProof/>
          <w:szCs w:val="20"/>
        </w:rPr>
        <w:t xml:space="preserve">škol a </w:t>
      </w:r>
      <w:r w:rsidR="00C03051">
        <w:rPr>
          <w:rFonts w:cs="Arial"/>
          <w:b/>
          <w:noProof/>
          <w:szCs w:val="20"/>
        </w:rPr>
        <w:t xml:space="preserve">jejich </w:t>
      </w:r>
      <w:r w:rsidRPr="00B34465">
        <w:rPr>
          <w:rFonts w:cs="Arial"/>
          <w:b/>
          <w:noProof/>
          <w:szCs w:val="20"/>
        </w:rPr>
        <w:t>tří</w:t>
      </w:r>
      <w:r>
        <w:rPr>
          <w:rFonts w:cs="Arial"/>
          <w:b/>
          <w:noProof/>
          <w:szCs w:val="20"/>
        </w:rPr>
        <w:t>d v ČR v letech 20</w:t>
      </w:r>
      <w:r w:rsidR="00370107">
        <w:rPr>
          <w:rFonts w:cs="Arial"/>
          <w:b/>
          <w:noProof/>
          <w:szCs w:val="20"/>
        </w:rPr>
        <w:t>13</w:t>
      </w:r>
      <w:r>
        <w:rPr>
          <w:rFonts w:cs="Arial"/>
          <w:b/>
          <w:noProof/>
          <w:szCs w:val="20"/>
        </w:rPr>
        <w:t>/20</w:t>
      </w:r>
      <w:r w:rsidR="00370107">
        <w:rPr>
          <w:rFonts w:cs="Arial"/>
          <w:b/>
          <w:noProof/>
          <w:szCs w:val="20"/>
        </w:rPr>
        <w:t>14</w:t>
      </w:r>
      <w:r>
        <w:rPr>
          <w:rFonts w:cs="Arial"/>
          <w:b/>
          <w:noProof/>
          <w:szCs w:val="20"/>
        </w:rPr>
        <w:t xml:space="preserve"> až 2017/2018</w:t>
      </w:r>
      <w:r w:rsidRPr="00B34465">
        <w:rPr>
          <w:rFonts w:cs="Arial"/>
          <w:b/>
          <w:noProof/>
          <w:szCs w:val="20"/>
        </w:rPr>
        <w:t xml:space="preserve">  </w:t>
      </w:r>
    </w:p>
    <w:p w:rsidR="00B1475D" w:rsidRDefault="001C064A" w:rsidP="00B1475D">
      <w:pPr>
        <w:spacing w:after="0" w:line="276" w:lineRule="auto"/>
        <w:rPr>
          <w:rFonts w:cs="Arial"/>
          <w:noProof/>
          <w:sz w:val="16"/>
          <w:szCs w:val="16"/>
        </w:rPr>
      </w:pPr>
      <w:r>
        <w:rPr>
          <w:rFonts w:cs="Arial"/>
          <w:noProof/>
          <w:sz w:val="16"/>
          <w:szCs w:val="16"/>
        </w:rPr>
        <w:drawing>
          <wp:inline distT="0" distB="0" distL="0" distR="0" wp14:anchorId="232C0714">
            <wp:extent cx="2018030" cy="2517775"/>
            <wp:effectExtent l="0" t="0" r="127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8030" cy="2517775"/>
                    </a:xfrm>
                    <a:prstGeom prst="rect">
                      <a:avLst/>
                    </a:prstGeom>
                    <a:noFill/>
                  </pic:spPr>
                </pic:pic>
              </a:graphicData>
            </a:graphic>
          </wp:inline>
        </w:drawing>
      </w:r>
      <w:r>
        <w:rPr>
          <w:rFonts w:cs="Arial"/>
          <w:noProof/>
          <w:sz w:val="16"/>
          <w:szCs w:val="16"/>
        </w:rPr>
        <w:drawing>
          <wp:inline distT="0" distB="0" distL="0" distR="0" wp14:anchorId="6FE0160A">
            <wp:extent cx="2018030" cy="2517775"/>
            <wp:effectExtent l="0" t="0" r="1270" b="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18030" cy="2517775"/>
                    </a:xfrm>
                    <a:prstGeom prst="rect">
                      <a:avLst/>
                    </a:prstGeom>
                    <a:noFill/>
                  </pic:spPr>
                </pic:pic>
              </a:graphicData>
            </a:graphic>
          </wp:inline>
        </w:drawing>
      </w:r>
      <w:r>
        <w:rPr>
          <w:rFonts w:cs="Arial"/>
          <w:noProof/>
          <w:sz w:val="16"/>
          <w:szCs w:val="16"/>
        </w:rPr>
        <w:drawing>
          <wp:inline distT="0" distB="0" distL="0" distR="0" wp14:anchorId="04F53264">
            <wp:extent cx="2018030" cy="2517775"/>
            <wp:effectExtent l="0" t="0" r="127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18030" cy="2517775"/>
                    </a:xfrm>
                    <a:prstGeom prst="rect">
                      <a:avLst/>
                    </a:prstGeom>
                    <a:noFill/>
                  </pic:spPr>
                </pic:pic>
              </a:graphicData>
            </a:graphic>
          </wp:inline>
        </w:drawing>
      </w:r>
      <w:r w:rsidR="00B1475D">
        <w:rPr>
          <w:rFonts w:cs="Arial"/>
          <w:noProof/>
          <w:sz w:val="16"/>
          <w:szCs w:val="16"/>
        </w:rPr>
        <w:t>Z</w:t>
      </w:r>
      <w:r w:rsidR="00C6098D" w:rsidRPr="00FA1D8E">
        <w:rPr>
          <w:rFonts w:cs="Arial"/>
          <w:noProof/>
          <w:sz w:val="16"/>
          <w:szCs w:val="16"/>
        </w:rPr>
        <w:t>droj: MŠMT</w:t>
      </w:r>
      <w:bookmarkStart w:id="27" w:name="_Toc523408608"/>
    </w:p>
    <w:p w:rsidR="00B1475D" w:rsidRDefault="00B1475D" w:rsidP="00B1475D">
      <w:pPr>
        <w:spacing w:after="0" w:line="276" w:lineRule="auto"/>
        <w:rPr>
          <w:rFonts w:cs="Arial"/>
          <w:noProof/>
          <w:sz w:val="16"/>
          <w:szCs w:val="16"/>
        </w:rPr>
      </w:pPr>
    </w:p>
    <w:p w:rsidR="0073133B" w:rsidRPr="00676DC7" w:rsidRDefault="0073133B" w:rsidP="00B1475D">
      <w:pPr>
        <w:pStyle w:val="Nadpis2"/>
      </w:pPr>
      <w:bookmarkStart w:id="28" w:name="_Toc523466192"/>
      <w:r w:rsidRPr="00676DC7">
        <w:t>2.2 Žáci</w:t>
      </w:r>
      <w:bookmarkEnd w:id="27"/>
      <w:r w:rsidR="003A3CFC" w:rsidRPr="00676DC7">
        <w:t xml:space="preserve"> na základních školách – základní údaje</w:t>
      </w:r>
      <w:bookmarkEnd w:id="28"/>
    </w:p>
    <w:p w:rsidR="00967F54" w:rsidRDefault="00595576" w:rsidP="003A3CFC">
      <w:pPr>
        <w:spacing w:after="120" w:line="276" w:lineRule="auto"/>
        <w:jc w:val="both"/>
        <w:rPr>
          <w:rFonts w:cs="Arial"/>
          <w:szCs w:val="20"/>
        </w:rPr>
      </w:pPr>
      <w:r w:rsidRPr="008605DB">
        <w:rPr>
          <w:rFonts w:cs="Arial"/>
          <w:szCs w:val="20"/>
        </w:rPr>
        <w:t>Ve </w:t>
      </w:r>
      <w:r w:rsidR="0073133B" w:rsidRPr="008605DB">
        <w:rPr>
          <w:rFonts w:cs="Arial"/>
          <w:szCs w:val="20"/>
        </w:rPr>
        <w:t xml:space="preserve">školním </w:t>
      </w:r>
      <w:r w:rsidRPr="008605DB">
        <w:rPr>
          <w:rFonts w:cs="Arial"/>
          <w:szCs w:val="20"/>
        </w:rPr>
        <w:t>roce </w:t>
      </w:r>
      <w:r w:rsidR="0073133B" w:rsidRPr="008605DB">
        <w:rPr>
          <w:rFonts w:cs="Arial"/>
          <w:szCs w:val="20"/>
        </w:rPr>
        <w:t>2017/18 studoval</w:t>
      </w:r>
      <w:r w:rsidR="00C06D15" w:rsidRPr="008605DB">
        <w:rPr>
          <w:rFonts w:cs="Arial"/>
          <w:szCs w:val="20"/>
        </w:rPr>
        <w:t xml:space="preserve">o </w:t>
      </w:r>
      <w:r w:rsidR="0073133B" w:rsidRPr="008605DB">
        <w:rPr>
          <w:rFonts w:cs="Arial"/>
          <w:szCs w:val="20"/>
        </w:rPr>
        <w:t>n</w:t>
      </w:r>
      <w:r w:rsidR="00C06D15" w:rsidRPr="008605DB">
        <w:rPr>
          <w:rFonts w:cs="Arial"/>
          <w:szCs w:val="20"/>
        </w:rPr>
        <w:t xml:space="preserve">a </w:t>
      </w:r>
      <w:r w:rsidR="0073133B" w:rsidRPr="008605DB">
        <w:rPr>
          <w:rFonts w:cs="Arial"/>
          <w:szCs w:val="20"/>
        </w:rPr>
        <w:t xml:space="preserve">základních školách </w:t>
      </w:r>
      <w:r w:rsidR="0073133B" w:rsidRPr="00C55813">
        <w:rPr>
          <w:rFonts w:cs="Arial"/>
          <w:b/>
          <w:szCs w:val="20"/>
        </w:rPr>
        <w:t>926</w:t>
      </w:r>
      <w:r w:rsidR="00B94FB9" w:rsidRPr="00C55813">
        <w:rPr>
          <w:rFonts w:cs="Arial"/>
          <w:b/>
          <w:szCs w:val="20"/>
        </w:rPr>
        <w:t>,1 tis.</w:t>
      </w:r>
      <w:r w:rsidR="00172048" w:rsidRPr="00C55813">
        <w:rPr>
          <w:rFonts w:cs="Arial"/>
          <w:b/>
          <w:szCs w:val="20"/>
        </w:rPr>
        <w:t> </w:t>
      </w:r>
      <w:r w:rsidR="0073133B" w:rsidRPr="00C55813">
        <w:rPr>
          <w:rFonts w:cs="Arial"/>
          <w:b/>
          <w:szCs w:val="20"/>
        </w:rPr>
        <w:t>žáků</w:t>
      </w:r>
      <w:r w:rsidR="0073133B" w:rsidRPr="008605DB">
        <w:rPr>
          <w:rFonts w:cs="Arial"/>
          <w:szCs w:val="20"/>
        </w:rPr>
        <w:t>, což je</w:t>
      </w:r>
      <w:r w:rsidR="00C06D15" w:rsidRPr="008605DB">
        <w:rPr>
          <w:rFonts w:cs="Arial"/>
          <w:szCs w:val="20"/>
        </w:rPr>
        <w:t xml:space="preserve"> o </w:t>
      </w:r>
      <w:r w:rsidR="0073133B" w:rsidRPr="008605DB">
        <w:rPr>
          <w:rFonts w:cs="Arial"/>
          <w:szCs w:val="20"/>
        </w:rPr>
        <w:t>19</w:t>
      </w:r>
      <w:r w:rsidR="00B94FB9" w:rsidRPr="008605DB">
        <w:rPr>
          <w:rFonts w:cs="Arial"/>
          <w:szCs w:val="20"/>
        </w:rPr>
        <w:t>,9 tis.</w:t>
      </w:r>
      <w:r w:rsidR="00DC5EF2" w:rsidRPr="008605DB">
        <w:rPr>
          <w:rFonts w:cs="Arial"/>
          <w:szCs w:val="20"/>
        </w:rPr>
        <w:t> </w:t>
      </w:r>
      <w:r w:rsidR="00967F54" w:rsidRPr="008605DB">
        <w:rPr>
          <w:rFonts w:cs="Arial"/>
          <w:szCs w:val="20"/>
        </w:rPr>
        <w:t xml:space="preserve">(2,2 %) </w:t>
      </w:r>
      <w:r w:rsidR="0073133B" w:rsidRPr="008605DB">
        <w:rPr>
          <w:rFonts w:cs="Arial"/>
          <w:szCs w:val="20"/>
        </w:rPr>
        <w:t>více než</w:t>
      </w:r>
      <w:r w:rsidR="00C06D15" w:rsidRPr="008605DB">
        <w:rPr>
          <w:rFonts w:cs="Arial"/>
          <w:szCs w:val="20"/>
        </w:rPr>
        <w:t xml:space="preserve"> v </w:t>
      </w:r>
      <w:r w:rsidR="0073133B" w:rsidRPr="008605DB">
        <w:rPr>
          <w:rFonts w:cs="Arial"/>
          <w:szCs w:val="20"/>
        </w:rPr>
        <w:t xml:space="preserve">předchozím školním roce. Jejich počet </w:t>
      </w:r>
      <w:r w:rsidR="00B66B4E" w:rsidRPr="008605DB">
        <w:rPr>
          <w:rFonts w:cs="Arial"/>
          <w:szCs w:val="20"/>
        </w:rPr>
        <w:t xml:space="preserve">začal každoročně narůstat </w:t>
      </w:r>
      <w:r w:rsidRPr="008605DB">
        <w:rPr>
          <w:rFonts w:cs="Arial"/>
          <w:szCs w:val="20"/>
        </w:rPr>
        <w:t>od roku </w:t>
      </w:r>
      <w:r w:rsidR="0073133B" w:rsidRPr="008605DB">
        <w:rPr>
          <w:rFonts w:cs="Arial"/>
          <w:szCs w:val="20"/>
        </w:rPr>
        <w:t>2010/11</w:t>
      </w:r>
      <w:r w:rsidR="00B66B4E" w:rsidRPr="008605DB">
        <w:rPr>
          <w:rFonts w:cs="Arial"/>
          <w:szCs w:val="20"/>
        </w:rPr>
        <w:t xml:space="preserve"> a jen za posledních pět let jich </w:t>
      </w:r>
      <w:r w:rsidR="00075533" w:rsidRPr="008605DB">
        <w:rPr>
          <w:rFonts w:cs="Arial"/>
          <w:szCs w:val="20"/>
        </w:rPr>
        <w:t xml:space="preserve">přibylo </w:t>
      </w:r>
      <w:r w:rsidR="0073133B" w:rsidRPr="008605DB">
        <w:rPr>
          <w:rFonts w:cs="Arial"/>
          <w:szCs w:val="20"/>
        </w:rPr>
        <w:t>1</w:t>
      </w:r>
      <w:r w:rsidR="00B66B4E" w:rsidRPr="008605DB">
        <w:rPr>
          <w:rFonts w:cs="Arial"/>
          <w:szCs w:val="20"/>
        </w:rPr>
        <w:t>18</w:t>
      </w:r>
      <w:r w:rsidR="00202C61" w:rsidRPr="008605DB">
        <w:rPr>
          <w:rFonts w:cs="Arial"/>
          <w:szCs w:val="20"/>
        </w:rPr>
        <w:t> tis.</w:t>
      </w:r>
      <w:r w:rsidR="00DC5EF2" w:rsidRPr="008605DB">
        <w:rPr>
          <w:rFonts w:cs="Arial"/>
          <w:szCs w:val="20"/>
        </w:rPr>
        <w:t> </w:t>
      </w:r>
      <w:r w:rsidR="0073133B" w:rsidRPr="008605DB">
        <w:rPr>
          <w:rFonts w:cs="Arial"/>
          <w:szCs w:val="20"/>
        </w:rPr>
        <w:t>N</w:t>
      </w:r>
      <w:r w:rsidR="00C06D15" w:rsidRPr="008605DB">
        <w:rPr>
          <w:rFonts w:cs="Arial"/>
          <w:szCs w:val="20"/>
        </w:rPr>
        <w:t xml:space="preserve">a </w:t>
      </w:r>
      <w:r w:rsidR="0073133B" w:rsidRPr="00896061">
        <w:rPr>
          <w:rFonts w:cs="Arial"/>
          <w:b/>
          <w:szCs w:val="20"/>
        </w:rPr>
        <w:t>prvním stupn</w:t>
      </w:r>
      <w:r w:rsidR="00AE62C0" w:rsidRPr="00896061">
        <w:rPr>
          <w:rFonts w:cs="Arial"/>
          <w:b/>
          <w:szCs w:val="20"/>
        </w:rPr>
        <w:t>i</w:t>
      </w:r>
      <w:r w:rsidR="00AE62C0" w:rsidRPr="008605DB">
        <w:rPr>
          <w:rFonts w:cs="Arial"/>
          <w:szCs w:val="20"/>
        </w:rPr>
        <w:t> </w:t>
      </w:r>
      <w:r w:rsidR="0073133B" w:rsidRPr="008605DB">
        <w:rPr>
          <w:rFonts w:cs="Arial"/>
          <w:szCs w:val="20"/>
        </w:rPr>
        <w:t>základních škol studoval</w:t>
      </w:r>
      <w:r w:rsidR="00AE62C0" w:rsidRPr="008605DB">
        <w:rPr>
          <w:rFonts w:cs="Arial"/>
          <w:szCs w:val="20"/>
        </w:rPr>
        <w:t>o</w:t>
      </w:r>
      <w:r w:rsidR="00C06D15" w:rsidRPr="008605DB">
        <w:rPr>
          <w:rFonts w:cs="Arial"/>
          <w:szCs w:val="20"/>
        </w:rPr>
        <w:t xml:space="preserve"> v</w:t>
      </w:r>
      <w:r w:rsidR="00075533" w:rsidRPr="008605DB">
        <w:rPr>
          <w:rFonts w:cs="Arial"/>
          <w:szCs w:val="20"/>
        </w:rPr>
        <w:t xml:space="preserve">e školním roce </w:t>
      </w:r>
      <w:r w:rsidR="0073133B" w:rsidRPr="008605DB">
        <w:rPr>
          <w:rFonts w:cs="Arial"/>
          <w:szCs w:val="20"/>
        </w:rPr>
        <w:t>2017/18</w:t>
      </w:r>
      <w:r w:rsidR="00C06D15" w:rsidRPr="008605DB">
        <w:rPr>
          <w:rFonts w:cs="Arial"/>
          <w:szCs w:val="20"/>
        </w:rPr>
        <w:t xml:space="preserve"> </w:t>
      </w:r>
      <w:r w:rsidR="008605DB" w:rsidRPr="008605DB">
        <w:rPr>
          <w:rFonts w:cs="Arial"/>
          <w:szCs w:val="20"/>
        </w:rPr>
        <w:t xml:space="preserve">téměř o dvě třetiny (64 %; </w:t>
      </w:r>
      <w:r w:rsidR="00B94FB9" w:rsidRPr="008605DB">
        <w:rPr>
          <w:rFonts w:cs="Arial"/>
          <w:szCs w:val="20"/>
        </w:rPr>
        <w:t>225,3 tis.</w:t>
      </w:r>
      <w:r w:rsidR="008605DB" w:rsidRPr="008605DB">
        <w:rPr>
          <w:rFonts w:cs="Arial"/>
          <w:szCs w:val="20"/>
        </w:rPr>
        <w:t>)</w:t>
      </w:r>
      <w:r w:rsidR="0073133B" w:rsidRPr="008605DB">
        <w:rPr>
          <w:rFonts w:cs="Arial"/>
          <w:szCs w:val="20"/>
        </w:rPr>
        <w:t xml:space="preserve"> žáků více než n</w:t>
      </w:r>
      <w:r w:rsidR="00C06D15" w:rsidRPr="008605DB">
        <w:rPr>
          <w:rFonts w:cs="Arial"/>
          <w:szCs w:val="20"/>
        </w:rPr>
        <w:t xml:space="preserve">a </w:t>
      </w:r>
      <w:r w:rsidR="0073133B" w:rsidRPr="00896061">
        <w:rPr>
          <w:rFonts w:cs="Arial"/>
          <w:b/>
          <w:szCs w:val="20"/>
        </w:rPr>
        <w:t>druhém stupn</w:t>
      </w:r>
      <w:r w:rsidR="00AE62C0" w:rsidRPr="00896061">
        <w:rPr>
          <w:rFonts w:cs="Arial"/>
          <w:b/>
          <w:szCs w:val="20"/>
        </w:rPr>
        <w:t>i</w:t>
      </w:r>
      <w:r w:rsidR="008605DB">
        <w:rPr>
          <w:rFonts w:cs="Arial"/>
          <w:szCs w:val="20"/>
        </w:rPr>
        <w:t xml:space="preserve"> – před deseti lety to bylo více cca o pětinu</w:t>
      </w:r>
      <w:r w:rsidR="008605DB" w:rsidRPr="008605DB">
        <w:rPr>
          <w:rFonts w:cs="Arial"/>
          <w:szCs w:val="20"/>
        </w:rPr>
        <w:t xml:space="preserve">. </w:t>
      </w:r>
    </w:p>
    <w:p w:rsidR="00075533" w:rsidRDefault="00075533" w:rsidP="003A3CFC">
      <w:pPr>
        <w:spacing w:after="0" w:line="276" w:lineRule="auto"/>
        <w:rPr>
          <w:rFonts w:cs="Arial"/>
          <w:b/>
          <w:noProof/>
          <w:szCs w:val="20"/>
        </w:rPr>
      </w:pPr>
      <w:r>
        <w:rPr>
          <w:rFonts w:cs="Arial"/>
          <w:b/>
          <w:noProof/>
          <w:szCs w:val="20"/>
        </w:rPr>
        <w:t xml:space="preserve">Graf </w:t>
      </w:r>
      <w:r w:rsidR="004377B2">
        <w:rPr>
          <w:rFonts w:cs="Arial"/>
          <w:b/>
          <w:noProof/>
          <w:szCs w:val="20"/>
        </w:rPr>
        <w:t>15</w:t>
      </w:r>
      <w:r>
        <w:rPr>
          <w:rFonts w:cs="Arial"/>
          <w:b/>
          <w:noProof/>
          <w:szCs w:val="20"/>
        </w:rPr>
        <w:t xml:space="preserve">: Počet žáků na základních školách v ČR v letech 2007/2008 až 2017/2018  </w:t>
      </w:r>
    </w:p>
    <w:p w:rsidR="00075533" w:rsidRDefault="00075533" w:rsidP="003A3CFC">
      <w:pPr>
        <w:spacing w:after="0" w:line="276" w:lineRule="auto"/>
        <w:jc w:val="both"/>
        <w:rPr>
          <w:rFonts w:cs="Arial"/>
          <w:b/>
          <w:szCs w:val="20"/>
        </w:rPr>
      </w:pPr>
      <w:r>
        <w:rPr>
          <w:noProof/>
          <w:lang w:val="en-US" w:eastAsia="en-US"/>
        </w:rPr>
        <w:t xml:space="preserve"> </w:t>
      </w:r>
      <w:r w:rsidR="001C064A">
        <w:rPr>
          <w:noProof/>
        </w:rPr>
        <w:drawing>
          <wp:inline distT="0" distB="0" distL="0" distR="0" wp14:anchorId="17839767">
            <wp:extent cx="2481580" cy="2700655"/>
            <wp:effectExtent l="0" t="0" r="0"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81580" cy="2700655"/>
                    </a:xfrm>
                    <a:prstGeom prst="rect">
                      <a:avLst/>
                    </a:prstGeom>
                    <a:noFill/>
                  </pic:spPr>
                </pic:pic>
              </a:graphicData>
            </a:graphic>
          </wp:inline>
        </w:drawing>
      </w:r>
      <w:r w:rsidR="00601B50" w:rsidRPr="00601B50">
        <w:rPr>
          <w:noProof/>
          <w:lang w:val="en-US" w:eastAsia="en-US"/>
        </w:rPr>
        <w:t xml:space="preserve"> </w:t>
      </w:r>
      <w:r w:rsidR="001C064A">
        <w:rPr>
          <w:noProof/>
        </w:rPr>
        <w:drawing>
          <wp:inline distT="0" distB="0" distL="0" distR="0" wp14:anchorId="55CFE724">
            <wp:extent cx="3566160" cy="2700655"/>
            <wp:effectExtent l="0" t="0" r="0" b="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66160" cy="2700655"/>
                    </a:xfrm>
                    <a:prstGeom prst="rect">
                      <a:avLst/>
                    </a:prstGeom>
                    <a:noFill/>
                  </pic:spPr>
                </pic:pic>
              </a:graphicData>
            </a:graphic>
          </wp:inline>
        </w:drawing>
      </w:r>
    </w:p>
    <w:p w:rsidR="00075533" w:rsidRDefault="00075533" w:rsidP="003A3CFC">
      <w:pPr>
        <w:spacing w:after="120" w:line="276" w:lineRule="auto"/>
        <w:rPr>
          <w:rFonts w:cs="Arial"/>
          <w:sz w:val="16"/>
          <w:szCs w:val="16"/>
        </w:rPr>
      </w:pPr>
      <w:r>
        <w:rPr>
          <w:rFonts w:cs="Arial"/>
          <w:sz w:val="16"/>
          <w:szCs w:val="16"/>
        </w:rPr>
        <w:t>Zdroj: MŠMT a vlastní dopočty ČSÚ</w:t>
      </w:r>
    </w:p>
    <w:p w:rsidR="00B1475D" w:rsidRDefault="00C03051" w:rsidP="003A3CFC">
      <w:pPr>
        <w:spacing w:after="120" w:line="276" w:lineRule="auto"/>
        <w:jc w:val="both"/>
        <w:rPr>
          <w:rFonts w:cs="Arial"/>
          <w:szCs w:val="20"/>
        </w:rPr>
      </w:pPr>
      <w:r w:rsidRPr="008605DB">
        <w:rPr>
          <w:rFonts w:cs="Arial"/>
          <w:szCs w:val="20"/>
        </w:rPr>
        <w:t>I když se počet žáků 1. stupně meziročně zvýšil “pouze“ o 1,2 % žáků</w:t>
      </w:r>
      <w:r>
        <w:rPr>
          <w:rFonts w:cs="Arial"/>
          <w:szCs w:val="20"/>
        </w:rPr>
        <w:t xml:space="preserve"> – </w:t>
      </w:r>
      <w:r w:rsidRPr="008605DB">
        <w:rPr>
          <w:rFonts w:cs="Arial"/>
          <w:szCs w:val="20"/>
        </w:rPr>
        <w:t>v porovnání s</w:t>
      </w:r>
      <w:r>
        <w:rPr>
          <w:rFonts w:cs="Arial"/>
          <w:szCs w:val="20"/>
        </w:rPr>
        <w:t xml:space="preserve"> 3,9 % </w:t>
      </w:r>
      <w:r w:rsidRPr="008605DB">
        <w:rPr>
          <w:rFonts w:cs="Arial"/>
          <w:szCs w:val="20"/>
        </w:rPr>
        <w:t xml:space="preserve">meziročním nárůstem počtu žáků 2. </w:t>
      </w:r>
      <w:r>
        <w:rPr>
          <w:rFonts w:cs="Arial"/>
          <w:szCs w:val="20"/>
        </w:rPr>
        <w:t>s</w:t>
      </w:r>
      <w:r w:rsidRPr="008605DB">
        <w:rPr>
          <w:rFonts w:cs="Arial"/>
          <w:szCs w:val="20"/>
        </w:rPr>
        <w:t>tupně</w:t>
      </w:r>
      <w:r>
        <w:rPr>
          <w:rFonts w:cs="Arial"/>
          <w:szCs w:val="20"/>
        </w:rPr>
        <w:t xml:space="preserve"> – </w:t>
      </w:r>
      <w:r w:rsidRPr="008605DB">
        <w:rPr>
          <w:rFonts w:cs="Arial"/>
          <w:szCs w:val="20"/>
        </w:rPr>
        <w:t>tak v</w:t>
      </w:r>
      <w:r>
        <w:rPr>
          <w:rFonts w:cs="Arial"/>
          <w:szCs w:val="20"/>
        </w:rPr>
        <w:t xml:space="preserve"> delším časovém období </w:t>
      </w:r>
      <w:r w:rsidR="00C55813">
        <w:rPr>
          <w:rFonts w:cs="Arial"/>
          <w:szCs w:val="20"/>
        </w:rPr>
        <w:t xml:space="preserve">zde </w:t>
      </w:r>
      <w:r w:rsidRPr="008605DB">
        <w:rPr>
          <w:rFonts w:cs="Arial"/>
          <w:szCs w:val="20"/>
        </w:rPr>
        <w:t xml:space="preserve">počet žáků </w:t>
      </w:r>
      <w:r w:rsidR="00C55813">
        <w:rPr>
          <w:rFonts w:cs="Arial"/>
          <w:szCs w:val="20"/>
        </w:rPr>
        <w:t xml:space="preserve">rostl výrazně rychleji. </w:t>
      </w:r>
      <w:r>
        <w:rPr>
          <w:rFonts w:cs="Arial"/>
          <w:szCs w:val="20"/>
        </w:rPr>
        <w:t xml:space="preserve">Na prvním stupni </w:t>
      </w:r>
      <w:r w:rsidRPr="008605DB">
        <w:rPr>
          <w:rFonts w:cs="Arial"/>
          <w:szCs w:val="20"/>
        </w:rPr>
        <w:t xml:space="preserve">za posledních deset let </w:t>
      </w:r>
      <w:r>
        <w:rPr>
          <w:rFonts w:cs="Arial"/>
          <w:szCs w:val="20"/>
        </w:rPr>
        <w:t xml:space="preserve">přibyla čtvrtina žáků, naopak na druhém stupni ve stejném období počet žáků poklesl o desetinu. </w:t>
      </w:r>
      <w:r w:rsidR="00D93ACF">
        <w:rPr>
          <w:rFonts w:cs="Arial"/>
          <w:szCs w:val="20"/>
        </w:rPr>
        <w:t xml:space="preserve">V absolutním vyjádření přibylo za deset let na prvním stupni základních škol 118 tisíc žáků, ale na druhém jejich počet poklesl o 36 tisíc. </w:t>
      </w:r>
      <w:r w:rsidRPr="008605DB">
        <w:rPr>
          <w:rFonts w:cs="Arial"/>
          <w:szCs w:val="20"/>
        </w:rPr>
        <w:t xml:space="preserve">Tyto údaje kopírují demografický vývoj populace v příslušných věkových skupinách dětí. Žáci, kteří budou letos a v příštích letech nastupovat do 1. </w:t>
      </w:r>
      <w:r>
        <w:rPr>
          <w:rFonts w:cs="Arial"/>
          <w:szCs w:val="20"/>
        </w:rPr>
        <w:t>t</w:t>
      </w:r>
      <w:r w:rsidRPr="008605DB">
        <w:rPr>
          <w:rFonts w:cs="Arial"/>
          <w:szCs w:val="20"/>
        </w:rPr>
        <w:t>říd ZŠ budou početně stále převyšovat žáky, kteří ze ZŠ vycházejí.</w:t>
      </w:r>
    </w:p>
    <w:p w:rsidR="00B1475D" w:rsidRDefault="00B1475D">
      <w:pPr>
        <w:spacing w:after="0" w:line="240" w:lineRule="auto"/>
        <w:rPr>
          <w:rFonts w:cs="Arial"/>
          <w:szCs w:val="20"/>
        </w:rPr>
      </w:pPr>
      <w:r>
        <w:rPr>
          <w:rFonts w:cs="Arial"/>
          <w:szCs w:val="20"/>
        </w:rPr>
        <w:br w:type="page"/>
      </w:r>
    </w:p>
    <w:p w:rsidR="008605DB" w:rsidRDefault="008605DB" w:rsidP="003A3CFC">
      <w:pPr>
        <w:spacing w:after="0" w:line="276" w:lineRule="auto"/>
        <w:rPr>
          <w:rFonts w:cs="Arial"/>
          <w:b/>
          <w:noProof/>
          <w:szCs w:val="20"/>
        </w:rPr>
      </w:pPr>
      <w:r>
        <w:rPr>
          <w:rFonts w:cs="Arial"/>
          <w:b/>
          <w:noProof/>
          <w:szCs w:val="20"/>
        </w:rPr>
        <w:lastRenderedPageBreak/>
        <w:t xml:space="preserve">Graf </w:t>
      </w:r>
      <w:r w:rsidR="004377B2">
        <w:rPr>
          <w:rFonts w:cs="Arial"/>
          <w:b/>
          <w:noProof/>
          <w:szCs w:val="20"/>
        </w:rPr>
        <w:t>16</w:t>
      </w:r>
      <w:r>
        <w:rPr>
          <w:rFonts w:cs="Arial"/>
          <w:b/>
          <w:noProof/>
          <w:szCs w:val="20"/>
        </w:rPr>
        <w:t>: Meziroční změny počtu žáků na základních školách v ČR v letech 200</w:t>
      </w:r>
      <w:r w:rsidR="00A12639">
        <w:rPr>
          <w:rFonts w:cs="Arial"/>
          <w:b/>
          <w:noProof/>
          <w:szCs w:val="20"/>
        </w:rPr>
        <w:t>8</w:t>
      </w:r>
      <w:r>
        <w:rPr>
          <w:rFonts w:cs="Arial"/>
          <w:b/>
          <w:noProof/>
          <w:szCs w:val="20"/>
        </w:rPr>
        <w:t>/200</w:t>
      </w:r>
      <w:r w:rsidR="00A12639">
        <w:rPr>
          <w:rFonts w:cs="Arial"/>
          <w:b/>
          <w:noProof/>
          <w:szCs w:val="20"/>
        </w:rPr>
        <w:t>9</w:t>
      </w:r>
      <w:r>
        <w:rPr>
          <w:rFonts w:cs="Arial"/>
          <w:b/>
          <w:noProof/>
          <w:szCs w:val="20"/>
        </w:rPr>
        <w:t xml:space="preserve"> až 2017/2018  </w:t>
      </w:r>
    </w:p>
    <w:p w:rsidR="008605DB" w:rsidRDefault="001C064A" w:rsidP="003A3CFC">
      <w:pPr>
        <w:spacing w:after="0" w:line="276" w:lineRule="auto"/>
        <w:jc w:val="both"/>
        <w:rPr>
          <w:rFonts w:cs="Arial"/>
          <w:b/>
          <w:szCs w:val="20"/>
        </w:rPr>
      </w:pPr>
      <w:r>
        <w:rPr>
          <w:noProof/>
        </w:rPr>
        <w:drawing>
          <wp:inline distT="0" distB="0" distL="0" distR="0" wp14:anchorId="75659BC9">
            <wp:extent cx="2517775" cy="2700655"/>
            <wp:effectExtent l="0" t="0" r="0"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7775" cy="2700655"/>
                    </a:xfrm>
                    <a:prstGeom prst="rect">
                      <a:avLst/>
                    </a:prstGeom>
                    <a:noFill/>
                  </pic:spPr>
                </pic:pic>
              </a:graphicData>
            </a:graphic>
          </wp:inline>
        </w:drawing>
      </w:r>
      <w:r w:rsidR="00A12639" w:rsidRPr="00A12639">
        <w:rPr>
          <w:noProof/>
          <w:lang w:val="en-US" w:eastAsia="en-US"/>
        </w:rPr>
        <w:t xml:space="preserve"> </w:t>
      </w:r>
      <w:r>
        <w:rPr>
          <w:noProof/>
        </w:rPr>
        <w:drawing>
          <wp:inline distT="0" distB="0" distL="0" distR="0" wp14:anchorId="24A68324">
            <wp:extent cx="3566160" cy="2700655"/>
            <wp:effectExtent l="0" t="0" r="0"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66160" cy="2700655"/>
                    </a:xfrm>
                    <a:prstGeom prst="rect">
                      <a:avLst/>
                    </a:prstGeom>
                    <a:noFill/>
                  </pic:spPr>
                </pic:pic>
              </a:graphicData>
            </a:graphic>
          </wp:inline>
        </w:drawing>
      </w:r>
      <w:r w:rsidR="008605DB">
        <w:rPr>
          <w:noProof/>
          <w:lang w:val="en-US" w:eastAsia="en-US"/>
        </w:rPr>
        <w:t xml:space="preserve"> </w:t>
      </w:r>
      <w:r w:rsidR="008605DB" w:rsidRPr="00601B50">
        <w:rPr>
          <w:noProof/>
          <w:lang w:val="en-US" w:eastAsia="en-US"/>
        </w:rPr>
        <w:t xml:space="preserve"> </w:t>
      </w:r>
    </w:p>
    <w:p w:rsidR="008605DB" w:rsidRDefault="008605DB" w:rsidP="003A3CFC">
      <w:pPr>
        <w:spacing w:after="120" w:line="276" w:lineRule="auto"/>
        <w:rPr>
          <w:rFonts w:cs="Arial"/>
          <w:sz w:val="16"/>
          <w:szCs w:val="16"/>
        </w:rPr>
      </w:pPr>
      <w:r>
        <w:rPr>
          <w:rFonts w:cs="Arial"/>
          <w:sz w:val="16"/>
          <w:szCs w:val="16"/>
        </w:rPr>
        <w:t>Zdroj: MŠMT a vlastní dopočty ČSÚ</w:t>
      </w:r>
    </w:p>
    <w:p w:rsidR="00C03051" w:rsidRDefault="00C03051" w:rsidP="00C55813">
      <w:pPr>
        <w:spacing w:after="120" w:line="276" w:lineRule="auto"/>
        <w:jc w:val="both"/>
      </w:pPr>
      <w:r>
        <w:t xml:space="preserve">Jak již bylo uvedeno výše, </w:t>
      </w:r>
      <w:r w:rsidRPr="00DA5962">
        <w:t xml:space="preserve">nejvíce </w:t>
      </w:r>
      <w:r>
        <w:t xml:space="preserve">základních </w:t>
      </w:r>
      <w:r w:rsidRPr="00DA5962">
        <w:t xml:space="preserve">škol </w:t>
      </w:r>
      <w:r>
        <w:t xml:space="preserve">je v </w:t>
      </w:r>
      <w:r w:rsidRPr="00CA48F0">
        <w:rPr>
          <w:b/>
        </w:rPr>
        <w:t xml:space="preserve">kraji </w:t>
      </w:r>
      <w:r w:rsidRPr="00DA5962">
        <w:t xml:space="preserve">největším, tj. v Středočeském. </w:t>
      </w:r>
      <w:r>
        <w:t xml:space="preserve">Logicky se v tomto kraji a jeho školách vzdělávalo i nejvíce žáků – ve školním roce 2017/18 zde do 6 050 tříd chodilo 125 416 žáků. Za Středočeským krajem následovaly další tři kraje – Moravskoslezský, Jihomoravský a </w:t>
      </w:r>
      <w:r w:rsidR="007E383C">
        <w:t>v Praze</w:t>
      </w:r>
      <w:r>
        <w:t xml:space="preserve"> </w:t>
      </w:r>
      <w:r>
        <w:rPr>
          <w:rFonts w:cs="Arial"/>
          <w:szCs w:val="20"/>
        </w:rPr>
        <w:t>–</w:t>
      </w:r>
      <w:r>
        <w:t xml:space="preserve"> kde se ve školním roce 2017/18 vzdělávalo ve všech případech cca 100 tis. žáků. </w:t>
      </w:r>
      <w:r w:rsidRPr="00DA5962">
        <w:t>N</w:t>
      </w:r>
      <w:r>
        <w:t>ejméně žáků – 5krát méně než ve Středočeském kraji – chodilo do základních škol v Karlovarském kraji.</w:t>
      </w:r>
      <w:r w:rsidRPr="00DA5962">
        <w:t xml:space="preserve"> </w:t>
      </w:r>
    </w:p>
    <w:p w:rsidR="00A12A36" w:rsidRPr="00DA5962" w:rsidRDefault="00A12A36" w:rsidP="00C55813">
      <w:pPr>
        <w:spacing w:after="120" w:line="276" w:lineRule="auto"/>
        <w:jc w:val="both"/>
      </w:pPr>
      <w:r w:rsidRPr="00DA5962">
        <w:t xml:space="preserve">Za posledních </w:t>
      </w:r>
      <w:r w:rsidR="006A4FD3">
        <w:t xml:space="preserve">pět </w:t>
      </w:r>
      <w:r w:rsidRPr="00DA5962">
        <w:t xml:space="preserve">let vzrostl </w:t>
      </w:r>
      <w:r>
        <w:t xml:space="preserve">nejvíce </w:t>
      </w:r>
      <w:r w:rsidRPr="00DA5962">
        <w:t xml:space="preserve">počet </w:t>
      </w:r>
      <w:r>
        <w:t xml:space="preserve">žáků </w:t>
      </w:r>
      <w:r w:rsidRPr="00DA5962">
        <w:t>v absolutním vyjádření ve Středočeském kraji, a to z </w:t>
      </w:r>
      <w:r w:rsidR="006A4FD3">
        <w:t>100,3</w:t>
      </w:r>
      <w:r w:rsidRPr="00DA5962">
        <w:t xml:space="preserve"> tisíc ve školním roce 20</w:t>
      </w:r>
      <w:r w:rsidR="006A4FD3">
        <w:t>12</w:t>
      </w:r>
      <w:r w:rsidRPr="00DA5962">
        <w:t>/</w:t>
      </w:r>
      <w:r w:rsidR="006A4FD3">
        <w:t>13</w:t>
      </w:r>
      <w:r w:rsidRPr="00DA5962">
        <w:t xml:space="preserve"> na výše zmíněných </w:t>
      </w:r>
      <w:r w:rsidR="006A4FD3">
        <w:t>125</w:t>
      </w:r>
      <w:r w:rsidRPr="00DA5962">
        <w:t>,</w:t>
      </w:r>
      <w:r w:rsidR="006A4FD3">
        <w:t>4</w:t>
      </w:r>
      <w:r w:rsidRPr="00DA5962">
        <w:t xml:space="preserve"> tisíc</w:t>
      </w:r>
      <w:r w:rsidR="006A4FD3">
        <w:t>e</w:t>
      </w:r>
      <w:r w:rsidRPr="00DA5962">
        <w:t xml:space="preserve"> ve školním roce 2017/18</w:t>
      </w:r>
      <w:r w:rsidR="006A4FD3">
        <w:t xml:space="preserve">, procentuálně pak v Praze, a to o téměř 30 %. </w:t>
      </w:r>
      <w:r w:rsidR="00896061">
        <w:t xml:space="preserve">Ve stejném období </w:t>
      </w:r>
      <w:r w:rsidR="006A4FD3">
        <w:t>procentuálně nejméně</w:t>
      </w:r>
      <w:r w:rsidR="00896061">
        <w:t xml:space="preserve"> </w:t>
      </w:r>
      <w:r w:rsidR="006A4FD3">
        <w:t xml:space="preserve">vrostl počet žáků v krajích Zlínském, Karlovarském a na Vysočině </w:t>
      </w:r>
      <w:r w:rsidR="00896061">
        <w:t xml:space="preserve">– ve všech případech o 8 % </w:t>
      </w:r>
      <w:r w:rsidR="006A4FD3">
        <w:t>a v Moravskoslezském kraji</w:t>
      </w:r>
      <w:r w:rsidR="00896061">
        <w:t xml:space="preserve"> o 7 %</w:t>
      </w:r>
      <w:r w:rsidR="006A4FD3">
        <w:t>.</w:t>
      </w:r>
      <w:r w:rsidRPr="00DA5962">
        <w:t xml:space="preserve"> </w:t>
      </w:r>
    </w:p>
    <w:p w:rsidR="00A12A36" w:rsidRPr="00B34465" w:rsidRDefault="00A12A36" w:rsidP="00581AC0">
      <w:pPr>
        <w:spacing w:after="0" w:line="276" w:lineRule="auto"/>
        <w:rPr>
          <w:rFonts w:cs="Arial"/>
          <w:b/>
          <w:noProof/>
          <w:szCs w:val="20"/>
        </w:rPr>
      </w:pPr>
      <w:r w:rsidRPr="00B34465">
        <w:rPr>
          <w:rFonts w:cs="Arial"/>
          <w:b/>
          <w:noProof/>
          <w:szCs w:val="20"/>
        </w:rPr>
        <w:t xml:space="preserve">Graf </w:t>
      </w:r>
      <w:r w:rsidR="004377B2">
        <w:rPr>
          <w:rFonts w:cs="Arial"/>
          <w:b/>
          <w:noProof/>
          <w:szCs w:val="20"/>
        </w:rPr>
        <w:t>17</w:t>
      </w:r>
      <w:r>
        <w:rPr>
          <w:rFonts w:cs="Arial"/>
          <w:b/>
          <w:noProof/>
          <w:szCs w:val="20"/>
        </w:rPr>
        <w:t>:</w:t>
      </w:r>
      <w:r w:rsidRPr="00B34465">
        <w:rPr>
          <w:rFonts w:cs="Arial"/>
          <w:b/>
          <w:noProof/>
          <w:szCs w:val="20"/>
        </w:rPr>
        <w:t xml:space="preserve"> Počet </w:t>
      </w:r>
      <w:r w:rsidR="00CA48F0">
        <w:rPr>
          <w:rFonts w:cs="Arial"/>
          <w:b/>
          <w:noProof/>
          <w:szCs w:val="20"/>
        </w:rPr>
        <w:t xml:space="preserve">žáků </w:t>
      </w:r>
      <w:r>
        <w:rPr>
          <w:rFonts w:cs="Arial"/>
          <w:b/>
          <w:noProof/>
          <w:szCs w:val="20"/>
        </w:rPr>
        <w:t>v</w:t>
      </w:r>
      <w:r w:rsidR="00CA48F0">
        <w:rPr>
          <w:rFonts w:cs="Arial"/>
          <w:b/>
          <w:noProof/>
          <w:szCs w:val="20"/>
        </w:rPr>
        <w:t xml:space="preserve"> základních </w:t>
      </w:r>
      <w:r w:rsidRPr="00B34465">
        <w:rPr>
          <w:rFonts w:cs="Arial"/>
          <w:b/>
          <w:noProof/>
          <w:szCs w:val="20"/>
        </w:rPr>
        <w:t>škol</w:t>
      </w:r>
      <w:r>
        <w:rPr>
          <w:rFonts w:cs="Arial"/>
          <w:b/>
          <w:noProof/>
          <w:szCs w:val="20"/>
        </w:rPr>
        <w:t>ách v krajích</w:t>
      </w:r>
      <w:r w:rsidRPr="00B34465">
        <w:rPr>
          <w:rFonts w:cs="Arial"/>
          <w:b/>
          <w:noProof/>
          <w:szCs w:val="20"/>
        </w:rPr>
        <w:t xml:space="preserve"> </w:t>
      </w:r>
      <w:r w:rsidR="007E383C">
        <w:rPr>
          <w:rFonts w:cs="Arial"/>
          <w:b/>
          <w:noProof/>
          <w:szCs w:val="20"/>
        </w:rPr>
        <w:t xml:space="preserve">ČR v letech 2012/2013 a 2017/2018 </w:t>
      </w:r>
      <w:r>
        <w:rPr>
          <w:rFonts w:cs="Arial"/>
          <w:b/>
          <w:noProof/>
          <w:szCs w:val="20"/>
        </w:rPr>
        <w:t>(v tis.; %)</w:t>
      </w:r>
      <w:r w:rsidRPr="00B34465">
        <w:rPr>
          <w:rFonts w:cs="Arial"/>
          <w:b/>
          <w:noProof/>
          <w:szCs w:val="20"/>
        </w:rPr>
        <w:t xml:space="preserve"> </w:t>
      </w:r>
    </w:p>
    <w:p w:rsidR="00A12A36" w:rsidRDefault="001C064A" w:rsidP="00581AC0">
      <w:pPr>
        <w:spacing w:after="0" w:line="276" w:lineRule="auto"/>
        <w:jc w:val="both"/>
        <w:rPr>
          <w:b/>
        </w:rPr>
      </w:pPr>
      <w:r>
        <w:rPr>
          <w:b/>
          <w:noProof/>
        </w:rPr>
        <w:drawing>
          <wp:inline distT="0" distB="0" distL="0" distR="0" wp14:anchorId="2D35D687">
            <wp:extent cx="5968365" cy="2639695"/>
            <wp:effectExtent l="0" t="0" r="0" b="8255"/>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68365" cy="2639695"/>
                    </a:xfrm>
                    <a:prstGeom prst="rect">
                      <a:avLst/>
                    </a:prstGeom>
                    <a:noFill/>
                  </pic:spPr>
                </pic:pic>
              </a:graphicData>
            </a:graphic>
          </wp:inline>
        </w:drawing>
      </w:r>
    </w:p>
    <w:p w:rsidR="00A12A36" w:rsidRPr="00FA1D8E" w:rsidRDefault="00A12A36" w:rsidP="00A12A36">
      <w:pPr>
        <w:spacing w:line="276" w:lineRule="auto"/>
        <w:rPr>
          <w:rFonts w:cs="Arial"/>
          <w:sz w:val="16"/>
          <w:szCs w:val="16"/>
        </w:rPr>
      </w:pPr>
      <w:r w:rsidRPr="00FA1D8E">
        <w:rPr>
          <w:rFonts w:cs="Arial"/>
          <w:sz w:val="16"/>
          <w:szCs w:val="16"/>
        </w:rPr>
        <w:t>Zdroj: MŠMT</w:t>
      </w:r>
      <w:r>
        <w:rPr>
          <w:rFonts w:cs="Arial"/>
          <w:sz w:val="16"/>
          <w:szCs w:val="16"/>
        </w:rPr>
        <w:t xml:space="preserve"> a vlastní dopočty ČSÚ</w:t>
      </w:r>
    </w:p>
    <w:p w:rsidR="0020369A" w:rsidRDefault="00057DCD" w:rsidP="00676DC7">
      <w:pPr>
        <w:spacing w:after="120" w:line="276" w:lineRule="auto"/>
        <w:jc w:val="both"/>
        <w:rPr>
          <w:highlight w:val="yellow"/>
        </w:rPr>
      </w:pPr>
      <w:r w:rsidRPr="002857A4">
        <w:rPr>
          <w:rFonts w:cs="Arial"/>
          <w:szCs w:val="20"/>
        </w:rPr>
        <w:t>Povinnou školní docházku</w:t>
      </w:r>
      <w:r w:rsidR="0020369A" w:rsidRPr="002857A4">
        <w:rPr>
          <w:rFonts w:cs="Arial"/>
          <w:szCs w:val="20"/>
        </w:rPr>
        <w:t xml:space="preserve"> lze plnit jak na základních školách, tak </w:t>
      </w:r>
      <w:r w:rsidRPr="002857A4">
        <w:rPr>
          <w:rFonts w:cs="Arial"/>
          <w:szCs w:val="20"/>
        </w:rPr>
        <w:t>v</w:t>
      </w:r>
      <w:r w:rsidR="0020369A" w:rsidRPr="002857A4">
        <w:rPr>
          <w:rFonts w:cs="Arial"/>
          <w:szCs w:val="20"/>
        </w:rPr>
        <w:t xml:space="preserve"> nižších ročnících </w:t>
      </w:r>
      <w:r w:rsidRPr="002857A4">
        <w:rPr>
          <w:rFonts w:cs="Arial"/>
          <w:szCs w:val="20"/>
        </w:rPr>
        <w:t xml:space="preserve">víceletých gymnázií a osmiletých </w:t>
      </w:r>
      <w:r w:rsidR="0020369A" w:rsidRPr="002857A4">
        <w:rPr>
          <w:rFonts w:cs="Arial"/>
          <w:szCs w:val="20"/>
        </w:rPr>
        <w:t>konzervatoří. Jedná se o první dva ročníky šestiletých gymná</w:t>
      </w:r>
      <w:r w:rsidRPr="002857A4">
        <w:rPr>
          <w:rFonts w:cs="Arial"/>
          <w:szCs w:val="20"/>
        </w:rPr>
        <w:t>zií a </w:t>
      </w:r>
      <w:r w:rsidR="0020369A" w:rsidRPr="002857A4">
        <w:rPr>
          <w:rFonts w:cs="Arial"/>
          <w:szCs w:val="20"/>
        </w:rPr>
        <w:t>první čtyři ročníky osmiletých gymnázií</w:t>
      </w:r>
      <w:r w:rsidR="00F3412C" w:rsidRPr="002857A4">
        <w:rPr>
          <w:rFonts w:cs="Arial"/>
          <w:szCs w:val="20"/>
        </w:rPr>
        <w:t xml:space="preserve"> a osmiletých konzervatoří</w:t>
      </w:r>
      <w:r w:rsidR="0020369A" w:rsidRPr="002857A4">
        <w:rPr>
          <w:rFonts w:cs="Arial"/>
          <w:szCs w:val="20"/>
        </w:rPr>
        <w:t xml:space="preserve">. </w:t>
      </w:r>
      <w:r w:rsidRPr="002857A4">
        <w:rPr>
          <w:rFonts w:cs="Arial"/>
          <w:szCs w:val="20"/>
        </w:rPr>
        <w:t>V</w:t>
      </w:r>
      <w:r w:rsidR="0020369A" w:rsidRPr="002857A4">
        <w:rPr>
          <w:rFonts w:cs="Arial"/>
          <w:szCs w:val="20"/>
        </w:rPr>
        <w:t>e školním roce 2017/</w:t>
      </w:r>
      <w:r w:rsidRPr="002857A4">
        <w:rPr>
          <w:rFonts w:cs="Arial"/>
          <w:szCs w:val="20"/>
        </w:rPr>
        <w:t>18</w:t>
      </w:r>
      <w:r w:rsidR="0020369A" w:rsidRPr="002857A4">
        <w:rPr>
          <w:rFonts w:cs="Arial"/>
          <w:szCs w:val="20"/>
        </w:rPr>
        <w:t xml:space="preserve"> plnilo </w:t>
      </w:r>
      <w:r w:rsidRPr="002857A4">
        <w:rPr>
          <w:rFonts w:cs="Arial"/>
          <w:szCs w:val="20"/>
        </w:rPr>
        <w:t xml:space="preserve">povinnou školní docházku </w:t>
      </w:r>
      <w:r w:rsidR="0020369A" w:rsidRPr="002857A4">
        <w:rPr>
          <w:rFonts w:cs="Arial"/>
          <w:szCs w:val="20"/>
        </w:rPr>
        <w:t xml:space="preserve">na </w:t>
      </w:r>
      <w:r w:rsidR="0020369A" w:rsidRPr="002857A4">
        <w:rPr>
          <w:rFonts w:cs="Arial"/>
          <w:b/>
          <w:szCs w:val="20"/>
        </w:rPr>
        <w:t>nižším stupni víceletých gymnázií</w:t>
      </w:r>
      <w:r w:rsidR="0020369A" w:rsidRPr="002857A4">
        <w:rPr>
          <w:rFonts w:cs="Arial"/>
          <w:szCs w:val="20"/>
        </w:rPr>
        <w:t xml:space="preserve"> 41</w:t>
      </w:r>
      <w:r w:rsidRPr="002857A4">
        <w:rPr>
          <w:rFonts w:cs="Arial"/>
          <w:szCs w:val="20"/>
        </w:rPr>
        <w:t> </w:t>
      </w:r>
      <w:r w:rsidR="0020369A" w:rsidRPr="002857A4">
        <w:rPr>
          <w:rFonts w:cs="Arial"/>
          <w:szCs w:val="20"/>
        </w:rPr>
        <w:t>260</w:t>
      </w:r>
      <w:r w:rsidRPr="002857A4">
        <w:rPr>
          <w:rFonts w:cs="Arial"/>
          <w:szCs w:val="20"/>
        </w:rPr>
        <w:t xml:space="preserve"> žáků</w:t>
      </w:r>
      <w:r w:rsidR="0020369A" w:rsidRPr="002857A4">
        <w:rPr>
          <w:rFonts w:cs="Arial"/>
          <w:szCs w:val="20"/>
        </w:rPr>
        <w:t xml:space="preserve">. Na </w:t>
      </w:r>
      <w:r w:rsidR="0020369A" w:rsidRPr="002857A4">
        <w:rPr>
          <w:rFonts w:cs="Arial"/>
          <w:b/>
          <w:szCs w:val="20"/>
        </w:rPr>
        <w:t>nižším stupni osmiletého vzdělávání na konzervatoři</w:t>
      </w:r>
      <w:r w:rsidR="0020369A" w:rsidRPr="002857A4">
        <w:rPr>
          <w:rFonts w:cs="Arial"/>
          <w:szCs w:val="20"/>
        </w:rPr>
        <w:t xml:space="preserve"> se v roce 2017/18 vzdělávalo 349 žáků, což představuje meziroční nárůst o 20 žáků.</w:t>
      </w:r>
    </w:p>
    <w:p w:rsidR="00C55813" w:rsidRPr="00676DC7" w:rsidRDefault="00C55813" w:rsidP="00C55813">
      <w:pPr>
        <w:pStyle w:val="Nadpis2"/>
      </w:pPr>
      <w:bookmarkStart w:id="29" w:name="_Toc523466193"/>
      <w:r w:rsidRPr="00676DC7">
        <w:lastRenderedPageBreak/>
        <w:t>2.3 Zápisy do prvních tříd základních škol</w:t>
      </w:r>
      <w:bookmarkEnd w:id="29"/>
    </w:p>
    <w:p w:rsidR="00C55813" w:rsidRPr="002857A4" w:rsidRDefault="00903DD7" w:rsidP="00C55813">
      <w:pPr>
        <w:spacing w:after="120" w:line="276" w:lineRule="auto"/>
        <w:jc w:val="both"/>
      </w:pPr>
      <w:r w:rsidRPr="002857A4">
        <w:t xml:space="preserve">V roce 2017/18 bylo do </w:t>
      </w:r>
      <w:r w:rsidR="002857A4" w:rsidRPr="002857A4">
        <w:t xml:space="preserve">prvních tříd </w:t>
      </w:r>
      <w:r w:rsidRPr="002857A4">
        <w:t xml:space="preserve">základních škol přijato </w:t>
      </w:r>
      <w:r w:rsidR="006D5841" w:rsidRPr="002857A4">
        <w:t xml:space="preserve">celkem 111 841 žáků, což je o 5 357 žáků (5 %) méně než v předchozím roce, ale o 20 tisíc (22 %) více než před deseti lety. </w:t>
      </w:r>
      <w:r w:rsidRPr="002857A4">
        <w:t>Nejvíce prvňáků bylo přijato ve Středočeském kraji (</w:t>
      </w:r>
      <w:r w:rsidR="006D5841" w:rsidRPr="002857A4">
        <w:t>16,3 tis.)</w:t>
      </w:r>
      <w:r w:rsidRPr="002857A4">
        <w:t>, v Praze (</w:t>
      </w:r>
      <w:r w:rsidR="006D5841" w:rsidRPr="002857A4">
        <w:t>13,5 tis.</w:t>
      </w:r>
      <w:r w:rsidRPr="002857A4">
        <w:t>) a Jihomoravském kraji (1</w:t>
      </w:r>
      <w:r w:rsidR="006D5841" w:rsidRPr="002857A4">
        <w:t>2</w:t>
      </w:r>
      <w:r w:rsidRPr="002857A4">
        <w:t>,</w:t>
      </w:r>
      <w:r w:rsidR="006D5841" w:rsidRPr="002857A4">
        <w:t>6 tis.)</w:t>
      </w:r>
      <w:r w:rsidRPr="002857A4">
        <w:t xml:space="preserve">. </w:t>
      </w:r>
      <w:r w:rsidR="006D5841" w:rsidRPr="002857A4">
        <w:t xml:space="preserve">Největší podíl žáků, kteří byli přijati do 1. ročníku, tvoří žáci ve věku 6 let. Ve školním roce 2017/18 jich do prvních tříd nastoupilo </w:t>
      </w:r>
      <w:r w:rsidR="00C55813" w:rsidRPr="002857A4">
        <w:t>86</w:t>
      </w:r>
      <w:r w:rsidR="006D5841" w:rsidRPr="002857A4">
        <w:t> </w:t>
      </w:r>
      <w:r w:rsidR="00C55813" w:rsidRPr="002857A4">
        <w:t>426</w:t>
      </w:r>
      <w:r w:rsidR="006D5841" w:rsidRPr="002857A4">
        <w:t xml:space="preserve">. </w:t>
      </w:r>
      <w:r w:rsidR="00C55813" w:rsidRPr="002857A4">
        <w:t>V roce 201</w:t>
      </w:r>
      <w:r w:rsidR="006D5841" w:rsidRPr="002857A4">
        <w:t>4</w:t>
      </w:r>
      <w:r w:rsidR="00C55813" w:rsidRPr="002857A4">
        <w:t>/201</w:t>
      </w:r>
      <w:r w:rsidR="006D5841" w:rsidRPr="002857A4">
        <w:t>5</w:t>
      </w:r>
      <w:r w:rsidR="00C55813" w:rsidRPr="002857A4">
        <w:t xml:space="preserve"> představovali šestiletí žáci </w:t>
      </w:r>
      <w:r w:rsidR="006D5841" w:rsidRPr="002857A4">
        <w:t>80</w:t>
      </w:r>
      <w:r w:rsidR="00C55813" w:rsidRPr="002857A4">
        <w:t>,</w:t>
      </w:r>
      <w:r w:rsidR="006D5841" w:rsidRPr="002857A4">
        <w:t>0</w:t>
      </w:r>
      <w:r w:rsidR="00C55813" w:rsidRPr="002857A4">
        <w:t xml:space="preserve"> % nově přijatých žáků,</w:t>
      </w:r>
      <w:r w:rsidRPr="002857A4">
        <w:t xml:space="preserve"> </w:t>
      </w:r>
      <w:r w:rsidR="00C55813" w:rsidRPr="002857A4">
        <w:t>v</w:t>
      </w:r>
      <w:r w:rsidR="006D5841" w:rsidRPr="002857A4">
        <w:t> </w:t>
      </w:r>
      <w:r w:rsidR="00C55813" w:rsidRPr="002857A4">
        <w:t>posledních dvou letech toto zastoupení kleslo až na současných 77,3 %.</w:t>
      </w:r>
    </w:p>
    <w:p w:rsidR="000A2970" w:rsidRPr="002857A4" w:rsidRDefault="006D5841" w:rsidP="006D5841">
      <w:pPr>
        <w:spacing w:after="120" w:line="276" w:lineRule="auto"/>
        <w:jc w:val="both"/>
      </w:pPr>
      <w:r w:rsidRPr="002857A4">
        <w:t xml:space="preserve">Žáků starších </w:t>
      </w:r>
      <w:r w:rsidR="002857A4" w:rsidRPr="002857A4">
        <w:t>sedmi</w:t>
      </w:r>
      <w:r w:rsidRPr="002857A4">
        <w:t xml:space="preserve"> let (jedná se o žáky, kteří nastoupili po odkladu povinné školní docházky) nastoupilo celkem 24 734, to je o 226 méně než v předchozím roce. Podíl žáků, kteří začínají povinnou školní docházku v 7 letech či později, v posledních cca 10 letech osciluje kolem 20 % - ve školním roce 2017/18 to bylo 22,1 %. Ve školních letech 2013/14 a 2014/15 to bylo mírně pod 20 %. </w:t>
      </w:r>
    </w:p>
    <w:p w:rsidR="006D5841" w:rsidRDefault="002857A4" w:rsidP="006D5841">
      <w:pPr>
        <w:spacing w:after="120" w:line="276" w:lineRule="auto"/>
        <w:jc w:val="both"/>
      </w:pPr>
      <w:r w:rsidRPr="002857A4">
        <w:t>Je</w:t>
      </w:r>
      <w:r w:rsidR="006D5841" w:rsidRPr="002857A4">
        <w:t xml:space="preserve"> tedy</w:t>
      </w:r>
      <w:r w:rsidRPr="002857A4">
        <w:t xml:space="preserve"> možné</w:t>
      </w:r>
      <w:r w:rsidR="006D5841" w:rsidRPr="002857A4">
        <w:t xml:space="preserve"> říci, že v České republice již nedochází k výrazným změnám podílu dětí, které mají odklad povinné školní docházky. </w:t>
      </w:r>
      <w:r w:rsidR="00461BBC">
        <w:t>Značné</w:t>
      </w:r>
      <w:r w:rsidR="006D5841" w:rsidRPr="002857A4">
        <w:t xml:space="preserve"> rozdíly jsou však mezi dívkami a chlapci a jednotlivými kraji. Ve školním roce 2017/18 až v 7 letech – po odkladu školní docházky – nastoupilo do 1. třídy 15,3 % dívek, ale 28,6 % chlapců.</w:t>
      </w:r>
      <w:r w:rsidRPr="002857A4">
        <w:t xml:space="preserve"> Ve srovnání jednotlivých krajů</w:t>
      </w:r>
      <w:r w:rsidR="000A2970" w:rsidRPr="002857A4">
        <w:t xml:space="preserve"> </w:t>
      </w:r>
      <w:r w:rsidRPr="002857A4">
        <w:t xml:space="preserve">mají </w:t>
      </w:r>
      <w:r w:rsidR="000A2970" w:rsidRPr="002857A4">
        <w:t>nejvíce odkladů děti na severozápadě republiky v kraji Karlovarském a Ústeckém. Naopak nejméně odkladů je v kraji Pardubickém, na Vysočině a ve Středočeském kraji.</w:t>
      </w:r>
    </w:p>
    <w:p w:rsidR="006D5841" w:rsidRPr="00B34465" w:rsidRDefault="006D5841" w:rsidP="006D5841">
      <w:pPr>
        <w:spacing w:after="0" w:line="276" w:lineRule="auto"/>
        <w:rPr>
          <w:rFonts w:cs="Arial"/>
          <w:b/>
          <w:noProof/>
          <w:szCs w:val="20"/>
        </w:rPr>
      </w:pPr>
      <w:r w:rsidRPr="00B34465">
        <w:rPr>
          <w:rFonts w:cs="Arial"/>
          <w:b/>
          <w:noProof/>
          <w:szCs w:val="20"/>
        </w:rPr>
        <w:t xml:space="preserve">Graf </w:t>
      </w:r>
      <w:r w:rsidR="004377B2">
        <w:rPr>
          <w:rFonts w:cs="Arial"/>
          <w:b/>
          <w:noProof/>
          <w:szCs w:val="20"/>
        </w:rPr>
        <w:t>18</w:t>
      </w:r>
      <w:r>
        <w:rPr>
          <w:rFonts w:cs="Arial"/>
          <w:b/>
          <w:noProof/>
          <w:szCs w:val="20"/>
        </w:rPr>
        <w:t>:</w:t>
      </w:r>
      <w:r w:rsidRPr="00B34465">
        <w:rPr>
          <w:rFonts w:cs="Arial"/>
          <w:b/>
          <w:noProof/>
          <w:szCs w:val="20"/>
        </w:rPr>
        <w:t xml:space="preserve"> Po</w:t>
      </w:r>
      <w:r>
        <w:rPr>
          <w:rFonts w:cs="Arial"/>
          <w:b/>
          <w:noProof/>
          <w:szCs w:val="20"/>
        </w:rPr>
        <w:t xml:space="preserve">díl žáků starších 7 let přijatých do 1. ročníku základních škol </w:t>
      </w:r>
      <w:r w:rsidR="003D64F1">
        <w:rPr>
          <w:rFonts w:cs="Arial"/>
          <w:b/>
          <w:noProof/>
          <w:szCs w:val="20"/>
        </w:rPr>
        <w:t>podle pohlaví v krajích</w:t>
      </w:r>
      <w:r>
        <w:rPr>
          <w:rFonts w:cs="Arial"/>
          <w:b/>
          <w:noProof/>
          <w:szCs w:val="20"/>
        </w:rPr>
        <w:t xml:space="preserve"> ČR ve školním roce 2017/18</w:t>
      </w:r>
    </w:p>
    <w:p w:rsidR="006D5841" w:rsidRDefault="001C064A" w:rsidP="006D5841">
      <w:pPr>
        <w:spacing w:after="0" w:line="276" w:lineRule="auto"/>
        <w:jc w:val="both"/>
        <w:rPr>
          <w:rFonts w:cs="Arial"/>
          <w:szCs w:val="20"/>
          <w:highlight w:val="yellow"/>
        </w:rPr>
      </w:pPr>
      <w:r>
        <w:rPr>
          <w:rFonts w:cs="Arial"/>
          <w:noProof/>
          <w:szCs w:val="20"/>
        </w:rPr>
        <w:drawing>
          <wp:inline distT="0" distB="0" distL="0" distR="0" wp14:anchorId="24E6E5F2">
            <wp:extent cx="5986780" cy="2859405"/>
            <wp:effectExtent l="0" t="0" r="0"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86780" cy="2859405"/>
                    </a:xfrm>
                    <a:prstGeom prst="rect">
                      <a:avLst/>
                    </a:prstGeom>
                    <a:noFill/>
                  </pic:spPr>
                </pic:pic>
              </a:graphicData>
            </a:graphic>
          </wp:inline>
        </w:drawing>
      </w:r>
    </w:p>
    <w:p w:rsidR="006D5841" w:rsidRPr="00FA1D8E" w:rsidRDefault="006D5841" w:rsidP="006D5841">
      <w:pPr>
        <w:spacing w:line="276" w:lineRule="auto"/>
        <w:rPr>
          <w:rFonts w:cs="Arial"/>
          <w:sz w:val="16"/>
          <w:szCs w:val="16"/>
        </w:rPr>
      </w:pPr>
      <w:r w:rsidRPr="00FA1D8E">
        <w:rPr>
          <w:rFonts w:cs="Arial"/>
          <w:sz w:val="16"/>
          <w:szCs w:val="16"/>
        </w:rPr>
        <w:t>Zdroj: MŠMT</w:t>
      </w:r>
      <w:r>
        <w:rPr>
          <w:rFonts w:cs="Arial"/>
          <w:sz w:val="16"/>
          <w:szCs w:val="16"/>
        </w:rPr>
        <w:t xml:space="preserve"> a vlastní dopočty ČSÚ</w:t>
      </w:r>
    </w:p>
    <w:p w:rsidR="00C55813" w:rsidRDefault="000A2970" w:rsidP="000A2970">
      <w:pPr>
        <w:spacing w:after="120" w:line="276" w:lineRule="auto"/>
        <w:jc w:val="both"/>
      </w:pPr>
      <w:r w:rsidRPr="00C55813">
        <w:t>Základní školy navštěvují i děti mladší 6 let</w:t>
      </w:r>
      <w:r>
        <w:t>. Tato věková s</w:t>
      </w:r>
      <w:r w:rsidR="00C55813">
        <w:t xml:space="preserve">kupina žáků </w:t>
      </w:r>
      <w:r>
        <w:t>se však v posledních třech školních letech podílí jen 0,6 % na přijatých žácích do 1. ročníku základních škol.</w:t>
      </w:r>
      <w:r w:rsidR="00C55813">
        <w:t xml:space="preserve"> </w:t>
      </w:r>
      <w:r w:rsidRPr="00C55813">
        <w:t xml:space="preserve">V roce 2017/18 jich bylo 681, což je o 37 méně než v minulém školním roce. Nejvíce žáků mladších 6 let bylo přijato do prvního ročníku v Praze – 112 (0,8 % ze všech žáků přijatých do prvního ročníku v Praze). Ve skupině žáků mladších 6 let je zajímavé to, že převážnou část tvoří dívky </w:t>
      </w:r>
      <w:r>
        <w:t xml:space="preserve">- </w:t>
      </w:r>
      <w:r w:rsidRPr="00C55813">
        <w:t xml:space="preserve">498 dívek </w:t>
      </w:r>
      <w:r>
        <w:t xml:space="preserve">versus </w:t>
      </w:r>
      <w:r w:rsidRPr="00C55813">
        <w:t xml:space="preserve">183 chlapců v roce 2017/18. </w:t>
      </w:r>
    </w:p>
    <w:p w:rsidR="000A2970" w:rsidRPr="00676DC7" w:rsidRDefault="000A2970" w:rsidP="000A2970">
      <w:pPr>
        <w:pStyle w:val="Nadpis2"/>
      </w:pPr>
      <w:bookmarkStart w:id="30" w:name="_Toc523466194"/>
      <w:r w:rsidRPr="00676DC7">
        <w:t>2.4 Žáci s cizím státním občanstvím na základních školách</w:t>
      </w:r>
      <w:bookmarkEnd w:id="30"/>
    </w:p>
    <w:p w:rsidR="000A2970" w:rsidRDefault="000A2970" w:rsidP="000A2970">
      <w:pPr>
        <w:spacing w:after="120" w:line="276" w:lineRule="auto"/>
        <w:jc w:val="both"/>
        <w:rPr>
          <w:rFonts w:cs="Arial"/>
          <w:szCs w:val="20"/>
        </w:rPr>
      </w:pPr>
      <w:r w:rsidRPr="0073133B">
        <w:rPr>
          <w:rFonts w:cs="Arial"/>
          <w:szCs w:val="20"/>
        </w:rPr>
        <w:t>Dět</w:t>
      </w:r>
      <w:r>
        <w:rPr>
          <w:rFonts w:cs="Arial"/>
          <w:szCs w:val="20"/>
        </w:rPr>
        <w:t>i </w:t>
      </w:r>
      <w:r w:rsidRPr="0073133B">
        <w:rPr>
          <w:rFonts w:cs="Arial"/>
          <w:szCs w:val="20"/>
        </w:rPr>
        <w:t>cizinců mají přístup k základnímu vzdělání z</w:t>
      </w:r>
      <w:r>
        <w:rPr>
          <w:rFonts w:cs="Arial"/>
          <w:szCs w:val="20"/>
        </w:rPr>
        <w:t xml:space="preserve">a </w:t>
      </w:r>
      <w:r w:rsidRPr="0073133B">
        <w:rPr>
          <w:rFonts w:cs="Arial"/>
          <w:szCs w:val="20"/>
        </w:rPr>
        <w:t>stejných podmínek jak</w:t>
      </w:r>
      <w:r>
        <w:rPr>
          <w:rFonts w:cs="Arial"/>
          <w:szCs w:val="20"/>
        </w:rPr>
        <w:t xml:space="preserve">o </w:t>
      </w:r>
      <w:r w:rsidRPr="0073133B">
        <w:rPr>
          <w:rFonts w:cs="Arial"/>
          <w:szCs w:val="20"/>
        </w:rPr>
        <w:t>občané Č</w:t>
      </w:r>
      <w:r w:rsidR="00220045">
        <w:rPr>
          <w:rFonts w:cs="Arial"/>
          <w:szCs w:val="20"/>
        </w:rPr>
        <w:t>R</w:t>
      </w:r>
      <w:r w:rsidRPr="0073133B">
        <w:rPr>
          <w:rFonts w:cs="Arial"/>
          <w:szCs w:val="20"/>
        </w:rPr>
        <w:t>. Mají nárok n</w:t>
      </w:r>
      <w:r>
        <w:rPr>
          <w:rFonts w:cs="Arial"/>
          <w:szCs w:val="20"/>
        </w:rPr>
        <w:t xml:space="preserve">a </w:t>
      </w:r>
      <w:r w:rsidRPr="0073133B">
        <w:rPr>
          <w:rFonts w:cs="Arial"/>
          <w:szCs w:val="20"/>
        </w:rPr>
        <w:t>bezplatné vzdělávání, přístup ke školnímu stravování</w:t>
      </w:r>
      <w:r>
        <w:rPr>
          <w:rFonts w:cs="Arial"/>
          <w:szCs w:val="20"/>
        </w:rPr>
        <w:t xml:space="preserve"> a </w:t>
      </w:r>
      <w:r w:rsidRPr="0073133B">
        <w:rPr>
          <w:rFonts w:cs="Arial"/>
          <w:szCs w:val="20"/>
        </w:rPr>
        <w:t>školním zájmovým kroužkům. Povinná školní docházk</w:t>
      </w:r>
      <w:r>
        <w:rPr>
          <w:rFonts w:cs="Arial"/>
          <w:szCs w:val="20"/>
        </w:rPr>
        <w:t xml:space="preserve">a </w:t>
      </w:r>
      <w:r w:rsidRPr="0073133B">
        <w:rPr>
          <w:rFonts w:cs="Arial"/>
          <w:szCs w:val="20"/>
        </w:rPr>
        <w:t>platí pr</w:t>
      </w:r>
      <w:r>
        <w:rPr>
          <w:rFonts w:cs="Arial"/>
          <w:szCs w:val="20"/>
        </w:rPr>
        <w:t xml:space="preserve">o </w:t>
      </w:r>
      <w:r w:rsidRPr="0073133B">
        <w:rPr>
          <w:rFonts w:cs="Arial"/>
          <w:szCs w:val="20"/>
        </w:rPr>
        <w:t>všechny dět</w:t>
      </w:r>
      <w:r>
        <w:rPr>
          <w:rFonts w:cs="Arial"/>
          <w:szCs w:val="20"/>
        </w:rPr>
        <w:t>i </w:t>
      </w:r>
      <w:r w:rsidRPr="0073133B">
        <w:rPr>
          <w:rFonts w:cs="Arial"/>
          <w:szCs w:val="20"/>
        </w:rPr>
        <w:t>cizinců</w:t>
      </w:r>
      <w:r>
        <w:rPr>
          <w:rFonts w:cs="Arial"/>
          <w:szCs w:val="20"/>
        </w:rPr>
        <w:t xml:space="preserve"> v </w:t>
      </w:r>
      <w:r w:rsidRPr="0073133B">
        <w:rPr>
          <w:rFonts w:cs="Arial"/>
          <w:szCs w:val="20"/>
        </w:rPr>
        <w:t>dané věkové kategorii, kte</w:t>
      </w:r>
      <w:r>
        <w:rPr>
          <w:rFonts w:cs="Arial"/>
          <w:szCs w:val="20"/>
        </w:rPr>
        <w:t>ří v </w:t>
      </w:r>
      <w:r w:rsidRPr="0073133B">
        <w:rPr>
          <w:rFonts w:cs="Arial"/>
          <w:szCs w:val="20"/>
        </w:rPr>
        <w:t>Česk</w:t>
      </w:r>
      <w:r w:rsidR="00220045">
        <w:rPr>
          <w:rFonts w:cs="Arial"/>
          <w:szCs w:val="20"/>
        </w:rPr>
        <w:t>u</w:t>
      </w:r>
      <w:r w:rsidRPr="0073133B">
        <w:rPr>
          <w:rFonts w:cs="Arial"/>
          <w:szCs w:val="20"/>
        </w:rPr>
        <w:t xml:space="preserve"> pobývají déle než 90</w:t>
      </w:r>
      <w:r>
        <w:rPr>
          <w:rFonts w:cs="Arial"/>
          <w:szCs w:val="20"/>
        </w:rPr>
        <w:t> </w:t>
      </w:r>
      <w:r w:rsidRPr="0073133B">
        <w:rPr>
          <w:rFonts w:cs="Arial"/>
          <w:szCs w:val="20"/>
        </w:rPr>
        <w:t xml:space="preserve">dní. </w:t>
      </w:r>
    </w:p>
    <w:p w:rsidR="00ED6A91" w:rsidRDefault="00ED6A91" w:rsidP="00ED6A91">
      <w:pPr>
        <w:spacing w:before="120"/>
        <w:jc w:val="both"/>
      </w:pPr>
      <w:r>
        <w:rPr>
          <w:rFonts w:cs="Arial"/>
          <w:szCs w:val="20"/>
        </w:rPr>
        <w:t xml:space="preserve">Stejně jako v případě mateřských škol – i když ne takovým tempem – i v základních školách každoročně roste počet žáků </w:t>
      </w:r>
      <w:r w:rsidRPr="00DA5962">
        <w:rPr>
          <w:rFonts w:cs="Arial"/>
          <w:szCs w:val="20"/>
        </w:rPr>
        <w:t>s </w:t>
      </w:r>
      <w:r w:rsidRPr="00DA5962">
        <w:rPr>
          <w:rFonts w:cs="Arial"/>
          <w:b/>
          <w:szCs w:val="20"/>
        </w:rPr>
        <w:t>cizím státním občanstvím</w:t>
      </w:r>
      <w:r w:rsidRPr="00F935A7">
        <w:rPr>
          <w:rFonts w:cs="Arial"/>
          <w:szCs w:val="20"/>
        </w:rPr>
        <w:t xml:space="preserve">. Za posledních pět let jejich počet vzrostl cca </w:t>
      </w:r>
      <w:r w:rsidRPr="00A41E49">
        <w:rPr>
          <w:rFonts w:cs="Arial"/>
          <w:szCs w:val="20"/>
        </w:rPr>
        <w:t xml:space="preserve">o </w:t>
      </w:r>
      <w:r w:rsidRPr="00F935A7">
        <w:rPr>
          <w:rFonts w:cs="Arial"/>
          <w:szCs w:val="20"/>
        </w:rPr>
        <w:t xml:space="preserve">polovinu (51,1 %). </w:t>
      </w:r>
      <w:r w:rsidRPr="00857E90">
        <w:t>Ve školním roce 201</w:t>
      </w:r>
      <w:r>
        <w:t>7</w:t>
      </w:r>
      <w:r w:rsidRPr="00857E90">
        <w:t>/1</w:t>
      </w:r>
      <w:r>
        <w:t>8</w:t>
      </w:r>
      <w:r w:rsidRPr="00857E90">
        <w:t xml:space="preserve"> </w:t>
      </w:r>
      <w:r>
        <w:t xml:space="preserve">jich </w:t>
      </w:r>
      <w:r w:rsidRPr="00857E90">
        <w:t xml:space="preserve">navštěvovalo základní školy v České republice </w:t>
      </w:r>
      <w:r>
        <w:t>celkem 21 922</w:t>
      </w:r>
      <w:r w:rsidRPr="00857E90">
        <w:t xml:space="preserve"> a na </w:t>
      </w:r>
      <w:r w:rsidRPr="00857E90">
        <w:lastRenderedPageBreak/>
        <w:t>celkovém počtu žáků základních škol se t</w:t>
      </w:r>
      <w:r>
        <w:t>i</w:t>
      </w:r>
      <w:r w:rsidRPr="00857E90">
        <w:t xml:space="preserve">to </w:t>
      </w:r>
      <w:r>
        <w:t xml:space="preserve">žáci </w:t>
      </w:r>
      <w:r w:rsidRPr="00857E90">
        <w:t>podílel</w:t>
      </w:r>
      <w:r>
        <w:t>i</w:t>
      </w:r>
      <w:r w:rsidRPr="00857E90">
        <w:t xml:space="preserve"> 2,</w:t>
      </w:r>
      <w:r>
        <w:t>4</w:t>
      </w:r>
      <w:r w:rsidRPr="00857E90">
        <w:t xml:space="preserve"> %</w:t>
      </w:r>
      <w:r>
        <w:t xml:space="preserve"> </w:t>
      </w:r>
      <w:r>
        <w:rPr>
          <w:rFonts w:cs="Arial"/>
          <w:szCs w:val="20"/>
        </w:rPr>
        <w:t>–</w:t>
      </w:r>
      <w:r>
        <w:t xml:space="preserve"> před pěti lety se jich vzdělávalo na základních školách 14 551 a jejich podíl na všech žácích se rovnal 1,8 %.</w:t>
      </w:r>
      <w:r w:rsidRPr="00857E90">
        <w:t xml:space="preserve"> </w:t>
      </w:r>
    </w:p>
    <w:p w:rsidR="00ED6A91" w:rsidRPr="00A05A68" w:rsidRDefault="00ED6A91" w:rsidP="00ED6A91">
      <w:pPr>
        <w:spacing w:before="120"/>
        <w:jc w:val="both"/>
      </w:pPr>
      <w:r>
        <w:t>Ve školním roce 2017/18 m</w:t>
      </w:r>
      <w:r w:rsidRPr="00857E90">
        <w:t xml:space="preserve">ezi cizinci </w:t>
      </w:r>
      <w:r>
        <w:t xml:space="preserve">vzdělávajícími se na základních školách – na rozdíl od mateřských škol </w:t>
      </w:r>
      <w:r>
        <w:rPr>
          <w:rFonts w:cs="Arial"/>
          <w:szCs w:val="20"/>
        </w:rPr>
        <w:t>–</w:t>
      </w:r>
      <w:r>
        <w:t xml:space="preserve"> </w:t>
      </w:r>
      <w:r w:rsidRPr="00857E90">
        <w:t xml:space="preserve">dominovali </w:t>
      </w:r>
      <w:r w:rsidRPr="005629AB">
        <w:rPr>
          <w:b/>
        </w:rPr>
        <w:t>Ukrajinci (5 893), následovan</w:t>
      </w:r>
      <w:r>
        <w:rPr>
          <w:b/>
        </w:rPr>
        <w:t>í</w:t>
      </w:r>
      <w:r w:rsidRPr="005629AB">
        <w:rPr>
          <w:b/>
        </w:rPr>
        <w:t xml:space="preserve"> Slováky (4 861) a Vietnamci (4 318).</w:t>
      </w:r>
      <w:r>
        <w:t xml:space="preserve"> Žáci z těchto tří států </w:t>
      </w:r>
      <w:r w:rsidRPr="00857E90">
        <w:t>představoval</w:t>
      </w:r>
      <w:r>
        <w:t>i</w:t>
      </w:r>
      <w:r w:rsidRPr="00857E90">
        <w:t xml:space="preserve"> více jak </w:t>
      </w:r>
      <w:r>
        <w:t>dvě třetiny</w:t>
      </w:r>
      <w:r w:rsidRPr="00857E90">
        <w:t xml:space="preserve"> (6</w:t>
      </w:r>
      <w:r>
        <w:t>9</w:t>
      </w:r>
      <w:r w:rsidRPr="00857E90">
        <w:t xml:space="preserve"> %) všech cizinců na základních školách</w:t>
      </w:r>
      <w:r>
        <w:t xml:space="preserve"> – ve všech případech šlo o údaje za školní rok 2017/18</w:t>
      </w:r>
      <w:r w:rsidRPr="00857E90">
        <w:t>.</w:t>
      </w:r>
      <w:r>
        <w:t xml:space="preserve"> Za posledních pět let nejrychleji rostly na základních školách počty žáků s ukrajinským občanstvím (o 72 %; 2,5 tis. žáků). Počet slovenských a vietnamských žáků ve stejném období vzrostl v obou případech cca </w:t>
      </w:r>
      <w:r w:rsidR="003D64F1">
        <w:t xml:space="preserve">o </w:t>
      </w:r>
      <w:r>
        <w:t xml:space="preserve">1,5 tisíce žáků. Asi nikoho nepřekvapí skutečnost, že zdaleka nejvíce žáků s cizím státním občanstvím chodilo do pražských základních škol – 8 254 (37,5 %) žáků ve školním roce 2017/18. </w:t>
      </w:r>
    </w:p>
    <w:p w:rsidR="000A2970" w:rsidRPr="00EB135D" w:rsidRDefault="004377B2" w:rsidP="000A2970">
      <w:pPr>
        <w:spacing w:after="0" w:line="276" w:lineRule="auto"/>
        <w:jc w:val="both"/>
        <w:rPr>
          <w:rFonts w:cs="Arial"/>
          <w:b/>
          <w:szCs w:val="20"/>
        </w:rPr>
      </w:pPr>
      <w:r>
        <w:rPr>
          <w:rFonts w:cs="Arial"/>
          <w:b/>
          <w:szCs w:val="20"/>
        </w:rPr>
        <w:t>Graf 19</w:t>
      </w:r>
      <w:r w:rsidR="000A2970" w:rsidRPr="00BA4755">
        <w:rPr>
          <w:rFonts w:cs="Arial"/>
          <w:b/>
          <w:szCs w:val="20"/>
        </w:rPr>
        <w:t xml:space="preserve">: </w:t>
      </w:r>
      <w:r w:rsidR="000A2970">
        <w:rPr>
          <w:rFonts w:cs="Arial"/>
          <w:b/>
          <w:szCs w:val="20"/>
        </w:rPr>
        <w:t xml:space="preserve">Žáci na základních </w:t>
      </w:r>
      <w:r w:rsidR="000A2970" w:rsidRPr="00BA4755">
        <w:rPr>
          <w:rFonts w:cs="Arial"/>
          <w:b/>
          <w:szCs w:val="20"/>
        </w:rPr>
        <w:t>školách v ČR s cizím státním občanstvím v letech 2012/2013 až 2017/2018</w:t>
      </w:r>
    </w:p>
    <w:p w:rsidR="000A2970" w:rsidRDefault="001C064A" w:rsidP="000A2970">
      <w:pPr>
        <w:spacing w:after="0" w:line="276" w:lineRule="auto"/>
        <w:rPr>
          <w:rFonts w:cs="Arial"/>
          <w:szCs w:val="20"/>
        </w:rPr>
      </w:pPr>
      <w:r>
        <w:rPr>
          <w:rFonts w:cs="Arial"/>
          <w:noProof/>
          <w:szCs w:val="20"/>
        </w:rPr>
        <w:drawing>
          <wp:inline distT="0" distB="0" distL="0" distR="0" wp14:anchorId="3D8E90A8">
            <wp:extent cx="5968365" cy="2383790"/>
            <wp:effectExtent l="0" t="0" r="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68365" cy="2383790"/>
                    </a:xfrm>
                    <a:prstGeom prst="rect">
                      <a:avLst/>
                    </a:prstGeom>
                    <a:noFill/>
                  </pic:spPr>
                </pic:pic>
              </a:graphicData>
            </a:graphic>
          </wp:inline>
        </w:drawing>
      </w:r>
    </w:p>
    <w:p w:rsidR="000A2970" w:rsidRDefault="000A2970" w:rsidP="000A2970">
      <w:pPr>
        <w:spacing w:before="120" w:after="120" w:line="276" w:lineRule="auto"/>
        <w:rPr>
          <w:rFonts w:cs="Arial"/>
          <w:sz w:val="16"/>
          <w:szCs w:val="16"/>
        </w:rPr>
      </w:pPr>
      <w:r w:rsidRPr="00FA1D8E">
        <w:rPr>
          <w:rFonts w:cs="Arial"/>
          <w:sz w:val="16"/>
          <w:szCs w:val="16"/>
        </w:rPr>
        <w:t>Zdroj: MŠMT</w:t>
      </w:r>
      <w:r>
        <w:rPr>
          <w:rFonts w:cs="Arial"/>
          <w:sz w:val="16"/>
          <w:szCs w:val="16"/>
        </w:rPr>
        <w:t xml:space="preserve"> a vlastních dopočtů ČSÚ</w:t>
      </w:r>
    </w:p>
    <w:p w:rsidR="000A2970" w:rsidRPr="000752B8" w:rsidRDefault="000A2970" w:rsidP="00220045">
      <w:pPr>
        <w:spacing w:before="120" w:after="120"/>
        <w:jc w:val="both"/>
        <w:rPr>
          <w:rFonts w:cs="Arial"/>
          <w:szCs w:val="20"/>
        </w:rPr>
      </w:pPr>
      <w:r>
        <w:t xml:space="preserve">Asi nikoho nepřekvapí skutečnost, že zdaleka nejvíce žáků s cizím státním občanstvím chodilo do pražských základních škol – 8 254 (37,5 %) žáků ve školním roce 2017/18. Tito žáci zde </w:t>
      </w:r>
      <w:r w:rsidRPr="000752B8">
        <w:rPr>
          <w:rFonts w:cs="Arial"/>
          <w:szCs w:val="20"/>
        </w:rPr>
        <w:t>představoval</w:t>
      </w:r>
      <w:r>
        <w:rPr>
          <w:rFonts w:cs="Arial"/>
          <w:szCs w:val="20"/>
        </w:rPr>
        <w:t>i</w:t>
      </w:r>
      <w:r w:rsidRPr="000752B8">
        <w:rPr>
          <w:rFonts w:cs="Arial"/>
          <w:szCs w:val="20"/>
        </w:rPr>
        <w:t xml:space="preserve"> </w:t>
      </w:r>
      <w:r>
        <w:rPr>
          <w:rFonts w:cs="Arial"/>
          <w:szCs w:val="20"/>
        </w:rPr>
        <w:t>8,1</w:t>
      </w:r>
      <w:r w:rsidRPr="000752B8">
        <w:rPr>
          <w:rFonts w:cs="Arial"/>
          <w:szCs w:val="20"/>
        </w:rPr>
        <w:t xml:space="preserve"> % </w:t>
      </w:r>
      <w:r>
        <w:rPr>
          <w:rFonts w:cs="Arial"/>
          <w:szCs w:val="20"/>
        </w:rPr>
        <w:t xml:space="preserve">ze </w:t>
      </w:r>
      <w:r w:rsidRPr="000752B8">
        <w:rPr>
          <w:rFonts w:cs="Arial"/>
          <w:szCs w:val="20"/>
        </w:rPr>
        <w:t xml:space="preserve">všech </w:t>
      </w:r>
      <w:r>
        <w:rPr>
          <w:rFonts w:cs="Arial"/>
          <w:szCs w:val="20"/>
        </w:rPr>
        <w:t>žáků pražských základních škol</w:t>
      </w:r>
      <w:r w:rsidRPr="000752B8">
        <w:rPr>
          <w:rFonts w:cs="Arial"/>
          <w:szCs w:val="20"/>
        </w:rPr>
        <w:t xml:space="preserve">. Více než </w:t>
      </w:r>
      <w:r>
        <w:rPr>
          <w:rFonts w:cs="Arial"/>
          <w:szCs w:val="20"/>
        </w:rPr>
        <w:t>3</w:t>
      </w:r>
      <w:r w:rsidRPr="000752B8">
        <w:rPr>
          <w:rFonts w:cs="Arial"/>
          <w:szCs w:val="20"/>
        </w:rPr>
        <w:t xml:space="preserve"> % </w:t>
      </w:r>
      <w:r>
        <w:rPr>
          <w:rFonts w:cs="Arial"/>
          <w:szCs w:val="20"/>
        </w:rPr>
        <w:t>žáků ZŠ</w:t>
      </w:r>
      <w:r w:rsidRPr="000752B8">
        <w:rPr>
          <w:rFonts w:cs="Arial"/>
          <w:szCs w:val="20"/>
        </w:rPr>
        <w:t xml:space="preserve"> tvořili cizinci v Karlovarském a Plzeňském kraji. Naopak v Olomouckém, Zlínském a Moravskoslezském kraji nedosahoval počet </w:t>
      </w:r>
      <w:r>
        <w:rPr>
          <w:rFonts w:cs="Arial"/>
          <w:szCs w:val="20"/>
        </w:rPr>
        <w:t xml:space="preserve">žáků </w:t>
      </w:r>
      <w:r w:rsidRPr="000752B8">
        <w:rPr>
          <w:rFonts w:cs="Arial"/>
          <w:szCs w:val="20"/>
        </w:rPr>
        <w:t xml:space="preserve">s cizím </w:t>
      </w:r>
      <w:r>
        <w:rPr>
          <w:rFonts w:cs="Arial"/>
          <w:szCs w:val="20"/>
        </w:rPr>
        <w:t>státním občanstvím na tamních základ</w:t>
      </w:r>
      <w:r w:rsidR="003D64F1">
        <w:rPr>
          <w:rFonts w:cs="Arial"/>
          <w:szCs w:val="20"/>
        </w:rPr>
        <w:t>ních školách</w:t>
      </w:r>
      <w:r>
        <w:rPr>
          <w:rFonts w:cs="Arial"/>
          <w:szCs w:val="20"/>
        </w:rPr>
        <w:t xml:space="preserve"> ani 1 %.</w:t>
      </w:r>
    </w:p>
    <w:p w:rsidR="000A2970" w:rsidRPr="00DA5962" w:rsidRDefault="004377B2" w:rsidP="000A2970">
      <w:pPr>
        <w:spacing w:after="0" w:line="276" w:lineRule="auto"/>
        <w:jc w:val="both"/>
        <w:rPr>
          <w:rFonts w:cs="Arial"/>
          <w:b/>
          <w:szCs w:val="20"/>
        </w:rPr>
      </w:pPr>
      <w:r>
        <w:rPr>
          <w:rFonts w:cs="Arial"/>
          <w:b/>
          <w:szCs w:val="20"/>
        </w:rPr>
        <w:t xml:space="preserve">Graf </w:t>
      </w:r>
      <w:r w:rsidR="000A2970" w:rsidRPr="00220045">
        <w:rPr>
          <w:rFonts w:cs="Arial"/>
          <w:b/>
          <w:szCs w:val="20"/>
        </w:rPr>
        <w:t>2</w:t>
      </w:r>
      <w:r>
        <w:rPr>
          <w:rFonts w:cs="Arial"/>
          <w:b/>
          <w:szCs w:val="20"/>
        </w:rPr>
        <w:t>0</w:t>
      </w:r>
      <w:r w:rsidR="000A2970" w:rsidRPr="00220045">
        <w:rPr>
          <w:rFonts w:cs="Arial"/>
          <w:b/>
          <w:szCs w:val="20"/>
        </w:rPr>
        <w:t>: Žáci na základních školách s cizím státním občanstvím v jednotlivých krajích ČR</w:t>
      </w:r>
    </w:p>
    <w:p w:rsidR="000A2970" w:rsidRDefault="001C064A" w:rsidP="000A2970">
      <w:pPr>
        <w:spacing w:after="0" w:line="276" w:lineRule="auto"/>
        <w:rPr>
          <w:rFonts w:cs="Arial"/>
          <w:szCs w:val="20"/>
        </w:rPr>
      </w:pPr>
      <w:r>
        <w:rPr>
          <w:rFonts w:cs="Arial"/>
          <w:noProof/>
          <w:szCs w:val="20"/>
        </w:rPr>
        <w:drawing>
          <wp:inline distT="0" distB="0" distL="0" distR="0" wp14:anchorId="2CE16105">
            <wp:extent cx="5968365" cy="2639695"/>
            <wp:effectExtent l="0" t="0" r="0" b="8255"/>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68365" cy="2639695"/>
                    </a:xfrm>
                    <a:prstGeom prst="rect">
                      <a:avLst/>
                    </a:prstGeom>
                    <a:noFill/>
                  </pic:spPr>
                </pic:pic>
              </a:graphicData>
            </a:graphic>
          </wp:inline>
        </w:drawing>
      </w:r>
    </w:p>
    <w:p w:rsidR="00220045" w:rsidRDefault="00220045" w:rsidP="00220045">
      <w:pPr>
        <w:spacing w:after="0" w:line="276" w:lineRule="auto"/>
        <w:rPr>
          <w:rFonts w:cs="Arial"/>
          <w:sz w:val="16"/>
          <w:szCs w:val="16"/>
        </w:rPr>
      </w:pPr>
      <w:r>
        <w:rPr>
          <w:rFonts w:cs="Arial"/>
          <w:sz w:val="16"/>
          <w:szCs w:val="16"/>
        </w:rPr>
        <w:t>* podíl na žácích na ZŠ v Praze ve školním roce 2017/2018 činil 8,1 %</w:t>
      </w:r>
    </w:p>
    <w:p w:rsidR="000A2970" w:rsidRDefault="000A2970" w:rsidP="000A2970">
      <w:pPr>
        <w:spacing w:before="120" w:after="120" w:line="276" w:lineRule="auto"/>
        <w:rPr>
          <w:rFonts w:cs="Arial"/>
          <w:sz w:val="16"/>
          <w:szCs w:val="16"/>
        </w:rPr>
      </w:pPr>
      <w:r w:rsidRPr="00FA1D8E">
        <w:rPr>
          <w:rFonts w:cs="Arial"/>
          <w:sz w:val="16"/>
          <w:szCs w:val="16"/>
        </w:rPr>
        <w:t>Zdroj: MŠMT</w:t>
      </w:r>
      <w:r>
        <w:rPr>
          <w:rFonts w:cs="Arial"/>
          <w:sz w:val="16"/>
          <w:szCs w:val="16"/>
        </w:rPr>
        <w:t xml:space="preserve"> a vlastních dopočtů ČSÚ</w:t>
      </w:r>
    </w:p>
    <w:p w:rsidR="000A2970" w:rsidRPr="00676DC7" w:rsidRDefault="000A2970" w:rsidP="0023455E">
      <w:pPr>
        <w:pStyle w:val="Nadpis2"/>
      </w:pPr>
      <w:bookmarkStart w:id="31" w:name="_Toc523466195"/>
      <w:r w:rsidRPr="00676DC7">
        <w:lastRenderedPageBreak/>
        <w:t>2.5 Žáci se speciálními vzdělávacími potřebami</w:t>
      </w:r>
      <w:bookmarkEnd w:id="31"/>
    </w:p>
    <w:p w:rsidR="00ED6A91" w:rsidRPr="009C62E3" w:rsidRDefault="0023455E" w:rsidP="00237EC6">
      <w:pPr>
        <w:spacing w:after="120"/>
        <w:jc w:val="both"/>
      </w:pPr>
      <w:r w:rsidRPr="009C62E3">
        <w:t xml:space="preserve">V základních školách se ve školním roce 2017/18 vzdělávalo více jak sto tisíc (107 772) zdravotně </w:t>
      </w:r>
      <w:r w:rsidRPr="009C62E3">
        <w:rPr>
          <w:b/>
        </w:rPr>
        <w:t>postižených či jinak znevýhodněných žáků</w:t>
      </w:r>
      <w:r w:rsidRPr="009C62E3">
        <w:t xml:space="preserve">, kteří tak tvořili 11,9 % z celkového počtu žáků navštěvujících základní školy. Většina z těchto žáků, 95 631, byla zdravotně postižena, jde o tzv. žáky se </w:t>
      </w:r>
      <w:r w:rsidRPr="009C62E3">
        <w:rPr>
          <w:rFonts w:cs="Arial"/>
          <w:b/>
          <w:szCs w:val="20"/>
        </w:rPr>
        <w:t>speciálními vzdělávacími potřebami (SVP)</w:t>
      </w:r>
      <w:r w:rsidRPr="009C62E3">
        <w:rPr>
          <w:b/>
        </w:rPr>
        <w:t>.</w:t>
      </w:r>
      <w:r w:rsidRPr="009C62E3">
        <w:t xml:space="preserve"> 13 721 žáků mělo </w:t>
      </w:r>
      <w:r w:rsidRPr="009C62E3">
        <w:rPr>
          <w:b/>
        </w:rPr>
        <w:t>jiné zdravotní znevýhodnění</w:t>
      </w:r>
      <w:r w:rsidRPr="009C62E3">
        <w:t xml:space="preserve"> a dalších 8 732 byla znevýhodněna </w:t>
      </w:r>
      <w:r w:rsidRPr="009C62E3">
        <w:rPr>
          <w:b/>
        </w:rPr>
        <w:t>z jiných důvodů</w:t>
      </w:r>
      <w:r w:rsidRPr="009C62E3">
        <w:t xml:space="preserve">. </w:t>
      </w:r>
      <w:r w:rsidR="00ED6A91" w:rsidRPr="009C62E3">
        <w:t xml:space="preserve">Patří sem například žáci, jejichž speciální vzdělávací potřeby vyplývají zejména z jiných životních podmínek v rodině žáka (např. sociální vyloučení, výrazná chudoba) nebo jde o žáky z odlišného kulturního prostředí v </w:t>
      </w:r>
      <w:r w:rsidR="003D64F1">
        <w:t>rodině žáka, s omezenou znalostí</w:t>
      </w:r>
      <w:r w:rsidR="00ED6A91" w:rsidRPr="009C62E3">
        <w:t xml:space="preserve"> vyučovacího jazyka či se jedná o kombinaci více faktorů.</w:t>
      </w:r>
    </w:p>
    <w:p w:rsidR="00ED6A91" w:rsidRPr="009C62E3" w:rsidRDefault="0023455E" w:rsidP="00237EC6">
      <w:pPr>
        <w:spacing w:after="120" w:line="276" w:lineRule="auto"/>
        <w:jc w:val="both"/>
        <w:rPr>
          <w:rFonts w:cs="Arial"/>
          <w:szCs w:val="20"/>
        </w:rPr>
      </w:pPr>
      <w:r w:rsidRPr="009C62E3">
        <w:rPr>
          <w:rFonts w:cs="Arial"/>
          <w:szCs w:val="20"/>
        </w:rPr>
        <w:t xml:space="preserve">Pro žáky se SVP je možné zřídit </w:t>
      </w:r>
      <w:r w:rsidRPr="009C62E3">
        <w:rPr>
          <w:rFonts w:cs="Arial"/>
          <w:b/>
          <w:szCs w:val="20"/>
        </w:rPr>
        <w:t>samostatné školy</w:t>
      </w:r>
      <w:r w:rsidR="00ED6A91" w:rsidRPr="009C62E3">
        <w:rPr>
          <w:rFonts w:cs="Arial"/>
          <w:szCs w:val="20"/>
        </w:rPr>
        <w:t>.</w:t>
      </w:r>
      <w:r w:rsidRPr="009C62E3">
        <w:rPr>
          <w:rFonts w:cs="Arial"/>
          <w:szCs w:val="20"/>
        </w:rPr>
        <w:t xml:space="preserve"> V roce 2017/18 bylo v České republice 332 škol pro žáky se SVP. Počet těchto škol každoročně klesá. Zatímco před 10 lety jich bylo 435, dnes jich je o 103 méně. </w:t>
      </w:r>
      <w:r w:rsidR="00ED6A91" w:rsidRPr="009C62E3">
        <w:rPr>
          <w:rFonts w:cs="Arial"/>
          <w:szCs w:val="20"/>
        </w:rPr>
        <w:t xml:space="preserve">Z celkového počtu učitelů (63 tis.) v roce 2017/18 učilo 7,3 % ve školách pro žáky se SVP. </w:t>
      </w:r>
    </w:p>
    <w:p w:rsidR="00ED6A91" w:rsidRPr="009C62E3" w:rsidRDefault="0023455E" w:rsidP="00237EC6">
      <w:pPr>
        <w:spacing w:after="120" w:line="276" w:lineRule="auto"/>
        <w:jc w:val="both"/>
        <w:rPr>
          <w:rFonts w:cs="Arial"/>
          <w:szCs w:val="20"/>
        </w:rPr>
      </w:pPr>
      <w:r w:rsidRPr="009C62E3">
        <w:rPr>
          <w:rFonts w:cs="Arial"/>
          <w:szCs w:val="20"/>
        </w:rPr>
        <w:t>Žáci se SVP mohou být začleněni </w:t>
      </w:r>
      <w:r w:rsidR="00ED6A91" w:rsidRPr="009C62E3">
        <w:rPr>
          <w:rFonts w:cs="Arial"/>
          <w:szCs w:val="20"/>
        </w:rPr>
        <w:t xml:space="preserve">i </w:t>
      </w:r>
      <w:r w:rsidRPr="009C62E3">
        <w:rPr>
          <w:rFonts w:cs="Arial"/>
          <w:szCs w:val="20"/>
        </w:rPr>
        <w:t xml:space="preserve">do </w:t>
      </w:r>
      <w:r w:rsidR="009C62E3" w:rsidRPr="009C62E3">
        <w:rPr>
          <w:rFonts w:cs="Arial"/>
          <w:szCs w:val="20"/>
        </w:rPr>
        <w:t xml:space="preserve">běžné </w:t>
      </w:r>
      <w:r w:rsidRPr="009C62E3">
        <w:rPr>
          <w:rFonts w:cs="Arial"/>
          <w:szCs w:val="20"/>
        </w:rPr>
        <w:t xml:space="preserve">třídy běžné školy, anebo se pro ně zřizují v rámci běžné školy </w:t>
      </w:r>
      <w:r w:rsidR="009C62E3" w:rsidRPr="009C62E3">
        <w:rPr>
          <w:rFonts w:cs="Arial"/>
          <w:szCs w:val="20"/>
        </w:rPr>
        <w:t>samostatné</w:t>
      </w:r>
      <w:r w:rsidRPr="009C62E3">
        <w:rPr>
          <w:rFonts w:cs="Arial"/>
          <w:szCs w:val="20"/>
        </w:rPr>
        <w:t xml:space="preserve"> třídy s upravenými vzdělávacími programy</w:t>
      </w:r>
      <w:r w:rsidR="00ED6A91" w:rsidRPr="009C62E3">
        <w:rPr>
          <w:rFonts w:cs="Arial"/>
          <w:szCs w:val="20"/>
        </w:rPr>
        <w:t xml:space="preserve"> - s</w:t>
      </w:r>
      <w:r w:rsidRPr="009C62E3">
        <w:rPr>
          <w:rFonts w:cs="Arial"/>
          <w:szCs w:val="20"/>
        </w:rPr>
        <w:t xml:space="preserve">peciální třídy. </w:t>
      </w:r>
      <w:r w:rsidR="009C62E3" w:rsidRPr="009C62E3">
        <w:rPr>
          <w:rFonts w:cs="Arial"/>
          <w:szCs w:val="20"/>
        </w:rPr>
        <w:t>S</w:t>
      </w:r>
      <w:r w:rsidRPr="009C62E3">
        <w:rPr>
          <w:rFonts w:cs="Arial"/>
          <w:szCs w:val="20"/>
        </w:rPr>
        <w:t>peciální škol</w:t>
      </w:r>
      <w:r w:rsidR="009C62E3" w:rsidRPr="009C62E3">
        <w:rPr>
          <w:rFonts w:cs="Arial"/>
          <w:szCs w:val="20"/>
        </w:rPr>
        <w:t>y jsou</w:t>
      </w:r>
      <w:r w:rsidRPr="009C62E3">
        <w:rPr>
          <w:rFonts w:cs="Arial"/>
          <w:szCs w:val="20"/>
        </w:rPr>
        <w:t xml:space="preserve"> tvořené pouze speciálními třídami (tyto školy jsou zřízeny </w:t>
      </w:r>
      <w:r w:rsidR="009C62E3" w:rsidRPr="009C62E3">
        <w:rPr>
          <w:rFonts w:cs="Arial"/>
          <w:szCs w:val="20"/>
        </w:rPr>
        <w:t xml:space="preserve">výhradně </w:t>
      </w:r>
      <w:r w:rsidRPr="009C62E3">
        <w:rPr>
          <w:rFonts w:cs="Arial"/>
          <w:szCs w:val="20"/>
        </w:rPr>
        <w:t xml:space="preserve">pro vzdělávání žáků se SVP). </w:t>
      </w:r>
      <w:r w:rsidR="00ED6A91" w:rsidRPr="009C62E3">
        <w:rPr>
          <w:rFonts w:cs="Arial"/>
          <w:szCs w:val="20"/>
        </w:rPr>
        <w:t xml:space="preserve">V roce 2017/18 bylo v České republice 3,4 tis. </w:t>
      </w:r>
      <w:r w:rsidR="00ED6A91" w:rsidRPr="009C62E3">
        <w:rPr>
          <w:rFonts w:cs="Arial"/>
          <w:b/>
          <w:szCs w:val="20"/>
        </w:rPr>
        <w:t>speciálních tříd</w:t>
      </w:r>
      <w:r w:rsidR="00ED6A91" w:rsidRPr="009C62E3">
        <w:rPr>
          <w:rFonts w:cs="Arial"/>
          <w:szCs w:val="20"/>
        </w:rPr>
        <w:t xml:space="preserve">. Malá část těchto tříd byla zřízená v běžných školách (14,8 %), zbytek ve školách pro žáky se SVP. </w:t>
      </w:r>
    </w:p>
    <w:p w:rsidR="00ED6A91" w:rsidRDefault="00ED6A91" w:rsidP="00237EC6">
      <w:pPr>
        <w:spacing w:after="120" w:line="276" w:lineRule="auto"/>
        <w:jc w:val="both"/>
        <w:rPr>
          <w:rFonts w:cs="Arial"/>
          <w:szCs w:val="20"/>
        </w:rPr>
      </w:pPr>
      <w:r w:rsidRPr="009C62E3">
        <w:rPr>
          <w:rFonts w:cs="Arial"/>
          <w:szCs w:val="20"/>
        </w:rPr>
        <w:t xml:space="preserve">Celkově bylo ve školním roce 2017/18 v základních školách téměř výše uvedených 96 tis. žáků se SVP, tedy 10,3 % všech žáků základních škol. </w:t>
      </w:r>
      <w:r w:rsidR="0023455E" w:rsidRPr="009C62E3">
        <w:rPr>
          <w:rFonts w:cs="Arial"/>
          <w:szCs w:val="20"/>
        </w:rPr>
        <w:t xml:space="preserve">V posledních letech výrazně vzrostl počet žáku se SVP </w:t>
      </w:r>
      <w:r w:rsidR="0023455E" w:rsidRPr="009C62E3">
        <w:rPr>
          <w:rFonts w:cs="Arial"/>
          <w:b/>
          <w:szCs w:val="20"/>
        </w:rPr>
        <w:t>individuálně integrovaných v běžných třídách základních škol</w:t>
      </w:r>
      <w:r w:rsidR="0023455E" w:rsidRPr="009C62E3">
        <w:rPr>
          <w:rFonts w:cs="Arial"/>
          <w:szCs w:val="20"/>
        </w:rPr>
        <w:t xml:space="preserve">. Ve školním roce 2017/18 </w:t>
      </w:r>
      <w:r w:rsidR="0023455E" w:rsidRPr="009C62E3">
        <w:t xml:space="preserve">bylo integrováno mezi ostatní žáky v běžných třídách základních škol 72 % (68 419) žáků se zdravotním postižením. Jde o výrazně vyšší podíl než před deseti lety, kdy do běžných tříd chodila ‚jen‘ cca polovina dětí se speciálními vzdělávacími potřebami. Ve školním roce 2017/18 se 23 % žáků se SVP vzdělávalo ve speciálních školách určených pro tyto žáky a zbylých 5 % ve speciálních třídách </w:t>
      </w:r>
      <w:r w:rsidR="009C62E3" w:rsidRPr="009C62E3">
        <w:t xml:space="preserve">v rámci </w:t>
      </w:r>
      <w:r w:rsidR="0023455E" w:rsidRPr="009C62E3">
        <w:t xml:space="preserve">běžných ZŠ. V celém sledovaném období posledních deseti let cca </w:t>
      </w:r>
      <w:r w:rsidR="0023455E" w:rsidRPr="009C62E3">
        <w:rPr>
          <w:rFonts w:cs="Arial"/>
          <w:szCs w:val="20"/>
        </w:rPr>
        <w:t>dvě třetiny žáků (67,9 % ve školním roce 2017/18) se speciální</w:t>
      </w:r>
      <w:r w:rsidR="009C62E3" w:rsidRPr="009C62E3">
        <w:rPr>
          <w:rFonts w:cs="Arial"/>
          <w:szCs w:val="20"/>
        </w:rPr>
        <w:t>mi vzdělávacími potřebami, kteří</w:t>
      </w:r>
      <w:r w:rsidR="0023455E" w:rsidRPr="009C62E3">
        <w:rPr>
          <w:rFonts w:cs="Arial"/>
          <w:szCs w:val="20"/>
        </w:rPr>
        <w:t xml:space="preserve"> navštěvovali základní školu, byli chlapci. </w:t>
      </w:r>
      <w:r w:rsidR="009C62E3" w:rsidRPr="009C62E3">
        <w:rPr>
          <w:rFonts w:cs="Arial"/>
          <w:szCs w:val="20"/>
        </w:rPr>
        <w:t>N</w:t>
      </w:r>
      <w:r w:rsidRPr="009C62E3">
        <w:rPr>
          <w:rFonts w:cs="Arial"/>
          <w:szCs w:val="20"/>
        </w:rPr>
        <w:t>ejvíce dětí se SVP je ve Středočeském kraji (12,9 tis.), Naopak, nejméně žáků se SVP najdeme v Karlovarském kraji (3,1 tis.).</w:t>
      </w:r>
      <w:r w:rsidRPr="0073133B">
        <w:rPr>
          <w:rFonts w:cs="Arial"/>
          <w:szCs w:val="20"/>
        </w:rPr>
        <w:t xml:space="preserve"> </w:t>
      </w:r>
    </w:p>
    <w:p w:rsidR="00631207" w:rsidRPr="0053296C" w:rsidRDefault="00631207" w:rsidP="00631207">
      <w:pPr>
        <w:spacing w:after="120" w:line="276" w:lineRule="auto"/>
        <w:jc w:val="both"/>
        <w:rPr>
          <w:rFonts w:cs="Arial"/>
          <w:b/>
          <w:szCs w:val="20"/>
        </w:rPr>
      </w:pPr>
      <w:r w:rsidRPr="0053296C">
        <w:rPr>
          <w:rFonts w:cs="Arial"/>
          <w:b/>
          <w:szCs w:val="20"/>
        </w:rPr>
        <w:t>Tab. 4 Žáci se SVP na ZŠ v ČR ve školním roce 2017/2018</w:t>
      </w:r>
    </w:p>
    <w:tbl>
      <w:tblPr>
        <w:tblW w:w="7731" w:type="dxa"/>
        <w:jc w:val="center"/>
        <w:tblInd w:w="57" w:type="dxa"/>
        <w:tblCellMar>
          <w:left w:w="70" w:type="dxa"/>
          <w:right w:w="70" w:type="dxa"/>
        </w:tblCellMar>
        <w:tblLook w:val="04A0" w:firstRow="1" w:lastRow="0" w:firstColumn="1" w:lastColumn="0" w:noHBand="0" w:noVBand="1"/>
      </w:tblPr>
      <w:tblGrid>
        <w:gridCol w:w="1026"/>
        <w:gridCol w:w="906"/>
        <w:gridCol w:w="966"/>
        <w:gridCol w:w="967"/>
        <w:gridCol w:w="966"/>
        <w:gridCol w:w="967"/>
        <w:gridCol w:w="966"/>
        <w:gridCol w:w="967"/>
      </w:tblGrid>
      <w:tr w:rsidR="000A2970" w:rsidRPr="00F70F2A" w:rsidTr="00B1475D">
        <w:trPr>
          <w:trHeight w:val="286"/>
          <w:jc w:val="center"/>
        </w:trPr>
        <w:tc>
          <w:tcPr>
            <w:tcW w:w="7728" w:type="dxa"/>
            <w:gridSpan w:val="8"/>
            <w:tcBorders>
              <w:top w:val="single" w:sz="4" w:space="0" w:color="auto"/>
              <w:left w:val="nil"/>
              <w:bottom w:val="single" w:sz="4" w:space="0" w:color="auto"/>
            </w:tcBorders>
            <w:shd w:val="clear" w:color="000000" w:fill="F2DDDC"/>
            <w:vAlign w:val="center"/>
            <w:hideMark/>
          </w:tcPr>
          <w:p w:rsidR="000A2970" w:rsidRPr="00F70F2A" w:rsidRDefault="000A2970" w:rsidP="00B27FBF">
            <w:pPr>
              <w:spacing w:after="0" w:line="240" w:lineRule="auto"/>
              <w:jc w:val="center"/>
              <w:rPr>
                <w:rFonts w:cs="Arial"/>
                <w:sz w:val="16"/>
                <w:szCs w:val="16"/>
              </w:rPr>
            </w:pPr>
            <w:r w:rsidRPr="00F70F2A">
              <w:rPr>
                <w:rFonts w:cs="Arial"/>
                <w:sz w:val="16"/>
                <w:szCs w:val="16"/>
              </w:rPr>
              <w:t>žáci se SVP</w:t>
            </w:r>
            <w:r w:rsidRPr="00F70F2A">
              <w:rPr>
                <w:rFonts w:cs="Arial"/>
                <w:sz w:val="16"/>
                <w:szCs w:val="16"/>
                <w:vertAlign w:val="superscript"/>
              </w:rPr>
              <w:t>1)</w:t>
            </w:r>
          </w:p>
        </w:tc>
      </w:tr>
      <w:tr w:rsidR="000A2970" w:rsidRPr="00F70F2A" w:rsidTr="00B1475D">
        <w:trPr>
          <w:trHeight w:val="356"/>
          <w:jc w:val="center"/>
        </w:trPr>
        <w:tc>
          <w:tcPr>
            <w:tcW w:w="1026" w:type="dxa"/>
            <w:vMerge w:val="restart"/>
            <w:tcBorders>
              <w:top w:val="nil"/>
              <w:left w:val="nil"/>
              <w:bottom w:val="single" w:sz="4" w:space="0" w:color="auto"/>
              <w:right w:val="single" w:sz="4" w:space="0" w:color="auto"/>
            </w:tcBorders>
            <w:shd w:val="clear" w:color="000000" w:fill="F2DDDC"/>
            <w:noWrap/>
            <w:vAlign w:val="center"/>
            <w:hideMark/>
          </w:tcPr>
          <w:p w:rsidR="000A2970" w:rsidRPr="00F70F2A" w:rsidRDefault="000A2970" w:rsidP="00B27FBF">
            <w:pPr>
              <w:spacing w:after="0" w:line="240" w:lineRule="auto"/>
              <w:jc w:val="center"/>
              <w:rPr>
                <w:rFonts w:cs="Arial"/>
                <w:color w:val="000000"/>
                <w:sz w:val="16"/>
                <w:szCs w:val="16"/>
              </w:rPr>
            </w:pPr>
            <w:r w:rsidRPr="00F70F2A">
              <w:rPr>
                <w:rFonts w:cs="Arial"/>
                <w:color w:val="000000"/>
                <w:sz w:val="16"/>
                <w:szCs w:val="16"/>
              </w:rPr>
              <w:t>celkem</w:t>
            </w:r>
          </w:p>
        </w:tc>
        <w:tc>
          <w:tcPr>
            <w:tcW w:w="906" w:type="dxa"/>
            <w:vMerge w:val="restart"/>
            <w:tcBorders>
              <w:top w:val="nil"/>
              <w:left w:val="single" w:sz="4" w:space="0" w:color="auto"/>
              <w:bottom w:val="single" w:sz="4" w:space="0" w:color="auto"/>
              <w:right w:val="single" w:sz="4" w:space="0" w:color="auto"/>
            </w:tcBorders>
            <w:shd w:val="clear" w:color="000000" w:fill="F2DDDC"/>
            <w:vAlign w:val="center"/>
            <w:hideMark/>
          </w:tcPr>
          <w:p w:rsidR="000A2970" w:rsidRPr="00F70F2A" w:rsidRDefault="000A2970" w:rsidP="00B27FBF">
            <w:pPr>
              <w:spacing w:after="0" w:line="240" w:lineRule="auto"/>
              <w:jc w:val="center"/>
              <w:rPr>
                <w:rFonts w:cs="Arial"/>
                <w:color w:val="000000"/>
                <w:sz w:val="16"/>
                <w:szCs w:val="16"/>
              </w:rPr>
            </w:pPr>
            <w:r w:rsidRPr="00F70F2A">
              <w:rPr>
                <w:rFonts w:cs="Arial"/>
                <w:color w:val="000000"/>
                <w:sz w:val="16"/>
                <w:szCs w:val="16"/>
              </w:rPr>
              <w:t>z toho</w:t>
            </w:r>
            <w:r w:rsidRPr="00F70F2A">
              <w:rPr>
                <w:rFonts w:cs="Arial"/>
                <w:color w:val="000000"/>
                <w:sz w:val="16"/>
                <w:szCs w:val="16"/>
              </w:rPr>
              <w:br/>
              <w:t>dívky</w:t>
            </w:r>
          </w:p>
        </w:tc>
        <w:tc>
          <w:tcPr>
            <w:tcW w:w="5796" w:type="dxa"/>
            <w:gridSpan w:val="6"/>
            <w:tcBorders>
              <w:top w:val="single" w:sz="4" w:space="0" w:color="auto"/>
              <w:left w:val="nil"/>
              <w:bottom w:val="single" w:sz="4" w:space="0" w:color="auto"/>
            </w:tcBorders>
            <w:shd w:val="clear" w:color="000000" w:fill="F2DDDC"/>
            <w:vAlign w:val="center"/>
            <w:hideMark/>
          </w:tcPr>
          <w:p w:rsidR="000A2970" w:rsidRPr="00F70F2A" w:rsidRDefault="000A2970" w:rsidP="00B27FBF">
            <w:pPr>
              <w:spacing w:after="0" w:line="240" w:lineRule="auto"/>
              <w:jc w:val="center"/>
              <w:rPr>
                <w:rFonts w:cs="Arial"/>
                <w:sz w:val="16"/>
                <w:szCs w:val="16"/>
              </w:rPr>
            </w:pPr>
            <w:r w:rsidRPr="00F70F2A">
              <w:rPr>
                <w:rFonts w:cs="Arial"/>
                <w:sz w:val="16"/>
                <w:szCs w:val="16"/>
              </w:rPr>
              <w:t>v tom</w:t>
            </w:r>
          </w:p>
        </w:tc>
      </w:tr>
      <w:tr w:rsidR="000A2970" w:rsidRPr="00F70F2A" w:rsidTr="00B1475D">
        <w:trPr>
          <w:trHeight w:val="742"/>
          <w:jc w:val="center"/>
        </w:trPr>
        <w:tc>
          <w:tcPr>
            <w:tcW w:w="1026" w:type="dxa"/>
            <w:vMerge/>
            <w:tcBorders>
              <w:top w:val="nil"/>
              <w:left w:val="nil"/>
              <w:bottom w:val="single" w:sz="4" w:space="0" w:color="auto"/>
              <w:right w:val="single" w:sz="4" w:space="0" w:color="auto"/>
            </w:tcBorders>
            <w:vAlign w:val="center"/>
            <w:hideMark/>
          </w:tcPr>
          <w:p w:rsidR="000A2970" w:rsidRPr="00F70F2A" w:rsidRDefault="000A2970" w:rsidP="00B27FBF">
            <w:pPr>
              <w:spacing w:after="0" w:line="240" w:lineRule="auto"/>
              <w:rPr>
                <w:rFonts w:cs="Arial"/>
                <w:color w:val="000000"/>
                <w:sz w:val="16"/>
                <w:szCs w:val="16"/>
              </w:rPr>
            </w:pPr>
          </w:p>
        </w:tc>
        <w:tc>
          <w:tcPr>
            <w:tcW w:w="906" w:type="dxa"/>
            <w:vMerge/>
            <w:tcBorders>
              <w:top w:val="nil"/>
              <w:left w:val="single" w:sz="4" w:space="0" w:color="auto"/>
              <w:bottom w:val="single" w:sz="4" w:space="0" w:color="auto"/>
              <w:right w:val="single" w:sz="4" w:space="0" w:color="auto"/>
            </w:tcBorders>
            <w:vAlign w:val="center"/>
            <w:hideMark/>
          </w:tcPr>
          <w:p w:rsidR="000A2970" w:rsidRPr="00F70F2A" w:rsidRDefault="000A2970" w:rsidP="00B27FBF">
            <w:pPr>
              <w:spacing w:after="0" w:line="240" w:lineRule="auto"/>
              <w:rPr>
                <w:rFonts w:cs="Arial"/>
                <w:color w:val="000000"/>
                <w:sz w:val="16"/>
                <w:szCs w:val="16"/>
              </w:rPr>
            </w:pPr>
          </w:p>
        </w:tc>
        <w:tc>
          <w:tcPr>
            <w:tcW w:w="1932" w:type="dxa"/>
            <w:gridSpan w:val="2"/>
            <w:tcBorders>
              <w:top w:val="single" w:sz="4" w:space="0" w:color="auto"/>
              <w:left w:val="nil"/>
              <w:bottom w:val="single" w:sz="4" w:space="0" w:color="auto"/>
              <w:right w:val="single" w:sz="4" w:space="0" w:color="auto"/>
            </w:tcBorders>
            <w:shd w:val="clear" w:color="000000" w:fill="F2DDDC"/>
            <w:vAlign w:val="center"/>
            <w:hideMark/>
          </w:tcPr>
          <w:p w:rsidR="000A2970" w:rsidRPr="00F70F2A" w:rsidRDefault="000A2970" w:rsidP="00B27FBF">
            <w:pPr>
              <w:spacing w:after="0" w:line="240" w:lineRule="auto"/>
              <w:jc w:val="center"/>
              <w:rPr>
                <w:rFonts w:cs="Arial"/>
                <w:sz w:val="16"/>
                <w:szCs w:val="16"/>
              </w:rPr>
            </w:pPr>
            <w:r w:rsidRPr="00F70F2A">
              <w:rPr>
                <w:rFonts w:cs="Arial"/>
                <w:sz w:val="16"/>
                <w:szCs w:val="16"/>
              </w:rPr>
              <w:t>ve speciálních</w:t>
            </w:r>
            <w:r w:rsidRPr="00F70F2A">
              <w:rPr>
                <w:rFonts w:cs="Arial"/>
                <w:sz w:val="16"/>
                <w:szCs w:val="16"/>
              </w:rPr>
              <w:br/>
              <w:t>třídách škol pro</w:t>
            </w:r>
            <w:r w:rsidRPr="00F70F2A">
              <w:rPr>
                <w:rFonts w:cs="Arial"/>
                <w:sz w:val="16"/>
                <w:szCs w:val="16"/>
              </w:rPr>
              <w:br/>
              <w:t>žáky se SVP</w:t>
            </w:r>
            <w:r w:rsidRPr="00F70F2A">
              <w:rPr>
                <w:rFonts w:cs="Arial"/>
                <w:sz w:val="16"/>
                <w:szCs w:val="16"/>
                <w:vertAlign w:val="superscript"/>
              </w:rPr>
              <w:t>1)</w:t>
            </w:r>
          </w:p>
        </w:tc>
        <w:tc>
          <w:tcPr>
            <w:tcW w:w="1932" w:type="dxa"/>
            <w:gridSpan w:val="2"/>
            <w:tcBorders>
              <w:top w:val="single" w:sz="4" w:space="0" w:color="auto"/>
              <w:left w:val="nil"/>
              <w:bottom w:val="single" w:sz="4" w:space="0" w:color="auto"/>
              <w:right w:val="single" w:sz="4" w:space="0" w:color="auto"/>
            </w:tcBorders>
            <w:shd w:val="clear" w:color="000000" w:fill="F2DDDC"/>
            <w:vAlign w:val="center"/>
            <w:hideMark/>
          </w:tcPr>
          <w:p w:rsidR="000A2970" w:rsidRPr="00F70F2A" w:rsidRDefault="000A2970" w:rsidP="00B27FBF">
            <w:pPr>
              <w:spacing w:after="0" w:line="240" w:lineRule="auto"/>
              <w:jc w:val="center"/>
              <w:rPr>
                <w:rFonts w:cs="Arial"/>
                <w:sz w:val="16"/>
                <w:szCs w:val="16"/>
              </w:rPr>
            </w:pPr>
            <w:r w:rsidRPr="00F70F2A">
              <w:rPr>
                <w:rFonts w:cs="Arial"/>
                <w:sz w:val="16"/>
                <w:szCs w:val="16"/>
              </w:rPr>
              <w:t>ve speciálních</w:t>
            </w:r>
            <w:r w:rsidRPr="00F70F2A">
              <w:rPr>
                <w:rFonts w:cs="Arial"/>
                <w:sz w:val="16"/>
                <w:szCs w:val="16"/>
              </w:rPr>
              <w:br/>
              <w:t>třídách běžných</w:t>
            </w:r>
            <w:r w:rsidRPr="00F70F2A">
              <w:rPr>
                <w:rFonts w:cs="Arial"/>
                <w:sz w:val="16"/>
                <w:szCs w:val="16"/>
              </w:rPr>
              <w:br/>
              <w:t>škol</w:t>
            </w:r>
          </w:p>
        </w:tc>
        <w:tc>
          <w:tcPr>
            <w:tcW w:w="1932" w:type="dxa"/>
            <w:gridSpan w:val="2"/>
            <w:tcBorders>
              <w:top w:val="single" w:sz="4" w:space="0" w:color="auto"/>
              <w:left w:val="nil"/>
              <w:bottom w:val="single" w:sz="4" w:space="0" w:color="auto"/>
            </w:tcBorders>
            <w:shd w:val="clear" w:color="000000" w:fill="F2DDDC"/>
            <w:vAlign w:val="center"/>
            <w:hideMark/>
          </w:tcPr>
          <w:p w:rsidR="000A2970" w:rsidRPr="00F70F2A" w:rsidRDefault="000A2970" w:rsidP="00B27FBF">
            <w:pPr>
              <w:spacing w:after="0" w:line="240" w:lineRule="auto"/>
              <w:jc w:val="center"/>
              <w:rPr>
                <w:rFonts w:cs="Arial"/>
                <w:sz w:val="16"/>
                <w:szCs w:val="16"/>
              </w:rPr>
            </w:pPr>
            <w:r w:rsidRPr="00F70F2A">
              <w:rPr>
                <w:rFonts w:cs="Arial"/>
                <w:sz w:val="16"/>
                <w:szCs w:val="16"/>
              </w:rPr>
              <w:t>v běžných třídách běžných škol</w:t>
            </w:r>
          </w:p>
        </w:tc>
      </w:tr>
      <w:tr w:rsidR="000A2970" w:rsidRPr="00F70F2A" w:rsidTr="00B1475D">
        <w:trPr>
          <w:trHeight w:val="428"/>
          <w:jc w:val="center"/>
        </w:trPr>
        <w:tc>
          <w:tcPr>
            <w:tcW w:w="1026" w:type="dxa"/>
            <w:vMerge/>
            <w:tcBorders>
              <w:top w:val="nil"/>
              <w:left w:val="nil"/>
              <w:bottom w:val="single" w:sz="4" w:space="0" w:color="auto"/>
              <w:right w:val="single" w:sz="4" w:space="0" w:color="auto"/>
            </w:tcBorders>
            <w:vAlign w:val="center"/>
            <w:hideMark/>
          </w:tcPr>
          <w:p w:rsidR="000A2970" w:rsidRPr="00F70F2A" w:rsidRDefault="000A2970" w:rsidP="00B27FBF">
            <w:pPr>
              <w:spacing w:after="0" w:line="240" w:lineRule="auto"/>
              <w:rPr>
                <w:rFonts w:cs="Arial"/>
                <w:color w:val="000000"/>
                <w:sz w:val="16"/>
                <w:szCs w:val="16"/>
              </w:rPr>
            </w:pPr>
          </w:p>
        </w:tc>
        <w:tc>
          <w:tcPr>
            <w:tcW w:w="906" w:type="dxa"/>
            <w:vMerge/>
            <w:tcBorders>
              <w:top w:val="nil"/>
              <w:left w:val="single" w:sz="4" w:space="0" w:color="auto"/>
              <w:bottom w:val="single" w:sz="4" w:space="0" w:color="auto"/>
              <w:right w:val="single" w:sz="4" w:space="0" w:color="auto"/>
            </w:tcBorders>
            <w:vAlign w:val="center"/>
            <w:hideMark/>
          </w:tcPr>
          <w:p w:rsidR="000A2970" w:rsidRPr="00F70F2A" w:rsidRDefault="000A2970" w:rsidP="00B27FBF">
            <w:pPr>
              <w:spacing w:after="0" w:line="240" w:lineRule="auto"/>
              <w:rPr>
                <w:rFonts w:cs="Arial"/>
                <w:color w:val="000000"/>
                <w:sz w:val="16"/>
                <w:szCs w:val="16"/>
              </w:rPr>
            </w:pPr>
          </w:p>
        </w:tc>
        <w:tc>
          <w:tcPr>
            <w:tcW w:w="966" w:type="dxa"/>
            <w:tcBorders>
              <w:top w:val="nil"/>
              <w:left w:val="nil"/>
              <w:bottom w:val="single" w:sz="4" w:space="0" w:color="auto"/>
              <w:right w:val="single" w:sz="4" w:space="0" w:color="auto"/>
            </w:tcBorders>
            <w:shd w:val="clear" w:color="000000" w:fill="F2DDDC"/>
            <w:vAlign w:val="center"/>
            <w:hideMark/>
          </w:tcPr>
          <w:p w:rsidR="000A2970" w:rsidRPr="00F70F2A" w:rsidRDefault="000A2970" w:rsidP="00B27FBF">
            <w:pPr>
              <w:spacing w:after="0" w:line="240" w:lineRule="auto"/>
              <w:jc w:val="center"/>
              <w:rPr>
                <w:rFonts w:cs="Arial"/>
                <w:sz w:val="16"/>
                <w:szCs w:val="16"/>
              </w:rPr>
            </w:pPr>
            <w:r w:rsidRPr="00F70F2A">
              <w:rPr>
                <w:rFonts w:cs="Arial"/>
                <w:sz w:val="16"/>
                <w:szCs w:val="16"/>
              </w:rPr>
              <w:t>celkem</w:t>
            </w:r>
          </w:p>
        </w:tc>
        <w:tc>
          <w:tcPr>
            <w:tcW w:w="967" w:type="dxa"/>
            <w:tcBorders>
              <w:top w:val="nil"/>
              <w:left w:val="nil"/>
              <w:bottom w:val="single" w:sz="4" w:space="0" w:color="auto"/>
              <w:right w:val="single" w:sz="4" w:space="0" w:color="auto"/>
            </w:tcBorders>
            <w:shd w:val="clear" w:color="000000" w:fill="F2DDDC"/>
            <w:vAlign w:val="center"/>
            <w:hideMark/>
          </w:tcPr>
          <w:p w:rsidR="000A2970" w:rsidRPr="00F70F2A" w:rsidRDefault="000A2970" w:rsidP="00B27FBF">
            <w:pPr>
              <w:spacing w:after="0" w:line="240" w:lineRule="auto"/>
              <w:jc w:val="center"/>
              <w:rPr>
                <w:rFonts w:cs="Arial"/>
                <w:sz w:val="16"/>
                <w:szCs w:val="16"/>
              </w:rPr>
            </w:pPr>
            <w:r w:rsidRPr="00F70F2A">
              <w:rPr>
                <w:rFonts w:cs="Arial"/>
                <w:sz w:val="16"/>
                <w:szCs w:val="16"/>
              </w:rPr>
              <w:t>z toho</w:t>
            </w:r>
            <w:r w:rsidRPr="00F70F2A">
              <w:rPr>
                <w:rFonts w:cs="Arial"/>
                <w:sz w:val="16"/>
                <w:szCs w:val="16"/>
              </w:rPr>
              <w:br/>
              <w:t>dívky</w:t>
            </w:r>
          </w:p>
        </w:tc>
        <w:tc>
          <w:tcPr>
            <w:tcW w:w="966" w:type="dxa"/>
            <w:tcBorders>
              <w:top w:val="nil"/>
              <w:left w:val="nil"/>
              <w:bottom w:val="single" w:sz="4" w:space="0" w:color="auto"/>
              <w:right w:val="single" w:sz="4" w:space="0" w:color="auto"/>
            </w:tcBorders>
            <w:shd w:val="clear" w:color="000000" w:fill="F2DDDC"/>
            <w:vAlign w:val="center"/>
            <w:hideMark/>
          </w:tcPr>
          <w:p w:rsidR="000A2970" w:rsidRPr="00F70F2A" w:rsidRDefault="000A2970" w:rsidP="00B27FBF">
            <w:pPr>
              <w:spacing w:after="0" w:line="240" w:lineRule="auto"/>
              <w:jc w:val="center"/>
              <w:rPr>
                <w:rFonts w:cs="Arial"/>
                <w:sz w:val="16"/>
                <w:szCs w:val="16"/>
              </w:rPr>
            </w:pPr>
            <w:r w:rsidRPr="00F70F2A">
              <w:rPr>
                <w:rFonts w:cs="Arial"/>
                <w:sz w:val="16"/>
                <w:szCs w:val="16"/>
              </w:rPr>
              <w:t>celkem</w:t>
            </w:r>
          </w:p>
        </w:tc>
        <w:tc>
          <w:tcPr>
            <w:tcW w:w="967" w:type="dxa"/>
            <w:tcBorders>
              <w:top w:val="nil"/>
              <w:left w:val="nil"/>
              <w:bottom w:val="single" w:sz="4" w:space="0" w:color="auto"/>
              <w:right w:val="single" w:sz="4" w:space="0" w:color="auto"/>
            </w:tcBorders>
            <w:shd w:val="clear" w:color="000000" w:fill="F2DDDC"/>
            <w:vAlign w:val="center"/>
            <w:hideMark/>
          </w:tcPr>
          <w:p w:rsidR="000A2970" w:rsidRPr="00F70F2A" w:rsidRDefault="000A2970" w:rsidP="00B27FBF">
            <w:pPr>
              <w:spacing w:after="0" w:line="240" w:lineRule="auto"/>
              <w:jc w:val="center"/>
              <w:rPr>
                <w:rFonts w:cs="Arial"/>
                <w:sz w:val="16"/>
                <w:szCs w:val="16"/>
              </w:rPr>
            </w:pPr>
            <w:r w:rsidRPr="00F70F2A">
              <w:rPr>
                <w:rFonts w:cs="Arial"/>
                <w:sz w:val="16"/>
                <w:szCs w:val="16"/>
              </w:rPr>
              <w:t>z toho</w:t>
            </w:r>
            <w:r w:rsidRPr="00F70F2A">
              <w:rPr>
                <w:rFonts w:cs="Arial"/>
                <w:sz w:val="16"/>
                <w:szCs w:val="16"/>
              </w:rPr>
              <w:br/>
              <w:t>dívky</w:t>
            </w:r>
          </w:p>
        </w:tc>
        <w:tc>
          <w:tcPr>
            <w:tcW w:w="966" w:type="dxa"/>
            <w:tcBorders>
              <w:top w:val="nil"/>
              <w:left w:val="nil"/>
              <w:bottom w:val="single" w:sz="4" w:space="0" w:color="auto"/>
              <w:right w:val="single" w:sz="4" w:space="0" w:color="auto"/>
            </w:tcBorders>
            <w:shd w:val="clear" w:color="000000" w:fill="F2DDDC"/>
            <w:vAlign w:val="center"/>
            <w:hideMark/>
          </w:tcPr>
          <w:p w:rsidR="000A2970" w:rsidRPr="00F70F2A" w:rsidRDefault="000A2970" w:rsidP="00B27FBF">
            <w:pPr>
              <w:spacing w:after="0" w:line="240" w:lineRule="auto"/>
              <w:jc w:val="center"/>
              <w:rPr>
                <w:rFonts w:cs="Arial"/>
                <w:sz w:val="16"/>
                <w:szCs w:val="16"/>
              </w:rPr>
            </w:pPr>
            <w:r w:rsidRPr="00F70F2A">
              <w:rPr>
                <w:rFonts w:cs="Arial"/>
                <w:sz w:val="16"/>
                <w:szCs w:val="16"/>
              </w:rPr>
              <w:t>celkem</w:t>
            </w:r>
          </w:p>
        </w:tc>
        <w:tc>
          <w:tcPr>
            <w:tcW w:w="967" w:type="dxa"/>
            <w:tcBorders>
              <w:top w:val="nil"/>
              <w:left w:val="nil"/>
              <w:bottom w:val="single" w:sz="4" w:space="0" w:color="auto"/>
              <w:right w:val="nil"/>
            </w:tcBorders>
            <w:shd w:val="clear" w:color="000000" w:fill="F2DDDC"/>
            <w:vAlign w:val="center"/>
            <w:hideMark/>
          </w:tcPr>
          <w:p w:rsidR="000A2970" w:rsidRPr="00F70F2A" w:rsidRDefault="000A2970" w:rsidP="00B27FBF">
            <w:pPr>
              <w:spacing w:after="0" w:line="240" w:lineRule="auto"/>
              <w:jc w:val="center"/>
              <w:rPr>
                <w:rFonts w:cs="Arial"/>
                <w:sz w:val="16"/>
                <w:szCs w:val="16"/>
              </w:rPr>
            </w:pPr>
            <w:r w:rsidRPr="00F70F2A">
              <w:rPr>
                <w:rFonts w:cs="Arial"/>
                <w:sz w:val="16"/>
                <w:szCs w:val="16"/>
              </w:rPr>
              <w:t>z toho</w:t>
            </w:r>
            <w:r w:rsidRPr="00F70F2A">
              <w:rPr>
                <w:rFonts w:cs="Arial"/>
                <w:sz w:val="16"/>
                <w:szCs w:val="16"/>
              </w:rPr>
              <w:br/>
              <w:t>dívky</w:t>
            </w:r>
          </w:p>
        </w:tc>
      </w:tr>
      <w:tr w:rsidR="000A2970" w:rsidRPr="00F70F2A" w:rsidTr="00B1475D">
        <w:trPr>
          <w:trHeight w:val="286"/>
          <w:jc w:val="center"/>
        </w:trPr>
        <w:tc>
          <w:tcPr>
            <w:tcW w:w="102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76 294 </w:t>
            </w:r>
          </w:p>
        </w:tc>
        <w:tc>
          <w:tcPr>
            <w:tcW w:w="906" w:type="dxa"/>
            <w:tcBorders>
              <w:top w:val="nil"/>
              <w:left w:val="single" w:sz="4" w:space="0" w:color="auto"/>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25 310 </w:t>
            </w:r>
          </w:p>
        </w:tc>
        <w:tc>
          <w:tcPr>
            <w:tcW w:w="96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31 248 </w:t>
            </w:r>
          </w:p>
        </w:tc>
        <w:tc>
          <w:tcPr>
            <w:tcW w:w="967"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11 980 </w:t>
            </w:r>
          </w:p>
        </w:tc>
        <w:tc>
          <w:tcPr>
            <w:tcW w:w="96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8 961 </w:t>
            </w:r>
          </w:p>
        </w:tc>
        <w:tc>
          <w:tcPr>
            <w:tcW w:w="967"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3 064 </w:t>
            </w:r>
          </w:p>
        </w:tc>
        <w:tc>
          <w:tcPr>
            <w:tcW w:w="96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36 085 </w:t>
            </w:r>
          </w:p>
        </w:tc>
        <w:tc>
          <w:tcPr>
            <w:tcW w:w="967" w:type="dxa"/>
            <w:tcBorders>
              <w:top w:val="nil"/>
              <w:left w:val="nil"/>
              <w:bottom w:val="nil"/>
              <w:right w:val="nil"/>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10 266 </w:t>
            </w:r>
          </w:p>
        </w:tc>
      </w:tr>
      <w:tr w:rsidR="000A2970" w:rsidRPr="00F70F2A" w:rsidTr="00B1475D">
        <w:trPr>
          <w:trHeight w:val="286"/>
          <w:jc w:val="center"/>
        </w:trPr>
        <w:tc>
          <w:tcPr>
            <w:tcW w:w="102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72 854 </w:t>
            </w:r>
          </w:p>
        </w:tc>
        <w:tc>
          <w:tcPr>
            <w:tcW w:w="906" w:type="dxa"/>
            <w:tcBorders>
              <w:top w:val="nil"/>
              <w:left w:val="single" w:sz="4" w:space="0" w:color="auto"/>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24 288 </w:t>
            </w:r>
          </w:p>
        </w:tc>
        <w:tc>
          <w:tcPr>
            <w:tcW w:w="96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30 553 </w:t>
            </w:r>
          </w:p>
        </w:tc>
        <w:tc>
          <w:tcPr>
            <w:tcW w:w="967"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11 655 </w:t>
            </w:r>
          </w:p>
        </w:tc>
        <w:tc>
          <w:tcPr>
            <w:tcW w:w="96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7 951 </w:t>
            </w:r>
          </w:p>
        </w:tc>
        <w:tc>
          <w:tcPr>
            <w:tcW w:w="967"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2 689 </w:t>
            </w:r>
          </w:p>
        </w:tc>
        <w:tc>
          <w:tcPr>
            <w:tcW w:w="96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34 350 </w:t>
            </w:r>
          </w:p>
        </w:tc>
        <w:tc>
          <w:tcPr>
            <w:tcW w:w="967" w:type="dxa"/>
            <w:tcBorders>
              <w:top w:val="nil"/>
              <w:left w:val="nil"/>
              <w:bottom w:val="nil"/>
              <w:right w:val="nil"/>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9 944 </w:t>
            </w:r>
          </w:p>
        </w:tc>
      </w:tr>
      <w:tr w:rsidR="000A2970" w:rsidRPr="00F70F2A" w:rsidTr="00B1475D">
        <w:trPr>
          <w:trHeight w:val="286"/>
          <w:jc w:val="center"/>
        </w:trPr>
        <w:tc>
          <w:tcPr>
            <w:tcW w:w="102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71 801 </w:t>
            </w:r>
          </w:p>
        </w:tc>
        <w:tc>
          <w:tcPr>
            <w:tcW w:w="906" w:type="dxa"/>
            <w:tcBorders>
              <w:top w:val="nil"/>
              <w:left w:val="single" w:sz="4" w:space="0" w:color="auto"/>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23 954 </w:t>
            </w:r>
          </w:p>
        </w:tc>
        <w:tc>
          <w:tcPr>
            <w:tcW w:w="96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30 014 </w:t>
            </w:r>
          </w:p>
        </w:tc>
        <w:tc>
          <w:tcPr>
            <w:tcW w:w="967"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11 424 </w:t>
            </w:r>
          </w:p>
        </w:tc>
        <w:tc>
          <w:tcPr>
            <w:tcW w:w="96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7 026 </w:t>
            </w:r>
          </w:p>
        </w:tc>
        <w:tc>
          <w:tcPr>
            <w:tcW w:w="967"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2 425 </w:t>
            </w:r>
          </w:p>
        </w:tc>
        <w:tc>
          <w:tcPr>
            <w:tcW w:w="96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34 761 </w:t>
            </w:r>
          </w:p>
        </w:tc>
        <w:tc>
          <w:tcPr>
            <w:tcW w:w="967" w:type="dxa"/>
            <w:tcBorders>
              <w:top w:val="nil"/>
              <w:left w:val="nil"/>
              <w:bottom w:val="nil"/>
              <w:right w:val="nil"/>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10 105 </w:t>
            </w:r>
          </w:p>
        </w:tc>
      </w:tr>
      <w:tr w:rsidR="000A2970" w:rsidRPr="00F70F2A" w:rsidTr="00B1475D">
        <w:trPr>
          <w:trHeight w:val="286"/>
          <w:jc w:val="center"/>
        </w:trPr>
        <w:tc>
          <w:tcPr>
            <w:tcW w:w="102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70 723 </w:t>
            </w:r>
          </w:p>
        </w:tc>
        <w:tc>
          <w:tcPr>
            <w:tcW w:w="906" w:type="dxa"/>
            <w:tcBorders>
              <w:top w:val="nil"/>
              <w:left w:val="single" w:sz="4" w:space="0" w:color="auto"/>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23 553 </w:t>
            </w:r>
          </w:p>
        </w:tc>
        <w:tc>
          <w:tcPr>
            <w:tcW w:w="96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27 892 </w:t>
            </w:r>
          </w:p>
        </w:tc>
        <w:tc>
          <w:tcPr>
            <w:tcW w:w="967"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10 640 </w:t>
            </w:r>
          </w:p>
        </w:tc>
        <w:tc>
          <w:tcPr>
            <w:tcW w:w="96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6 605 </w:t>
            </w:r>
          </w:p>
        </w:tc>
        <w:tc>
          <w:tcPr>
            <w:tcW w:w="967"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2 263 </w:t>
            </w:r>
          </w:p>
        </w:tc>
        <w:tc>
          <w:tcPr>
            <w:tcW w:w="96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36 226 </w:t>
            </w:r>
          </w:p>
        </w:tc>
        <w:tc>
          <w:tcPr>
            <w:tcW w:w="967" w:type="dxa"/>
            <w:tcBorders>
              <w:top w:val="nil"/>
              <w:left w:val="nil"/>
              <w:bottom w:val="nil"/>
              <w:right w:val="nil"/>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10 650 </w:t>
            </w:r>
          </w:p>
        </w:tc>
      </w:tr>
      <w:tr w:rsidR="000A2970" w:rsidRPr="00F70F2A" w:rsidTr="00B1475D">
        <w:trPr>
          <w:trHeight w:val="286"/>
          <w:jc w:val="center"/>
        </w:trPr>
        <w:tc>
          <w:tcPr>
            <w:tcW w:w="102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71 791 </w:t>
            </w:r>
          </w:p>
        </w:tc>
        <w:tc>
          <w:tcPr>
            <w:tcW w:w="906" w:type="dxa"/>
            <w:tcBorders>
              <w:top w:val="nil"/>
              <w:left w:val="single" w:sz="4" w:space="0" w:color="auto"/>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23 749 </w:t>
            </w:r>
          </w:p>
        </w:tc>
        <w:tc>
          <w:tcPr>
            <w:tcW w:w="96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26 162 </w:t>
            </w:r>
          </w:p>
        </w:tc>
        <w:tc>
          <w:tcPr>
            <w:tcW w:w="967"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9 899 </w:t>
            </w:r>
          </w:p>
        </w:tc>
        <w:tc>
          <w:tcPr>
            <w:tcW w:w="96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6 469 </w:t>
            </w:r>
          </w:p>
        </w:tc>
        <w:tc>
          <w:tcPr>
            <w:tcW w:w="967"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2 207 </w:t>
            </w:r>
          </w:p>
        </w:tc>
        <w:tc>
          <w:tcPr>
            <w:tcW w:w="96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39 160 </w:t>
            </w:r>
          </w:p>
        </w:tc>
        <w:tc>
          <w:tcPr>
            <w:tcW w:w="967" w:type="dxa"/>
            <w:tcBorders>
              <w:top w:val="nil"/>
              <w:left w:val="nil"/>
              <w:bottom w:val="nil"/>
              <w:right w:val="nil"/>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11 643 </w:t>
            </w:r>
          </w:p>
        </w:tc>
      </w:tr>
      <w:tr w:rsidR="000A2970" w:rsidRPr="00F70F2A" w:rsidTr="00B1475D">
        <w:trPr>
          <w:trHeight w:val="286"/>
          <w:jc w:val="center"/>
        </w:trPr>
        <w:tc>
          <w:tcPr>
            <w:tcW w:w="102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72 110 </w:t>
            </w:r>
          </w:p>
        </w:tc>
        <w:tc>
          <w:tcPr>
            <w:tcW w:w="906" w:type="dxa"/>
            <w:tcBorders>
              <w:top w:val="nil"/>
              <w:left w:val="single" w:sz="4" w:space="0" w:color="auto"/>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23 733 </w:t>
            </w:r>
          </w:p>
        </w:tc>
        <w:tc>
          <w:tcPr>
            <w:tcW w:w="96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24 851 </w:t>
            </w:r>
          </w:p>
        </w:tc>
        <w:tc>
          <w:tcPr>
            <w:tcW w:w="967"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9 330 </w:t>
            </w:r>
          </w:p>
        </w:tc>
        <w:tc>
          <w:tcPr>
            <w:tcW w:w="96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6 371 </w:t>
            </w:r>
          </w:p>
        </w:tc>
        <w:tc>
          <w:tcPr>
            <w:tcW w:w="967"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2 223 </w:t>
            </w:r>
          </w:p>
        </w:tc>
        <w:tc>
          <w:tcPr>
            <w:tcW w:w="96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40 888 </w:t>
            </w:r>
          </w:p>
        </w:tc>
        <w:tc>
          <w:tcPr>
            <w:tcW w:w="967" w:type="dxa"/>
            <w:tcBorders>
              <w:top w:val="nil"/>
              <w:left w:val="nil"/>
              <w:bottom w:val="nil"/>
              <w:right w:val="nil"/>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12 180 </w:t>
            </w:r>
          </w:p>
        </w:tc>
      </w:tr>
      <w:tr w:rsidR="000A2970" w:rsidRPr="00F70F2A" w:rsidTr="00B1475D">
        <w:trPr>
          <w:trHeight w:val="286"/>
          <w:jc w:val="center"/>
        </w:trPr>
        <w:tc>
          <w:tcPr>
            <w:tcW w:w="102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73 629 </w:t>
            </w:r>
          </w:p>
        </w:tc>
        <w:tc>
          <w:tcPr>
            <w:tcW w:w="906" w:type="dxa"/>
            <w:tcBorders>
              <w:top w:val="nil"/>
              <w:left w:val="single" w:sz="4" w:space="0" w:color="auto"/>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23 986 </w:t>
            </w:r>
          </w:p>
        </w:tc>
        <w:tc>
          <w:tcPr>
            <w:tcW w:w="96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24 035 </w:t>
            </w:r>
          </w:p>
        </w:tc>
        <w:tc>
          <w:tcPr>
            <w:tcW w:w="967"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8 938 </w:t>
            </w:r>
          </w:p>
        </w:tc>
        <w:tc>
          <w:tcPr>
            <w:tcW w:w="96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6 242 </w:t>
            </w:r>
          </w:p>
        </w:tc>
        <w:tc>
          <w:tcPr>
            <w:tcW w:w="967"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2 154 </w:t>
            </w:r>
          </w:p>
        </w:tc>
        <w:tc>
          <w:tcPr>
            <w:tcW w:w="96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43 352 </w:t>
            </w:r>
          </w:p>
        </w:tc>
        <w:tc>
          <w:tcPr>
            <w:tcW w:w="967" w:type="dxa"/>
            <w:tcBorders>
              <w:top w:val="nil"/>
              <w:left w:val="nil"/>
              <w:bottom w:val="nil"/>
              <w:right w:val="nil"/>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12 894 </w:t>
            </w:r>
          </w:p>
        </w:tc>
      </w:tr>
      <w:tr w:rsidR="000A2970" w:rsidRPr="00F70F2A" w:rsidTr="00B1475D">
        <w:trPr>
          <w:trHeight w:val="286"/>
          <w:jc w:val="center"/>
        </w:trPr>
        <w:tc>
          <w:tcPr>
            <w:tcW w:w="102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75 848 </w:t>
            </w:r>
          </w:p>
        </w:tc>
        <w:tc>
          <w:tcPr>
            <w:tcW w:w="906" w:type="dxa"/>
            <w:tcBorders>
              <w:top w:val="nil"/>
              <w:left w:val="single" w:sz="4" w:space="0" w:color="auto"/>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24 542 </w:t>
            </w:r>
          </w:p>
        </w:tc>
        <w:tc>
          <w:tcPr>
            <w:tcW w:w="96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23 877 </w:t>
            </w:r>
          </w:p>
        </w:tc>
        <w:tc>
          <w:tcPr>
            <w:tcW w:w="967"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8 894 </w:t>
            </w:r>
          </w:p>
        </w:tc>
        <w:tc>
          <w:tcPr>
            <w:tcW w:w="96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6 118 </w:t>
            </w:r>
          </w:p>
        </w:tc>
        <w:tc>
          <w:tcPr>
            <w:tcW w:w="967"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2 044 </w:t>
            </w:r>
          </w:p>
        </w:tc>
        <w:tc>
          <w:tcPr>
            <w:tcW w:w="96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45 853 </w:t>
            </w:r>
          </w:p>
        </w:tc>
        <w:tc>
          <w:tcPr>
            <w:tcW w:w="967" w:type="dxa"/>
            <w:tcBorders>
              <w:top w:val="nil"/>
              <w:left w:val="nil"/>
              <w:bottom w:val="nil"/>
              <w:right w:val="nil"/>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13 604 </w:t>
            </w:r>
          </w:p>
        </w:tc>
      </w:tr>
      <w:tr w:rsidR="000A2970" w:rsidRPr="00F70F2A" w:rsidTr="00B1475D">
        <w:trPr>
          <w:trHeight w:val="286"/>
          <w:jc w:val="center"/>
        </w:trPr>
        <w:tc>
          <w:tcPr>
            <w:tcW w:w="102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78 717 </w:t>
            </w:r>
          </w:p>
        </w:tc>
        <w:tc>
          <w:tcPr>
            <w:tcW w:w="906" w:type="dxa"/>
            <w:tcBorders>
              <w:top w:val="nil"/>
              <w:left w:val="single" w:sz="4" w:space="0" w:color="auto"/>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25 307 </w:t>
            </w:r>
          </w:p>
        </w:tc>
        <w:tc>
          <w:tcPr>
            <w:tcW w:w="96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23 880 </w:t>
            </w:r>
          </w:p>
        </w:tc>
        <w:tc>
          <w:tcPr>
            <w:tcW w:w="967"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8 833 </w:t>
            </w:r>
          </w:p>
        </w:tc>
        <w:tc>
          <w:tcPr>
            <w:tcW w:w="96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5 612 </w:t>
            </w:r>
          </w:p>
        </w:tc>
        <w:tc>
          <w:tcPr>
            <w:tcW w:w="967"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1 930 </w:t>
            </w:r>
          </w:p>
        </w:tc>
        <w:tc>
          <w:tcPr>
            <w:tcW w:w="96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49 225 </w:t>
            </w:r>
          </w:p>
        </w:tc>
        <w:tc>
          <w:tcPr>
            <w:tcW w:w="967" w:type="dxa"/>
            <w:tcBorders>
              <w:top w:val="nil"/>
              <w:left w:val="nil"/>
              <w:bottom w:val="nil"/>
              <w:right w:val="nil"/>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14 544 </w:t>
            </w:r>
          </w:p>
        </w:tc>
      </w:tr>
      <w:tr w:rsidR="000A2970" w:rsidRPr="00F70F2A" w:rsidTr="00B1475D">
        <w:trPr>
          <w:trHeight w:val="286"/>
          <w:jc w:val="center"/>
        </w:trPr>
        <w:tc>
          <w:tcPr>
            <w:tcW w:w="102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81 644 </w:t>
            </w:r>
          </w:p>
        </w:tc>
        <w:tc>
          <w:tcPr>
            <w:tcW w:w="906" w:type="dxa"/>
            <w:tcBorders>
              <w:top w:val="nil"/>
              <w:left w:val="single" w:sz="4" w:space="0" w:color="auto"/>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25 992 </w:t>
            </w:r>
          </w:p>
        </w:tc>
        <w:tc>
          <w:tcPr>
            <w:tcW w:w="96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22 721 </w:t>
            </w:r>
          </w:p>
        </w:tc>
        <w:tc>
          <w:tcPr>
            <w:tcW w:w="967"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8 382 </w:t>
            </w:r>
          </w:p>
        </w:tc>
        <w:tc>
          <w:tcPr>
            <w:tcW w:w="96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5 717 </w:t>
            </w:r>
          </w:p>
        </w:tc>
        <w:tc>
          <w:tcPr>
            <w:tcW w:w="967"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1 963 </w:t>
            </w:r>
          </w:p>
        </w:tc>
        <w:tc>
          <w:tcPr>
            <w:tcW w:w="96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53 206 </w:t>
            </w:r>
          </w:p>
        </w:tc>
        <w:tc>
          <w:tcPr>
            <w:tcW w:w="967" w:type="dxa"/>
            <w:tcBorders>
              <w:top w:val="nil"/>
              <w:left w:val="nil"/>
              <w:bottom w:val="nil"/>
              <w:right w:val="nil"/>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15 647 </w:t>
            </w:r>
          </w:p>
        </w:tc>
      </w:tr>
      <w:tr w:rsidR="000A2970" w:rsidRPr="00F70F2A" w:rsidTr="00B1475D">
        <w:trPr>
          <w:trHeight w:val="286"/>
          <w:jc w:val="center"/>
        </w:trPr>
        <w:tc>
          <w:tcPr>
            <w:tcW w:w="102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95 631 </w:t>
            </w:r>
          </w:p>
        </w:tc>
        <w:tc>
          <w:tcPr>
            <w:tcW w:w="906" w:type="dxa"/>
            <w:tcBorders>
              <w:top w:val="nil"/>
              <w:left w:val="single" w:sz="4" w:space="0" w:color="auto"/>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30 667 </w:t>
            </w:r>
          </w:p>
        </w:tc>
        <w:tc>
          <w:tcPr>
            <w:tcW w:w="96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21 953 </w:t>
            </w:r>
          </w:p>
        </w:tc>
        <w:tc>
          <w:tcPr>
            <w:tcW w:w="967"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8 012 </w:t>
            </w:r>
          </w:p>
        </w:tc>
        <w:tc>
          <w:tcPr>
            <w:tcW w:w="96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5 259 </w:t>
            </w:r>
          </w:p>
        </w:tc>
        <w:tc>
          <w:tcPr>
            <w:tcW w:w="967"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1 868 </w:t>
            </w:r>
          </w:p>
        </w:tc>
        <w:tc>
          <w:tcPr>
            <w:tcW w:w="966" w:type="dxa"/>
            <w:tcBorders>
              <w:top w:val="nil"/>
              <w:left w:val="nil"/>
              <w:bottom w:val="nil"/>
              <w:right w:val="single" w:sz="4" w:space="0" w:color="auto"/>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68 419 </w:t>
            </w:r>
          </w:p>
        </w:tc>
        <w:tc>
          <w:tcPr>
            <w:tcW w:w="967" w:type="dxa"/>
            <w:tcBorders>
              <w:top w:val="nil"/>
              <w:left w:val="nil"/>
              <w:bottom w:val="nil"/>
              <w:right w:val="nil"/>
            </w:tcBorders>
            <w:shd w:val="clear" w:color="000000" w:fill="FFFFFF"/>
            <w:noWrap/>
            <w:vAlign w:val="center"/>
            <w:hideMark/>
          </w:tcPr>
          <w:p w:rsidR="000A2970" w:rsidRPr="00F70F2A" w:rsidRDefault="000A2970" w:rsidP="00B27FBF">
            <w:pPr>
              <w:spacing w:after="0" w:line="240" w:lineRule="auto"/>
              <w:jc w:val="right"/>
              <w:rPr>
                <w:rFonts w:cs="Arial"/>
                <w:sz w:val="16"/>
                <w:szCs w:val="16"/>
              </w:rPr>
            </w:pPr>
            <w:r w:rsidRPr="00F70F2A">
              <w:rPr>
                <w:rFonts w:cs="Arial"/>
                <w:sz w:val="16"/>
                <w:szCs w:val="16"/>
              </w:rPr>
              <w:t xml:space="preserve">20 787 </w:t>
            </w:r>
          </w:p>
        </w:tc>
      </w:tr>
    </w:tbl>
    <w:p w:rsidR="00631207" w:rsidRDefault="00631207" w:rsidP="00676DC7">
      <w:pPr>
        <w:pStyle w:val="Nadpis2"/>
      </w:pPr>
      <w:bookmarkStart w:id="32" w:name="_Toc523408613"/>
    </w:p>
    <w:p w:rsidR="00631207" w:rsidRDefault="00631207" w:rsidP="00631207">
      <w:pPr>
        <w:spacing w:after="0" w:line="276" w:lineRule="auto"/>
        <w:rPr>
          <w:sz w:val="16"/>
        </w:rPr>
      </w:pPr>
      <w:r w:rsidRPr="00631207">
        <w:rPr>
          <w:vertAlign w:val="superscript"/>
        </w:rPr>
        <w:t>1</w:t>
      </w:r>
      <w:r w:rsidRPr="00631207">
        <w:rPr>
          <w:sz w:val="16"/>
          <w:vertAlign w:val="superscript"/>
        </w:rPr>
        <w:t>)</w:t>
      </w:r>
      <w:r w:rsidRPr="00631207">
        <w:rPr>
          <w:sz w:val="16"/>
        </w:rPr>
        <w:t xml:space="preserve"> speciální vzdělávací potřeby</w:t>
      </w:r>
    </w:p>
    <w:p w:rsidR="00631207" w:rsidRPr="00631207" w:rsidRDefault="00631207" w:rsidP="00631207">
      <w:pPr>
        <w:spacing w:after="0" w:line="276" w:lineRule="auto"/>
        <w:rPr>
          <w:sz w:val="16"/>
        </w:rPr>
      </w:pPr>
    </w:p>
    <w:p w:rsidR="00631207" w:rsidRPr="00631207" w:rsidRDefault="00631207" w:rsidP="00631207">
      <w:pPr>
        <w:spacing w:line="276" w:lineRule="auto"/>
        <w:rPr>
          <w:sz w:val="16"/>
        </w:rPr>
      </w:pPr>
      <w:r w:rsidRPr="00631207">
        <w:rPr>
          <w:sz w:val="16"/>
        </w:rPr>
        <w:t>Zdroj: MŠMT</w:t>
      </w:r>
    </w:p>
    <w:p w:rsidR="00CA3762" w:rsidRPr="00F70F2A" w:rsidRDefault="00CA3762" w:rsidP="00676DC7">
      <w:pPr>
        <w:pStyle w:val="Nadpis2"/>
      </w:pPr>
      <w:bookmarkStart w:id="33" w:name="_Toc523466196"/>
      <w:r w:rsidRPr="00676DC7">
        <w:lastRenderedPageBreak/>
        <w:t>2.6 Jazykové vzdělávání na základných školách</w:t>
      </w:r>
      <w:bookmarkEnd w:id="32"/>
      <w:bookmarkEnd w:id="33"/>
    </w:p>
    <w:p w:rsidR="00CA3762" w:rsidRPr="00A83D7F" w:rsidRDefault="00CA3762" w:rsidP="00237EC6">
      <w:pPr>
        <w:spacing w:after="120" w:line="276" w:lineRule="auto"/>
        <w:jc w:val="both"/>
        <w:rPr>
          <w:rFonts w:cs="Arial"/>
          <w:szCs w:val="20"/>
        </w:rPr>
      </w:pPr>
      <w:r w:rsidRPr="00A83D7F">
        <w:rPr>
          <w:rFonts w:cs="Arial"/>
          <w:szCs w:val="20"/>
        </w:rPr>
        <w:t>Jazykové kompetence přispívají k mobilitě, zaměstnanosti a osobnímu rozvoji lidí v každém věku. Komunikační schopnosti jsou důležité pro pracovní trh a omezené jazykové znalosti jsou překážkou například při volném pohybu pracovníků a při sociální či ekonomické integraci migrantů. Proto je výuka jazyků ve školách, která se v posledních letech posunula i </w:t>
      </w:r>
      <w:r w:rsidR="00A83D7F" w:rsidRPr="00A83D7F">
        <w:rPr>
          <w:rFonts w:cs="Arial"/>
          <w:szCs w:val="20"/>
        </w:rPr>
        <w:t>do nižších ročníků</w:t>
      </w:r>
      <w:r w:rsidRPr="00A83D7F">
        <w:rPr>
          <w:rFonts w:cs="Arial"/>
          <w:szCs w:val="20"/>
        </w:rPr>
        <w:t>, velmi důležitá.</w:t>
      </w:r>
      <w:r w:rsidR="0001360D" w:rsidRPr="00A83D7F">
        <w:rPr>
          <w:rFonts w:cs="Arial"/>
          <w:szCs w:val="20"/>
        </w:rPr>
        <w:t xml:space="preserve"> Základní školy </w:t>
      </w:r>
      <w:r w:rsidR="00A83D7F" w:rsidRPr="00A83D7F">
        <w:rPr>
          <w:rFonts w:cs="Arial"/>
          <w:szCs w:val="20"/>
        </w:rPr>
        <w:t xml:space="preserve">musí </w:t>
      </w:r>
      <w:r w:rsidR="0001360D" w:rsidRPr="00A83D7F">
        <w:rPr>
          <w:rFonts w:cs="Arial"/>
          <w:szCs w:val="20"/>
        </w:rPr>
        <w:t xml:space="preserve">v souladu se změnou školského zákona už od třetí třídy povinně </w:t>
      </w:r>
      <w:r w:rsidR="00A83D7F" w:rsidRPr="00A83D7F">
        <w:rPr>
          <w:rFonts w:cs="Arial"/>
          <w:szCs w:val="20"/>
        </w:rPr>
        <w:t xml:space="preserve">začít </w:t>
      </w:r>
      <w:r w:rsidR="0001360D" w:rsidRPr="00A83D7F">
        <w:rPr>
          <w:rFonts w:cs="Arial"/>
          <w:szCs w:val="20"/>
        </w:rPr>
        <w:t>s výukou cizího jazyka.</w:t>
      </w:r>
    </w:p>
    <w:p w:rsidR="0001360D" w:rsidRDefault="0001360D" w:rsidP="0001360D">
      <w:pPr>
        <w:spacing w:line="276" w:lineRule="auto"/>
        <w:rPr>
          <w:rFonts w:cs="Arial"/>
          <w:szCs w:val="20"/>
        </w:rPr>
      </w:pPr>
      <w:r>
        <w:rPr>
          <w:rFonts w:cs="Arial"/>
          <w:szCs w:val="20"/>
        </w:rPr>
        <w:t xml:space="preserve">Ve školním roce 2017/18 se cizím jazykům v základních školách učilo celkem 85,4 % žáků. Nejvíce žáků se učilo anglický jazyk. </w:t>
      </w:r>
    </w:p>
    <w:p w:rsidR="0001360D" w:rsidRDefault="0001360D" w:rsidP="0001360D">
      <w:pPr>
        <w:spacing w:line="276" w:lineRule="auto"/>
        <w:rPr>
          <w:rFonts w:cs="Arial"/>
          <w:b/>
          <w:sz w:val="32"/>
          <w:szCs w:val="32"/>
        </w:rPr>
      </w:pPr>
      <w:r>
        <w:rPr>
          <w:rFonts w:cs="Arial"/>
          <w:b/>
          <w:noProof/>
          <w:sz w:val="32"/>
          <w:szCs w:val="32"/>
        </w:rPr>
        <w:drawing>
          <wp:inline distT="0" distB="0" distL="0" distR="0" wp14:anchorId="792BCC7F" wp14:editId="20512FBB">
            <wp:extent cx="5904671" cy="1486894"/>
            <wp:effectExtent l="0" t="0" r="39370" b="1841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01360D" w:rsidRPr="00416691" w:rsidRDefault="00416691" w:rsidP="00237EC6">
      <w:pPr>
        <w:spacing w:after="120" w:line="276" w:lineRule="auto"/>
        <w:jc w:val="both"/>
        <w:rPr>
          <w:rFonts w:cs="Arial"/>
          <w:szCs w:val="20"/>
        </w:rPr>
      </w:pPr>
      <w:r w:rsidRPr="00416691">
        <w:rPr>
          <w:rFonts w:cs="Arial"/>
          <w:szCs w:val="20"/>
        </w:rPr>
        <w:t>Za posledních deset let anglický jazyk upevnil svou pozici nejčastěji vyučovaného cizího jazyka na základních školách.</w:t>
      </w:r>
      <w:r>
        <w:rPr>
          <w:rFonts w:cs="Arial"/>
          <w:szCs w:val="20"/>
        </w:rPr>
        <w:t xml:space="preserve"> Ve školním roce 2007/08 se ještě 29 % žáků navštěvující základní školy anglicky neučilo, nyní je to pouze 15 % žáků, převážně v nejnižších ročnících. S velkým odstupem je druhý cizí jazyk němčina, kterou se učilo v minulém školním roce 19 % žáků základních škol. Mezi ostatními, mnohem méně často vyučovanými jazyky, se zvyšuje obliba ruštiny, kterou se učí necelých 6 % žáků základních škol.</w:t>
      </w:r>
    </w:p>
    <w:p w:rsidR="00237EC6" w:rsidRPr="00B34465" w:rsidRDefault="00237EC6" w:rsidP="00237EC6">
      <w:pPr>
        <w:spacing w:after="0" w:line="276" w:lineRule="auto"/>
        <w:rPr>
          <w:rFonts w:cs="Arial"/>
          <w:b/>
          <w:noProof/>
          <w:szCs w:val="20"/>
        </w:rPr>
      </w:pPr>
      <w:r w:rsidRPr="00B34465">
        <w:rPr>
          <w:rFonts w:cs="Arial"/>
          <w:b/>
          <w:noProof/>
          <w:szCs w:val="20"/>
        </w:rPr>
        <w:t xml:space="preserve">Graf </w:t>
      </w:r>
      <w:r w:rsidR="004377B2">
        <w:rPr>
          <w:rFonts w:cs="Arial"/>
          <w:b/>
          <w:noProof/>
          <w:szCs w:val="20"/>
        </w:rPr>
        <w:t>21</w:t>
      </w:r>
      <w:r>
        <w:rPr>
          <w:rFonts w:cs="Arial"/>
          <w:b/>
          <w:noProof/>
          <w:szCs w:val="20"/>
        </w:rPr>
        <w:t>:</w:t>
      </w:r>
      <w:r w:rsidRPr="00B34465">
        <w:rPr>
          <w:rFonts w:cs="Arial"/>
          <w:b/>
          <w:noProof/>
          <w:szCs w:val="20"/>
        </w:rPr>
        <w:t xml:space="preserve"> Po</w:t>
      </w:r>
      <w:r>
        <w:rPr>
          <w:rFonts w:cs="Arial"/>
          <w:b/>
          <w:noProof/>
          <w:szCs w:val="20"/>
        </w:rPr>
        <w:t>díl žáků na základních školách v ČR učící se vybrané cizí jazyky</w:t>
      </w:r>
    </w:p>
    <w:p w:rsidR="00237EC6" w:rsidRDefault="001C064A" w:rsidP="00237EC6">
      <w:pPr>
        <w:spacing w:after="0" w:line="276" w:lineRule="auto"/>
        <w:jc w:val="both"/>
        <w:rPr>
          <w:rFonts w:cs="Arial"/>
          <w:szCs w:val="20"/>
          <w:highlight w:val="yellow"/>
        </w:rPr>
      </w:pPr>
      <w:r>
        <w:rPr>
          <w:noProof/>
        </w:rPr>
        <w:drawing>
          <wp:inline distT="0" distB="0" distL="0" distR="0" wp14:anchorId="54B56B35">
            <wp:extent cx="3023870" cy="2700655"/>
            <wp:effectExtent l="0" t="0" r="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23870" cy="2700655"/>
                    </a:xfrm>
                    <a:prstGeom prst="rect">
                      <a:avLst/>
                    </a:prstGeom>
                    <a:noFill/>
                  </pic:spPr>
                </pic:pic>
              </a:graphicData>
            </a:graphic>
          </wp:inline>
        </w:drawing>
      </w:r>
      <w:r w:rsidR="00237EC6" w:rsidRPr="00237EC6">
        <w:rPr>
          <w:noProof/>
          <w:lang w:val="en-US" w:eastAsia="en-US"/>
        </w:rPr>
        <w:t xml:space="preserve"> </w:t>
      </w:r>
      <w:r>
        <w:rPr>
          <w:noProof/>
        </w:rPr>
        <w:drawing>
          <wp:inline distT="0" distB="0" distL="0" distR="0" wp14:anchorId="580DB38A">
            <wp:extent cx="3023870" cy="2700655"/>
            <wp:effectExtent l="0" t="0" r="5080"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23870" cy="2700655"/>
                    </a:xfrm>
                    <a:prstGeom prst="rect">
                      <a:avLst/>
                    </a:prstGeom>
                    <a:noFill/>
                  </pic:spPr>
                </pic:pic>
              </a:graphicData>
            </a:graphic>
          </wp:inline>
        </w:drawing>
      </w:r>
    </w:p>
    <w:p w:rsidR="00237EC6" w:rsidRPr="00FA1D8E" w:rsidRDefault="00237EC6" w:rsidP="00237EC6">
      <w:pPr>
        <w:spacing w:line="276" w:lineRule="auto"/>
        <w:rPr>
          <w:rFonts w:cs="Arial"/>
          <w:sz w:val="16"/>
          <w:szCs w:val="16"/>
        </w:rPr>
      </w:pPr>
      <w:r w:rsidRPr="00FA1D8E">
        <w:rPr>
          <w:rFonts w:cs="Arial"/>
          <w:sz w:val="16"/>
          <w:szCs w:val="16"/>
        </w:rPr>
        <w:t>Zdroj: MŠMT</w:t>
      </w:r>
      <w:r>
        <w:rPr>
          <w:rFonts w:cs="Arial"/>
          <w:sz w:val="16"/>
          <w:szCs w:val="16"/>
        </w:rPr>
        <w:t xml:space="preserve"> a vlastní dopočty ČSÚ</w:t>
      </w:r>
    </w:p>
    <w:p w:rsidR="00B1475D" w:rsidRDefault="00A83D7F" w:rsidP="00CA3762">
      <w:pPr>
        <w:spacing w:line="276" w:lineRule="auto"/>
        <w:jc w:val="both"/>
        <w:rPr>
          <w:rFonts w:cs="Arial"/>
          <w:szCs w:val="20"/>
        </w:rPr>
      </w:pPr>
      <w:r w:rsidRPr="00A83D7F">
        <w:rPr>
          <w:rFonts w:cs="Arial"/>
          <w:szCs w:val="20"/>
        </w:rPr>
        <w:t>Podíl žáků, kteří se na základních školách učí německý jazyk</w:t>
      </w:r>
      <w:r>
        <w:rPr>
          <w:rFonts w:cs="Arial"/>
          <w:szCs w:val="20"/>
        </w:rPr>
        <w:t xml:space="preserve"> je tradičně nejvyšší na jihozápadě republiky, kde </w:t>
      </w:r>
      <w:r w:rsidR="00416691">
        <w:rPr>
          <w:rFonts w:cs="Arial"/>
          <w:szCs w:val="20"/>
        </w:rPr>
        <w:t>se mnoho lidí denně setkává s německým jazykovým prostředím ať už ve svém vlastním zaměstnání nebo díky cestovnímu ruchu</w:t>
      </w:r>
      <w:r>
        <w:rPr>
          <w:rFonts w:cs="Arial"/>
          <w:szCs w:val="20"/>
        </w:rPr>
        <w:t>. Alespoň čtvrtina žáků se učí němči</w:t>
      </w:r>
      <w:r w:rsidR="00416691">
        <w:rPr>
          <w:rFonts w:cs="Arial"/>
          <w:szCs w:val="20"/>
        </w:rPr>
        <w:t>nu v Jihočeském, Karlovarském a </w:t>
      </w:r>
      <w:r>
        <w:rPr>
          <w:rFonts w:cs="Arial"/>
          <w:szCs w:val="20"/>
        </w:rPr>
        <w:t>Plzeňském kraji. Nejméně se němčina vyučuje na základních školách v Moravskoslezském, Pardubickém a Středočeském kraji.</w:t>
      </w:r>
      <w:r w:rsidR="00416691">
        <w:rPr>
          <w:rFonts w:cs="Arial"/>
          <w:szCs w:val="20"/>
        </w:rPr>
        <w:t xml:space="preserve"> Moravskoslezský kraj naproti tomu vyniká ve výuce ruského jazyka. Ruštinu se tam na základních školách učí více než desetina žáků.</w:t>
      </w:r>
    </w:p>
    <w:p w:rsidR="00B1475D" w:rsidRDefault="00B1475D">
      <w:pPr>
        <w:spacing w:after="0" w:line="240" w:lineRule="auto"/>
        <w:rPr>
          <w:rFonts w:cs="Arial"/>
          <w:szCs w:val="20"/>
        </w:rPr>
      </w:pPr>
      <w:r>
        <w:rPr>
          <w:rFonts w:cs="Arial"/>
          <w:szCs w:val="20"/>
        </w:rPr>
        <w:br w:type="page"/>
      </w:r>
    </w:p>
    <w:p w:rsidR="00CA3762" w:rsidRPr="00A00211" w:rsidRDefault="004377B2" w:rsidP="00CA3762">
      <w:pPr>
        <w:spacing w:line="276" w:lineRule="auto"/>
        <w:jc w:val="both"/>
        <w:rPr>
          <w:rFonts w:cs="Arial"/>
          <w:b/>
          <w:szCs w:val="20"/>
        </w:rPr>
      </w:pPr>
      <w:r>
        <w:rPr>
          <w:rFonts w:cs="Arial"/>
          <w:b/>
          <w:szCs w:val="20"/>
        </w:rPr>
        <w:lastRenderedPageBreak/>
        <w:t xml:space="preserve">Graf </w:t>
      </w:r>
      <w:r w:rsidR="00CA3762" w:rsidRPr="00A00211">
        <w:rPr>
          <w:rFonts w:cs="Arial"/>
          <w:b/>
          <w:szCs w:val="20"/>
        </w:rPr>
        <w:t>2</w:t>
      </w:r>
      <w:r>
        <w:rPr>
          <w:rFonts w:cs="Arial"/>
          <w:b/>
          <w:szCs w:val="20"/>
        </w:rPr>
        <w:t>2</w:t>
      </w:r>
      <w:r w:rsidR="00CA3762">
        <w:rPr>
          <w:rFonts w:cs="Arial"/>
          <w:b/>
          <w:szCs w:val="20"/>
        </w:rPr>
        <w:t>:</w:t>
      </w:r>
      <w:r w:rsidR="00CA3762" w:rsidRPr="00A00211">
        <w:rPr>
          <w:rFonts w:cs="Arial"/>
          <w:b/>
          <w:szCs w:val="20"/>
        </w:rPr>
        <w:t xml:space="preserve"> </w:t>
      </w:r>
      <w:r w:rsidR="0001360D">
        <w:rPr>
          <w:rFonts w:cs="Arial"/>
          <w:b/>
          <w:szCs w:val="20"/>
        </w:rPr>
        <w:t xml:space="preserve">Žáci </w:t>
      </w:r>
      <w:r w:rsidR="00CA3762" w:rsidRPr="00A00211">
        <w:rPr>
          <w:rFonts w:cs="Arial"/>
          <w:b/>
          <w:szCs w:val="20"/>
        </w:rPr>
        <w:t xml:space="preserve">základních škol </w:t>
      </w:r>
      <w:r w:rsidR="0001360D">
        <w:rPr>
          <w:rFonts w:cs="Arial"/>
          <w:b/>
          <w:szCs w:val="20"/>
        </w:rPr>
        <w:t xml:space="preserve">v krajích </w:t>
      </w:r>
      <w:r w:rsidR="00CA3762">
        <w:rPr>
          <w:rFonts w:cs="Arial"/>
          <w:b/>
          <w:szCs w:val="20"/>
        </w:rPr>
        <w:t xml:space="preserve">ČR </w:t>
      </w:r>
      <w:r w:rsidR="0001360D">
        <w:rPr>
          <w:rFonts w:cs="Arial"/>
          <w:b/>
          <w:szCs w:val="20"/>
        </w:rPr>
        <w:t>studující vybrané jazyky v</w:t>
      </w:r>
      <w:r w:rsidR="00CA3762">
        <w:rPr>
          <w:rFonts w:cs="Arial"/>
          <w:b/>
          <w:szCs w:val="20"/>
        </w:rPr>
        <w:t>e školním roce 2017/18</w:t>
      </w:r>
    </w:p>
    <w:p w:rsidR="00CA3762" w:rsidRPr="001679E8" w:rsidRDefault="001C064A" w:rsidP="00CA3762">
      <w:pPr>
        <w:spacing w:line="276" w:lineRule="auto"/>
        <w:jc w:val="both"/>
        <w:rPr>
          <w:rFonts w:cs="Arial"/>
          <w:sz w:val="16"/>
          <w:szCs w:val="16"/>
        </w:rPr>
      </w:pPr>
      <w:r>
        <w:rPr>
          <w:noProof/>
        </w:rPr>
        <w:drawing>
          <wp:inline distT="0" distB="0" distL="0" distR="0" wp14:anchorId="3D0D2CF0">
            <wp:extent cx="3023870" cy="2877820"/>
            <wp:effectExtent l="0" t="0" r="5080" b="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23870" cy="2877820"/>
                    </a:xfrm>
                    <a:prstGeom prst="rect">
                      <a:avLst/>
                    </a:prstGeom>
                    <a:noFill/>
                  </pic:spPr>
                </pic:pic>
              </a:graphicData>
            </a:graphic>
          </wp:inline>
        </w:drawing>
      </w:r>
      <w:r w:rsidR="0001360D" w:rsidRPr="0001360D">
        <w:rPr>
          <w:noProof/>
          <w:lang w:val="en-US" w:eastAsia="en-US"/>
        </w:rPr>
        <w:t xml:space="preserve"> </w:t>
      </w:r>
      <w:r>
        <w:rPr>
          <w:noProof/>
        </w:rPr>
        <w:drawing>
          <wp:inline distT="0" distB="0" distL="0" distR="0" wp14:anchorId="3AFAA902">
            <wp:extent cx="3023870" cy="2877820"/>
            <wp:effectExtent l="0" t="0" r="5080"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23870" cy="2877820"/>
                    </a:xfrm>
                    <a:prstGeom prst="rect">
                      <a:avLst/>
                    </a:prstGeom>
                    <a:noFill/>
                  </pic:spPr>
                </pic:pic>
              </a:graphicData>
            </a:graphic>
          </wp:inline>
        </w:drawing>
      </w:r>
      <w:r w:rsidR="00CA3762" w:rsidRPr="001679E8">
        <w:rPr>
          <w:rFonts w:cs="Arial"/>
          <w:sz w:val="16"/>
          <w:szCs w:val="16"/>
        </w:rPr>
        <w:t>Zdroj: MŠMT</w:t>
      </w:r>
    </w:p>
    <w:p w:rsidR="00DD1036" w:rsidRPr="00676DC7" w:rsidRDefault="00CA3762" w:rsidP="00676DC7">
      <w:pPr>
        <w:pStyle w:val="Nadpis2"/>
      </w:pPr>
      <w:bookmarkStart w:id="34" w:name="_Toc523408609"/>
      <w:bookmarkStart w:id="35" w:name="_Toc523466197"/>
      <w:r w:rsidRPr="00676DC7">
        <w:t xml:space="preserve">2.7 </w:t>
      </w:r>
      <w:r w:rsidR="00DD1036" w:rsidRPr="00676DC7">
        <w:t>Počty učitelů a jejich průměrné mzdy</w:t>
      </w:r>
      <w:bookmarkEnd w:id="34"/>
      <w:bookmarkEnd w:id="35"/>
    </w:p>
    <w:p w:rsidR="00623ABB" w:rsidRPr="002C6013" w:rsidRDefault="00DD1036" w:rsidP="00CA3762">
      <w:pPr>
        <w:spacing w:after="120" w:line="276" w:lineRule="auto"/>
        <w:jc w:val="both"/>
        <w:rPr>
          <w:rFonts w:cs="Arial"/>
          <w:szCs w:val="20"/>
        </w:rPr>
      </w:pPr>
      <w:r w:rsidRPr="002C6013">
        <w:rPr>
          <w:rFonts w:cs="Arial"/>
          <w:szCs w:val="20"/>
        </w:rPr>
        <w:t xml:space="preserve">Výuku v základních školách v roce 2017/18 zajišťovalo </w:t>
      </w:r>
      <w:r w:rsidR="00262B42" w:rsidRPr="002C6013">
        <w:rPr>
          <w:rFonts w:cs="Arial"/>
          <w:b/>
          <w:szCs w:val="20"/>
        </w:rPr>
        <w:t>63</w:t>
      </w:r>
      <w:r w:rsidRPr="002C6013">
        <w:rPr>
          <w:rFonts w:cs="Arial"/>
          <w:b/>
          <w:szCs w:val="20"/>
        </w:rPr>
        <w:t xml:space="preserve"> tisíc</w:t>
      </w:r>
      <w:r w:rsidRPr="002C6013">
        <w:rPr>
          <w:rFonts w:cs="Arial"/>
          <w:szCs w:val="20"/>
        </w:rPr>
        <w:t xml:space="preserve"> </w:t>
      </w:r>
      <w:r w:rsidRPr="002C6013">
        <w:rPr>
          <w:rFonts w:cs="Arial"/>
          <w:b/>
          <w:szCs w:val="20"/>
        </w:rPr>
        <w:t>učitelů</w:t>
      </w:r>
      <w:r w:rsidR="00262B42" w:rsidRPr="002C6013">
        <w:rPr>
          <w:rFonts w:cs="Arial"/>
          <w:b/>
          <w:szCs w:val="20"/>
        </w:rPr>
        <w:t xml:space="preserve"> </w:t>
      </w:r>
      <w:r w:rsidRPr="002C6013">
        <w:rPr>
          <w:rFonts w:cs="Arial"/>
          <w:szCs w:val="20"/>
        </w:rPr>
        <w:t xml:space="preserve">(přepočtený </w:t>
      </w:r>
      <w:r w:rsidR="00262B42" w:rsidRPr="002C6013">
        <w:rPr>
          <w:rFonts w:cs="Arial"/>
          <w:szCs w:val="20"/>
        </w:rPr>
        <w:t xml:space="preserve">počet </w:t>
      </w:r>
      <w:r w:rsidRPr="002C6013">
        <w:rPr>
          <w:rFonts w:cs="Arial"/>
          <w:szCs w:val="20"/>
        </w:rPr>
        <w:t>osob na plně zaměstnané)</w:t>
      </w:r>
      <w:r w:rsidR="00F31E04" w:rsidRPr="002C6013">
        <w:rPr>
          <w:rFonts w:cs="Arial"/>
          <w:szCs w:val="20"/>
        </w:rPr>
        <w:t xml:space="preserve"> – meziročně jejich počet vzrostl o 2,2 % (1 370 přepočtených osob), tj. procentuáln</w:t>
      </w:r>
      <w:r w:rsidR="00DD45F9" w:rsidRPr="002C6013">
        <w:rPr>
          <w:rFonts w:cs="Arial"/>
          <w:szCs w:val="20"/>
        </w:rPr>
        <w:t>í nárůst byl</w:t>
      </w:r>
      <w:r w:rsidR="00F31E04" w:rsidRPr="002C6013">
        <w:rPr>
          <w:rFonts w:cs="Arial"/>
          <w:szCs w:val="20"/>
        </w:rPr>
        <w:t xml:space="preserve"> stejn</w:t>
      </w:r>
      <w:r w:rsidR="00DD45F9" w:rsidRPr="002C6013">
        <w:rPr>
          <w:rFonts w:cs="Arial"/>
          <w:szCs w:val="20"/>
        </w:rPr>
        <w:t>ý,</w:t>
      </w:r>
      <w:r w:rsidR="00F31E04" w:rsidRPr="002C6013">
        <w:rPr>
          <w:rFonts w:cs="Arial"/>
          <w:szCs w:val="20"/>
        </w:rPr>
        <w:t xml:space="preserve"> jako</w:t>
      </w:r>
      <w:r w:rsidR="00DD45F9" w:rsidRPr="002C6013">
        <w:rPr>
          <w:rFonts w:cs="Arial"/>
          <w:szCs w:val="20"/>
        </w:rPr>
        <w:t xml:space="preserve"> u</w:t>
      </w:r>
      <w:r w:rsidR="00F31E04" w:rsidRPr="002C6013">
        <w:rPr>
          <w:rFonts w:cs="Arial"/>
          <w:szCs w:val="20"/>
        </w:rPr>
        <w:t xml:space="preserve"> žáků. V delším časovém období však počet </w:t>
      </w:r>
      <w:r w:rsidR="00DD45F9" w:rsidRPr="002C6013">
        <w:rPr>
          <w:rFonts w:cs="Arial"/>
          <w:szCs w:val="20"/>
        </w:rPr>
        <w:t xml:space="preserve">učitelů </w:t>
      </w:r>
      <w:r w:rsidR="00F31E04" w:rsidRPr="002C6013">
        <w:rPr>
          <w:rFonts w:cs="Arial"/>
          <w:szCs w:val="20"/>
        </w:rPr>
        <w:t xml:space="preserve">ve většině případů nekopíruje nárůst či pokles počtu žáků – spíše jej </w:t>
      </w:r>
      <w:r w:rsidR="00DD45F9" w:rsidRPr="002C6013">
        <w:rPr>
          <w:rFonts w:cs="Arial"/>
          <w:szCs w:val="20"/>
        </w:rPr>
        <w:t xml:space="preserve">se zpožděním </w:t>
      </w:r>
      <w:r w:rsidR="00F31E04" w:rsidRPr="002C6013">
        <w:rPr>
          <w:rFonts w:cs="Arial"/>
          <w:szCs w:val="20"/>
        </w:rPr>
        <w:t>dohání.  K</w:t>
      </w:r>
      <w:r w:rsidR="00623ABB" w:rsidRPr="002C6013">
        <w:rPr>
          <w:rFonts w:cs="Arial"/>
          <w:szCs w:val="20"/>
        </w:rPr>
        <w:t xml:space="preserve">romě učitelů působilo na základních školách dalších 26 854 </w:t>
      </w:r>
      <w:r w:rsidR="00623ABB" w:rsidRPr="002C6013">
        <w:rPr>
          <w:rFonts w:cs="Arial"/>
          <w:b/>
          <w:szCs w:val="20"/>
        </w:rPr>
        <w:t>nepedagogických zaměstnanců</w:t>
      </w:r>
      <w:r w:rsidR="00623ABB" w:rsidRPr="002C6013">
        <w:rPr>
          <w:rFonts w:cs="Arial"/>
          <w:szCs w:val="20"/>
        </w:rPr>
        <w:t xml:space="preserve">, jde </w:t>
      </w:r>
      <w:r w:rsidR="002C6013" w:rsidRPr="002C6013">
        <w:rPr>
          <w:rFonts w:cs="Arial"/>
          <w:szCs w:val="20"/>
        </w:rPr>
        <w:t>například</w:t>
      </w:r>
      <w:r w:rsidR="00623ABB" w:rsidRPr="002C6013">
        <w:rPr>
          <w:rFonts w:cs="Arial"/>
          <w:szCs w:val="20"/>
        </w:rPr>
        <w:t xml:space="preserve"> o</w:t>
      </w:r>
      <w:r w:rsidR="002C6013" w:rsidRPr="002C6013">
        <w:rPr>
          <w:rFonts w:cs="Arial"/>
          <w:szCs w:val="20"/>
        </w:rPr>
        <w:t xml:space="preserve"> kuchařky, školníky nebo účetní</w:t>
      </w:r>
      <w:r w:rsidR="00623ABB" w:rsidRPr="002C6013">
        <w:rPr>
          <w:rFonts w:cs="Arial"/>
          <w:szCs w:val="20"/>
        </w:rPr>
        <w:t>. Jejich počet roste výrazně rychleji než počet učitelů.</w:t>
      </w:r>
    </w:p>
    <w:p w:rsidR="00704D39" w:rsidRDefault="00262B42" w:rsidP="00CA3762">
      <w:pPr>
        <w:spacing w:after="120" w:line="276" w:lineRule="auto"/>
        <w:jc w:val="both"/>
        <w:rPr>
          <w:rFonts w:cs="Arial"/>
          <w:szCs w:val="20"/>
        </w:rPr>
      </w:pPr>
      <w:r w:rsidRPr="00623ABB">
        <w:rPr>
          <w:rFonts w:cs="Arial"/>
          <w:b/>
          <w:szCs w:val="20"/>
        </w:rPr>
        <w:t xml:space="preserve">Ženy </w:t>
      </w:r>
      <w:r w:rsidRPr="00AF77C7">
        <w:rPr>
          <w:rFonts w:cs="Arial"/>
          <w:szCs w:val="20"/>
        </w:rPr>
        <w:t>tvořily 85 % učitelského sboru základních škol</w:t>
      </w:r>
      <w:r w:rsidR="00AF77C7" w:rsidRPr="00AF77C7">
        <w:rPr>
          <w:rFonts w:cs="Arial"/>
          <w:szCs w:val="20"/>
        </w:rPr>
        <w:t>.</w:t>
      </w:r>
      <w:r w:rsidRPr="00AF77C7">
        <w:rPr>
          <w:rFonts w:cs="Arial"/>
          <w:szCs w:val="20"/>
        </w:rPr>
        <w:t xml:space="preserve"> </w:t>
      </w:r>
      <w:r w:rsidR="00AF77C7" w:rsidRPr="00AF77C7">
        <w:rPr>
          <w:rFonts w:cs="Arial"/>
          <w:szCs w:val="20"/>
        </w:rPr>
        <w:t>Č</w:t>
      </w:r>
      <w:r w:rsidRPr="00AF77C7">
        <w:rPr>
          <w:rFonts w:cs="Arial"/>
          <w:szCs w:val="20"/>
        </w:rPr>
        <w:t xml:space="preserve">i opačně: pouze 15 % učitelského sboru základních škol </w:t>
      </w:r>
      <w:r w:rsidR="0001382D">
        <w:rPr>
          <w:rFonts w:cs="Arial"/>
          <w:szCs w:val="20"/>
        </w:rPr>
        <w:t>představují</w:t>
      </w:r>
      <w:r w:rsidRPr="00AF77C7">
        <w:rPr>
          <w:rFonts w:cs="Arial"/>
          <w:szCs w:val="20"/>
        </w:rPr>
        <w:t xml:space="preserve"> </w:t>
      </w:r>
      <w:r w:rsidRPr="00623ABB">
        <w:rPr>
          <w:rFonts w:cs="Arial"/>
          <w:b/>
          <w:szCs w:val="20"/>
        </w:rPr>
        <w:t>muži</w:t>
      </w:r>
      <w:r w:rsidR="00AF77C7" w:rsidRPr="00AF77C7">
        <w:rPr>
          <w:rFonts w:cs="Arial"/>
          <w:szCs w:val="20"/>
        </w:rPr>
        <w:t xml:space="preserve">. </w:t>
      </w:r>
      <w:r w:rsidR="00704D39">
        <w:rPr>
          <w:rFonts w:cs="Arial"/>
          <w:szCs w:val="20"/>
        </w:rPr>
        <w:t xml:space="preserve">Od školního roku 2011/12 mužů na základních školách pomalu </w:t>
      </w:r>
      <w:r w:rsidR="0001382D">
        <w:rPr>
          <w:rFonts w:cs="Arial"/>
          <w:szCs w:val="20"/>
        </w:rPr>
        <w:t>přibývá</w:t>
      </w:r>
      <w:r w:rsidR="00704D39">
        <w:rPr>
          <w:rFonts w:cs="Arial"/>
          <w:szCs w:val="20"/>
        </w:rPr>
        <w:t>, ale jejich počet roste pomaleji než počet žen (učitelek)</w:t>
      </w:r>
      <w:r w:rsidR="00704D39" w:rsidRPr="00704D39">
        <w:rPr>
          <w:rFonts w:cs="Arial"/>
          <w:szCs w:val="20"/>
        </w:rPr>
        <w:t xml:space="preserve">. </w:t>
      </w:r>
      <w:r w:rsidR="00704D39" w:rsidRPr="00AF77C7">
        <w:rPr>
          <w:rFonts w:cs="Arial"/>
          <w:szCs w:val="20"/>
        </w:rPr>
        <w:t xml:space="preserve">Na prvním stupni základních škol je podíl žen </w:t>
      </w:r>
      <w:r w:rsidR="0001382D">
        <w:rPr>
          <w:rFonts w:cs="Arial"/>
          <w:szCs w:val="20"/>
        </w:rPr>
        <w:t>–</w:t>
      </w:r>
      <w:r w:rsidR="00704D39" w:rsidRPr="00AF77C7">
        <w:rPr>
          <w:rFonts w:cs="Arial"/>
          <w:szCs w:val="20"/>
        </w:rPr>
        <w:t xml:space="preserve"> učitelek dokonce 94%, na druhém stupni již čtvrtinu pedagogického sboru tvoří muži. </w:t>
      </w:r>
    </w:p>
    <w:p w:rsidR="00704D39" w:rsidRDefault="00704D39" w:rsidP="00CA3762">
      <w:pPr>
        <w:spacing w:after="120" w:line="276" w:lineRule="auto"/>
        <w:jc w:val="both"/>
        <w:rPr>
          <w:rFonts w:cs="Arial"/>
          <w:szCs w:val="20"/>
        </w:rPr>
      </w:pPr>
      <w:r w:rsidRPr="00AF77C7">
        <w:rPr>
          <w:rFonts w:cs="Arial"/>
          <w:szCs w:val="20"/>
        </w:rPr>
        <w:t>V </w:t>
      </w:r>
      <w:r w:rsidRPr="00623ABB">
        <w:rPr>
          <w:rFonts w:cs="Arial"/>
          <w:b/>
          <w:szCs w:val="20"/>
        </w:rPr>
        <w:t>krajském srovnání</w:t>
      </w:r>
      <w:r w:rsidRPr="00AF77C7">
        <w:rPr>
          <w:rFonts w:cs="Arial"/>
          <w:szCs w:val="20"/>
        </w:rPr>
        <w:t xml:space="preserve"> byl podíl mužů </w:t>
      </w:r>
      <w:r w:rsidR="0001382D">
        <w:rPr>
          <w:rFonts w:cs="Arial"/>
          <w:szCs w:val="20"/>
        </w:rPr>
        <w:t>mezi učiteli</w:t>
      </w:r>
      <w:r w:rsidRPr="00AF77C7">
        <w:rPr>
          <w:rFonts w:cs="Arial"/>
          <w:szCs w:val="20"/>
        </w:rPr>
        <w:t xml:space="preserve"> základních škol nejvyšší na Vysočině – 17,3 % ve školním roce 2017/18. Naopak nejnižší zastoupení mužů bylo zaznamenáno v Středočeském kraji (13,4 %). </w:t>
      </w:r>
      <w:r>
        <w:rPr>
          <w:rFonts w:cs="Arial"/>
          <w:szCs w:val="20"/>
        </w:rPr>
        <w:t>V absolutním vyjádření n</w:t>
      </w:r>
      <w:r w:rsidRPr="00704D39">
        <w:rPr>
          <w:rFonts w:cs="Arial"/>
          <w:szCs w:val="20"/>
        </w:rPr>
        <w:t>ejvíce mužů učitelů učí v</w:t>
      </w:r>
      <w:r>
        <w:rPr>
          <w:rFonts w:cs="Arial"/>
          <w:szCs w:val="20"/>
        </w:rPr>
        <w:t xml:space="preserve"> krajích </w:t>
      </w:r>
      <w:r w:rsidRPr="00704D39">
        <w:rPr>
          <w:rFonts w:cs="Arial"/>
          <w:szCs w:val="20"/>
        </w:rPr>
        <w:t>Jihomoravském</w:t>
      </w:r>
      <w:r>
        <w:rPr>
          <w:rFonts w:cs="Arial"/>
          <w:szCs w:val="20"/>
        </w:rPr>
        <w:t>, Středočeském, Moravskoslezském a v Praze</w:t>
      </w:r>
      <w:r w:rsidRPr="00704D39">
        <w:rPr>
          <w:rFonts w:cs="Arial"/>
          <w:szCs w:val="20"/>
        </w:rPr>
        <w:t xml:space="preserve"> </w:t>
      </w:r>
      <w:r>
        <w:rPr>
          <w:rFonts w:cs="Arial"/>
          <w:szCs w:val="20"/>
        </w:rPr>
        <w:t>– ve všech případech se jejich počet pohybuje mírně nad jedním tisícem. Nejméně mužů učitelů je v</w:t>
      </w:r>
      <w:r w:rsidRPr="00704D39">
        <w:rPr>
          <w:rFonts w:cs="Arial"/>
          <w:szCs w:val="20"/>
        </w:rPr>
        <w:t xml:space="preserve"> Karlovarském kraji (265)</w:t>
      </w:r>
      <w:r>
        <w:rPr>
          <w:rFonts w:cs="Arial"/>
          <w:szCs w:val="20"/>
        </w:rPr>
        <w:t xml:space="preserve"> – údaje za školní rok 2017/18</w:t>
      </w:r>
      <w:r w:rsidRPr="00704D39">
        <w:rPr>
          <w:rFonts w:cs="Arial"/>
          <w:szCs w:val="20"/>
        </w:rPr>
        <w:t>.</w:t>
      </w:r>
    </w:p>
    <w:p w:rsidR="00B1475D" w:rsidRDefault="00AF77C7" w:rsidP="00CA3762">
      <w:pPr>
        <w:spacing w:after="120" w:line="276" w:lineRule="auto"/>
        <w:jc w:val="both"/>
        <w:rPr>
          <w:rFonts w:cs="Arial"/>
          <w:szCs w:val="20"/>
        </w:rPr>
      </w:pPr>
      <w:r>
        <w:rPr>
          <w:rFonts w:cs="Arial"/>
          <w:szCs w:val="20"/>
        </w:rPr>
        <w:t xml:space="preserve">Z hlediska </w:t>
      </w:r>
      <w:r w:rsidRPr="00623ABB">
        <w:rPr>
          <w:rFonts w:cs="Arial"/>
          <w:b/>
          <w:szCs w:val="20"/>
        </w:rPr>
        <w:t>zřizovatele</w:t>
      </w:r>
      <w:r>
        <w:rPr>
          <w:rFonts w:cs="Arial"/>
          <w:szCs w:val="20"/>
        </w:rPr>
        <w:t xml:space="preserve"> jednotlivých škol, byl ve školním roce 2017/18 na </w:t>
      </w:r>
      <w:r w:rsidRPr="00623ABB">
        <w:rPr>
          <w:rFonts w:cs="Arial"/>
          <w:b/>
          <w:szCs w:val="20"/>
        </w:rPr>
        <w:t>prvním stupni</w:t>
      </w:r>
      <w:r>
        <w:rPr>
          <w:rFonts w:cs="Arial"/>
          <w:szCs w:val="20"/>
        </w:rPr>
        <w:t xml:space="preserve"> základních škol nejvyšší podíl mužů mezi učiteli u soukromých základních škol – 12,5 %. Nejnižší byl u škol, kde je zřizovatelem kraj – 4,0 %. Na </w:t>
      </w:r>
      <w:r w:rsidRPr="00623ABB">
        <w:rPr>
          <w:rFonts w:cs="Arial"/>
          <w:b/>
          <w:szCs w:val="20"/>
        </w:rPr>
        <w:t>druhém stupni</w:t>
      </w:r>
      <w:r>
        <w:rPr>
          <w:rFonts w:cs="Arial"/>
          <w:szCs w:val="20"/>
        </w:rPr>
        <w:t xml:space="preserve"> </w:t>
      </w:r>
      <w:r w:rsidR="00623ABB">
        <w:rPr>
          <w:rFonts w:cs="Arial"/>
          <w:szCs w:val="20"/>
        </w:rPr>
        <w:t>byl nejvyšší podíl mužů na základních školách, kde je zřizovatelem MŠMT – 39 %, ale i zde platí, že v soukromých školách je podíl mužů vyšší než v průměru za všechny veřejné školy.</w:t>
      </w:r>
    </w:p>
    <w:p w:rsidR="00B1475D" w:rsidRDefault="00B1475D">
      <w:pPr>
        <w:spacing w:after="0" w:line="240" w:lineRule="auto"/>
        <w:rPr>
          <w:rFonts w:cs="Arial"/>
          <w:szCs w:val="20"/>
        </w:rPr>
      </w:pPr>
      <w:r>
        <w:rPr>
          <w:rFonts w:cs="Arial"/>
          <w:szCs w:val="20"/>
        </w:rPr>
        <w:br w:type="page"/>
      </w:r>
    </w:p>
    <w:p w:rsidR="00DD1036" w:rsidRPr="00623ABB" w:rsidRDefault="00DD1036" w:rsidP="00DD1036">
      <w:pPr>
        <w:spacing w:after="0" w:line="276" w:lineRule="auto"/>
        <w:rPr>
          <w:rFonts w:cs="Arial"/>
          <w:b/>
          <w:noProof/>
          <w:szCs w:val="20"/>
        </w:rPr>
      </w:pPr>
      <w:r w:rsidRPr="00623ABB">
        <w:rPr>
          <w:rFonts w:cs="Arial"/>
          <w:b/>
          <w:noProof/>
          <w:szCs w:val="20"/>
        </w:rPr>
        <w:lastRenderedPageBreak/>
        <w:t xml:space="preserve">Graf </w:t>
      </w:r>
      <w:r w:rsidR="004377B2">
        <w:rPr>
          <w:rFonts w:cs="Arial"/>
          <w:b/>
          <w:noProof/>
          <w:szCs w:val="20"/>
        </w:rPr>
        <w:t>23</w:t>
      </w:r>
      <w:r w:rsidRPr="00623ABB">
        <w:rPr>
          <w:rFonts w:cs="Arial"/>
          <w:b/>
          <w:noProof/>
          <w:szCs w:val="20"/>
        </w:rPr>
        <w:t xml:space="preserve">: Počet učitelů* </w:t>
      </w:r>
      <w:r w:rsidR="00581AC0" w:rsidRPr="00623ABB">
        <w:rPr>
          <w:rFonts w:cs="Arial"/>
          <w:b/>
          <w:noProof/>
          <w:szCs w:val="20"/>
        </w:rPr>
        <w:t>na základních školách</w:t>
      </w:r>
      <w:r w:rsidRPr="00623ABB">
        <w:rPr>
          <w:rFonts w:cs="Arial"/>
          <w:b/>
          <w:noProof/>
          <w:szCs w:val="20"/>
        </w:rPr>
        <w:t xml:space="preserve"> v ČR v letech 2007/2008 až 2017/2018  </w:t>
      </w:r>
    </w:p>
    <w:p w:rsidR="00581AC0" w:rsidRDefault="001C064A" w:rsidP="00DD1036">
      <w:pPr>
        <w:spacing w:after="120" w:line="276" w:lineRule="auto"/>
        <w:rPr>
          <w:rFonts w:cs="Arial"/>
          <w:sz w:val="16"/>
          <w:szCs w:val="16"/>
          <w:highlight w:val="green"/>
        </w:rPr>
      </w:pPr>
      <w:r>
        <w:rPr>
          <w:rFonts w:cs="Arial"/>
          <w:noProof/>
          <w:sz w:val="16"/>
          <w:szCs w:val="16"/>
        </w:rPr>
        <w:drawing>
          <wp:inline distT="0" distB="0" distL="0" distR="0" wp14:anchorId="2071267B">
            <wp:extent cx="2877820" cy="2517775"/>
            <wp:effectExtent l="0" t="0" r="0"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77820" cy="2517775"/>
                    </a:xfrm>
                    <a:prstGeom prst="rect">
                      <a:avLst/>
                    </a:prstGeom>
                    <a:noFill/>
                  </pic:spPr>
                </pic:pic>
              </a:graphicData>
            </a:graphic>
          </wp:inline>
        </w:drawing>
      </w:r>
      <w:r>
        <w:rPr>
          <w:rFonts w:cs="Arial"/>
          <w:noProof/>
          <w:sz w:val="16"/>
          <w:szCs w:val="16"/>
        </w:rPr>
        <w:drawing>
          <wp:inline distT="0" distB="0" distL="0" distR="0" wp14:anchorId="273B6BD6">
            <wp:extent cx="3206750" cy="2517775"/>
            <wp:effectExtent l="0" t="0" r="0" b="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06750" cy="2517775"/>
                    </a:xfrm>
                    <a:prstGeom prst="rect">
                      <a:avLst/>
                    </a:prstGeom>
                    <a:noFill/>
                  </pic:spPr>
                </pic:pic>
              </a:graphicData>
            </a:graphic>
          </wp:inline>
        </w:drawing>
      </w:r>
    </w:p>
    <w:p w:rsidR="00DD1036" w:rsidRPr="00994B4F" w:rsidRDefault="00DD1036" w:rsidP="00DD1036">
      <w:pPr>
        <w:spacing w:after="120" w:line="276" w:lineRule="auto"/>
        <w:rPr>
          <w:rFonts w:cs="Arial"/>
          <w:sz w:val="16"/>
          <w:szCs w:val="16"/>
        </w:rPr>
      </w:pPr>
      <w:r w:rsidRPr="00994B4F">
        <w:rPr>
          <w:rFonts w:cs="Arial"/>
          <w:sz w:val="16"/>
          <w:szCs w:val="16"/>
        </w:rPr>
        <w:t>* Průměrný přepočtený počet na plně zaměstnané; učitelé zahrnují i řídící pracovníky (tj. ředitele a zástupce ředitelů).</w:t>
      </w:r>
    </w:p>
    <w:p w:rsidR="00DD1036" w:rsidRPr="00994B4F" w:rsidRDefault="00DD1036" w:rsidP="00CA3762">
      <w:pPr>
        <w:spacing w:after="120" w:line="276" w:lineRule="auto"/>
        <w:rPr>
          <w:rFonts w:cs="Arial"/>
          <w:sz w:val="16"/>
          <w:szCs w:val="16"/>
        </w:rPr>
      </w:pPr>
      <w:r w:rsidRPr="00994B4F">
        <w:rPr>
          <w:rFonts w:cs="Arial"/>
          <w:sz w:val="16"/>
          <w:szCs w:val="16"/>
        </w:rPr>
        <w:t>Zdroj: MŠMT, ISP a vlastní dopočty ČSÚ</w:t>
      </w:r>
    </w:p>
    <w:p w:rsidR="00623ABB" w:rsidRPr="00994B4F" w:rsidRDefault="00623ABB" w:rsidP="00CA3762">
      <w:pPr>
        <w:spacing w:after="120" w:line="276" w:lineRule="auto"/>
        <w:jc w:val="both"/>
        <w:rPr>
          <w:rFonts w:cs="Arial"/>
          <w:szCs w:val="20"/>
        </w:rPr>
      </w:pPr>
      <w:r w:rsidRPr="00994B4F">
        <w:rPr>
          <w:rFonts w:cs="Arial"/>
          <w:szCs w:val="20"/>
        </w:rPr>
        <w:t xml:space="preserve">Z pohledu </w:t>
      </w:r>
      <w:r w:rsidRPr="00994B4F">
        <w:rPr>
          <w:rFonts w:cs="Arial"/>
          <w:b/>
          <w:szCs w:val="20"/>
        </w:rPr>
        <w:t xml:space="preserve">věku učitele </w:t>
      </w:r>
      <w:r w:rsidRPr="00994B4F">
        <w:rPr>
          <w:rFonts w:cs="Arial"/>
          <w:szCs w:val="20"/>
        </w:rPr>
        <w:t>(bez ředitelů a zástupců ředitele)</w:t>
      </w:r>
      <w:r w:rsidRPr="00994B4F">
        <w:rPr>
          <w:rFonts w:cs="Arial"/>
          <w:b/>
          <w:szCs w:val="20"/>
        </w:rPr>
        <w:t xml:space="preserve"> </w:t>
      </w:r>
      <w:r w:rsidRPr="00994B4F">
        <w:rPr>
          <w:rFonts w:cs="Arial"/>
          <w:szCs w:val="20"/>
        </w:rPr>
        <w:t xml:space="preserve">lze konstatovat, že výuku </w:t>
      </w:r>
      <w:r w:rsidR="00F31E04" w:rsidRPr="00994B4F">
        <w:rPr>
          <w:rFonts w:cs="Arial"/>
          <w:szCs w:val="20"/>
        </w:rPr>
        <w:t xml:space="preserve">na základních školách </w:t>
      </w:r>
      <w:r w:rsidRPr="00994B4F">
        <w:rPr>
          <w:rFonts w:cs="Arial"/>
          <w:szCs w:val="20"/>
        </w:rPr>
        <w:t>zajišťuje nejvíce učitel</w:t>
      </w:r>
      <w:r w:rsidR="00F31E04" w:rsidRPr="00994B4F">
        <w:rPr>
          <w:rFonts w:cs="Arial"/>
          <w:szCs w:val="20"/>
        </w:rPr>
        <w:t xml:space="preserve">ů </w:t>
      </w:r>
      <w:r w:rsidRPr="00994B4F">
        <w:rPr>
          <w:rFonts w:cs="Arial"/>
          <w:szCs w:val="20"/>
        </w:rPr>
        <w:t>z</w:t>
      </w:r>
      <w:r w:rsidR="00B75BBD" w:rsidRPr="00994B4F">
        <w:rPr>
          <w:rFonts w:cs="Arial"/>
          <w:szCs w:val="20"/>
        </w:rPr>
        <w:t xml:space="preserve">e dvou </w:t>
      </w:r>
      <w:r w:rsidRPr="00994B4F">
        <w:rPr>
          <w:rFonts w:cs="Arial"/>
          <w:szCs w:val="20"/>
        </w:rPr>
        <w:t>věkov</w:t>
      </w:r>
      <w:r w:rsidR="00B75BBD" w:rsidRPr="00994B4F">
        <w:rPr>
          <w:rFonts w:cs="Arial"/>
          <w:szCs w:val="20"/>
        </w:rPr>
        <w:t xml:space="preserve">ých </w:t>
      </w:r>
      <w:r w:rsidRPr="00994B4F">
        <w:rPr>
          <w:rFonts w:cs="Arial"/>
          <w:szCs w:val="20"/>
        </w:rPr>
        <w:t>skupin</w:t>
      </w:r>
      <w:r w:rsidR="00B75BBD" w:rsidRPr="00994B4F">
        <w:rPr>
          <w:rFonts w:cs="Arial"/>
          <w:szCs w:val="20"/>
        </w:rPr>
        <w:t>:</w:t>
      </w:r>
      <w:r w:rsidRPr="00994B4F">
        <w:rPr>
          <w:rFonts w:cs="Arial"/>
          <w:szCs w:val="20"/>
        </w:rPr>
        <w:t xml:space="preserve"> </w:t>
      </w:r>
      <w:r w:rsidR="00B75BBD" w:rsidRPr="00994B4F">
        <w:rPr>
          <w:rFonts w:cs="Arial"/>
          <w:szCs w:val="20"/>
        </w:rPr>
        <w:t xml:space="preserve">40 až 49 let a </w:t>
      </w:r>
      <w:r w:rsidRPr="00994B4F">
        <w:rPr>
          <w:rFonts w:cs="Arial"/>
          <w:szCs w:val="20"/>
        </w:rPr>
        <w:t xml:space="preserve">50 až 59 let. </w:t>
      </w:r>
      <w:r w:rsidR="00B75BBD" w:rsidRPr="00994B4F">
        <w:rPr>
          <w:rFonts w:cs="Arial"/>
          <w:szCs w:val="20"/>
        </w:rPr>
        <w:t xml:space="preserve">V obou případech se učitelé v těchto věkových skupinách v roce 2017 podíleli cca 31 % na všech učitelích základních škol. Zatímco podíl učitelů ve věku 40 až 49 let v čase klesá, těch ve věku 50 až 59 roste. Ještě výrazněji roste </w:t>
      </w:r>
      <w:r w:rsidR="00994B4F" w:rsidRPr="00994B4F">
        <w:rPr>
          <w:rFonts w:cs="Arial"/>
          <w:szCs w:val="20"/>
        </w:rPr>
        <w:t>zastoupení učitelů</w:t>
      </w:r>
      <w:r w:rsidR="00B75BBD" w:rsidRPr="00994B4F">
        <w:rPr>
          <w:rFonts w:cs="Arial"/>
          <w:szCs w:val="20"/>
        </w:rPr>
        <w:t xml:space="preserve"> </w:t>
      </w:r>
      <w:r w:rsidRPr="00994B4F">
        <w:rPr>
          <w:rFonts w:cs="Arial"/>
          <w:szCs w:val="20"/>
        </w:rPr>
        <w:t xml:space="preserve">60letých a </w:t>
      </w:r>
      <w:proofErr w:type="gramStart"/>
      <w:r w:rsidRPr="00994B4F">
        <w:rPr>
          <w:rFonts w:cs="Arial"/>
          <w:szCs w:val="20"/>
        </w:rPr>
        <w:t>starších</w:t>
      </w:r>
      <w:r w:rsidR="00994B4F" w:rsidRPr="00994B4F">
        <w:rPr>
          <w:rFonts w:cs="Arial"/>
          <w:szCs w:val="20"/>
        </w:rPr>
        <w:t xml:space="preserve"> z 4,2</w:t>
      </w:r>
      <w:proofErr w:type="gramEnd"/>
      <w:r w:rsidR="00994B4F" w:rsidRPr="00994B4F">
        <w:rPr>
          <w:rFonts w:cs="Arial"/>
          <w:szCs w:val="20"/>
        </w:rPr>
        <w:t> % v roce 2011 na 8,7 % v roce 2017</w:t>
      </w:r>
      <w:r w:rsidRPr="00994B4F">
        <w:rPr>
          <w:rFonts w:cs="Arial"/>
          <w:szCs w:val="20"/>
        </w:rPr>
        <w:t xml:space="preserve">. </w:t>
      </w:r>
      <w:r w:rsidR="00994B4F" w:rsidRPr="00994B4F">
        <w:rPr>
          <w:rFonts w:cs="Arial"/>
          <w:szCs w:val="20"/>
        </w:rPr>
        <w:t>Pětinu učitelského sboru základních škol v roce 2017 tvořili učitelé ve věku 30 až 39 let. Jejich podíl však v čase klesá.</w:t>
      </w:r>
    </w:p>
    <w:p w:rsidR="00F31E04" w:rsidRDefault="00F31E04" w:rsidP="00F31E04">
      <w:pPr>
        <w:spacing w:after="0" w:line="276" w:lineRule="auto"/>
        <w:rPr>
          <w:rFonts w:cs="Arial"/>
          <w:b/>
          <w:noProof/>
          <w:szCs w:val="20"/>
        </w:rPr>
      </w:pPr>
      <w:r w:rsidRPr="00623ABB">
        <w:rPr>
          <w:rFonts w:cs="Arial"/>
          <w:b/>
          <w:noProof/>
          <w:szCs w:val="20"/>
        </w:rPr>
        <w:t xml:space="preserve">Graf </w:t>
      </w:r>
      <w:r w:rsidR="004377B2">
        <w:rPr>
          <w:rFonts w:cs="Arial"/>
          <w:b/>
          <w:noProof/>
          <w:szCs w:val="20"/>
        </w:rPr>
        <w:t>2</w:t>
      </w:r>
      <w:r w:rsidRPr="00623ABB">
        <w:rPr>
          <w:rFonts w:cs="Arial"/>
          <w:b/>
          <w:noProof/>
          <w:szCs w:val="20"/>
        </w:rPr>
        <w:t xml:space="preserve">4: </w:t>
      </w:r>
      <w:r>
        <w:rPr>
          <w:rFonts w:cs="Arial"/>
          <w:b/>
          <w:noProof/>
          <w:szCs w:val="20"/>
        </w:rPr>
        <w:t>Struktura u</w:t>
      </w:r>
      <w:r w:rsidRPr="00623ABB">
        <w:rPr>
          <w:rFonts w:cs="Arial"/>
          <w:b/>
          <w:noProof/>
          <w:szCs w:val="20"/>
        </w:rPr>
        <w:t>čitel</w:t>
      </w:r>
      <w:r>
        <w:rPr>
          <w:rFonts w:cs="Arial"/>
          <w:b/>
          <w:noProof/>
          <w:szCs w:val="20"/>
        </w:rPr>
        <w:t>ů</w:t>
      </w:r>
      <w:r w:rsidRPr="00623ABB">
        <w:rPr>
          <w:rFonts w:cs="Arial"/>
          <w:b/>
          <w:noProof/>
          <w:szCs w:val="20"/>
        </w:rPr>
        <w:t xml:space="preserve">* na základních školách v ČR </w:t>
      </w:r>
      <w:r>
        <w:rPr>
          <w:rFonts w:cs="Arial"/>
          <w:b/>
          <w:noProof/>
          <w:szCs w:val="20"/>
        </w:rPr>
        <w:t xml:space="preserve">podle věku </w:t>
      </w:r>
      <w:r w:rsidRPr="00623ABB">
        <w:rPr>
          <w:rFonts w:cs="Arial"/>
          <w:b/>
          <w:noProof/>
          <w:szCs w:val="20"/>
        </w:rPr>
        <w:t>v letech 20</w:t>
      </w:r>
      <w:r>
        <w:rPr>
          <w:rFonts w:cs="Arial"/>
          <w:b/>
          <w:noProof/>
          <w:szCs w:val="20"/>
        </w:rPr>
        <w:t>11 až 2017</w:t>
      </w:r>
    </w:p>
    <w:p w:rsidR="00F31E04" w:rsidRPr="00623ABB" w:rsidRDefault="001C064A" w:rsidP="00F31E04">
      <w:pPr>
        <w:spacing w:after="0" w:line="276" w:lineRule="auto"/>
        <w:rPr>
          <w:rFonts w:cs="Arial"/>
          <w:b/>
          <w:noProof/>
          <w:szCs w:val="20"/>
        </w:rPr>
      </w:pPr>
      <w:r>
        <w:rPr>
          <w:rFonts w:cs="Arial"/>
          <w:b/>
          <w:noProof/>
          <w:szCs w:val="20"/>
        </w:rPr>
        <w:drawing>
          <wp:inline distT="0" distB="0" distL="0" distR="0" wp14:anchorId="4842ABB1">
            <wp:extent cx="5937885" cy="2877820"/>
            <wp:effectExtent l="0" t="0" r="5715"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7885" cy="2877820"/>
                    </a:xfrm>
                    <a:prstGeom prst="rect">
                      <a:avLst/>
                    </a:prstGeom>
                    <a:noFill/>
                  </pic:spPr>
                </pic:pic>
              </a:graphicData>
            </a:graphic>
          </wp:inline>
        </w:drawing>
      </w:r>
      <w:r w:rsidR="00F31E04" w:rsidRPr="00623ABB">
        <w:rPr>
          <w:rFonts w:cs="Arial"/>
          <w:b/>
          <w:noProof/>
          <w:szCs w:val="20"/>
        </w:rPr>
        <w:t xml:space="preserve">  </w:t>
      </w:r>
    </w:p>
    <w:p w:rsidR="00F31E04" w:rsidRPr="00DC010A" w:rsidRDefault="00F31E04" w:rsidP="00F31E04">
      <w:pPr>
        <w:spacing w:after="120" w:line="276" w:lineRule="auto"/>
        <w:rPr>
          <w:rFonts w:cs="Arial"/>
          <w:sz w:val="16"/>
          <w:szCs w:val="16"/>
        </w:rPr>
      </w:pPr>
      <w:r w:rsidRPr="00DC010A">
        <w:rPr>
          <w:rFonts w:cs="Arial"/>
          <w:sz w:val="16"/>
          <w:szCs w:val="16"/>
        </w:rPr>
        <w:t>* Učitelé bez řídících pracovníků (tj. ředitelů a zástupců ředitelů).</w:t>
      </w:r>
    </w:p>
    <w:p w:rsidR="00F31E04" w:rsidRPr="00DC010A" w:rsidRDefault="00F31E04" w:rsidP="00CA3762">
      <w:pPr>
        <w:spacing w:after="120" w:line="276" w:lineRule="auto"/>
        <w:rPr>
          <w:rFonts w:cs="Arial"/>
          <w:sz w:val="16"/>
          <w:szCs w:val="16"/>
        </w:rPr>
      </w:pPr>
      <w:r w:rsidRPr="00DC010A">
        <w:rPr>
          <w:rFonts w:cs="Arial"/>
          <w:sz w:val="16"/>
          <w:szCs w:val="16"/>
        </w:rPr>
        <w:t>Zdroj: MŠMT, ISP a vlastní dopočty ČSÚ</w:t>
      </w:r>
    </w:p>
    <w:p w:rsidR="00DD1036" w:rsidRPr="00DC010A" w:rsidRDefault="00994B4F" w:rsidP="00CA3762">
      <w:pPr>
        <w:spacing w:after="120" w:line="276" w:lineRule="auto"/>
        <w:jc w:val="both"/>
        <w:rPr>
          <w:rFonts w:cs="Arial"/>
          <w:szCs w:val="20"/>
        </w:rPr>
      </w:pPr>
      <w:r w:rsidRPr="00DC010A">
        <w:rPr>
          <w:rFonts w:cs="Arial"/>
          <w:szCs w:val="20"/>
        </w:rPr>
        <w:t>Učitelů (bez ředitelů a zástupců ředitele</w:t>
      </w:r>
      <w:r w:rsidR="00131EF4">
        <w:rPr>
          <w:rFonts w:cs="Arial"/>
          <w:szCs w:val="20"/>
        </w:rPr>
        <w:t>)</w:t>
      </w:r>
      <w:r w:rsidRPr="00DC010A">
        <w:rPr>
          <w:rFonts w:cs="Arial"/>
          <w:szCs w:val="20"/>
        </w:rPr>
        <w:t xml:space="preserve"> s </w:t>
      </w:r>
      <w:r w:rsidRPr="00DC010A">
        <w:rPr>
          <w:rFonts w:cs="Arial"/>
          <w:b/>
          <w:szCs w:val="20"/>
        </w:rPr>
        <w:t>vysokoškolským vzděláním</w:t>
      </w:r>
      <w:r w:rsidRPr="00DC010A">
        <w:rPr>
          <w:rFonts w:cs="Arial"/>
          <w:szCs w:val="20"/>
        </w:rPr>
        <w:t xml:space="preserve"> je na základních školách j</w:t>
      </w:r>
      <w:r w:rsidR="00131EF4">
        <w:rPr>
          <w:rFonts w:cs="Arial"/>
          <w:szCs w:val="20"/>
        </w:rPr>
        <w:t>iž od roku 2015 více jak 90 %, v</w:t>
      </w:r>
      <w:r w:rsidRPr="00DC010A">
        <w:rPr>
          <w:rFonts w:cs="Arial"/>
          <w:szCs w:val="20"/>
        </w:rPr>
        <w:t> roce 2017 jich bylo 92 </w:t>
      </w:r>
      <w:r w:rsidRPr="00DC010A">
        <w:t>%</w:t>
      </w:r>
      <w:r w:rsidRPr="00DC010A">
        <w:rPr>
          <w:rFonts w:cs="Arial"/>
          <w:szCs w:val="20"/>
        </w:rPr>
        <w:t xml:space="preserve">. </w:t>
      </w:r>
      <w:r w:rsidR="00DD1036" w:rsidRPr="00DC010A">
        <w:rPr>
          <w:rFonts w:cs="Arial"/>
          <w:szCs w:val="20"/>
        </w:rPr>
        <w:t>Z vysokoškolsky vzdělaných učitel</w:t>
      </w:r>
      <w:r w:rsidRPr="00DC010A">
        <w:rPr>
          <w:rFonts w:cs="Arial"/>
          <w:szCs w:val="20"/>
        </w:rPr>
        <w:t xml:space="preserve">ů na základních školách </w:t>
      </w:r>
      <w:r w:rsidR="00DD1036" w:rsidRPr="00DC010A">
        <w:rPr>
          <w:rFonts w:cs="Arial"/>
          <w:szCs w:val="20"/>
        </w:rPr>
        <w:t xml:space="preserve">má jako nejvyšší dokončené vzdělání bakalářské studium </w:t>
      </w:r>
      <w:r w:rsidR="00DC010A" w:rsidRPr="00DC010A">
        <w:rPr>
          <w:rFonts w:cs="Arial"/>
          <w:szCs w:val="20"/>
        </w:rPr>
        <w:t>4</w:t>
      </w:r>
      <w:r w:rsidR="00DD1036" w:rsidRPr="00DC010A">
        <w:rPr>
          <w:rFonts w:cs="Arial"/>
          <w:szCs w:val="20"/>
        </w:rPr>
        <w:t xml:space="preserve"> %, magisterské </w:t>
      </w:r>
      <w:r w:rsidR="00DC010A" w:rsidRPr="00DC010A">
        <w:rPr>
          <w:rFonts w:cs="Arial"/>
          <w:szCs w:val="20"/>
        </w:rPr>
        <w:t>95</w:t>
      </w:r>
      <w:r w:rsidR="00DD1036" w:rsidRPr="00DC010A">
        <w:rPr>
          <w:rFonts w:cs="Arial"/>
          <w:szCs w:val="20"/>
        </w:rPr>
        <w:t> % a zbyl</w:t>
      </w:r>
      <w:r w:rsidR="00DC010A" w:rsidRPr="00DC010A">
        <w:rPr>
          <w:rFonts w:cs="Arial"/>
          <w:szCs w:val="20"/>
        </w:rPr>
        <w:t>é</w:t>
      </w:r>
      <w:r w:rsidR="00DD1036" w:rsidRPr="00DC010A">
        <w:rPr>
          <w:rFonts w:cs="Arial"/>
          <w:szCs w:val="20"/>
        </w:rPr>
        <w:t xml:space="preserve"> </w:t>
      </w:r>
      <w:r w:rsidR="00DC010A" w:rsidRPr="00DC010A">
        <w:rPr>
          <w:rFonts w:cs="Arial"/>
          <w:szCs w:val="20"/>
        </w:rPr>
        <w:t>1</w:t>
      </w:r>
      <w:r w:rsidR="00DD1036" w:rsidRPr="00DC010A">
        <w:rPr>
          <w:rFonts w:cs="Arial"/>
          <w:szCs w:val="20"/>
        </w:rPr>
        <w:t xml:space="preserve"> % doktorské vysokoškolské vzdělání.  </w:t>
      </w:r>
    </w:p>
    <w:p w:rsidR="00DC010A" w:rsidRPr="00DC010A" w:rsidRDefault="00DD1036" w:rsidP="00CA3762">
      <w:pPr>
        <w:spacing w:after="120" w:line="276" w:lineRule="auto"/>
        <w:jc w:val="both"/>
        <w:rPr>
          <w:rFonts w:cs="Arial"/>
          <w:szCs w:val="20"/>
        </w:rPr>
      </w:pPr>
      <w:r w:rsidRPr="00DC010A">
        <w:rPr>
          <w:rFonts w:cs="Arial"/>
          <w:szCs w:val="20"/>
        </w:rPr>
        <w:t xml:space="preserve">V roce 2017 dosáhla </w:t>
      </w:r>
      <w:r w:rsidRPr="00DC010A">
        <w:rPr>
          <w:rFonts w:cs="Arial"/>
          <w:b/>
          <w:szCs w:val="20"/>
        </w:rPr>
        <w:t xml:space="preserve">průměrná hrubá měsíční mzda učitelů </w:t>
      </w:r>
      <w:r w:rsidR="00DC010A" w:rsidRPr="00DC010A">
        <w:rPr>
          <w:rFonts w:cs="Arial"/>
          <w:b/>
          <w:szCs w:val="20"/>
        </w:rPr>
        <w:t>na základních školách částky 33</w:t>
      </w:r>
      <w:r w:rsidRPr="00DC010A">
        <w:rPr>
          <w:rFonts w:cs="Arial"/>
          <w:b/>
          <w:szCs w:val="20"/>
        </w:rPr>
        <w:t> 0</w:t>
      </w:r>
      <w:r w:rsidR="00DC010A" w:rsidRPr="00DC010A">
        <w:rPr>
          <w:rFonts w:cs="Arial"/>
          <w:b/>
          <w:szCs w:val="20"/>
        </w:rPr>
        <w:t>40</w:t>
      </w:r>
      <w:r w:rsidRPr="00DC010A">
        <w:rPr>
          <w:rFonts w:cs="Arial"/>
          <w:b/>
          <w:szCs w:val="20"/>
        </w:rPr>
        <w:t xml:space="preserve"> Kč</w:t>
      </w:r>
      <w:r w:rsidRPr="00DC010A">
        <w:rPr>
          <w:rFonts w:cs="Arial"/>
          <w:szCs w:val="20"/>
        </w:rPr>
        <w:t xml:space="preserve">, což představuje </w:t>
      </w:r>
      <w:r w:rsidR="00DC010A" w:rsidRPr="00DC010A">
        <w:rPr>
          <w:rFonts w:cs="Arial"/>
          <w:szCs w:val="20"/>
        </w:rPr>
        <w:t>106,2</w:t>
      </w:r>
      <w:r w:rsidRPr="00DC010A">
        <w:rPr>
          <w:rFonts w:cs="Arial"/>
          <w:szCs w:val="20"/>
        </w:rPr>
        <w:t> % průměrné hrubé měsíční mzdy všech zaměstnanců v České republice. Meziročně došlo k nárůstu průměrné mzdy učitelů o 7,</w:t>
      </w:r>
      <w:r w:rsidR="00DC010A" w:rsidRPr="00DC010A">
        <w:rPr>
          <w:rFonts w:cs="Arial"/>
          <w:szCs w:val="20"/>
        </w:rPr>
        <w:t>7</w:t>
      </w:r>
      <w:r w:rsidRPr="00DC010A">
        <w:rPr>
          <w:rFonts w:cs="Arial"/>
          <w:szCs w:val="20"/>
        </w:rPr>
        <w:t> % (</w:t>
      </w:r>
      <w:r w:rsidR="00DC010A" w:rsidRPr="00DC010A">
        <w:rPr>
          <w:rFonts w:cs="Arial"/>
          <w:szCs w:val="20"/>
        </w:rPr>
        <w:t>2</w:t>
      </w:r>
      <w:r w:rsidRPr="00DC010A">
        <w:rPr>
          <w:rFonts w:cs="Arial"/>
          <w:szCs w:val="20"/>
        </w:rPr>
        <w:t> </w:t>
      </w:r>
      <w:r w:rsidR="00DC010A" w:rsidRPr="00DC010A">
        <w:rPr>
          <w:rFonts w:cs="Arial"/>
          <w:szCs w:val="20"/>
        </w:rPr>
        <w:t>369</w:t>
      </w:r>
      <w:r w:rsidRPr="00DC010A">
        <w:rPr>
          <w:rFonts w:cs="Arial"/>
          <w:szCs w:val="20"/>
        </w:rPr>
        <w:t xml:space="preserve"> Kč) – v reálných cenách došlo k nárůstu o </w:t>
      </w:r>
      <w:r w:rsidR="00DC010A" w:rsidRPr="00DC010A">
        <w:rPr>
          <w:rFonts w:cs="Arial"/>
          <w:szCs w:val="20"/>
        </w:rPr>
        <w:t>5,2</w:t>
      </w:r>
      <w:r w:rsidRPr="00DC010A">
        <w:rPr>
          <w:rFonts w:cs="Arial"/>
          <w:szCs w:val="20"/>
        </w:rPr>
        <w:t xml:space="preserve"> </w:t>
      </w:r>
      <w:r w:rsidRPr="00DC010A">
        <w:t xml:space="preserve">% </w:t>
      </w:r>
      <w:r w:rsidRPr="00DC010A">
        <w:lastRenderedPageBreak/>
        <w:t>(1 </w:t>
      </w:r>
      <w:r w:rsidR="00DC010A" w:rsidRPr="00DC010A">
        <w:t>589</w:t>
      </w:r>
      <w:r w:rsidRPr="00DC010A">
        <w:t xml:space="preserve"> Kč)</w:t>
      </w:r>
      <w:r w:rsidR="00DC010A" w:rsidRPr="00DC010A">
        <w:t>. V obou případech jde o nejvyšší meziroční nárůsty za posledních deset let.</w:t>
      </w:r>
      <w:r w:rsidR="00DC010A">
        <w:t xml:space="preserve"> </w:t>
      </w:r>
      <w:r w:rsidRPr="00DC010A">
        <w:rPr>
          <w:rFonts w:cs="Arial"/>
          <w:szCs w:val="20"/>
        </w:rPr>
        <w:t>Pokud bychom porovnali průměrn</w:t>
      </w:r>
      <w:r w:rsidR="00DC010A" w:rsidRPr="00DC010A">
        <w:rPr>
          <w:rFonts w:cs="Arial"/>
          <w:szCs w:val="20"/>
        </w:rPr>
        <w:t xml:space="preserve">ou mzdu </w:t>
      </w:r>
      <w:r w:rsidRPr="00DC010A">
        <w:rPr>
          <w:rFonts w:cs="Arial"/>
          <w:szCs w:val="20"/>
        </w:rPr>
        <w:t>učitel</w:t>
      </w:r>
      <w:r w:rsidR="00DC010A" w:rsidRPr="00DC010A">
        <w:rPr>
          <w:rFonts w:cs="Arial"/>
          <w:szCs w:val="20"/>
        </w:rPr>
        <w:t>ů</w:t>
      </w:r>
      <w:r w:rsidRPr="00DC010A">
        <w:rPr>
          <w:rFonts w:cs="Arial"/>
          <w:szCs w:val="20"/>
        </w:rPr>
        <w:t xml:space="preserve"> </w:t>
      </w:r>
      <w:r w:rsidR="00DC010A" w:rsidRPr="00DC010A">
        <w:rPr>
          <w:rFonts w:cs="Arial"/>
          <w:szCs w:val="20"/>
        </w:rPr>
        <w:t xml:space="preserve">základních škol </w:t>
      </w:r>
      <w:r w:rsidRPr="00DC010A">
        <w:rPr>
          <w:rFonts w:cs="Arial"/>
          <w:szCs w:val="20"/>
        </w:rPr>
        <w:t xml:space="preserve">k celorepublikové průměrné mzdě </w:t>
      </w:r>
      <w:r w:rsidR="00DC010A" w:rsidRPr="00DC010A">
        <w:rPr>
          <w:rFonts w:cs="Arial"/>
          <w:szCs w:val="20"/>
        </w:rPr>
        <w:t xml:space="preserve">zaměstnanců s vysokoškolským magisterským či doktorským vzděláním, </w:t>
      </w:r>
      <w:r w:rsidRPr="00DC010A">
        <w:rPr>
          <w:rFonts w:cs="Arial"/>
          <w:szCs w:val="20"/>
        </w:rPr>
        <w:t xml:space="preserve">tak v roce 2017 by </w:t>
      </w:r>
      <w:r w:rsidR="00DC010A" w:rsidRPr="00DC010A">
        <w:rPr>
          <w:rFonts w:cs="Arial"/>
          <w:szCs w:val="20"/>
        </w:rPr>
        <w:t xml:space="preserve">dosáhla jen o něco více než dvou třetin (68,4 %) jejich úrovně. </w:t>
      </w:r>
    </w:p>
    <w:p w:rsidR="00DD1036" w:rsidRPr="00DC010A" w:rsidRDefault="00DD1036" w:rsidP="00DD1036">
      <w:pPr>
        <w:spacing w:after="0" w:line="276" w:lineRule="auto"/>
        <w:rPr>
          <w:rFonts w:cs="Arial"/>
          <w:b/>
          <w:noProof/>
          <w:szCs w:val="20"/>
        </w:rPr>
      </w:pPr>
      <w:r w:rsidRPr="00DC010A">
        <w:rPr>
          <w:rFonts w:cs="Arial"/>
          <w:b/>
          <w:noProof/>
          <w:szCs w:val="20"/>
        </w:rPr>
        <w:t xml:space="preserve">Graf </w:t>
      </w:r>
      <w:r w:rsidR="004377B2">
        <w:rPr>
          <w:rFonts w:cs="Arial"/>
          <w:b/>
          <w:noProof/>
          <w:szCs w:val="20"/>
        </w:rPr>
        <w:t>25</w:t>
      </w:r>
      <w:r w:rsidRPr="00DC010A">
        <w:rPr>
          <w:rFonts w:cs="Arial"/>
          <w:b/>
          <w:noProof/>
          <w:szCs w:val="20"/>
        </w:rPr>
        <w:t xml:space="preserve">: </w:t>
      </w:r>
      <w:r w:rsidR="00DC010A" w:rsidRPr="00DC010A">
        <w:rPr>
          <w:rFonts w:cs="Arial"/>
          <w:b/>
          <w:noProof/>
          <w:szCs w:val="20"/>
        </w:rPr>
        <w:t xml:space="preserve">Průměrná hrubá měsíční mzda učitelů na základních školách </w:t>
      </w:r>
      <w:r w:rsidRPr="00DC010A">
        <w:rPr>
          <w:rFonts w:cs="Arial"/>
          <w:b/>
          <w:noProof/>
          <w:szCs w:val="20"/>
        </w:rPr>
        <w:t>v ČR v letech 201</w:t>
      </w:r>
      <w:r w:rsidR="00DC010A" w:rsidRPr="00DC010A">
        <w:rPr>
          <w:rFonts w:cs="Arial"/>
          <w:b/>
          <w:noProof/>
          <w:szCs w:val="20"/>
        </w:rPr>
        <w:t>2</w:t>
      </w:r>
      <w:r w:rsidRPr="00DC010A">
        <w:rPr>
          <w:rFonts w:cs="Arial"/>
          <w:b/>
          <w:noProof/>
          <w:szCs w:val="20"/>
        </w:rPr>
        <w:t xml:space="preserve"> až 2017</w:t>
      </w:r>
    </w:p>
    <w:p w:rsidR="00DC010A" w:rsidRPr="00DC010A" w:rsidRDefault="001C064A" w:rsidP="00DD1036">
      <w:pPr>
        <w:spacing w:line="276" w:lineRule="auto"/>
        <w:rPr>
          <w:rFonts w:cs="Arial"/>
          <w:sz w:val="16"/>
          <w:szCs w:val="16"/>
        </w:rPr>
      </w:pPr>
      <w:r>
        <w:rPr>
          <w:rFonts w:cs="Arial"/>
          <w:noProof/>
          <w:sz w:val="16"/>
          <w:szCs w:val="16"/>
        </w:rPr>
        <w:drawing>
          <wp:inline distT="0" distB="0" distL="0" distR="0" wp14:anchorId="766D1DB6">
            <wp:extent cx="6005195" cy="2145665"/>
            <wp:effectExtent l="0" t="0" r="0"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05195" cy="2145665"/>
                    </a:xfrm>
                    <a:prstGeom prst="rect">
                      <a:avLst/>
                    </a:prstGeom>
                    <a:noFill/>
                  </pic:spPr>
                </pic:pic>
              </a:graphicData>
            </a:graphic>
          </wp:inline>
        </w:drawing>
      </w:r>
    </w:p>
    <w:p w:rsidR="00DD1036" w:rsidRPr="00F72660" w:rsidRDefault="00DD1036" w:rsidP="00ED6A91">
      <w:pPr>
        <w:spacing w:after="120" w:line="276" w:lineRule="auto"/>
        <w:rPr>
          <w:rFonts w:cs="Arial"/>
          <w:sz w:val="16"/>
          <w:szCs w:val="16"/>
        </w:rPr>
      </w:pPr>
      <w:r w:rsidRPr="00F72660">
        <w:rPr>
          <w:rFonts w:cs="Arial"/>
          <w:sz w:val="16"/>
          <w:szCs w:val="16"/>
        </w:rPr>
        <w:t>Zdroj: MŠMT podle ISPV a vlastních dopočtů ČSÚ</w:t>
      </w:r>
    </w:p>
    <w:p w:rsidR="00ED6A91" w:rsidRPr="00F72660" w:rsidRDefault="00DA7218" w:rsidP="00ED6A91">
      <w:pPr>
        <w:spacing w:after="120" w:line="276" w:lineRule="auto"/>
        <w:jc w:val="both"/>
        <w:rPr>
          <w:rFonts w:cs="Arial"/>
          <w:szCs w:val="20"/>
        </w:rPr>
      </w:pPr>
      <w:r w:rsidRPr="00F72660">
        <w:rPr>
          <w:rFonts w:cs="Arial"/>
          <w:szCs w:val="20"/>
        </w:rPr>
        <w:t xml:space="preserve">Z hlediska </w:t>
      </w:r>
      <w:r w:rsidRPr="00F72660">
        <w:rPr>
          <w:rFonts w:cs="Arial"/>
          <w:b/>
          <w:szCs w:val="20"/>
        </w:rPr>
        <w:t>krajského srovnání</w:t>
      </w:r>
      <w:r w:rsidRPr="00F72660">
        <w:rPr>
          <w:rFonts w:cs="Arial"/>
          <w:szCs w:val="20"/>
        </w:rPr>
        <w:t xml:space="preserve"> dostávají nejvyšší průměrnou hrubou měsíční mzdu učitelé na základních školách v Praze – 31 031 Kč v roce 2016. Nejnižší mzdy měli učitelé ve Zlínském kraji (29 679 Kč). Rozdíly mezi jednotlivými kraji jsou však poměrně malé. Pokud bychom tyto průměrné mzdy učitelů </w:t>
      </w:r>
      <w:r w:rsidR="00F72660" w:rsidRPr="00F72660">
        <w:rPr>
          <w:rFonts w:cs="Arial"/>
          <w:szCs w:val="20"/>
        </w:rPr>
        <w:t>základních</w:t>
      </w:r>
      <w:r w:rsidRPr="00F72660">
        <w:rPr>
          <w:rFonts w:cs="Arial"/>
          <w:szCs w:val="20"/>
        </w:rPr>
        <w:t xml:space="preserve"> škol vztáhli k celokrajským průměrným mzdám, tak nejnižší podíl 82,7 % je v Praze. Ve všech ostatních krajích byla mzda učitelů v roce 2016 </w:t>
      </w:r>
      <w:r w:rsidR="00F72660" w:rsidRPr="00F72660">
        <w:rPr>
          <w:rFonts w:cs="Arial"/>
          <w:szCs w:val="20"/>
        </w:rPr>
        <w:t xml:space="preserve">vyšší </w:t>
      </w:r>
      <w:r w:rsidRPr="00F72660">
        <w:rPr>
          <w:rFonts w:cs="Arial"/>
          <w:szCs w:val="20"/>
        </w:rPr>
        <w:t xml:space="preserve">než průměrná mzda všech zaměstnanců v daném kraji - nejvyšší v Karlovarském kraji (121,7 %). V tomto podílovém ukazateli jsou tedy rozdíly mezi kraji mnohem </w:t>
      </w:r>
      <w:r w:rsidR="00F72660" w:rsidRPr="00F72660">
        <w:rPr>
          <w:rFonts w:cs="Arial"/>
          <w:szCs w:val="20"/>
        </w:rPr>
        <w:t>zřetelnější</w:t>
      </w:r>
      <w:r w:rsidRPr="00F72660">
        <w:rPr>
          <w:rFonts w:cs="Arial"/>
          <w:szCs w:val="20"/>
        </w:rPr>
        <w:t xml:space="preserve">, resp. mezi Prahou a ostatními kraji. </w:t>
      </w:r>
    </w:p>
    <w:p w:rsidR="00DA7218" w:rsidRDefault="00DA7218" w:rsidP="00ED6A91">
      <w:pPr>
        <w:spacing w:after="120" w:line="276" w:lineRule="auto"/>
        <w:jc w:val="both"/>
        <w:rPr>
          <w:rFonts w:cs="Arial"/>
          <w:szCs w:val="20"/>
        </w:rPr>
      </w:pPr>
      <w:r w:rsidRPr="00F72660">
        <w:rPr>
          <w:rFonts w:cs="Arial"/>
          <w:szCs w:val="20"/>
        </w:rPr>
        <w:t>Jak bylo uvedeno výše, většina učitelů na základních školách má již magisterské vzdělání. Pokud bychom tedy vztáhl</w:t>
      </w:r>
      <w:r w:rsidR="00F72660" w:rsidRPr="00F72660">
        <w:rPr>
          <w:rFonts w:cs="Arial"/>
          <w:szCs w:val="20"/>
        </w:rPr>
        <w:t>i</w:t>
      </w:r>
      <w:r w:rsidRPr="00F72660">
        <w:rPr>
          <w:rFonts w:cs="Arial"/>
          <w:szCs w:val="20"/>
        </w:rPr>
        <w:t xml:space="preserve"> mzdu učitelů k průměrné mzdě zaměstnanců s vysokoškolským magisterským nebo doktorským vzděláním, zjistili bychom, že v roce 2016 ani v jednom kraji nedosáhla jejich mzda </w:t>
      </w:r>
      <w:r w:rsidR="00F72660" w:rsidRPr="00F72660">
        <w:rPr>
          <w:rFonts w:cs="Arial"/>
          <w:szCs w:val="20"/>
        </w:rPr>
        <w:t xml:space="preserve">80% </w:t>
      </w:r>
      <w:r w:rsidRPr="00F72660">
        <w:rPr>
          <w:rFonts w:cs="Arial"/>
          <w:szCs w:val="20"/>
        </w:rPr>
        <w:t>podíl</w:t>
      </w:r>
      <w:r w:rsidR="00F72660" w:rsidRPr="00F72660">
        <w:rPr>
          <w:rFonts w:cs="Arial"/>
          <w:szCs w:val="20"/>
        </w:rPr>
        <w:t>u</w:t>
      </w:r>
      <w:r w:rsidRPr="00F72660">
        <w:rPr>
          <w:rFonts w:cs="Arial"/>
          <w:szCs w:val="20"/>
        </w:rPr>
        <w:t xml:space="preserve"> těchto zaměstnanců</w:t>
      </w:r>
      <w:r w:rsidR="00F72660" w:rsidRPr="00F72660">
        <w:rPr>
          <w:rFonts w:cs="Arial"/>
          <w:szCs w:val="20"/>
        </w:rPr>
        <w:t>.</w:t>
      </w:r>
      <w:r w:rsidRPr="00F72660">
        <w:rPr>
          <w:rFonts w:cs="Arial"/>
          <w:szCs w:val="20"/>
        </w:rPr>
        <w:t xml:space="preserve"> </w:t>
      </w:r>
      <w:r w:rsidR="00F72660" w:rsidRPr="00F72660">
        <w:rPr>
          <w:rFonts w:cs="Arial"/>
          <w:szCs w:val="20"/>
        </w:rPr>
        <w:t>V</w:t>
      </w:r>
      <w:r w:rsidRPr="00F72660">
        <w:rPr>
          <w:rFonts w:cs="Arial"/>
          <w:szCs w:val="20"/>
        </w:rPr>
        <w:t> Praze učitelé brali jen 57 % toho</w:t>
      </w:r>
      <w:r w:rsidR="00F72660" w:rsidRPr="00F72660">
        <w:rPr>
          <w:rFonts w:cs="Arial"/>
          <w:szCs w:val="20"/>
        </w:rPr>
        <w:t>,</w:t>
      </w:r>
      <w:r w:rsidRPr="00F72660">
        <w:rPr>
          <w:rFonts w:cs="Arial"/>
          <w:szCs w:val="20"/>
        </w:rPr>
        <w:t xml:space="preserve"> co ostatní zaměstnanci s magisterským či doktorským vzděláním v tomto kraji.</w:t>
      </w:r>
      <w:r>
        <w:rPr>
          <w:rFonts w:cs="Arial"/>
          <w:szCs w:val="20"/>
        </w:rPr>
        <w:t xml:space="preserve"> </w:t>
      </w:r>
    </w:p>
    <w:p w:rsidR="00DD1036" w:rsidRPr="00DA7218" w:rsidRDefault="00DD1036" w:rsidP="00DD1036">
      <w:pPr>
        <w:spacing w:after="0" w:line="276" w:lineRule="auto"/>
        <w:rPr>
          <w:rFonts w:cs="Arial"/>
          <w:b/>
          <w:noProof/>
          <w:szCs w:val="20"/>
        </w:rPr>
      </w:pPr>
      <w:r w:rsidRPr="00DA7218">
        <w:rPr>
          <w:rFonts w:cs="Arial"/>
          <w:b/>
          <w:noProof/>
          <w:szCs w:val="20"/>
        </w:rPr>
        <w:t xml:space="preserve">Graf </w:t>
      </w:r>
      <w:r w:rsidR="004377B2">
        <w:rPr>
          <w:rFonts w:cs="Arial"/>
          <w:b/>
          <w:noProof/>
          <w:szCs w:val="20"/>
        </w:rPr>
        <w:t>26</w:t>
      </w:r>
      <w:r w:rsidRPr="00DA7218">
        <w:rPr>
          <w:rFonts w:cs="Arial"/>
          <w:b/>
          <w:noProof/>
          <w:szCs w:val="20"/>
        </w:rPr>
        <w:t xml:space="preserve">: Průměrná hrubá měsíční mzda učitelů </w:t>
      </w:r>
      <w:r w:rsidR="00704D39" w:rsidRPr="00DA7218">
        <w:rPr>
          <w:rFonts w:cs="Arial"/>
          <w:b/>
          <w:noProof/>
          <w:szCs w:val="20"/>
        </w:rPr>
        <w:t xml:space="preserve">na základních </w:t>
      </w:r>
      <w:r w:rsidRPr="00DA7218">
        <w:rPr>
          <w:rFonts w:cs="Arial"/>
          <w:b/>
          <w:noProof/>
          <w:szCs w:val="20"/>
        </w:rPr>
        <w:t>školách v krajích ČR v roce 2016</w:t>
      </w:r>
    </w:p>
    <w:p w:rsidR="00DD1036" w:rsidRDefault="001C064A" w:rsidP="00DD1036">
      <w:pPr>
        <w:spacing w:after="0" w:line="276" w:lineRule="auto"/>
        <w:rPr>
          <w:noProof/>
          <w:highlight w:val="green"/>
          <w:lang w:val="en-US" w:eastAsia="en-US"/>
        </w:rPr>
      </w:pPr>
      <w:r>
        <w:rPr>
          <w:noProof/>
        </w:rPr>
        <w:drawing>
          <wp:inline distT="0" distB="0" distL="0" distR="0" wp14:anchorId="08D59A3C">
            <wp:extent cx="5974715" cy="3133725"/>
            <wp:effectExtent l="0" t="0" r="6985" b="9525"/>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74715" cy="3133725"/>
                    </a:xfrm>
                    <a:prstGeom prst="rect">
                      <a:avLst/>
                    </a:prstGeom>
                    <a:noFill/>
                  </pic:spPr>
                </pic:pic>
              </a:graphicData>
            </a:graphic>
          </wp:inline>
        </w:drawing>
      </w:r>
    </w:p>
    <w:p w:rsidR="00DD1036" w:rsidRPr="00131CE1" w:rsidRDefault="00DD1036" w:rsidP="00DD1036">
      <w:pPr>
        <w:spacing w:line="276" w:lineRule="auto"/>
        <w:rPr>
          <w:rFonts w:cs="Arial"/>
          <w:sz w:val="16"/>
          <w:szCs w:val="16"/>
        </w:rPr>
      </w:pPr>
      <w:r w:rsidRPr="00131CE1">
        <w:rPr>
          <w:rFonts w:cs="Arial"/>
          <w:sz w:val="16"/>
          <w:szCs w:val="16"/>
        </w:rPr>
        <w:t>Zdroj: MŠMT podle ISPV a vlastních dopočtů ČSÚ</w:t>
      </w:r>
    </w:p>
    <w:p w:rsidR="00DD1036" w:rsidRDefault="00F72660" w:rsidP="00676DC7">
      <w:pPr>
        <w:spacing w:after="120" w:line="276" w:lineRule="auto"/>
        <w:jc w:val="both"/>
        <w:rPr>
          <w:rFonts w:cs="Arial"/>
          <w:szCs w:val="20"/>
        </w:rPr>
      </w:pPr>
      <w:r w:rsidRPr="00F72660">
        <w:rPr>
          <w:rFonts w:cs="Arial"/>
          <w:szCs w:val="20"/>
        </w:rPr>
        <w:lastRenderedPageBreak/>
        <w:t>N</w:t>
      </w:r>
      <w:r w:rsidR="00DC010A" w:rsidRPr="00F72660">
        <w:rPr>
          <w:rFonts w:cs="Arial"/>
          <w:szCs w:val="20"/>
        </w:rPr>
        <w:t xml:space="preserve">a základních </w:t>
      </w:r>
      <w:r w:rsidR="00DD1036" w:rsidRPr="00F72660">
        <w:rPr>
          <w:rFonts w:cs="Arial"/>
          <w:szCs w:val="20"/>
        </w:rPr>
        <w:t xml:space="preserve">školách nepůsobí jen pedagogičtí pracovníci. Mzdy těchto </w:t>
      </w:r>
      <w:r w:rsidR="00DD1036" w:rsidRPr="00F72660">
        <w:rPr>
          <w:rFonts w:cs="Arial"/>
          <w:b/>
          <w:szCs w:val="20"/>
        </w:rPr>
        <w:t>nepedagogických pracovníků</w:t>
      </w:r>
      <w:r w:rsidR="00DD1036" w:rsidRPr="00F72660">
        <w:rPr>
          <w:rFonts w:cs="Arial"/>
          <w:szCs w:val="20"/>
        </w:rPr>
        <w:t xml:space="preserve">, bez kterých by školy nemohly fungovat, však zdaleka nedosahují mezd učitelů. Např. v roce 2016 byly v průměru o </w:t>
      </w:r>
      <w:r w:rsidR="00131CE1" w:rsidRPr="00F72660">
        <w:rPr>
          <w:rFonts w:cs="Arial"/>
          <w:szCs w:val="20"/>
        </w:rPr>
        <w:t>téměř polovinu (</w:t>
      </w:r>
      <w:r w:rsidR="00DD1036" w:rsidRPr="00F72660">
        <w:rPr>
          <w:rFonts w:cs="Arial"/>
          <w:szCs w:val="20"/>
        </w:rPr>
        <w:t>1</w:t>
      </w:r>
      <w:r w:rsidR="00DA7218" w:rsidRPr="00F72660">
        <w:rPr>
          <w:rFonts w:cs="Arial"/>
          <w:szCs w:val="20"/>
        </w:rPr>
        <w:t>4</w:t>
      </w:r>
      <w:r w:rsidR="00DD1036" w:rsidRPr="00F72660">
        <w:rPr>
          <w:rFonts w:cs="Arial"/>
          <w:szCs w:val="20"/>
        </w:rPr>
        <w:t> 5</w:t>
      </w:r>
      <w:r w:rsidR="00DA7218" w:rsidRPr="00F72660">
        <w:rPr>
          <w:rFonts w:cs="Arial"/>
          <w:szCs w:val="20"/>
        </w:rPr>
        <w:t>83</w:t>
      </w:r>
      <w:r w:rsidR="00DD1036" w:rsidRPr="00F72660">
        <w:rPr>
          <w:rFonts w:cs="Arial"/>
          <w:szCs w:val="20"/>
        </w:rPr>
        <w:t xml:space="preserve"> Kč</w:t>
      </w:r>
      <w:r w:rsidR="00131CE1" w:rsidRPr="00F72660">
        <w:rPr>
          <w:rFonts w:cs="Arial"/>
          <w:szCs w:val="20"/>
        </w:rPr>
        <w:t>)</w:t>
      </w:r>
      <w:r w:rsidR="00DD1036" w:rsidRPr="00F72660">
        <w:rPr>
          <w:rFonts w:cs="Arial"/>
          <w:szCs w:val="20"/>
        </w:rPr>
        <w:t xml:space="preserve"> nižší než mzdy učitelů a průměrně tak činily pouze 1</w:t>
      </w:r>
      <w:r w:rsidR="00DA7218" w:rsidRPr="00F72660">
        <w:rPr>
          <w:rFonts w:cs="Arial"/>
          <w:szCs w:val="20"/>
        </w:rPr>
        <w:t>6</w:t>
      </w:r>
      <w:r w:rsidR="00DD1036" w:rsidRPr="00F72660">
        <w:rPr>
          <w:rFonts w:cs="Arial"/>
          <w:szCs w:val="20"/>
        </w:rPr>
        <w:t> </w:t>
      </w:r>
      <w:r w:rsidR="00DA7218" w:rsidRPr="00F72660">
        <w:rPr>
          <w:rFonts w:cs="Arial"/>
          <w:szCs w:val="20"/>
        </w:rPr>
        <w:t>088</w:t>
      </w:r>
      <w:r w:rsidR="00DD1036" w:rsidRPr="00F72660">
        <w:rPr>
          <w:rFonts w:cs="Arial"/>
          <w:szCs w:val="20"/>
        </w:rPr>
        <w:t xml:space="preserve"> Kč. Tito nepedagogičtí zaměstnanci </w:t>
      </w:r>
      <w:r w:rsidR="00DA7218" w:rsidRPr="00F72660">
        <w:rPr>
          <w:rFonts w:cs="Arial"/>
          <w:szCs w:val="20"/>
        </w:rPr>
        <w:t xml:space="preserve">základních </w:t>
      </w:r>
      <w:r w:rsidR="00DD1036" w:rsidRPr="00F72660">
        <w:rPr>
          <w:rFonts w:cs="Arial"/>
          <w:szCs w:val="20"/>
        </w:rPr>
        <w:t xml:space="preserve">škol v průměru vydělávali </w:t>
      </w:r>
      <w:r w:rsidR="00DA7218" w:rsidRPr="00F72660">
        <w:rPr>
          <w:rFonts w:cs="Arial"/>
          <w:szCs w:val="20"/>
        </w:rPr>
        <w:t>jen 55</w:t>
      </w:r>
      <w:r w:rsidR="00DD1036" w:rsidRPr="00F72660">
        <w:rPr>
          <w:rFonts w:cs="Arial"/>
          <w:szCs w:val="20"/>
        </w:rPr>
        <w:t> % celorepublikové průměrné mzdy.</w:t>
      </w:r>
    </w:p>
    <w:p w:rsidR="00CA3762" w:rsidRPr="00676DC7" w:rsidRDefault="00F2308B" w:rsidP="00CA3762">
      <w:pPr>
        <w:pStyle w:val="Nadpis3"/>
      </w:pPr>
      <w:bookmarkStart w:id="36" w:name="_Toc523466198"/>
      <w:r w:rsidRPr="00676DC7">
        <w:t xml:space="preserve">2.8 </w:t>
      </w:r>
      <w:r w:rsidR="00CA3762" w:rsidRPr="00676DC7">
        <w:t>Základní poměrové ukazatele</w:t>
      </w:r>
      <w:bookmarkEnd w:id="36"/>
    </w:p>
    <w:p w:rsidR="00CA3762" w:rsidRDefault="00CA3762" w:rsidP="00F2308B">
      <w:pPr>
        <w:spacing w:after="120" w:line="276" w:lineRule="auto"/>
        <w:jc w:val="both"/>
        <w:rPr>
          <w:rFonts w:cs="Arial"/>
          <w:szCs w:val="20"/>
        </w:rPr>
      </w:pPr>
      <w:r w:rsidRPr="00ED601E">
        <w:rPr>
          <w:rFonts w:cs="Arial"/>
          <w:szCs w:val="20"/>
        </w:rPr>
        <w:t xml:space="preserve">Jedním z možných ukazatelů, který vypovídá o kvalitě vzdělávacího systému, je </w:t>
      </w:r>
      <w:r w:rsidRPr="00ED601E">
        <w:rPr>
          <w:rFonts w:cs="Arial"/>
          <w:b/>
          <w:szCs w:val="20"/>
        </w:rPr>
        <w:t>počet žáků na třídu</w:t>
      </w:r>
      <w:r w:rsidRPr="00ED601E">
        <w:rPr>
          <w:rFonts w:cs="Arial"/>
          <w:szCs w:val="20"/>
        </w:rPr>
        <w:t xml:space="preserve">. Menší počet žáků ve třídách umožňuje pedagogům individuálnější přístup při výuce. Na druhou stranu malé třídy není možné na některé předměty již dále dělit. Ve školním roce 2017/18 připadalo v Česku na jednu třídu na základních školách v průměru 20,1 žáků a na přepočteného učitele 14,7 žáků. Od školního roku 2011/12 tyto údaje mírně vzrůstají. </w:t>
      </w:r>
    </w:p>
    <w:p w:rsidR="00CA3762" w:rsidRDefault="00CA3762" w:rsidP="00F2308B">
      <w:pPr>
        <w:spacing w:after="120" w:line="276" w:lineRule="auto"/>
        <w:jc w:val="both"/>
        <w:rPr>
          <w:rFonts w:cs="Arial"/>
          <w:szCs w:val="20"/>
        </w:rPr>
      </w:pPr>
      <w:r>
        <w:rPr>
          <w:rFonts w:cs="Arial"/>
          <w:szCs w:val="20"/>
        </w:rPr>
        <w:t>O</w:t>
      </w:r>
      <w:r w:rsidRPr="00ED601E">
        <w:rPr>
          <w:rFonts w:cs="Arial"/>
          <w:szCs w:val="20"/>
        </w:rPr>
        <w:t xml:space="preserve">d školního roku 2010/11 roste </w:t>
      </w:r>
      <w:r>
        <w:rPr>
          <w:rFonts w:cs="Arial"/>
          <w:szCs w:val="20"/>
        </w:rPr>
        <w:t xml:space="preserve">i </w:t>
      </w:r>
      <w:r w:rsidRPr="00C62087">
        <w:rPr>
          <w:rFonts w:cs="Arial"/>
          <w:b/>
          <w:szCs w:val="20"/>
        </w:rPr>
        <w:t>průměrná velikost školy</w:t>
      </w:r>
      <w:r>
        <w:rPr>
          <w:rFonts w:cs="Arial"/>
          <w:szCs w:val="20"/>
        </w:rPr>
        <w:t xml:space="preserve">, a to </w:t>
      </w:r>
      <w:r w:rsidRPr="00ED601E">
        <w:rPr>
          <w:rFonts w:cs="Arial"/>
          <w:szCs w:val="20"/>
        </w:rPr>
        <w:t>ze 192</w:t>
      </w:r>
      <w:r>
        <w:rPr>
          <w:rFonts w:cs="Arial"/>
          <w:szCs w:val="20"/>
        </w:rPr>
        <w:t xml:space="preserve"> žáků na školu</w:t>
      </w:r>
      <w:r w:rsidRPr="00ED601E">
        <w:rPr>
          <w:rFonts w:cs="Arial"/>
          <w:szCs w:val="20"/>
        </w:rPr>
        <w:t xml:space="preserve"> až na současných 223</w:t>
      </w:r>
      <w:r>
        <w:rPr>
          <w:rFonts w:cs="Arial"/>
          <w:szCs w:val="20"/>
        </w:rPr>
        <w:t>.</w:t>
      </w:r>
      <w:r w:rsidRPr="00ED601E">
        <w:rPr>
          <w:rFonts w:cs="Arial"/>
          <w:szCs w:val="20"/>
        </w:rPr>
        <w:t xml:space="preserve"> </w:t>
      </w:r>
      <w:r>
        <w:rPr>
          <w:rFonts w:cs="Arial"/>
          <w:szCs w:val="20"/>
        </w:rPr>
        <w:t>V tomto období se zvětšila i p</w:t>
      </w:r>
      <w:r w:rsidRPr="00ED601E">
        <w:rPr>
          <w:rFonts w:cs="Arial"/>
          <w:szCs w:val="20"/>
        </w:rPr>
        <w:t xml:space="preserve">růměrná velikost školy na 1. </w:t>
      </w:r>
      <w:r>
        <w:rPr>
          <w:rFonts w:cs="Arial"/>
          <w:szCs w:val="20"/>
        </w:rPr>
        <w:t>s</w:t>
      </w:r>
      <w:r w:rsidRPr="00ED601E">
        <w:rPr>
          <w:rFonts w:cs="Arial"/>
          <w:szCs w:val="20"/>
        </w:rPr>
        <w:t>tupni</w:t>
      </w:r>
      <w:r>
        <w:rPr>
          <w:rFonts w:cs="Arial"/>
          <w:szCs w:val="20"/>
        </w:rPr>
        <w:t xml:space="preserve">, a to </w:t>
      </w:r>
      <w:r w:rsidRPr="00ED601E">
        <w:rPr>
          <w:rFonts w:cs="Arial"/>
          <w:szCs w:val="20"/>
        </w:rPr>
        <w:t>z</w:t>
      </w:r>
      <w:r>
        <w:rPr>
          <w:rFonts w:cs="Arial"/>
          <w:szCs w:val="20"/>
        </w:rPr>
        <w:t>e</w:t>
      </w:r>
      <w:r w:rsidRPr="00ED601E">
        <w:rPr>
          <w:rFonts w:cs="Arial"/>
          <w:szCs w:val="20"/>
        </w:rPr>
        <w:t xml:space="preserve"> 1</w:t>
      </w:r>
      <w:r>
        <w:rPr>
          <w:rFonts w:cs="Arial"/>
          <w:szCs w:val="20"/>
        </w:rPr>
        <w:t>14</w:t>
      </w:r>
      <w:r w:rsidRPr="00ED601E">
        <w:rPr>
          <w:rFonts w:cs="Arial"/>
          <w:szCs w:val="20"/>
        </w:rPr>
        <w:t xml:space="preserve"> žák</w:t>
      </w:r>
      <w:r>
        <w:rPr>
          <w:rFonts w:cs="Arial"/>
          <w:szCs w:val="20"/>
        </w:rPr>
        <w:t>ů</w:t>
      </w:r>
      <w:r w:rsidRPr="00ED601E">
        <w:rPr>
          <w:rFonts w:cs="Arial"/>
          <w:szCs w:val="20"/>
        </w:rPr>
        <w:t xml:space="preserve"> v roce 201</w:t>
      </w:r>
      <w:r>
        <w:rPr>
          <w:rFonts w:cs="Arial"/>
          <w:szCs w:val="20"/>
        </w:rPr>
        <w:t>0</w:t>
      </w:r>
      <w:r w:rsidRPr="00ED601E">
        <w:rPr>
          <w:rFonts w:cs="Arial"/>
          <w:szCs w:val="20"/>
        </w:rPr>
        <w:t>/1</w:t>
      </w:r>
      <w:r>
        <w:rPr>
          <w:rFonts w:cs="Arial"/>
          <w:szCs w:val="20"/>
        </w:rPr>
        <w:t>1</w:t>
      </w:r>
      <w:r w:rsidRPr="00ED601E">
        <w:rPr>
          <w:rFonts w:cs="Arial"/>
          <w:szCs w:val="20"/>
        </w:rPr>
        <w:t xml:space="preserve"> na 139</w:t>
      </w:r>
      <w:r>
        <w:rPr>
          <w:rFonts w:cs="Arial"/>
          <w:szCs w:val="20"/>
        </w:rPr>
        <w:t xml:space="preserve"> </w:t>
      </w:r>
      <w:r w:rsidRPr="00ED601E">
        <w:rPr>
          <w:rFonts w:cs="Arial"/>
          <w:szCs w:val="20"/>
        </w:rPr>
        <w:t>ve školním roce 2017/18</w:t>
      </w:r>
      <w:r>
        <w:rPr>
          <w:rFonts w:cs="Arial"/>
          <w:szCs w:val="20"/>
        </w:rPr>
        <w:t>. Na 2. stupni průměrný počet žáků na školu nejprve od roku 2007/08 klesl o 21 žáků na 118 ve školním roce 2011/12, aby pak zase stoupnul až na 128 žáků ve školním roce 2017/18.</w:t>
      </w:r>
    </w:p>
    <w:p w:rsidR="00CA3762" w:rsidRPr="00BD0FFB" w:rsidRDefault="00CA3762" w:rsidP="00CA3762">
      <w:pPr>
        <w:spacing w:after="0" w:line="276" w:lineRule="auto"/>
        <w:rPr>
          <w:rFonts w:cs="Arial"/>
          <w:b/>
          <w:noProof/>
          <w:szCs w:val="20"/>
        </w:rPr>
      </w:pPr>
      <w:r w:rsidRPr="00BD0FFB">
        <w:rPr>
          <w:rFonts w:cs="Arial"/>
          <w:b/>
          <w:noProof/>
          <w:szCs w:val="20"/>
        </w:rPr>
        <w:t xml:space="preserve">Graf </w:t>
      </w:r>
      <w:r w:rsidR="004377B2">
        <w:rPr>
          <w:rFonts w:cs="Arial"/>
          <w:b/>
          <w:noProof/>
          <w:szCs w:val="20"/>
        </w:rPr>
        <w:t>27</w:t>
      </w:r>
      <w:r w:rsidRPr="00BD0FFB">
        <w:rPr>
          <w:rFonts w:cs="Arial"/>
          <w:b/>
          <w:noProof/>
          <w:szCs w:val="20"/>
        </w:rPr>
        <w:t xml:space="preserve">: Základní školy v ČR v letech 2007/2008 až 2017/2018 – základní poměrové ukazatele  </w:t>
      </w:r>
    </w:p>
    <w:p w:rsidR="00CA3762" w:rsidRPr="00BD0FFB" w:rsidRDefault="001C064A" w:rsidP="00CA3762">
      <w:pPr>
        <w:spacing w:after="0" w:line="276" w:lineRule="auto"/>
        <w:jc w:val="both"/>
        <w:rPr>
          <w:rFonts w:cs="Arial"/>
          <w:szCs w:val="20"/>
        </w:rPr>
      </w:pPr>
      <w:r>
        <w:rPr>
          <w:rFonts w:cs="Arial"/>
          <w:noProof/>
          <w:szCs w:val="20"/>
        </w:rPr>
        <w:drawing>
          <wp:inline distT="0" distB="0" distL="0" distR="0" wp14:anchorId="3DEE5B08">
            <wp:extent cx="5974715" cy="2816860"/>
            <wp:effectExtent l="0" t="0" r="0"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74715" cy="2816860"/>
                    </a:xfrm>
                    <a:prstGeom prst="rect">
                      <a:avLst/>
                    </a:prstGeom>
                    <a:noFill/>
                  </pic:spPr>
                </pic:pic>
              </a:graphicData>
            </a:graphic>
          </wp:inline>
        </w:drawing>
      </w:r>
    </w:p>
    <w:p w:rsidR="00CA3762" w:rsidRPr="00BD0FFB" w:rsidRDefault="00CA3762" w:rsidP="00F2308B">
      <w:pPr>
        <w:spacing w:after="120" w:line="276" w:lineRule="auto"/>
        <w:rPr>
          <w:rFonts w:cs="Arial"/>
          <w:sz w:val="16"/>
          <w:szCs w:val="16"/>
        </w:rPr>
      </w:pPr>
      <w:r w:rsidRPr="00BD0FFB">
        <w:rPr>
          <w:rFonts w:cs="Arial"/>
          <w:sz w:val="16"/>
          <w:szCs w:val="16"/>
        </w:rPr>
        <w:t>Zdroj: MŠMT a vlastních dopočtů ČSÚ</w:t>
      </w:r>
    </w:p>
    <w:p w:rsidR="00B1475D" w:rsidRDefault="00CA3762" w:rsidP="00F2308B">
      <w:pPr>
        <w:spacing w:after="120" w:line="276" w:lineRule="auto"/>
        <w:jc w:val="both"/>
        <w:rPr>
          <w:rFonts w:cs="Arial"/>
          <w:szCs w:val="20"/>
        </w:rPr>
      </w:pPr>
      <w:r w:rsidRPr="00C320FE">
        <w:rPr>
          <w:rFonts w:cs="Arial"/>
          <w:szCs w:val="20"/>
        </w:rPr>
        <w:t xml:space="preserve">Výše uvedené poměrové ukazatele se poměrně výrazně liší v závislosti na typu </w:t>
      </w:r>
      <w:r w:rsidRPr="00C320FE">
        <w:rPr>
          <w:rFonts w:cs="Arial"/>
          <w:b/>
          <w:szCs w:val="20"/>
        </w:rPr>
        <w:t xml:space="preserve">zřizovatele </w:t>
      </w:r>
      <w:r w:rsidRPr="00C320FE">
        <w:rPr>
          <w:rFonts w:cs="Arial"/>
          <w:szCs w:val="20"/>
        </w:rPr>
        <w:t>základníc</w:t>
      </w:r>
      <w:r w:rsidRPr="00C320FE">
        <w:rPr>
          <w:rFonts w:cs="Arial"/>
          <w:b/>
          <w:szCs w:val="20"/>
        </w:rPr>
        <w:t xml:space="preserve">h </w:t>
      </w:r>
      <w:r w:rsidRPr="00C320FE">
        <w:rPr>
          <w:rFonts w:cs="Arial"/>
          <w:szCs w:val="20"/>
        </w:rPr>
        <w:t>škol. Např. ve školním roce 2017/18 byly největší třídy na veřejných základních školách, kde v průměru na jednu třídu připadlo 20,4 žáků. Pro porovnání, ve stejném roce v církevních základních školách připadlo v průměru na 1 třídu 16,1 žáků a v případě soukromých škol do třídy v průměru chodilo dokonce o 8 dětí méně než na veřejných. Obdobně ve veřejných základních školách připadá na 1 učitele více žáků než v církevních či v soukromých. Veřejné základní školy jsou výrazně větší než soukromé. Ve školním roce 2017/18 připadlo na 1 veřejnou školu 231 žáků v porovnání se 70 žáky ve školách soukromých.</w:t>
      </w:r>
    </w:p>
    <w:p w:rsidR="00B1475D" w:rsidRDefault="00B1475D">
      <w:pPr>
        <w:spacing w:after="0" w:line="240" w:lineRule="auto"/>
        <w:rPr>
          <w:rFonts w:cs="Arial"/>
          <w:szCs w:val="20"/>
        </w:rPr>
      </w:pPr>
      <w:r>
        <w:rPr>
          <w:rFonts w:cs="Arial"/>
          <w:szCs w:val="20"/>
        </w:rPr>
        <w:br w:type="page"/>
      </w:r>
    </w:p>
    <w:p w:rsidR="00CA3762" w:rsidRPr="00C320FE" w:rsidRDefault="004377B2" w:rsidP="00CA3762">
      <w:pPr>
        <w:spacing w:after="0" w:line="276" w:lineRule="auto"/>
        <w:rPr>
          <w:rFonts w:cs="Arial"/>
          <w:b/>
          <w:noProof/>
          <w:szCs w:val="20"/>
        </w:rPr>
      </w:pPr>
      <w:r>
        <w:rPr>
          <w:rFonts w:cs="Arial"/>
          <w:b/>
          <w:noProof/>
          <w:szCs w:val="20"/>
        </w:rPr>
        <w:lastRenderedPageBreak/>
        <w:t>Graf 28</w:t>
      </w:r>
      <w:r w:rsidR="00CA3762" w:rsidRPr="00C320FE">
        <w:rPr>
          <w:rFonts w:cs="Arial"/>
          <w:b/>
          <w:noProof/>
          <w:szCs w:val="20"/>
        </w:rPr>
        <w:t xml:space="preserve">: Základní školy v ČR v roce 2017/2018 – základní poměrové ukazatele podle zřizovatele  </w:t>
      </w:r>
    </w:p>
    <w:p w:rsidR="00CA3762" w:rsidRPr="00741F80" w:rsidRDefault="001C064A" w:rsidP="00CA3762">
      <w:pPr>
        <w:spacing w:after="0" w:line="276" w:lineRule="auto"/>
        <w:jc w:val="both"/>
        <w:rPr>
          <w:rFonts w:cs="Arial"/>
          <w:szCs w:val="20"/>
          <w:highlight w:val="green"/>
        </w:rPr>
      </w:pPr>
      <w:r>
        <w:rPr>
          <w:rFonts w:cs="Arial"/>
          <w:noProof/>
          <w:szCs w:val="20"/>
        </w:rPr>
        <w:drawing>
          <wp:inline distT="0" distB="0" distL="0" distR="0" wp14:anchorId="51E93110">
            <wp:extent cx="5974715" cy="2651760"/>
            <wp:effectExtent l="0" t="0" r="0" b="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74715" cy="2651760"/>
                    </a:xfrm>
                    <a:prstGeom prst="rect">
                      <a:avLst/>
                    </a:prstGeom>
                    <a:noFill/>
                  </pic:spPr>
                </pic:pic>
              </a:graphicData>
            </a:graphic>
          </wp:inline>
        </w:drawing>
      </w:r>
    </w:p>
    <w:p w:rsidR="00CA3762" w:rsidRPr="00C320FE" w:rsidRDefault="00CA3762" w:rsidP="00F2308B">
      <w:pPr>
        <w:spacing w:after="120" w:line="276" w:lineRule="auto"/>
        <w:rPr>
          <w:rFonts w:cs="Arial"/>
          <w:sz w:val="16"/>
          <w:szCs w:val="16"/>
        </w:rPr>
      </w:pPr>
      <w:r w:rsidRPr="00C320FE">
        <w:rPr>
          <w:rFonts w:cs="Arial"/>
          <w:sz w:val="16"/>
          <w:szCs w:val="16"/>
        </w:rPr>
        <w:t>Zdroj: MŠMT a vlastních dopočtů ČSÚ</w:t>
      </w:r>
    </w:p>
    <w:p w:rsidR="00CA3762" w:rsidRPr="007F08EC" w:rsidRDefault="00CA3762" w:rsidP="00F2308B">
      <w:pPr>
        <w:spacing w:after="120" w:line="276" w:lineRule="auto"/>
        <w:jc w:val="both"/>
        <w:rPr>
          <w:rFonts w:cs="Arial"/>
          <w:szCs w:val="20"/>
        </w:rPr>
      </w:pPr>
      <w:r w:rsidRPr="007F08EC">
        <w:rPr>
          <w:rFonts w:cs="Arial"/>
          <w:szCs w:val="20"/>
        </w:rPr>
        <w:t>V </w:t>
      </w:r>
      <w:r w:rsidRPr="007F08EC">
        <w:rPr>
          <w:rFonts w:cs="Arial"/>
          <w:b/>
          <w:szCs w:val="20"/>
        </w:rPr>
        <w:t>krajském srovnání</w:t>
      </w:r>
      <w:r w:rsidRPr="007F08EC">
        <w:rPr>
          <w:rFonts w:cs="Arial"/>
          <w:szCs w:val="20"/>
        </w:rPr>
        <w:t xml:space="preserve"> jsou dle očekávání největší základní školy v Praze, kde se ve školním roce 2017/18 v průměru na jedné škole vzdělávalo 377 žáků, což je o 103 žáků více než v druhém Ústeckém kraji. Nejmenší školy, což asi taky není překvapením, se nacházejí v Kraji Vysočina, kde do jedné školy chodilo v průměru 167 dětí. Pokud jde o průměrný počet žáků ve třídě, i v tom případě byl tento poměrový ukazatel ve školním roce 2017/18 nejvyšší v Praze (21,2). V tomto ukazateli však rozdíly mezi jednotlivými kraji nebyly nijak výrazné – nejnižší hodnoty (19,2) bylo dosaženo ve Zlínském kraji. </w:t>
      </w:r>
    </w:p>
    <w:p w:rsidR="00CA3762" w:rsidRDefault="00CA3762" w:rsidP="00CA3762">
      <w:pPr>
        <w:spacing w:after="0" w:line="276" w:lineRule="auto"/>
        <w:rPr>
          <w:rFonts w:cs="Arial"/>
          <w:b/>
          <w:noProof/>
          <w:szCs w:val="20"/>
        </w:rPr>
      </w:pPr>
      <w:r w:rsidRPr="00C320FE">
        <w:rPr>
          <w:rFonts w:cs="Arial"/>
          <w:b/>
          <w:noProof/>
          <w:szCs w:val="20"/>
        </w:rPr>
        <w:t xml:space="preserve">Graf </w:t>
      </w:r>
      <w:r w:rsidR="004377B2">
        <w:rPr>
          <w:rFonts w:cs="Arial"/>
          <w:b/>
          <w:noProof/>
          <w:szCs w:val="20"/>
        </w:rPr>
        <w:t>29</w:t>
      </w:r>
      <w:r w:rsidRPr="00C320FE">
        <w:rPr>
          <w:rFonts w:cs="Arial"/>
          <w:b/>
          <w:noProof/>
          <w:szCs w:val="20"/>
        </w:rPr>
        <w:t xml:space="preserve">: </w:t>
      </w:r>
      <w:r>
        <w:rPr>
          <w:rFonts w:cs="Arial"/>
          <w:b/>
          <w:noProof/>
          <w:szCs w:val="20"/>
        </w:rPr>
        <w:t xml:space="preserve">Průměrný počet žáků na základní školu v jednotlivých krajích </w:t>
      </w:r>
      <w:r w:rsidRPr="00C320FE">
        <w:rPr>
          <w:rFonts w:cs="Arial"/>
          <w:b/>
          <w:noProof/>
          <w:szCs w:val="20"/>
        </w:rPr>
        <w:t xml:space="preserve">ČR </w:t>
      </w:r>
      <w:r>
        <w:rPr>
          <w:rFonts w:cs="Arial"/>
          <w:b/>
          <w:noProof/>
          <w:szCs w:val="20"/>
        </w:rPr>
        <w:t xml:space="preserve">ve školním roce </w:t>
      </w:r>
      <w:r w:rsidRPr="00C320FE">
        <w:rPr>
          <w:rFonts w:cs="Arial"/>
          <w:b/>
          <w:noProof/>
          <w:szCs w:val="20"/>
        </w:rPr>
        <w:t>2017/2018</w:t>
      </w:r>
    </w:p>
    <w:p w:rsidR="00CA3762" w:rsidRPr="00C320FE" w:rsidRDefault="001C064A" w:rsidP="00CA3762">
      <w:pPr>
        <w:spacing w:after="0" w:line="276" w:lineRule="auto"/>
        <w:rPr>
          <w:rFonts w:cs="Arial"/>
          <w:b/>
          <w:noProof/>
          <w:szCs w:val="20"/>
        </w:rPr>
      </w:pPr>
      <w:r>
        <w:rPr>
          <w:rFonts w:cs="Arial"/>
          <w:b/>
          <w:noProof/>
          <w:szCs w:val="20"/>
        </w:rPr>
        <w:drawing>
          <wp:inline distT="0" distB="0" distL="0" distR="0" wp14:anchorId="2A72C635">
            <wp:extent cx="5974715" cy="2651760"/>
            <wp:effectExtent l="0" t="0" r="0" b="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74715" cy="2651760"/>
                    </a:xfrm>
                    <a:prstGeom prst="rect">
                      <a:avLst/>
                    </a:prstGeom>
                    <a:noFill/>
                  </pic:spPr>
                </pic:pic>
              </a:graphicData>
            </a:graphic>
          </wp:inline>
        </w:drawing>
      </w:r>
      <w:r w:rsidR="00CA3762" w:rsidRPr="00C320FE">
        <w:rPr>
          <w:rFonts w:cs="Arial"/>
          <w:b/>
          <w:noProof/>
          <w:szCs w:val="20"/>
        </w:rPr>
        <w:t xml:space="preserve">  </w:t>
      </w:r>
    </w:p>
    <w:p w:rsidR="00CA3762" w:rsidRPr="00C320FE" w:rsidRDefault="00CA3762" w:rsidP="00F2308B">
      <w:pPr>
        <w:spacing w:after="120" w:line="276" w:lineRule="auto"/>
        <w:rPr>
          <w:rFonts w:cs="Arial"/>
          <w:sz w:val="16"/>
          <w:szCs w:val="16"/>
        </w:rPr>
      </w:pPr>
      <w:r w:rsidRPr="00C320FE">
        <w:rPr>
          <w:rFonts w:cs="Arial"/>
          <w:sz w:val="16"/>
          <w:szCs w:val="16"/>
        </w:rPr>
        <w:t>Zdroj: MŠMT a vlastních dopočtů ČSÚ</w:t>
      </w:r>
    </w:p>
    <w:p w:rsidR="00CA3762" w:rsidRPr="00131CE1" w:rsidRDefault="00CA3762" w:rsidP="00DD1036">
      <w:pPr>
        <w:spacing w:line="276" w:lineRule="auto"/>
        <w:jc w:val="both"/>
        <w:rPr>
          <w:rFonts w:cs="Arial"/>
          <w:szCs w:val="20"/>
        </w:rPr>
      </w:pPr>
    </w:p>
    <w:p w:rsidR="00B1475D" w:rsidRDefault="00B1475D">
      <w:pPr>
        <w:spacing w:after="0" w:line="240" w:lineRule="auto"/>
        <w:rPr>
          <w:rFonts w:eastAsia="MS Gothic"/>
          <w:b/>
          <w:bCs/>
          <w:color w:val="C00000"/>
          <w:sz w:val="32"/>
          <w:szCs w:val="28"/>
        </w:rPr>
      </w:pPr>
      <w:bookmarkStart w:id="37" w:name="_Toc523408614"/>
      <w:r>
        <w:br w:type="page"/>
      </w:r>
    </w:p>
    <w:p w:rsidR="00D3033B" w:rsidRPr="00A365B0" w:rsidRDefault="00D3033B" w:rsidP="00A365B0">
      <w:pPr>
        <w:pStyle w:val="Nadpis1"/>
      </w:pPr>
      <w:bookmarkStart w:id="38" w:name="_Toc523466199"/>
      <w:r w:rsidRPr="00A365B0">
        <w:lastRenderedPageBreak/>
        <w:t>3. Střední vzdělávání</w:t>
      </w:r>
      <w:bookmarkEnd w:id="37"/>
      <w:bookmarkEnd w:id="38"/>
    </w:p>
    <w:p w:rsidR="00D3033B" w:rsidRDefault="00D3033B" w:rsidP="00F2308B">
      <w:pPr>
        <w:spacing w:after="120" w:line="276" w:lineRule="auto"/>
        <w:jc w:val="both"/>
      </w:pPr>
      <w:r w:rsidRPr="00AE31F9">
        <w:t xml:space="preserve">Vzdělávání na středních školách </w:t>
      </w:r>
      <w:r>
        <w:t xml:space="preserve">poskytuje svým studentům odbornou přípravu na budoucí povolání, nebo je i nadále vzdělává všeobecně a je průpravou spíše pro další vzdělávání na vyšších odborných a vysokých školách. Odborných středních škol (ať už středních, s výučním listem, maturitou nebo nástavbových) bylo ve školním roce 2017/2018 950 a navštěvovalo je 69 % všech středoškolských studentů. Škol zaměřených na všeobecné vzdělávání s maturitou bylo 358 s 31% středoškolských studentů. </w:t>
      </w:r>
    </w:p>
    <w:p w:rsidR="00D3033B" w:rsidRDefault="00D3033B" w:rsidP="00F2308B">
      <w:pPr>
        <w:spacing w:after="120" w:line="276" w:lineRule="auto"/>
        <w:jc w:val="both"/>
      </w:pPr>
      <w:r>
        <w:t xml:space="preserve">Zatímco v mateřských a základních školách počty dětí a žáků v posledních letech rostly, na středních školách zaznamenáváme setrvalý výrazný pokles. Nárůst lze očekávat v době, kdy tyto silné ročníky dětí nastoupí na střední školy. </w:t>
      </w:r>
    </w:p>
    <w:p w:rsidR="00D3033B" w:rsidRDefault="00D3033B" w:rsidP="00A365B0">
      <w:pPr>
        <w:pStyle w:val="Nadpis2"/>
      </w:pPr>
      <w:bookmarkStart w:id="39" w:name="_Toc523408615"/>
      <w:bookmarkStart w:id="40" w:name="_Toc523466200"/>
      <w:r w:rsidRPr="00835208">
        <w:t>3.1 Střední školy</w:t>
      </w:r>
      <w:r>
        <w:t xml:space="preserve"> – základní ukazatele</w:t>
      </w:r>
      <w:bookmarkEnd w:id="39"/>
      <w:bookmarkEnd w:id="40"/>
    </w:p>
    <w:p w:rsidR="00D3033B" w:rsidRDefault="00D3033B" w:rsidP="00F2308B">
      <w:pPr>
        <w:spacing w:after="120" w:line="276" w:lineRule="auto"/>
        <w:jc w:val="both"/>
      </w:pPr>
      <w:r>
        <w:t>Ve školním roce 2017/18 bylo v České republice 1,3 tis. středních škol, které měly dohromady 19,3 tis. tříd.  Počet středních škol i tříd se za posledních 10 let snížil. Počet škol relativně mírně, ubylo 139 škol, počet tříd poněkud výrazněji, o 4,1 tis. V krajském srovnání se nejvíce ze všech středních škol nachází v Praze (14 %), 11,7 % ve Středočeském kraji, 10,4 % v Moravskoslezském kraji.</w:t>
      </w:r>
    </w:p>
    <w:p w:rsidR="00D3033B" w:rsidRDefault="00D3033B" w:rsidP="00F2308B">
      <w:pPr>
        <w:spacing w:after="120" w:line="276" w:lineRule="auto"/>
        <w:jc w:val="both"/>
      </w:pPr>
      <w:r>
        <w:t>Tyto školy a třídy navštěvovalo ve školním roce 2017/18 celkem 421,5 tis. studentů. I jejich počet se ovšem za posledních 10 let výrazně snížil. Na střední školy nyní chodí o 147,7 tis. studentů méně, než tomu bylo ve školním roce 2007/08. Silné ročníky dětí, které postupně zvyšovaly počty dětí v mateřských a základních školách, totiž na ty střední teprve nastoupí. Většina studentů se vzdělává v denní formě středoškolského vzdělávání (95,6 %), v ostatních formách jen 18,5 tis. (4,4 %) žáků. Zatímco na základních školách je více než 10 % žáků se SVP, na středních školách jsou to již jen 2 %, což je dokonce méně než ve školách mateřských.</w:t>
      </w:r>
    </w:p>
    <w:p w:rsidR="00D3033B" w:rsidRDefault="00D3033B" w:rsidP="00F2308B">
      <w:pPr>
        <w:spacing w:after="120" w:line="276" w:lineRule="auto"/>
        <w:jc w:val="both"/>
      </w:pPr>
      <w:r>
        <w:t>Na středních školách vyučovalo v minulém školním roce celkem 38,1 tis. učitelů. Počet učitelů za 10 let poklesl a v minulém školním roce jich na středních školách učilo o 9 tis. méně než ve školním roce 2007/08. Počty učitelů se tak snižují o něco méně než počty studentů na středních školách. Část učitelů (5,1 % v roce 2017/18) učí ve speciálních třídách.</w:t>
      </w:r>
    </w:p>
    <w:p w:rsidR="00D3033B" w:rsidRDefault="00D3033B" w:rsidP="00F2308B">
      <w:pPr>
        <w:spacing w:after="120" w:line="276" w:lineRule="auto"/>
        <w:jc w:val="both"/>
      </w:pPr>
      <w:r>
        <w:t>Na středních školách studovalo v roce 2017/18 také 9,2 tis. žáků s cizím státním občanstvím. Je to o 132 žáků více než o rok dříve. Za posledních 10 let narostl počet žáků s cizím státním občanstvím o 45,6 %. Nejvíce zastoupeni jsou cizinci z Ukrajiny (29,5 %), Slovenska (20,1 %) a Vietnamu (18,2 %). Ze států EU studuje na českých středních školách 27,7 % všech studentů cizinců.</w:t>
      </w:r>
    </w:p>
    <w:p w:rsidR="00D3033B" w:rsidRPr="009518EE" w:rsidRDefault="00D3033B" w:rsidP="00D3033B">
      <w:pPr>
        <w:spacing w:after="60" w:line="276" w:lineRule="auto"/>
        <w:rPr>
          <w:rFonts w:cs="Arial"/>
          <w:b/>
          <w:noProof/>
          <w:szCs w:val="20"/>
        </w:rPr>
      </w:pPr>
      <w:r>
        <w:t xml:space="preserve"> </w:t>
      </w:r>
      <w:r w:rsidRPr="009518EE">
        <w:rPr>
          <w:rFonts w:cs="Arial"/>
          <w:b/>
          <w:noProof/>
          <w:szCs w:val="20"/>
        </w:rPr>
        <w:t xml:space="preserve">Tab. </w:t>
      </w:r>
      <w:r>
        <w:rPr>
          <w:rFonts w:cs="Arial"/>
          <w:b/>
          <w:noProof/>
          <w:szCs w:val="20"/>
        </w:rPr>
        <w:t>5</w:t>
      </w:r>
      <w:r w:rsidRPr="009518EE">
        <w:rPr>
          <w:rFonts w:cs="Arial"/>
          <w:b/>
          <w:noProof/>
          <w:szCs w:val="20"/>
        </w:rPr>
        <w:t xml:space="preserve"> </w:t>
      </w:r>
      <w:r w:rsidRPr="00A00211">
        <w:rPr>
          <w:rFonts w:cs="Arial"/>
          <w:b/>
          <w:bCs/>
          <w:szCs w:val="20"/>
        </w:rPr>
        <w:t>Střední školy</w:t>
      </w:r>
      <w:r>
        <w:rPr>
          <w:rFonts w:cs="Arial"/>
          <w:b/>
          <w:bCs/>
          <w:szCs w:val="20"/>
        </w:rPr>
        <w:t xml:space="preserve"> v ČR v letech 2007/2008 až 2017/2018</w:t>
      </w:r>
    </w:p>
    <w:tbl>
      <w:tblPr>
        <w:tblW w:w="8780" w:type="dxa"/>
        <w:tblCellMar>
          <w:left w:w="70" w:type="dxa"/>
          <w:right w:w="70" w:type="dxa"/>
        </w:tblCellMar>
        <w:tblLook w:val="04A0" w:firstRow="1" w:lastRow="0" w:firstColumn="1" w:lastColumn="0" w:noHBand="0" w:noVBand="1"/>
      </w:tblPr>
      <w:tblGrid>
        <w:gridCol w:w="1453"/>
        <w:gridCol w:w="638"/>
        <w:gridCol w:w="771"/>
        <w:gridCol w:w="960"/>
        <w:gridCol w:w="960"/>
        <w:gridCol w:w="1100"/>
        <w:gridCol w:w="960"/>
        <w:gridCol w:w="960"/>
        <w:gridCol w:w="1398"/>
      </w:tblGrid>
      <w:tr w:rsidR="00D3033B" w:rsidRPr="00A00211" w:rsidTr="00D3033B">
        <w:trPr>
          <w:trHeight w:val="435"/>
        </w:trPr>
        <w:tc>
          <w:tcPr>
            <w:tcW w:w="1453" w:type="dxa"/>
            <w:tcBorders>
              <w:top w:val="nil"/>
              <w:left w:val="nil"/>
              <w:bottom w:val="single" w:sz="4" w:space="0" w:color="auto"/>
              <w:right w:val="single" w:sz="4" w:space="0" w:color="auto"/>
            </w:tcBorders>
            <w:shd w:val="clear" w:color="000000" w:fill="F2DDDC"/>
            <w:vAlign w:val="center"/>
            <w:hideMark/>
          </w:tcPr>
          <w:p w:rsidR="00D3033B" w:rsidRPr="00A00211" w:rsidRDefault="00D3033B" w:rsidP="00D3033B">
            <w:pPr>
              <w:spacing w:after="0" w:line="240" w:lineRule="auto"/>
              <w:jc w:val="center"/>
              <w:rPr>
                <w:rFonts w:cs="Arial"/>
                <w:sz w:val="16"/>
                <w:szCs w:val="16"/>
              </w:rPr>
            </w:pPr>
            <w:r w:rsidRPr="00A00211">
              <w:rPr>
                <w:rFonts w:cs="Arial"/>
                <w:sz w:val="16"/>
                <w:szCs w:val="16"/>
              </w:rPr>
              <w:t>školní rok</w:t>
            </w:r>
          </w:p>
        </w:tc>
        <w:tc>
          <w:tcPr>
            <w:tcW w:w="638" w:type="dxa"/>
            <w:tcBorders>
              <w:top w:val="nil"/>
              <w:left w:val="nil"/>
              <w:bottom w:val="single" w:sz="4" w:space="0" w:color="auto"/>
              <w:right w:val="single" w:sz="4" w:space="0" w:color="auto"/>
            </w:tcBorders>
            <w:shd w:val="clear" w:color="000000" w:fill="F2DDDC"/>
            <w:noWrap/>
            <w:vAlign w:val="center"/>
            <w:hideMark/>
          </w:tcPr>
          <w:p w:rsidR="00D3033B" w:rsidRPr="00A00211" w:rsidRDefault="00D3033B" w:rsidP="00D3033B">
            <w:pPr>
              <w:spacing w:after="0" w:line="240" w:lineRule="auto"/>
              <w:jc w:val="center"/>
              <w:rPr>
                <w:rFonts w:cs="Arial"/>
                <w:color w:val="000000"/>
                <w:sz w:val="16"/>
                <w:szCs w:val="16"/>
              </w:rPr>
            </w:pPr>
            <w:r w:rsidRPr="00A00211">
              <w:rPr>
                <w:rFonts w:cs="Arial"/>
                <w:color w:val="000000"/>
                <w:sz w:val="16"/>
                <w:szCs w:val="16"/>
              </w:rPr>
              <w:t>školy</w:t>
            </w:r>
          </w:p>
        </w:tc>
        <w:tc>
          <w:tcPr>
            <w:tcW w:w="771" w:type="dxa"/>
            <w:tcBorders>
              <w:top w:val="nil"/>
              <w:left w:val="nil"/>
              <w:bottom w:val="single" w:sz="4" w:space="0" w:color="auto"/>
              <w:right w:val="single" w:sz="4" w:space="0" w:color="auto"/>
            </w:tcBorders>
            <w:shd w:val="clear" w:color="000000" w:fill="F2DDDC"/>
            <w:noWrap/>
            <w:vAlign w:val="center"/>
            <w:hideMark/>
          </w:tcPr>
          <w:p w:rsidR="00D3033B" w:rsidRPr="00A00211" w:rsidRDefault="00D3033B" w:rsidP="00D3033B">
            <w:pPr>
              <w:spacing w:after="0" w:line="240" w:lineRule="auto"/>
              <w:jc w:val="center"/>
              <w:rPr>
                <w:rFonts w:cs="Arial"/>
                <w:color w:val="000000"/>
                <w:sz w:val="16"/>
                <w:szCs w:val="16"/>
              </w:rPr>
            </w:pPr>
            <w:r w:rsidRPr="00A00211">
              <w:rPr>
                <w:rFonts w:cs="Arial"/>
                <w:color w:val="000000"/>
                <w:sz w:val="16"/>
                <w:szCs w:val="16"/>
              </w:rPr>
              <w:t>třídy</w:t>
            </w:r>
          </w:p>
        </w:tc>
        <w:tc>
          <w:tcPr>
            <w:tcW w:w="960" w:type="dxa"/>
            <w:tcBorders>
              <w:top w:val="nil"/>
              <w:left w:val="nil"/>
              <w:bottom w:val="single" w:sz="4" w:space="0" w:color="auto"/>
              <w:right w:val="single" w:sz="4" w:space="0" w:color="auto"/>
            </w:tcBorders>
            <w:shd w:val="clear" w:color="000000" w:fill="F2DDDC"/>
            <w:noWrap/>
            <w:vAlign w:val="center"/>
            <w:hideMark/>
          </w:tcPr>
          <w:p w:rsidR="00D3033B" w:rsidRPr="00A00211" w:rsidRDefault="00D3033B" w:rsidP="00D3033B">
            <w:pPr>
              <w:spacing w:after="0" w:line="240" w:lineRule="auto"/>
              <w:jc w:val="center"/>
              <w:rPr>
                <w:rFonts w:cs="Arial"/>
                <w:color w:val="000000"/>
                <w:sz w:val="16"/>
                <w:szCs w:val="16"/>
              </w:rPr>
            </w:pPr>
            <w:r w:rsidRPr="00A00211">
              <w:rPr>
                <w:rFonts w:cs="Arial"/>
                <w:color w:val="000000"/>
                <w:sz w:val="16"/>
                <w:szCs w:val="16"/>
              </w:rPr>
              <w:t>žáci</w:t>
            </w:r>
          </w:p>
        </w:tc>
        <w:tc>
          <w:tcPr>
            <w:tcW w:w="960" w:type="dxa"/>
            <w:tcBorders>
              <w:top w:val="nil"/>
              <w:left w:val="nil"/>
              <w:bottom w:val="single" w:sz="4" w:space="0" w:color="auto"/>
              <w:right w:val="single" w:sz="4" w:space="0" w:color="auto"/>
            </w:tcBorders>
            <w:shd w:val="clear" w:color="000000" w:fill="F2DDDC"/>
            <w:noWrap/>
            <w:vAlign w:val="center"/>
            <w:hideMark/>
          </w:tcPr>
          <w:p w:rsidR="00D3033B" w:rsidRPr="00A00211" w:rsidRDefault="00D3033B" w:rsidP="00D3033B">
            <w:pPr>
              <w:spacing w:after="0" w:line="240" w:lineRule="auto"/>
              <w:jc w:val="center"/>
              <w:rPr>
                <w:rFonts w:cs="Arial"/>
                <w:color w:val="000000"/>
                <w:sz w:val="16"/>
                <w:szCs w:val="16"/>
              </w:rPr>
            </w:pPr>
            <w:r w:rsidRPr="00A00211">
              <w:rPr>
                <w:rFonts w:cs="Arial"/>
                <w:color w:val="000000"/>
                <w:sz w:val="16"/>
                <w:szCs w:val="16"/>
              </w:rPr>
              <w:t>dívky</w:t>
            </w:r>
          </w:p>
        </w:tc>
        <w:tc>
          <w:tcPr>
            <w:tcW w:w="1100" w:type="dxa"/>
            <w:tcBorders>
              <w:top w:val="nil"/>
              <w:left w:val="nil"/>
              <w:bottom w:val="single" w:sz="4" w:space="0" w:color="auto"/>
              <w:right w:val="single" w:sz="4" w:space="0" w:color="auto"/>
            </w:tcBorders>
            <w:shd w:val="clear" w:color="000000" w:fill="F2DDDC"/>
            <w:noWrap/>
            <w:vAlign w:val="center"/>
            <w:hideMark/>
          </w:tcPr>
          <w:p w:rsidR="00D3033B" w:rsidRPr="00A00211" w:rsidRDefault="00D3033B" w:rsidP="00D3033B">
            <w:pPr>
              <w:spacing w:after="0" w:line="240" w:lineRule="auto"/>
              <w:jc w:val="center"/>
              <w:rPr>
                <w:rFonts w:cs="Arial"/>
                <w:color w:val="000000"/>
                <w:sz w:val="16"/>
                <w:szCs w:val="16"/>
              </w:rPr>
            </w:pPr>
            <w:r w:rsidRPr="00A00211">
              <w:rPr>
                <w:rFonts w:cs="Arial"/>
                <w:color w:val="000000"/>
                <w:sz w:val="16"/>
                <w:szCs w:val="16"/>
              </w:rPr>
              <w:t>nově přijat</w:t>
            </w:r>
            <w:r>
              <w:rPr>
                <w:rFonts w:cs="Arial"/>
                <w:color w:val="000000"/>
                <w:sz w:val="16"/>
                <w:szCs w:val="16"/>
              </w:rPr>
              <w:t>í</w:t>
            </w:r>
          </w:p>
        </w:tc>
        <w:tc>
          <w:tcPr>
            <w:tcW w:w="960" w:type="dxa"/>
            <w:tcBorders>
              <w:top w:val="nil"/>
              <w:left w:val="nil"/>
              <w:bottom w:val="single" w:sz="4" w:space="0" w:color="auto"/>
              <w:right w:val="single" w:sz="4" w:space="0" w:color="auto"/>
            </w:tcBorders>
            <w:shd w:val="clear" w:color="000000" w:fill="F2DDDC"/>
            <w:noWrap/>
            <w:vAlign w:val="center"/>
            <w:hideMark/>
          </w:tcPr>
          <w:p w:rsidR="00D3033B" w:rsidRPr="00A00211" w:rsidRDefault="00D3033B" w:rsidP="00D3033B">
            <w:pPr>
              <w:spacing w:after="0" w:line="240" w:lineRule="auto"/>
              <w:jc w:val="center"/>
              <w:rPr>
                <w:rFonts w:cs="Arial"/>
                <w:color w:val="000000"/>
                <w:sz w:val="16"/>
                <w:szCs w:val="16"/>
              </w:rPr>
            </w:pPr>
            <w:r w:rsidRPr="00A00211">
              <w:rPr>
                <w:rFonts w:cs="Arial"/>
                <w:color w:val="000000"/>
                <w:sz w:val="16"/>
                <w:szCs w:val="16"/>
              </w:rPr>
              <w:t>absolventi</w:t>
            </w:r>
          </w:p>
        </w:tc>
        <w:tc>
          <w:tcPr>
            <w:tcW w:w="960" w:type="dxa"/>
            <w:tcBorders>
              <w:top w:val="nil"/>
              <w:left w:val="nil"/>
              <w:bottom w:val="single" w:sz="4" w:space="0" w:color="auto"/>
              <w:right w:val="single" w:sz="4" w:space="0" w:color="auto"/>
            </w:tcBorders>
            <w:shd w:val="clear" w:color="000000" w:fill="F2DDDC"/>
            <w:noWrap/>
            <w:vAlign w:val="center"/>
            <w:hideMark/>
          </w:tcPr>
          <w:p w:rsidR="00D3033B" w:rsidRPr="00A00211" w:rsidRDefault="00D3033B" w:rsidP="00D3033B">
            <w:pPr>
              <w:spacing w:after="0" w:line="240" w:lineRule="auto"/>
              <w:jc w:val="center"/>
              <w:rPr>
                <w:rFonts w:cs="Arial"/>
                <w:color w:val="000000"/>
                <w:sz w:val="16"/>
                <w:szCs w:val="16"/>
              </w:rPr>
            </w:pPr>
            <w:r w:rsidRPr="00A00211">
              <w:rPr>
                <w:rFonts w:cs="Arial"/>
                <w:color w:val="000000"/>
                <w:sz w:val="16"/>
                <w:szCs w:val="16"/>
              </w:rPr>
              <w:t>cizinci</w:t>
            </w:r>
          </w:p>
        </w:tc>
        <w:tc>
          <w:tcPr>
            <w:tcW w:w="978" w:type="dxa"/>
            <w:tcBorders>
              <w:top w:val="nil"/>
              <w:left w:val="nil"/>
              <w:bottom w:val="single" w:sz="4" w:space="0" w:color="auto"/>
              <w:right w:val="nil"/>
            </w:tcBorders>
            <w:shd w:val="clear" w:color="000000" w:fill="F2DDDC"/>
            <w:noWrap/>
            <w:vAlign w:val="center"/>
            <w:hideMark/>
          </w:tcPr>
          <w:p w:rsidR="00D3033B" w:rsidRPr="00A00211" w:rsidRDefault="00D3033B" w:rsidP="00D3033B">
            <w:pPr>
              <w:spacing w:after="0" w:line="240" w:lineRule="auto"/>
              <w:jc w:val="center"/>
              <w:rPr>
                <w:rFonts w:cs="Arial"/>
                <w:color w:val="000000"/>
                <w:sz w:val="16"/>
                <w:szCs w:val="16"/>
              </w:rPr>
            </w:pPr>
            <w:r w:rsidRPr="00A00211">
              <w:rPr>
                <w:rFonts w:cs="Arial"/>
                <w:color w:val="000000"/>
                <w:sz w:val="16"/>
                <w:szCs w:val="16"/>
              </w:rPr>
              <w:t>žáci se SVP</w:t>
            </w:r>
            <w:r w:rsidRPr="00A00211">
              <w:rPr>
                <w:rFonts w:cs="Arial"/>
                <w:color w:val="000000"/>
                <w:sz w:val="16"/>
                <w:szCs w:val="16"/>
                <w:vertAlign w:val="superscript"/>
              </w:rPr>
              <w:t>1)</w:t>
            </w:r>
          </w:p>
        </w:tc>
      </w:tr>
      <w:tr w:rsidR="00D3033B" w:rsidRPr="00A00211" w:rsidTr="00D3033B">
        <w:trPr>
          <w:trHeight w:val="300"/>
        </w:trPr>
        <w:tc>
          <w:tcPr>
            <w:tcW w:w="1453"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rPr>
                <w:rFonts w:cs="Arial"/>
                <w:sz w:val="16"/>
                <w:szCs w:val="16"/>
              </w:rPr>
            </w:pPr>
            <w:r w:rsidRPr="00A00211">
              <w:rPr>
                <w:rFonts w:cs="Arial"/>
                <w:sz w:val="16"/>
                <w:szCs w:val="16"/>
              </w:rPr>
              <w:t>2007/08</w:t>
            </w:r>
          </w:p>
        </w:tc>
        <w:tc>
          <w:tcPr>
            <w:tcW w:w="638"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1 447 </w:t>
            </w:r>
          </w:p>
        </w:tc>
        <w:tc>
          <w:tcPr>
            <w:tcW w:w="771"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23 379 </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569 267 </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color w:val="000000"/>
                <w:sz w:val="16"/>
                <w:szCs w:val="16"/>
              </w:rPr>
            </w:pPr>
            <w:r w:rsidRPr="00A00211">
              <w:rPr>
                <w:rFonts w:cs="Arial"/>
                <w:color w:val="000000"/>
                <w:sz w:val="16"/>
                <w:szCs w:val="16"/>
              </w:rPr>
              <w:t xml:space="preserve">283 399 </w:t>
            </w:r>
          </w:p>
        </w:tc>
        <w:tc>
          <w:tcPr>
            <w:tcW w:w="110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160 978 </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125 493 </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color w:val="000000"/>
                <w:sz w:val="16"/>
                <w:szCs w:val="16"/>
              </w:rPr>
            </w:pPr>
            <w:r w:rsidRPr="00A00211">
              <w:rPr>
                <w:rFonts w:cs="Arial"/>
                <w:color w:val="000000"/>
                <w:sz w:val="16"/>
                <w:szCs w:val="16"/>
              </w:rPr>
              <w:t xml:space="preserve">6 314 </w:t>
            </w:r>
          </w:p>
        </w:tc>
        <w:tc>
          <w:tcPr>
            <w:tcW w:w="978" w:type="dxa"/>
            <w:tcBorders>
              <w:top w:val="nil"/>
              <w:left w:val="nil"/>
              <w:bottom w:val="nil"/>
              <w:right w:val="nil"/>
            </w:tcBorders>
            <w:shd w:val="clear" w:color="000000" w:fill="FFFFFF"/>
            <w:noWrap/>
            <w:vAlign w:val="bottom"/>
            <w:hideMark/>
          </w:tcPr>
          <w:p w:rsidR="00D3033B" w:rsidRPr="00A00211" w:rsidRDefault="00D3033B" w:rsidP="00D3033B">
            <w:pPr>
              <w:spacing w:after="0" w:line="240" w:lineRule="auto"/>
              <w:jc w:val="right"/>
              <w:rPr>
                <w:rFonts w:cs="Arial"/>
                <w:color w:val="000000"/>
                <w:sz w:val="16"/>
                <w:szCs w:val="16"/>
              </w:rPr>
            </w:pPr>
            <w:r w:rsidRPr="00A00211">
              <w:rPr>
                <w:rFonts w:cs="Arial"/>
                <w:color w:val="000000"/>
                <w:sz w:val="16"/>
                <w:szCs w:val="16"/>
              </w:rPr>
              <w:t xml:space="preserve">19 367 </w:t>
            </w:r>
          </w:p>
        </w:tc>
      </w:tr>
      <w:tr w:rsidR="00D3033B" w:rsidRPr="00A00211" w:rsidTr="00D3033B">
        <w:trPr>
          <w:trHeight w:val="300"/>
        </w:trPr>
        <w:tc>
          <w:tcPr>
            <w:tcW w:w="1453"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rPr>
                <w:rFonts w:cs="Arial"/>
                <w:sz w:val="16"/>
                <w:szCs w:val="16"/>
              </w:rPr>
            </w:pPr>
            <w:r w:rsidRPr="00A00211">
              <w:rPr>
                <w:rFonts w:cs="Arial"/>
                <w:sz w:val="16"/>
                <w:szCs w:val="16"/>
              </w:rPr>
              <w:t>2008/09</w:t>
            </w:r>
          </w:p>
        </w:tc>
        <w:tc>
          <w:tcPr>
            <w:tcW w:w="638"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1 438 </w:t>
            </w:r>
          </w:p>
        </w:tc>
        <w:tc>
          <w:tcPr>
            <w:tcW w:w="771"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23 357 </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564 326 </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color w:val="000000"/>
                <w:sz w:val="16"/>
                <w:szCs w:val="16"/>
              </w:rPr>
            </w:pPr>
            <w:r w:rsidRPr="00A00211">
              <w:rPr>
                <w:rFonts w:cs="Arial"/>
                <w:color w:val="000000"/>
                <w:sz w:val="16"/>
                <w:szCs w:val="16"/>
              </w:rPr>
              <w:t xml:space="preserve">281 527 </w:t>
            </w:r>
          </w:p>
        </w:tc>
        <w:tc>
          <w:tcPr>
            <w:tcW w:w="110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158 824 </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123 151 </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color w:val="000000"/>
                <w:sz w:val="16"/>
                <w:szCs w:val="16"/>
              </w:rPr>
            </w:pPr>
            <w:r w:rsidRPr="00A00211">
              <w:rPr>
                <w:rFonts w:cs="Arial"/>
                <w:color w:val="000000"/>
                <w:sz w:val="16"/>
                <w:szCs w:val="16"/>
              </w:rPr>
              <w:t xml:space="preserve">7 134 </w:t>
            </w:r>
          </w:p>
        </w:tc>
        <w:tc>
          <w:tcPr>
            <w:tcW w:w="978" w:type="dxa"/>
            <w:tcBorders>
              <w:top w:val="nil"/>
              <w:left w:val="nil"/>
              <w:bottom w:val="nil"/>
              <w:right w:val="nil"/>
            </w:tcBorders>
            <w:shd w:val="clear" w:color="000000" w:fill="FFFFFF"/>
            <w:noWrap/>
            <w:vAlign w:val="bottom"/>
            <w:hideMark/>
          </w:tcPr>
          <w:p w:rsidR="00D3033B" w:rsidRPr="00A00211" w:rsidRDefault="00D3033B" w:rsidP="00D3033B">
            <w:pPr>
              <w:spacing w:after="0" w:line="240" w:lineRule="auto"/>
              <w:jc w:val="right"/>
              <w:rPr>
                <w:rFonts w:cs="Arial"/>
                <w:color w:val="000000"/>
                <w:sz w:val="16"/>
                <w:szCs w:val="16"/>
              </w:rPr>
            </w:pPr>
            <w:r w:rsidRPr="00A00211">
              <w:rPr>
                <w:rFonts w:cs="Arial"/>
                <w:color w:val="000000"/>
                <w:sz w:val="16"/>
                <w:szCs w:val="16"/>
              </w:rPr>
              <w:t xml:space="preserve">18 698 </w:t>
            </w:r>
          </w:p>
        </w:tc>
      </w:tr>
      <w:tr w:rsidR="00D3033B" w:rsidRPr="00A00211" w:rsidTr="00D3033B">
        <w:trPr>
          <w:trHeight w:val="300"/>
        </w:trPr>
        <w:tc>
          <w:tcPr>
            <w:tcW w:w="1453"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rPr>
                <w:rFonts w:cs="Arial"/>
                <w:sz w:val="16"/>
                <w:szCs w:val="16"/>
              </w:rPr>
            </w:pPr>
            <w:r w:rsidRPr="00A00211">
              <w:rPr>
                <w:rFonts w:cs="Arial"/>
                <w:sz w:val="16"/>
                <w:szCs w:val="16"/>
              </w:rPr>
              <w:t>2009/10</w:t>
            </w:r>
          </w:p>
        </w:tc>
        <w:tc>
          <w:tcPr>
            <w:tcW w:w="638"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1 433 </w:t>
            </w:r>
          </w:p>
        </w:tc>
        <w:tc>
          <w:tcPr>
            <w:tcW w:w="771"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23 260 </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556 260 </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color w:val="000000"/>
                <w:sz w:val="16"/>
                <w:szCs w:val="16"/>
              </w:rPr>
            </w:pPr>
            <w:r w:rsidRPr="00A00211">
              <w:rPr>
                <w:rFonts w:cs="Arial"/>
                <w:color w:val="000000"/>
                <w:sz w:val="16"/>
                <w:szCs w:val="16"/>
              </w:rPr>
              <w:t xml:space="preserve">275 829 </w:t>
            </w:r>
          </w:p>
        </w:tc>
        <w:tc>
          <w:tcPr>
            <w:tcW w:w="110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153 897 </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116 446 </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color w:val="000000"/>
                <w:sz w:val="16"/>
                <w:szCs w:val="16"/>
              </w:rPr>
            </w:pPr>
            <w:r w:rsidRPr="00A00211">
              <w:rPr>
                <w:rFonts w:cs="Arial"/>
                <w:color w:val="000000"/>
                <w:sz w:val="16"/>
                <w:szCs w:val="16"/>
              </w:rPr>
              <w:t xml:space="preserve">7 900 </w:t>
            </w:r>
          </w:p>
        </w:tc>
        <w:tc>
          <w:tcPr>
            <w:tcW w:w="978" w:type="dxa"/>
            <w:tcBorders>
              <w:top w:val="nil"/>
              <w:left w:val="nil"/>
              <w:bottom w:val="nil"/>
              <w:right w:val="nil"/>
            </w:tcBorders>
            <w:shd w:val="clear" w:color="000000" w:fill="FFFFFF"/>
            <w:noWrap/>
            <w:vAlign w:val="bottom"/>
            <w:hideMark/>
          </w:tcPr>
          <w:p w:rsidR="00D3033B" w:rsidRPr="00A00211" w:rsidRDefault="00D3033B" w:rsidP="00D3033B">
            <w:pPr>
              <w:spacing w:after="0" w:line="240" w:lineRule="auto"/>
              <w:jc w:val="right"/>
              <w:rPr>
                <w:rFonts w:cs="Arial"/>
                <w:color w:val="000000"/>
                <w:sz w:val="16"/>
                <w:szCs w:val="16"/>
              </w:rPr>
            </w:pPr>
            <w:r w:rsidRPr="00A00211">
              <w:rPr>
                <w:rFonts w:cs="Arial"/>
                <w:color w:val="000000"/>
                <w:sz w:val="16"/>
                <w:szCs w:val="16"/>
              </w:rPr>
              <w:t xml:space="preserve">19 728 </w:t>
            </w:r>
          </w:p>
        </w:tc>
      </w:tr>
      <w:tr w:rsidR="00D3033B" w:rsidRPr="00A00211" w:rsidTr="00D3033B">
        <w:trPr>
          <w:trHeight w:val="300"/>
        </w:trPr>
        <w:tc>
          <w:tcPr>
            <w:tcW w:w="1453"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rPr>
                <w:rFonts w:cs="Arial"/>
                <w:sz w:val="16"/>
                <w:szCs w:val="16"/>
              </w:rPr>
            </w:pPr>
            <w:r w:rsidRPr="00A00211">
              <w:rPr>
                <w:rFonts w:cs="Arial"/>
                <w:sz w:val="16"/>
                <w:szCs w:val="16"/>
              </w:rPr>
              <w:t>2010/11</w:t>
            </w:r>
          </w:p>
        </w:tc>
        <w:tc>
          <w:tcPr>
            <w:tcW w:w="638"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1 423 </w:t>
            </w:r>
          </w:p>
        </w:tc>
        <w:tc>
          <w:tcPr>
            <w:tcW w:w="771"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22 904 </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532 918 </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color w:val="000000"/>
                <w:sz w:val="16"/>
                <w:szCs w:val="16"/>
              </w:rPr>
            </w:pPr>
            <w:r w:rsidRPr="00A00211">
              <w:rPr>
                <w:rFonts w:cs="Arial"/>
                <w:color w:val="000000"/>
                <w:sz w:val="16"/>
                <w:szCs w:val="16"/>
              </w:rPr>
              <w:t xml:space="preserve">262 889 </w:t>
            </w:r>
          </w:p>
        </w:tc>
        <w:tc>
          <w:tcPr>
            <w:tcW w:w="110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138 874 </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109 514 </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color w:val="000000"/>
                <w:sz w:val="16"/>
                <w:szCs w:val="16"/>
              </w:rPr>
            </w:pPr>
            <w:r w:rsidRPr="00A00211">
              <w:rPr>
                <w:rFonts w:cs="Arial"/>
                <w:color w:val="000000"/>
                <w:sz w:val="16"/>
                <w:szCs w:val="16"/>
              </w:rPr>
              <w:t xml:space="preserve">8 458 </w:t>
            </w:r>
          </w:p>
        </w:tc>
        <w:tc>
          <w:tcPr>
            <w:tcW w:w="978" w:type="dxa"/>
            <w:tcBorders>
              <w:top w:val="nil"/>
              <w:left w:val="nil"/>
              <w:bottom w:val="nil"/>
              <w:right w:val="nil"/>
            </w:tcBorders>
            <w:shd w:val="clear" w:color="000000" w:fill="FFFFFF"/>
            <w:noWrap/>
            <w:vAlign w:val="bottom"/>
            <w:hideMark/>
          </w:tcPr>
          <w:p w:rsidR="00D3033B" w:rsidRPr="00A00211" w:rsidRDefault="00D3033B" w:rsidP="00D3033B">
            <w:pPr>
              <w:spacing w:after="0" w:line="240" w:lineRule="auto"/>
              <w:jc w:val="right"/>
              <w:rPr>
                <w:rFonts w:cs="Arial"/>
                <w:color w:val="000000"/>
                <w:sz w:val="16"/>
                <w:szCs w:val="16"/>
              </w:rPr>
            </w:pPr>
            <w:r w:rsidRPr="00A00211">
              <w:rPr>
                <w:rFonts w:cs="Arial"/>
                <w:color w:val="000000"/>
                <w:sz w:val="16"/>
                <w:szCs w:val="16"/>
              </w:rPr>
              <w:t xml:space="preserve">18 731 </w:t>
            </w:r>
          </w:p>
        </w:tc>
      </w:tr>
      <w:tr w:rsidR="00D3033B" w:rsidRPr="00A00211" w:rsidTr="00D3033B">
        <w:trPr>
          <w:trHeight w:val="300"/>
        </w:trPr>
        <w:tc>
          <w:tcPr>
            <w:tcW w:w="1453"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rPr>
                <w:rFonts w:cs="Arial"/>
                <w:sz w:val="16"/>
                <w:szCs w:val="16"/>
              </w:rPr>
            </w:pPr>
            <w:r w:rsidRPr="00A00211">
              <w:rPr>
                <w:rFonts w:cs="Arial"/>
                <w:sz w:val="16"/>
                <w:szCs w:val="16"/>
              </w:rPr>
              <w:t>2011/12</w:t>
            </w:r>
          </w:p>
        </w:tc>
        <w:tc>
          <w:tcPr>
            <w:tcW w:w="638"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1 393 </w:t>
            </w:r>
          </w:p>
        </w:tc>
        <w:tc>
          <w:tcPr>
            <w:tcW w:w="771"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21 986 </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501 220 </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color w:val="000000"/>
                <w:sz w:val="16"/>
                <w:szCs w:val="16"/>
              </w:rPr>
            </w:pPr>
            <w:r w:rsidRPr="00A00211">
              <w:rPr>
                <w:rFonts w:cs="Arial"/>
                <w:color w:val="000000"/>
                <w:sz w:val="16"/>
                <w:szCs w:val="16"/>
              </w:rPr>
              <w:t xml:space="preserve">247 402 </w:t>
            </w:r>
          </w:p>
        </w:tc>
        <w:tc>
          <w:tcPr>
            <w:tcW w:w="110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128 453 </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106 816 </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color w:val="000000"/>
                <w:sz w:val="16"/>
                <w:szCs w:val="16"/>
              </w:rPr>
            </w:pPr>
            <w:r w:rsidRPr="00A00211">
              <w:rPr>
                <w:rFonts w:cs="Arial"/>
                <w:color w:val="000000"/>
                <w:sz w:val="16"/>
                <w:szCs w:val="16"/>
              </w:rPr>
              <w:t xml:space="preserve">8 852 </w:t>
            </w:r>
          </w:p>
        </w:tc>
        <w:tc>
          <w:tcPr>
            <w:tcW w:w="978" w:type="dxa"/>
            <w:tcBorders>
              <w:top w:val="nil"/>
              <w:left w:val="nil"/>
              <w:bottom w:val="nil"/>
              <w:right w:val="nil"/>
            </w:tcBorders>
            <w:shd w:val="clear" w:color="000000" w:fill="FFFFFF"/>
            <w:noWrap/>
            <w:vAlign w:val="bottom"/>
            <w:hideMark/>
          </w:tcPr>
          <w:p w:rsidR="00D3033B" w:rsidRPr="00A00211" w:rsidRDefault="00D3033B" w:rsidP="00D3033B">
            <w:pPr>
              <w:spacing w:after="0" w:line="240" w:lineRule="auto"/>
              <w:jc w:val="right"/>
              <w:rPr>
                <w:rFonts w:cs="Arial"/>
                <w:color w:val="000000"/>
                <w:sz w:val="16"/>
                <w:szCs w:val="16"/>
              </w:rPr>
            </w:pPr>
            <w:r w:rsidRPr="00A00211">
              <w:rPr>
                <w:rFonts w:cs="Arial"/>
                <w:color w:val="000000"/>
                <w:sz w:val="16"/>
                <w:szCs w:val="16"/>
              </w:rPr>
              <w:t xml:space="preserve">19 125 </w:t>
            </w:r>
          </w:p>
        </w:tc>
      </w:tr>
      <w:tr w:rsidR="00D3033B" w:rsidRPr="00A00211" w:rsidTr="00D3033B">
        <w:trPr>
          <w:trHeight w:val="300"/>
        </w:trPr>
        <w:tc>
          <w:tcPr>
            <w:tcW w:w="1453"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rPr>
                <w:rFonts w:cs="Arial"/>
                <w:sz w:val="16"/>
                <w:szCs w:val="16"/>
              </w:rPr>
            </w:pPr>
            <w:r w:rsidRPr="00A00211">
              <w:rPr>
                <w:rFonts w:cs="Arial"/>
                <w:sz w:val="16"/>
                <w:szCs w:val="16"/>
              </w:rPr>
              <w:t>2012/13</w:t>
            </w:r>
          </w:p>
        </w:tc>
        <w:tc>
          <w:tcPr>
            <w:tcW w:w="638"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1 347 </w:t>
            </w:r>
          </w:p>
        </w:tc>
        <w:tc>
          <w:tcPr>
            <w:tcW w:w="771"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20 918 </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470 754 </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color w:val="000000"/>
                <w:sz w:val="16"/>
                <w:szCs w:val="16"/>
              </w:rPr>
            </w:pPr>
            <w:r w:rsidRPr="00A00211">
              <w:rPr>
                <w:rFonts w:cs="Arial"/>
                <w:color w:val="000000"/>
                <w:sz w:val="16"/>
                <w:szCs w:val="16"/>
              </w:rPr>
              <w:t xml:space="preserve">232 209 </w:t>
            </w:r>
          </w:p>
        </w:tc>
        <w:tc>
          <w:tcPr>
            <w:tcW w:w="110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121 583 </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101 055 </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color w:val="000000"/>
                <w:sz w:val="16"/>
                <w:szCs w:val="16"/>
              </w:rPr>
            </w:pPr>
            <w:r w:rsidRPr="00A00211">
              <w:rPr>
                <w:rFonts w:cs="Arial"/>
                <w:color w:val="000000"/>
                <w:sz w:val="16"/>
                <w:szCs w:val="16"/>
              </w:rPr>
              <w:t xml:space="preserve">9 024 </w:t>
            </w:r>
          </w:p>
        </w:tc>
        <w:tc>
          <w:tcPr>
            <w:tcW w:w="978" w:type="dxa"/>
            <w:tcBorders>
              <w:top w:val="nil"/>
              <w:left w:val="nil"/>
              <w:bottom w:val="nil"/>
              <w:right w:val="nil"/>
            </w:tcBorders>
            <w:shd w:val="clear" w:color="000000" w:fill="FFFFFF"/>
            <w:noWrap/>
            <w:vAlign w:val="bottom"/>
            <w:hideMark/>
          </w:tcPr>
          <w:p w:rsidR="00D3033B" w:rsidRPr="00A00211" w:rsidRDefault="00D3033B" w:rsidP="00D3033B">
            <w:pPr>
              <w:spacing w:after="0" w:line="240" w:lineRule="auto"/>
              <w:jc w:val="right"/>
              <w:rPr>
                <w:rFonts w:cs="Arial"/>
                <w:color w:val="000000"/>
                <w:sz w:val="16"/>
                <w:szCs w:val="16"/>
              </w:rPr>
            </w:pPr>
            <w:r w:rsidRPr="00A00211">
              <w:rPr>
                <w:rFonts w:cs="Arial"/>
                <w:color w:val="000000"/>
                <w:sz w:val="16"/>
                <w:szCs w:val="16"/>
              </w:rPr>
              <w:t xml:space="preserve">19 160 </w:t>
            </w:r>
          </w:p>
        </w:tc>
      </w:tr>
      <w:tr w:rsidR="00D3033B" w:rsidRPr="00A00211" w:rsidTr="00D3033B">
        <w:trPr>
          <w:trHeight w:val="300"/>
        </w:trPr>
        <w:tc>
          <w:tcPr>
            <w:tcW w:w="1453"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rPr>
                <w:rFonts w:cs="Arial"/>
                <w:sz w:val="16"/>
                <w:szCs w:val="16"/>
              </w:rPr>
            </w:pPr>
            <w:r w:rsidRPr="00A00211">
              <w:rPr>
                <w:rFonts w:cs="Arial"/>
                <w:sz w:val="16"/>
                <w:szCs w:val="16"/>
              </w:rPr>
              <w:t>2013/14</w:t>
            </w:r>
          </w:p>
        </w:tc>
        <w:tc>
          <w:tcPr>
            <w:tcW w:w="638"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1 331 </w:t>
            </w:r>
          </w:p>
        </w:tc>
        <w:tc>
          <w:tcPr>
            <w:tcW w:w="771"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20 192 </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448 792 </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color w:val="000000"/>
                <w:sz w:val="16"/>
                <w:szCs w:val="16"/>
              </w:rPr>
            </w:pPr>
            <w:r w:rsidRPr="00A00211">
              <w:rPr>
                <w:rFonts w:cs="Arial"/>
                <w:color w:val="000000"/>
                <w:sz w:val="16"/>
                <w:szCs w:val="16"/>
              </w:rPr>
              <w:t xml:space="preserve">220 830 </w:t>
            </w:r>
          </w:p>
        </w:tc>
        <w:tc>
          <w:tcPr>
            <w:tcW w:w="110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120 053 </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90 076 </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color w:val="000000"/>
                <w:sz w:val="16"/>
                <w:szCs w:val="16"/>
              </w:rPr>
            </w:pPr>
            <w:r w:rsidRPr="00A00211">
              <w:rPr>
                <w:rFonts w:cs="Arial"/>
                <w:color w:val="000000"/>
                <w:sz w:val="16"/>
                <w:szCs w:val="16"/>
              </w:rPr>
              <w:t xml:space="preserve">9 147 </w:t>
            </w:r>
          </w:p>
        </w:tc>
        <w:tc>
          <w:tcPr>
            <w:tcW w:w="978" w:type="dxa"/>
            <w:tcBorders>
              <w:top w:val="nil"/>
              <w:left w:val="nil"/>
              <w:bottom w:val="nil"/>
              <w:right w:val="nil"/>
            </w:tcBorders>
            <w:shd w:val="clear" w:color="000000" w:fill="FFFFFF"/>
            <w:noWrap/>
            <w:vAlign w:val="bottom"/>
            <w:hideMark/>
          </w:tcPr>
          <w:p w:rsidR="00D3033B" w:rsidRPr="00A00211" w:rsidRDefault="00D3033B" w:rsidP="00D3033B">
            <w:pPr>
              <w:spacing w:after="0" w:line="240" w:lineRule="auto"/>
              <w:jc w:val="right"/>
              <w:rPr>
                <w:rFonts w:cs="Arial"/>
                <w:color w:val="000000"/>
                <w:sz w:val="16"/>
                <w:szCs w:val="16"/>
              </w:rPr>
            </w:pPr>
            <w:r w:rsidRPr="00A00211">
              <w:rPr>
                <w:rFonts w:cs="Arial"/>
                <w:color w:val="000000"/>
                <w:sz w:val="16"/>
                <w:szCs w:val="16"/>
              </w:rPr>
              <w:t xml:space="preserve">19 876 </w:t>
            </w:r>
          </w:p>
        </w:tc>
      </w:tr>
      <w:tr w:rsidR="00D3033B" w:rsidRPr="00A00211" w:rsidTr="00D3033B">
        <w:trPr>
          <w:trHeight w:val="300"/>
        </w:trPr>
        <w:tc>
          <w:tcPr>
            <w:tcW w:w="1453"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rPr>
                <w:rFonts w:cs="Arial"/>
                <w:sz w:val="16"/>
                <w:szCs w:val="16"/>
              </w:rPr>
            </w:pPr>
            <w:r w:rsidRPr="00A00211">
              <w:rPr>
                <w:rFonts w:cs="Arial"/>
                <w:sz w:val="16"/>
                <w:szCs w:val="16"/>
              </w:rPr>
              <w:t>2014/15</w:t>
            </w:r>
          </w:p>
        </w:tc>
        <w:tc>
          <w:tcPr>
            <w:tcW w:w="638"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1 310 </w:t>
            </w:r>
          </w:p>
        </w:tc>
        <w:tc>
          <w:tcPr>
            <w:tcW w:w="771"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19 771 </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435 542 </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color w:val="000000"/>
                <w:sz w:val="16"/>
                <w:szCs w:val="16"/>
              </w:rPr>
            </w:pPr>
            <w:r w:rsidRPr="00A00211">
              <w:rPr>
                <w:rFonts w:cs="Arial"/>
                <w:color w:val="000000"/>
                <w:sz w:val="16"/>
                <w:szCs w:val="16"/>
              </w:rPr>
              <w:t xml:space="preserve">214 988 </w:t>
            </w:r>
          </w:p>
        </w:tc>
        <w:tc>
          <w:tcPr>
            <w:tcW w:w="110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117 725 </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83 822 </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color w:val="000000"/>
                <w:sz w:val="16"/>
                <w:szCs w:val="16"/>
              </w:rPr>
            </w:pPr>
            <w:r w:rsidRPr="00A00211">
              <w:rPr>
                <w:rFonts w:cs="Arial"/>
                <w:color w:val="000000"/>
                <w:sz w:val="16"/>
                <w:szCs w:val="16"/>
              </w:rPr>
              <w:t xml:space="preserve">8 837 </w:t>
            </w:r>
          </w:p>
        </w:tc>
        <w:tc>
          <w:tcPr>
            <w:tcW w:w="978" w:type="dxa"/>
            <w:tcBorders>
              <w:top w:val="nil"/>
              <w:left w:val="nil"/>
              <w:bottom w:val="nil"/>
              <w:right w:val="nil"/>
            </w:tcBorders>
            <w:shd w:val="clear" w:color="000000" w:fill="FFFFFF"/>
            <w:noWrap/>
            <w:vAlign w:val="bottom"/>
            <w:hideMark/>
          </w:tcPr>
          <w:p w:rsidR="00D3033B" w:rsidRPr="00A00211" w:rsidRDefault="00D3033B" w:rsidP="00D3033B">
            <w:pPr>
              <w:spacing w:after="0" w:line="240" w:lineRule="auto"/>
              <w:jc w:val="right"/>
              <w:rPr>
                <w:rFonts w:cs="Arial"/>
                <w:color w:val="000000"/>
                <w:sz w:val="16"/>
                <w:szCs w:val="16"/>
              </w:rPr>
            </w:pPr>
            <w:r w:rsidRPr="00A00211">
              <w:rPr>
                <w:rFonts w:cs="Arial"/>
                <w:color w:val="000000"/>
                <w:sz w:val="16"/>
                <w:szCs w:val="16"/>
              </w:rPr>
              <w:t xml:space="preserve">19 835 </w:t>
            </w:r>
          </w:p>
        </w:tc>
      </w:tr>
      <w:tr w:rsidR="00D3033B" w:rsidRPr="00A00211" w:rsidTr="00D3033B">
        <w:trPr>
          <w:trHeight w:val="300"/>
        </w:trPr>
        <w:tc>
          <w:tcPr>
            <w:tcW w:w="1453"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rPr>
                <w:rFonts w:cs="Arial"/>
                <w:sz w:val="16"/>
                <w:szCs w:val="16"/>
              </w:rPr>
            </w:pPr>
            <w:r w:rsidRPr="00A00211">
              <w:rPr>
                <w:rFonts w:cs="Arial"/>
                <w:sz w:val="16"/>
                <w:szCs w:val="16"/>
              </w:rPr>
              <w:t>2015/16</w:t>
            </w:r>
          </w:p>
        </w:tc>
        <w:tc>
          <w:tcPr>
            <w:tcW w:w="638"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1 304 </w:t>
            </w:r>
          </w:p>
        </w:tc>
        <w:tc>
          <w:tcPr>
            <w:tcW w:w="771"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19 546 </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427 107 </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color w:val="000000"/>
                <w:sz w:val="16"/>
                <w:szCs w:val="16"/>
              </w:rPr>
            </w:pPr>
            <w:r w:rsidRPr="00A00211">
              <w:rPr>
                <w:rFonts w:cs="Arial"/>
                <w:color w:val="000000"/>
                <w:sz w:val="16"/>
                <w:szCs w:val="16"/>
              </w:rPr>
              <w:t xml:space="preserve">210 875 </w:t>
            </w:r>
          </w:p>
        </w:tc>
        <w:tc>
          <w:tcPr>
            <w:tcW w:w="110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116 077 </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78 385 </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color w:val="000000"/>
                <w:sz w:val="16"/>
                <w:szCs w:val="16"/>
              </w:rPr>
            </w:pPr>
            <w:r w:rsidRPr="00A00211">
              <w:rPr>
                <w:rFonts w:cs="Arial"/>
                <w:color w:val="000000"/>
                <w:sz w:val="16"/>
                <w:szCs w:val="16"/>
              </w:rPr>
              <w:t xml:space="preserve">8 763 </w:t>
            </w:r>
          </w:p>
        </w:tc>
        <w:tc>
          <w:tcPr>
            <w:tcW w:w="978" w:type="dxa"/>
            <w:tcBorders>
              <w:top w:val="nil"/>
              <w:left w:val="nil"/>
              <w:bottom w:val="nil"/>
              <w:right w:val="nil"/>
            </w:tcBorders>
            <w:shd w:val="clear" w:color="000000" w:fill="FFFFFF"/>
            <w:noWrap/>
            <w:vAlign w:val="bottom"/>
            <w:hideMark/>
          </w:tcPr>
          <w:p w:rsidR="00D3033B" w:rsidRPr="00A00211" w:rsidRDefault="00D3033B" w:rsidP="00D3033B">
            <w:pPr>
              <w:spacing w:after="0" w:line="240" w:lineRule="auto"/>
              <w:jc w:val="right"/>
              <w:rPr>
                <w:rFonts w:cs="Arial"/>
                <w:color w:val="000000"/>
                <w:sz w:val="16"/>
                <w:szCs w:val="16"/>
              </w:rPr>
            </w:pPr>
            <w:r w:rsidRPr="00A00211">
              <w:rPr>
                <w:rFonts w:cs="Arial"/>
                <w:color w:val="000000"/>
                <w:sz w:val="16"/>
                <w:szCs w:val="16"/>
              </w:rPr>
              <w:t xml:space="preserve">20 046 </w:t>
            </w:r>
          </w:p>
        </w:tc>
      </w:tr>
      <w:tr w:rsidR="00D3033B" w:rsidRPr="00A00211" w:rsidTr="00D3033B">
        <w:trPr>
          <w:trHeight w:val="300"/>
        </w:trPr>
        <w:tc>
          <w:tcPr>
            <w:tcW w:w="1453"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rPr>
                <w:rFonts w:cs="Arial"/>
                <w:sz w:val="16"/>
                <w:szCs w:val="16"/>
              </w:rPr>
            </w:pPr>
            <w:r w:rsidRPr="00A00211">
              <w:rPr>
                <w:rFonts w:cs="Arial"/>
                <w:sz w:val="16"/>
                <w:szCs w:val="16"/>
              </w:rPr>
              <w:t>2016/17</w:t>
            </w:r>
          </w:p>
        </w:tc>
        <w:tc>
          <w:tcPr>
            <w:tcW w:w="638"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1 307 </w:t>
            </w:r>
          </w:p>
        </w:tc>
        <w:tc>
          <w:tcPr>
            <w:tcW w:w="771"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19 380 </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424 849 </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color w:val="000000"/>
                <w:sz w:val="16"/>
                <w:szCs w:val="16"/>
              </w:rPr>
            </w:pPr>
            <w:r w:rsidRPr="00A00211">
              <w:rPr>
                <w:rFonts w:cs="Arial"/>
                <w:color w:val="000000"/>
                <w:sz w:val="16"/>
                <w:szCs w:val="16"/>
              </w:rPr>
              <w:t xml:space="preserve">209 632 </w:t>
            </w:r>
          </w:p>
        </w:tc>
        <w:tc>
          <w:tcPr>
            <w:tcW w:w="110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115 617 </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78 602 </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color w:val="000000"/>
                <w:sz w:val="16"/>
                <w:szCs w:val="16"/>
              </w:rPr>
            </w:pPr>
            <w:r w:rsidRPr="00A00211">
              <w:rPr>
                <w:rFonts w:cs="Arial"/>
                <w:color w:val="000000"/>
                <w:sz w:val="16"/>
                <w:szCs w:val="16"/>
              </w:rPr>
              <w:t xml:space="preserve">9 063 </w:t>
            </w:r>
          </w:p>
        </w:tc>
        <w:tc>
          <w:tcPr>
            <w:tcW w:w="978" w:type="dxa"/>
            <w:tcBorders>
              <w:top w:val="nil"/>
              <w:left w:val="nil"/>
              <w:bottom w:val="nil"/>
              <w:right w:val="nil"/>
            </w:tcBorders>
            <w:shd w:val="clear" w:color="000000" w:fill="FFFFFF"/>
            <w:noWrap/>
            <w:vAlign w:val="bottom"/>
            <w:hideMark/>
          </w:tcPr>
          <w:p w:rsidR="00D3033B" w:rsidRPr="00A00211" w:rsidRDefault="00D3033B" w:rsidP="00D3033B">
            <w:pPr>
              <w:spacing w:after="0" w:line="240" w:lineRule="auto"/>
              <w:jc w:val="right"/>
              <w:rPr>
                <w:rFonts w:cs="Arial"/>
                <w:color w:val="000000"/>
                <w:sz w:val="16"/>
                <w:szCs w:val="16"/>
              </w:rPr>
            </w:pPr>
            <w:r w:rsidRPr="00A00211">
              <w:rPr>
                <w:rFonts w:cs="Arial"/>
                <w:color w:val="000000"/>
                <w:sz w:val="16"/>
                <w:szCs w:val="16"/>
              </w:rPr>
              <w:t xml:space="preserve">20 335 </w:t>
            </w:r>
          </w:p>
        </w:tc>
      </w:tr>
      <w:tr w:rsidR="00D3033B" w:rsidRPr="00A00211" w:rsidTr="00D3033B">
        <w:trPr>
          <w:trHeight w:val="300"/>
        </w:trPr>
        <w:tc>
          <w:tcPr>
            <w:tcW w:w="1453"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rPr>
                <w:rFonts w:cs="Arial"/>
                <w:sz w:val="16"/>
                <w:szCs w:val="16"/>
              </w:rPr>
            </w:pPr>
            <w:r w:rsidRPr="00A00211">
              <w:rPr>
                <w:rFonts w:cs="Arial"/>
                <w:sz w:val="16"/>
                <w:szCs w:val="16"/>
              </w:rPr>
              <w:t>2017/18</w:t>
            </w:r>
          </w:p>
        </w:tc>
        <w:tc>
          <w:tcPr>
            <w:tcW w:w="638"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1 308 </w:t>
            </w:r>
          </w:p>
        </w:tc>
        <w:tc>
          <w:tcPr>
            <w:tcW w:w="771"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19 266 </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421 535 </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color w:val="000000"/>
                <w:sz w:val="16"/>
                <w:szCs w:val="16"/>
              </w:rPr>
            </w:pPr>
            <w:r w:rsidRPr="00A00211">
              <w:rPr>
                <w:rFonts w:cs="Arial"/>
                <w:color w:val="000000"/>
                <w:sz w:val="16"/>
                <w:szCs w:val="16"/>
              </w:rPr>
              <w:t xml:space="preserve">208 057 </w:t>
            </w:r>
          </w:p>
        </w:tc>
        <w:tc>
          <w:tcPr>
            <w:tcW w:w="110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sz w:val="16"/>
                <w:szCs w:val="16"/>
              </w:rPr>
            </w:pPr>
            <w:r w:rsidRPr="00A00211">
              <w:rPr>
                <w:rFonts w:cs="Arial"/>
                <w:sz w:val="16"/>
                <w:szCs w:val="16"/>
              </w:rPr>
              <w:t xml:space="preserve">114 041 </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center"/>
              <w:rPr>
                <w:rFonts w:cs="Arial"/>
                <w:i/>
                <w:iCs/>
                <w:sz w:val="16"/>
                <w:szCs w:val="16"/>
              </w:rPr>
            </w:pPr>
            <w:r w:rsidRPr="00A00211">
              <w:rPr>
                <w:rFonts w:cs="Arial"/>
                <w:i/>
                <w:iCs/>
                <w:sz w:val="16"/>
                <w:szCs w:val="16"/>
              </w:rPr>
              <w:t>.</w:t>
            </w:r>
          </w:p>
        </w:tc>
        <w:tc>
          <w:tcPr>
            <w:tcW w:w="960" w:type="dxa"/>
            <w:tcBorders>
              <w:top w:val="nil"/>
              <w:left w:val="nil"/>
              <w:bottom w:val="nil"/>
              <w:right w:val="single" w:sz="4" w:space="0" w:color="auto"/>
            </w:tcBorders>
            <w:shd w:val="clear" w:color="000000" w:fill="FFFFFF"/>
            <w:noWrap/>
            <w:vAlign w:val="center"/>
            <w:hideMark/>
          </w:tcPr>
          <w:p w:rsidR="00D3033B" w:rsidRPr="00A00211" w:rsidRDefault="00D3033B" w:rsidP="00D3033B">
            <w:pPr>
              <w:spacing w:after="0" w:line="240" w:lineRule="auto"/>
              <w:jc w:val="right"/>
              <w:rPr>
                <w:rFonts w:cs="Arial"/>
                <w:color w:val="000000"/>
                <w:sz w:val="16"/>
                <w:szCs w:val="16"/>
              </w:rPr>
            </w:pPr>
            <w:r w:rsidRPr="00A00211">
              <w:rPr>
                <w:rFonts w:cs="Arial"/>
                <w:color w:val="000000"/>
                <w:sz w:val="16"/>
                <w:szCs w:val="16"/>
              </w:rPr>
              <w:t xml:space="preserve">9 195 </w:t>
            </w:r>
          </w:p>
        </w:tc>
        <w:tc>
          <w:tcPr>
            <w:tcW w:w="978" w:type="dxa"/>
            <w:tcBorders>
              <w:top w:val="nil"/>
              <w:left w:val="nil"/>
              <w:bottom w:val="nil"/>
              <w:right w:val="nil"/>
            </w:tcBorders>
            <w:shd w:val="clear" w:color="000000" w:fill="FFFFFF"/>
            <w:noWrap/>
            <w:vAlign w:val="bottom"/>
            <w:hideMark/>
          </w:tcPr>
          <w:p w:rsidR="00D3033B" w:rsidRPr="00A00211" w:rsidRDefault="00D3033B" w:rsidP="00D3033B">
            <w:pPr>
              <w:numPr>
                <w:ilvl w:val="0"/>
                <w:numId w:val="34"/>
              </w:numPr>
              <w:spacing w:after="0" w:line="240" w:lineRule="auto"/>
              <w:jc w:val="right"/>
              <w:rPr>
                <w:rFonts w:cs="Arial"/>
                <w:color w:val="000000"/>
                <w:sz w:val="16"/>
                <w:szCs w:val="16"/>
              </w:rPr>
            </w:pPr>
            <w:r w:rsidRPr="00A00211">
              <w:rPr>
                <w:rFonts w:cs="Arial"/>
                <w:color w:val="000000"/>
                <w:sz w:val="16"/>
                <w:szCs w:val="16"/>
              </w:rPr>
              <w:t xml:space="preserve">16 </w:t>
            </w:r>
          </w:p>
        </w:tc>
      </w:tr>
    </w:tbl>
    <w:p w:rsidR="00D3033B" w:rsidRPr="00D3033B" w:rsidRDefault="00D3033B" w:rsidP="00D3033B">
      <w:pPr>
        <w:spacing w:after="0" w:line="276" w:lineRule="auto"/>
        <w:jc w:val="both"/>
        <w:rPr>
          <w:sz w:val="16"/>
          <w:szCs w:val="28"/>
        </w:rPr>
      </w:pPr>
      <w:r w:rsidRPr="00166B2C">
        <w:rPr>
          <w:sz w:val="16"/>
          <w:szCs w:val="28"/>
          <w:vertAlign w:val="superscript"/>
        </w:rPr>
        <w:t>1)</w:t>
      </w:r>
      <w:r w:rsidRPr="00D3033B">
        <w:rPr>
          <w:sz w:val="16"/>
          <w:szCs w:val="28"/>
        </w:rPr>
        <w:t xml:space="preserve"> Žáci se speciálními vzdělávacími spotřebami</w:t>
      </w:r>
    </w:p>
    <w:p w:rsidR="00D3033B" w:rsidRPr="00D3033B" w:rsidRDefault="00D3033B" w:rsidP="00D3033B">
      <w:pPr>
        <w:spacing w:after="0" w:line="276" w:lineRule="auto"/>
        <w:jc w:val="both"/>
        <w:rPr>
          <w:szCs w:val="28"/>
        </w:rPr>
      </w:pPr>
      <w:r w:rsidRPr="00D3033B">
        <w:rPr>
          <w:sz w:val="16"/>
          <w:szCs w:val="28"/>
        </w:rPr>
        <w:t>Zdroj: MŠMT</w:t>
      </w:r>
    </w:p>
    <w:p w:rsidR="00D3033B" w:rsidRPr="00D3033B" w:rsidRDefault="00D3033B" w:rsidP="00D3033B">
      <w:pPr>
        <w:spacing w:after="0" w:line="276" w:lineRule="auto"/>
        <w:ind w:left="714"/>
        <w:jc w:val="both"/>
        <w:rPr>
          <w:b/>
          <w:sz w:val="24"/>
          <w:szCs w:val="28"/>
        </w:rPr>
      </w:pPr>
    </w:p>
    <w:p w:rsidR="00D3033B" w:rsidRDefault="00D3033B" w:rsidP="00A365B0">
      <w:pPr>
        <w:pStyle w:val="Nadpis2"/>
      </w:pPr>
      <w:bookmarkStart w:id="41" w:name="_Toc523408616"/>
      <w:bookmarkStart w:id="42" w:name="_Toc523466201"/>
      <w:r w:rsidRPr="00A00211">
        <w:lastRenderedPageBreak/>
        <w:t>3.2 Typy středního vzdělávání</w:t>
      </w:r>
      <w:bookmarkEnd w:id="41"/>
      <w:bookmarkEnd w:id="42"/>
    </w:p>
    <w:p w:rsidR="00D3033B" w:rsidRDefault="00D3033B" w:rsidP="00D3033B">
      <w:pPr>
        <w:spacing w:line="276" w:lineRule="auto"/>
        <w:jc w:val="both"/>
        <w:rPr>
          <w:b/>
          <w:color w:val="C00000"/>
          <w:sz w:val="28"/>
          <w:szCs w:val="28"/>
        </w:rPr>
      </w:pPr>
      <w:r>
        <w:rPr>
          <w:b/>
          <w:noProof/>
          <w:color w:val="C00000"/>
          <w:sz w:val="28"/>
          <w:szCs w:val="28"/>
        </w:rPr>
        <w:drawing>
          <wp:inline distT="0" distB="0" distL="0" distR="0" wp14:anchorId="0897EC94" wp14:editId="475BA8B5">
            <wp:extent cx="5486400" cy="6696000"/>
            <wp:effectExtent l="0" t="0" r="19050" b="1016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D3033B" w:rsidRPr="0079487B" w:rsidRDefault="00166B2C" w:rsidP="00166B2C">
      <w:pPr>
        <w:spacing w:after="60" w:line="276" w:lineRule="auto"/>
        <w:jc w:val="both"/>
        <w:rPr>
          <w:rFonts w:cs="Arial"/>
          <w:b/>
          <w:sz w:val="24"/>
        </w:rPr>
      </w:pPr>
      <w:r>
        <w:rPr>
          <w:rFonts w:cs="Arial"/>
          <w:b/>
          <w:color w:val="C00000"/>
          <w:sz w:val="28"/>
          <w:szCs w:val="28"/>
        </w:rPr>
        <w:br w:type="page"/>
      </w:r>
      <w:r w:rsidR="00D3033B" w:rsidRPr="00284BD5">
        <w:rPr>
          <w:rFonts w:cs="Arial"/>
          <w:b/>
          <w:bCs/>
          <w:szCs w:val="20"/>
        </w:rPr>
        <w:lastRenderedPageBreak/>
        <w:t xml:space="preserve">Tab. 6 Střední vzdělávání </w:t>
      </w:r>
      <w:r w:rsidR="00D3033B">
        <w:rPr>
          <w:rFonts w:cs="Arial"/>
          <w:b/>
          <w:bCs/>
          <w:szCs w:val="20"/>
        </w:rPr>
        <w:t>v ČR v letech 2007/2008 až 2017/2018 –</w:t>
      </w:r>
      <w:r w:rsidR="00D3033B" w:rsidRPr="00284BD5">
        <w:rPr>
          <w:rFonts w:cs="Arial"/>
          <w:b/>
          <w:bCs/>
          <w:szCs w:val="20"/>
        </w:rPr>
        <w:t xml:space="preserve"> školy, třídy, žáci dle druhu </w:t>
      </w:r>
      <w:r w:rsidR="00760CB8">
        <w:rPr>
          <w:rFonts w:cs="Arial"/>
          <w:b/>
          <w:bCs/>
          <w:szCs w:val="20"/>
        </w:rPr>
        <w:t>středního vzdělávání</w:t>
      </w:r>
    </w:p>
    <w:tbl>
      <w:tblPr>
        <w:tblW w:w="9540" w:type="dxa"/>
        <w:tblInd w:w="57" w:type="dxa"/>
        <w:tblCellMar>
          <w:left w:w="70" w:type="dxa"/>
          <w:right w:w="70" w:type="dxa"/>
        </w:tblCellMar>
        <w:tblLook w:val="04A0" w:firstRow="1" w:lastRow="0" w:firstColumn="1" w:lastColumn="0" w:noHBand="0" w:noVBand="1"/>
      </w:tblPr>
      <w:tblGrid>
        <w:gridCol w:w="1344"/>
        <w:gridCol w:w="586"/>
        <w:gridCol w:w="506"/>
        <w:gridCol w:w="639"/>
        <w:gridCol w:w="585"/>
        <w:gridCol w:w="639"/>
        <w:gridCol w:w="905"/>
        <w:gridCol w:w="639"/>
        <w:gridCol w:w="772"/>
        <w:gridCol w:w="905"/>
        <w:gridCol w:w="660"/>
        <w:gridCol w:w="620"/>
        <w:gridCol w:w="740"/>
      </w:tblGrid>
      <w:tr w:rsidR="00D3033B" w:rsidRPr="00284BD5" w:rsidTr="00D3033B">
        <w:trPr>
          <w:trHeight w:val="300"/>
        </w:trPr>
        <w:tc>
          <w:tcPr>
            <w:tcW w:w="1344" w:type="dxa"/>
            <w:vMerge w:val="restart"/>
            <w:tcBorders>
              <w:top w:val="nil"/>
              <w:left w:val="nil"/>
              <w:bottom w:val="single" w:sz="4" w:space="0" w:color="auto"/>
              <w:right w:val="single" w:sz="4" w:space="0" w:color="auto"/>
            </w:tcBorders>
            <w:shd w:val="clear" w:color="000000" w:fill="F2DDDC"/>
            <w:vAlign w:val="center"/>
            <w:hideMark/>
          </w:tcPr>
          <w:p w:rsidR="00D3033B" w:rsidRPr="00284BD5" w:rsidRDefault="00D3033B" w:rsidP="00D3033B">
            <w:pPr>
              <w:spacing w:after="0" w:line="240" w:lineRule="auto"/>
              <w:jc w:val="center"/>
              <w:rPr>
                <w:rFonts w:cs="Arial"/>
                <w:sz w:val="16"/>
                <w:szCs w:val="16"/>
              </w:rPr>
            </w:pPr>
            <w:r w:rsidRPr="00284BD5">
              <w:rPr>
                <w:rFonts w:cs="Arial"/>
                <w:sz w:val="16"/>
                <w:szCs w:val="16"/>
              </w:rPr>
              <w:t>školní</w:t>
            </w:r>
            <w:r w:rsidRPr="00284BD5">
              <w:rPr>
                <w:rFonts w:cs="Arial"/>
                <w:sz w:val="16"/>
                <w:szCs w:val="16"/>
              </w:rPr>
              <w:br/>
              <w:t>rok</w:t>
            </w:r>
          </w:p>
        </w:tc>
        <w:tc>
          <w:tcPr>
            <w:tcW w:w="8196" w:type="dxa"/>
            <w:gridSpan w:val="12"/>
            <w:tcBorders>
              <w:top w:val="nil"/>
              <w:left w:val="nil"/>
              <w:bottom w:val="single" w:sz="4" w:space="0" w:color="auto"/>
            </w:tcBorders>
            <w:shd w:val="clear" w:color="000000" w:fill="F2DDDC"/>
            <w:noWrap/>
            <w:vAlign w:val="center"/>
            <w:hideMark/>
          </w:tcPr>
          <w:p w:rsidR="00D3033B" w:rsidRPr="00284BD5" w:rsidRDefault="00D3033B" w:rsidP="00D3033B">
            <w:pPr>
              <w:spacing w:after="0" w:line="240" w:lineRule="auto"/>
              <w:jc w:val="center"/>
              <w:rPr>
                <w:rFonts w:cs="Arial"/>
                <w:color w:val="000000"/>
                <w:sz w:val="16"/>
                <w:szCs w:val="16"/>
              </w:rPr>
            </w:pPr>
            <w:r w:rsidRPr="00284BD5">
              <w:rPr>
                <w:rFonts w:cs="Arial"/>
                <w:color w:val="000000"/>
                <w:sz w:val="16"/>
                <w:szCs w:val="16"/>
              </w:rPr>
              <w:t>druh středního vzdělávání</w:t>
            </w:r>
          </w:p>
        </w:tc>
      </w:tr>
      <w:tr w:rsidR="00D3033B" w:rsidRPr="00284BD5" w:rsidTr="00D3033B">
        <w:trPr>
          <w:trHeight w:val="300"/>
        </w:trPr>
        <w:tc>
          <w:tcPr>
            <w:tcW w:w="1344" w:type="dxa"/>
            <w:vMerge/>
            <w:tcBorders>
              <w:top w:val="nil"/>
              <w:left w:val="nil"/>
              <w:bottom w:val="single" w:sz="4" w:space="0" w:color="auto"/>
              <w:right w:val="single" w:sz="4" w:space="0" w:color="auto"/>
            </w:tcBorders>
            <w:vAlign w:val="center"/>
            <w:hideMark/>
          </w:tcPr>
          <w:p w:rsidR="00D3033B" w:rsidRPr="00284BD5" w:rsidRDefault="00D3033B" w:rsidP="00D3033B">
            <w:pPr>
              <w:spacing w:after="0" w:line="240" w:lineRule="auto"/>
              <w:rPr>
                <w:rFonts w:cs="Arial"/>
                <w:sz w:val="16"/>
                <w:szCs w:val="16"/>
              </w:rPr>
            </w:pPr>
          </w:p>
        </w:tc>
        <w:tc>
          <w:tcPr>
            <w:tcW w:w="1731" w:type="dxa"/>
            <w:gridSpan w:val="3"/>
            <w:tcBorders>
              <w:top w:val="single" w:sz="4" w:space="0" w:color="auto"/>
              <w:left w:val="nil"/>
              <w:bottom w:val="single" w:sz="4" w:space="0" w:color="auto"/>
              <w:right w:val="single" w:sz="4" w:space="0" w:color="auto"/>
            </w:tcBorders>
            <w:shd w:val="clear" w:color="000000" w:fill="F2DDDC"/>
            <w:noWrap/>
            <w:vAlign w:val="center"/>
            <w:hideMark/>
          </w:tcPr>
          <w:p w:rsidR="00D3033B" w:rsidRPr="00284BD5" w:rsidRDefault="00D3033B" w:rsidP="00D3033B">
            <w:pPr>
              <w:spacing w:after="0" w:line="240" w:lineRule="auto"/>
              <w:jc w:val="center"/>
              <w:rPr>
                <w:rFonts w:cs="Arial"/>
                <w:color w:val="000000"/>
                <w:sz w:val="16"/>
                <w:szCs w:val="16"/>
              </w:rPr>
            </w:pPr>
            <w:r w:rsidRPr="00284BD5">
              <w:rPr>
                <w:rFonts w:cs="Arial"/>
                <w:color w:val="000000"/>
                <w:sz w:val="16"/>
                <w:szCs w:val="16"/>
              </w:rPr>
              <w:t>(nižší) střední</w:t>
            </w:r>
            <w:r w:rsidRPr="00284BD5">
              <w:rPr>
                <w:rFonts w:cs="Arial"/>
                <w:color w:val="000000"/>
                <w:sz w:val="16"/>
                <w:szCs w:val="16"/>
                <w:vertAlign w:val="superscript"/>
              </w:rPr>
              <w:t xml:space="preserve"> </w:t>
            </w:r>
          </w:p>
        </w:tc>
        <w:tc>
          <w:tcPr>
            <w:tcW w:w="2129" w:type="dxa"/>
            <w:gridSpan w:val="3"/>
            <w:tcBorders>
              <w:top w:val="single" w:sz="4" w:space="0" w:color="auto"/>
              <w:left w:val="nil"/>
              <w:bottom w:val="single" w:sz="4" w:space="0" w:color="auto"/>
              <w:right w:val="single" w:sz="4" w:space="0" w:color="auto"/>
            </w:tcBorders>
            <w:shd w:val="clear" w:color="000000" w:fill="F2DDDC"/>
            <w:noWrap/>
            <w:vAlign w:val="center"/>
            <w:hideMark/>
          </w:tcPr>
          <w:p w:rsidR="00D3033B" w:rsidRPr="00284BD5" w:rsidRDefault="00D3033B" w:rsidP="00D3033B">
            <w:pPr>
              <w:spacing w:after="0" w:line="240" w:lineRule="auto"/>
              <w:jc w:val="center"/>
              <w:rPr>
                <w:rFonts w:cs="Arial"/>
                <w:color w:val="000000"/>
                <w:sz w:val="16"/>
                <w:szCs w:val="16"/>
              </w:rPr>
            </w:pPr>
            <w:r w:rsidRPr="00284BD5">
              <w:rPr>
                <w:rFonts w:cs="Arial"/>
                <w:color w:val="000000"/>
                <w:sz w:val="16"/>
                <w:szCs w:val="16"/>
              </w:rPr>
              <w:t>střední s výučním listem</w:t>
            </w:r>
          </w:p>
        </w:tc>
        <w:tc>
          <w:tcPr>
            <w:tcW w:w="2316" w:type="dxa"/>
            <w:gridSpan w:val="3"/>
            <w:tcBorders>
              <w:top w:val="single" w:sz="4" w:space="0" w:color="auto"/>
              <w:left w:val="nil"/>
              <w:bottom w:val="single" w:sz="4" w:space="0" w:color="auto"/>
              <w:right w:val="single" w:sz="4" w:space="0" w:color="auto"/>
            </w:tcBorders>
            <w:shd w:val="clear" w:color="000000" w:fill="F2DDDC"/>
            <w:noWrap/>
            <w:vAlign w:val="center"/>
            <w:hideMark/>
          </w:tcPr>
          <w:p w:rsidR="00D3033B" w:rsidRPr="00284BD5" w:rsidRDefault="00D3033B" w:rsidP="00D3033B">
            <w:pPr>
              <w:spacing w:after="0" w:line="240" w:lineRule="auto"/>
              <w:jc w:val="center"/>
              <w:rPr>
                <w:rFonts w:cs="Arial"/>
                <w:color w:val="000000"/>
                <w:sz w:val="16"/>
                <w:szCs w:val="16"/>
              </w:rPr>
            </w:pPr>
            <w:r w:rsidRPr="00284BD5">
              <w:rPr>
                <w:rFonts w:cs="Arial"/>
                <w:color w:val="000000"/>
                <w:sz w:val="16"/>
                <w:szCs w:val="16"/>
              </w:rPr>
              <w:t>střední s maturitní zkouškou</w:t>
            </w:r>
          </w:p>
        </w:tc>
        <w:tc>
          <w:tcPr>
            <w:tcW w:w="2020" w:type="dxa"/>
            <w:gridSpan w:val="3"/>
            <w:tcBorders>
              <w:top w:val="single" w:sz="4" w:space="0" w:color="auto"/>
              <w:left w:val="nil"/>
              <w:bottom w:val="single" w:sz="4" w:space="0" w:color="auto"/>
            </w:tcBorders>
            <w:shd w:val="clear" w:color="000000" w:fill="F2DDDC"/>
            <w:noWrap/>
            <w:vAlign w:val="center"/>
            <w:hideMark/>
          </w:tcPr>
          <w:p w:rsidR="00D3033B" w:rsidRPr="00284BD5" w:rsidRDefault="00D3033B" w:rsidP="00D3033B">
            <w:pPr>
              <w:spacing w:after="0" w:line="240" w:lineRule="auto"/>
              <w:jc w:val="center"/>
              <w:rPr>
                <w:rFonts w:cs="Arial"/>
                <w:color w:val="000000"/>
                <w:sz w:val="16"/>
                <w:szCs w:val="16"/>
              </w:rPr>
            </w:pPr>
            <w:r w:rsidRPr="00284BD5">
              <w:rPr>
                <w:rFonts w:cs="Arial"/>
                <w:color w:val="000000"/>
                <w:sz w:val="16"/>
                <w:szCs w:val="16"/>
              </w:rPr>
              <w:t>nástavbové</w:t>
            </w:r>
          </w:p>
        </w:tc>
      </w:tr>
      <w:tr w:rsidR="00D3033B" w:rsidRPr="00284BD5" w:rsidTr="00D3033B">
        <w:trPr>
          <w:trHeight w:val="300"/>
        </w:trPr>
        <w:tc>
          <w:tcPr>
            <w:tcW w:w="1344" w:type="dxa"/>
            <w:vMerge/>
            <w:tcBorders>
              <w:top w:val="nil"/>
              <w:left w:val="nil"/>
              <w:bottom w:val="single" w:sz="4" w:space="0" w:color="auto"/>
              <w:right w:val="single" w:sz="4" w:space="0" w:color="auto"/>
            </w:tcBorders>
            <w:vAlign w:val="center"/>
            <w:hideMark/>
          </w:tcPr>
          <w:p w:rsidR="00D3033B" w:rsidRPr="00284BD5" w:rsidRDefault="00D3033B" w:rsidP="00D3033B">
            <w:pPr>
              <w:spacing w:after="0" w:line="240" w:lineRule="auto"/>
              <w:rPr>
                <w:rFonts w:cs="Arial"/>
                <w:sz w:val="16"/>
                <w:szCs w:val="16"/>
              </w:rPr>
            </w:pPr>
          </w:p>
        </w:tc>
        <w:tc>
          <w:tcPr>
            <w:tcW w:w="586" w:type="dxa"/>
            <w:vMerge w:val="restart"/>
            <w:tcBorders>
              <w:top w:val="nil"/>
              <w:left w:val="single" w:sz="4" w:space="0" w:color="auto"/>
              <w:bottom w:val="single" w:sz="4" w:space="0" w:color="auto"/>
              <w:right w:val="single" w:sz="4" w:space="0" w:color="auto"/>
            </w:tcBorders>
            <w:shd w:val="clear" w:color="000000" w:fill="F2DDDC"/>
            <w:noWrap/>
            <w:vAlign w:val="center"/>
            <w:hideMark/>
          </w:tcPr>
          <w:p w:rsidR="00D3033B" w:rsidRPr="00284BD5" w:rsidRDefault="00D3033B" w:rsidP="00D3033B">
            <w:pPr>
              <w:spacing w:after="0" w:line="240" w:lineRule="auto"/>
              <w:jc w:val="center"/>
              <w:rPr>
                <w:rFonts w:cs="Arial"/>
                <w:color w:val="000000"/>
                <w:sz w:val="16"/>
                <w:szCs w:val="16"/>
              </w:rPr>
            </w:pPr>
            <w:r w:rsidRPr="00284BD5">
              <w:rPr>
                <w:rFonts w:cs="Arial"/>
                <w:color w:val="000000"/>
                <w:sz w:val="16"/>
                <w:szCs w:val="16"/>
              </w:rPr>
              <w:t xml:space="preserve">školy </w:t>
            </w:r>
          </w:p>
        </w:tc>
        <w:tc>
          <w:tcPr>
            <w:tcW w:w="506" w:type="dxa"/>
            <w:vMerge w:val="restart"/>
            <w:tcBorders>
              <w:top w:val="nil"/>
              <w:left w:val="single" w:sz="4" w:space="0" w:color="auto"/>
              <w:bottom w:val="single" w:sz="4" w:space="0" w:color="auto"/>
              <w:right w:val="single" w:sz="4" w:space="0" w:color="auto"/>
            </w:tcBorders>
            <w:shd w:val="clear" w:color="000000" w:fill="F2DDDC"/>
            <w:noWrap/>
            <w:vAlign w:val="center"/>
            <w:hideMark/>
          </w:tcPr>
          <w:p w:rsidR="00D3033B" w:rsidRPr="00284BD5" w:rsidRDefault="00D3033B" w:rsidP="00D3033B">
            <w:pPr>
              <w:spacing w:after="0" w:line="240" w:lineRule="auto"/>
              <w:jc w:val="center"/>
              <w:rPr>
                <w:rFonts w:cs="Arial"/>
                <w:color w:val="000000"/>
                <w:sz w:val="16"/>
                <w:szCs w:val="16"/>
              </w:rPr>
            </w:pPr>
            <w:r w:rsidRPr="00284BD5">
              <w:rPr>
                <w:rFonts w:cs="Arial"/>
                <w:color w:val="000000"/>
                <w:sz w:val="16"/>
                <w:szCs w:val="16"/>
              </w:rPr>
              <w:t>třídy</w:t>
            </w:r>
          </w:p>
        </w:tc>
        <w:tc>
          <w:tcPr>
            <w:tcW w:w="639" w:type="dxa"/>
            <w:vMerge w:val="restart"/>
            <w:tcBorders>
              <w:top w:val="nil"/>
              <w:left w:val="single" w:sz="4" w:space="0" w:color="auto"/>
              <w:bottom w:val="single" w:sz="4" w:space="0" w:color="auto"/>
              <w:right w:val="single" w:sz="4" w:space="0" w:color="auto"/>
            </w:tcBorders>
            <w:shd w:val="clear" w:color="000000" w:fill="F2DDDC"/>
            <w:noWrap/>
            <w:vAlign w:val="center"/>
            <w:hideMark/>
          </w:tcPr>
          <w:p w:rsidR="00D3033B" w:rsidRPr="00284BD5" w:rsidRDefault="00D3033B" w:rsidP="00D3033B">
            <w:pPr>
              <w:spacing w:after="0" w:line="240" w:lineRule="auto"/>
              <w:jc w:val="center"/>
              <w:rPr>
                <w:rFonts w:cs="Arial"/>
                <w:color w:val="000000"/>
                <w:sz w:val="16"/>
                <w:szCs w:val="16"/>
              </w:rPr>
            </w:pPr>
            <w:r w:rsidRPr="00284BD5">
              <w:rPr>
                <w:rFonts w:cs="Arial"/>
                <w:color w:val="000000"/>
                <w:sz w:val="16"/>
                <w:szCs w:val="16"/>
              </w:rPr>
              <w:t>žáci</w:t>
            </w:r>
          </w:p>
        </w:tc>
        <w:tc>
          <w:tcPr>
            <w:tcW w:w="585" w:type="dxa"/>
            <w:vMerge w:val="restart"/>
            <w:tcBorders>
              <w:top w:val="nil"/>
              <w:left w:val="single" w:sz="4" w:space="0" w:color="auto"/>
              <w:bottom w:val="single" w:sz="4" w:space="0" w:color="auto"/>
              <w:right w:val="single" w:sz="4" w:space="0" w:color="auto"/>
            </w:tcBorders>
            <w:shd w:val="clear" w:color="000000" w:fill="F2DDDC"/>
            <w:noWrap/>
            <w:vAlign w:val="center"/>
            <w:hideMark/>
          </w:tcPr>
          <w:p w:rsidR="00D3033B" w:rsidRPr="00284BD5" w:rsidRDefault="00D3033B" w:rsidP="00D3033B">
            <w:pPr>
              <w:spacing w:after="0" w:line="240" w:lineRule="auto"/>
              <w:jc w:val="center"/>
              <w:rPr>
                <w:rFonts w:cs="Arial"/>
                <w:color w:val="000000"/>
                <w:sz w:val="16"/>
                <w:szCs w:val="16"/>
              </w:rPr>
            </w:pPr>
            <w:r w:rsidRPr="00284BD5">
              <w:rPr>
                <w:rFonts w:cs="Arial"/>
                <w:color w:val="000000"/>
                <w:sz w:val="16"/>
                <w:szCs w:val="16"/>
              </w:rPr>
              <w:t xml:space="preserve">školy </w:t>
            </w:r>
          </w:p>
        </w:tc>
        <w:tc>
          <w:tcPr>
            <w:tcW w:w="639" w:type="dxa"/>
            <w:vMerge w:val="restart"/>
            <w:tcBorders>
              <w:top w:val="nil"/>
              <w:left w:val="single" w:sz="4" w:space="0" w:color="auto"/>
              <w:bottom w:val="single" w:sz="4" w:space="0" w:color="auto"/>
              <w:right w:val="single" w:sz="4" w:space="0" w:color="auto"/>
            </w:tcBorders>
            <w:shd w:val="clear" w:color="000000" w:fill="F2DDDC"/>
            <w:noWrap/>
            <w:vAlign w:val="center"/>
            <w:hideMark/>
          </w:tcPr>
          <w:p w:rsidR="00D3033B" w:rsidRPr="00284BD5" w:rsidRDefault="00D3033B" w:rsidP="00D3033B">
            <w:pPr>
              <w:spacing w:after="0" w:line="240" w:lineRule="auto"/>
              <w:jc w:val="center"/>
              <w:rPr>
                <w:rFonts w:cs="Arial"/>
                <w:color w:val="000000"/>
                <w:sz w:val="16"/>
                <w:szCs w:val="16"/>
              </w:rPr>
            </w:pPr>
            <w:r w:rsidRPr="00284BD5">
              <w:rPr>
                <w:rFonts w:cs="Arial"/>
                <w:color w:val="000000"/>
                <w:sz w:val="16"/>
                <w:szCs w:val="16"/>
              </w:rPr>
              <w:t>třídy</w:t>
            </w:r>
          </w:p>
        </w:tc>
        <w:tc>
          <w:tcPr>
            <w:tcW w:w="905" w:type="dxa"/>
            <w:vMerge w:val="restart"/>
            <w:tcBorders>
              <w:top w:val="nil"/>
              <w:left w:val="single" w:sz="4" w:space="0" w:color="auto"/>
              <w:bottom w:val="single" w:sz="4" w:space="0" w:color="auto"/>
              <w:right w:val="single" w:sz="4" w:space="0" w:color="auto"/>
            </w:tcBorders>
            <w:shd w:val="clear" w:color="000000" w:fill="F2DDDC"/>
            <w:noWrap/>
            <w:vAlign w:val="center"/>
            <w:hideMark/>
          </w:tcPr>
          <w:p w:rsidR="00D3033B" w:rsidRPr="00284BD5" w:rsidRDefault="00D3033B" w:rsidP="00D3033B">
            <w:pPr>
              <w:spacing w:after="0" w:line="240" w:lineRule="auto"/>
              <w:jc w:val="center"/>
              <w:rPr>
                <w:rFonts w:cs="Arial"/>
                <w:color w:val="000000"/>
                <w:sz w:val="16"/>
                <w:szCs w:val="16"/>
              </w:rPr>
            </w:pPr>
            <w:r w:rsidRPr="00284BD5">
              <w:rPr>
                <w:rFonts w:cs="Arial"/>
                <w:color w:val="000000"/>
                <w:sz w:val="16"/>
                <w:szCs w:val="16"/>
              </w:rPr>
              <w:t>žáci</w:t>
            </w:r>
          </w:p>
        </w:tc>
        <w:tc>
          <w:tcPr>
            <w:tcW w:w="639" w:type="dxa"/>
            <w:vMerge w:val="restart"/>
            <w:tcBorders>
              <w:top w:val="nil"/>
              <w:left w:val="single" w:sz="4" w:space="0" w:color="auto"/>
              <w:bottom w:val="single" w:sz="4" w:space="0" w:color="auto"/>
              <w:right w:val="single" w:sz="4" w:space="0" w:color="auto"/>
            </w:tcBorders>
            <w:shd w:val="clear" w:color="000000" w:fill="F2DDDC"/>
            <w:noWrap/>
            <w:vAlign w:val="center"/>
            <w:hideMark/>
          </w:tcPr>
          <w:p w:rsidR="00D3033B" w:rsidRPr="00284BD5" w:rsidRDefault="00D3033B" w:rsidP="00D3033B">
            <w:pPr>
              <w:spacing w:after="0" w:line="240" w:lineRule="auto"/>
              <w:jc w:val="center"/>
              <w:rPr>
                <w:rFonts w:cs="Arial"/>
                <w:color w:val="000000"/>
                <w:sz w:val="16"/>
                <w:szCs w:val="16"/>
              </w:rPr>
            </w:pPr>
            <w:r w:rsidRPr="00284BD5">
              <w:rPr>
                <w:rFonts w:cs="Arial"/>
                <w:color w:val="000000"/>
                <w:sz w:val="16"/>
                <w:szCs w:val="16"/>
              </w:rPr>
              <w:t xml:space="preserve">školy </w:t>
            </w:r>
          </w:p>
        </w:tc>
        <w:tc>
          <w:tcPr>
            <w:tcW w:w="772" w:type="dxa"/>
            <w:vMerge w:val="restart"/>
            <w:tcBorders>
              <w:top w:val="nil"/>
              <w:left w:val="single" w:sz="4" w:space="0" w:color="auto"/>
              <w:bottom w:val="single" w:sz="4" w:space="0" w:color="auto"/>
              <w:right w:val="single" w:sz="4" w:space="0" w:color="auto"/>
            </w:tcBorders>
            <w:shd w:val="clear" w:color="000000" w:fill="F2DDDC"/>
            <w:noWrap/>
            <w:vAlign w:val="center"/>
            <w:hideMark/>
          </w:tcPr>
          <w:p w:rsidR="00D3033B" w:rsidRPr="00284BD5" w:rsidRDefault="00D3033B" w:rsidP="00D3033B">
            <w:pPr>
              <w:spacing w:after="0" w:line="240" w:lineRule="auto"/>
              <w:jc w:val="center"/>
              <w:rPr>
                <w:rFonts w:cs="Arial"/>
                <w:color w:val="000000"/>
                <w:sz w:val="16"/>
                <w:szCs w:val="16"/>
              </w:rPr>
            </w:pPr>
            <w:r w:rsidRPr="00284BD5">
              <w:rPr>
                <w:rFonts w:cs="Arial"/>
                <w:color w:val="000000"/>
                <w:sz w:val="16"/>
                <w:szCs w:val="16"/>
              </w:rPr>
              <w:t>třídy</w:t>
            </w:r>
          </w:p>
        </w:tc>
        <w:tc>
          <w:tcPr>
            <w:tcW w:w="905" w:type="dxa"/>
            <w:vMerge w:val="restart"/>
            <w:tcBorders>
              <w:top w:val="nil"/>
              <w:left w:val="single" w:sz="4" w:space="0" w:color="auto"/>
              <w:bottom w:val="single" w:sz="4" w:space="0" w:color="auto"/>
              <w:right w:val="single" w:sz="4" w:space="0" w:color="auto"/>
            </w:tcBorders>
            <w:shd w:val="clear" w:color="000000" w:fill="F2DDDC"/>
            <w:noWrap/>
            <w:vAlign w:val="center"/>
            <w:hideMark/>
          </w:tcPr>
          <w:p w:rsidR="00D3033B" w:rsidRPr="00284BD5" w:rsidRDefault="00D3033B" w:rsidP="00D3033B">
            <w:pPr>
              <w:spacing w:after="0" w:line="240" w:lineRule="auto"/>
              <w:jc w:val="center"/>
              <w:rPr>
                <w:rFonts w:cs="Arial"/>
                <w:color w:val="000000"/>
                <w:sz w:val="16"/>
                <w:szCs w:val="16"/>
              </w:rPr>
            </w:pPr>
            <w:r w:rsidRPr="00284BD5">
              <w:rPr>
                <w:rFonts w:cs="Arial"/>
                <w:color w:val="000000"/>
                <w:sz w:val="16"/>
                <w:szCs w:val="16"/>
              </w:rPr>
              <w:t>žáci</w:t>
            </w:r>
          </w:p>
        </w:tc>
        <w:tc>
          <w:tcPr>
            <w:tcW w:w="660" w:type="dxa"/>
            <w:vMerge w:val="restart"/>
            <w:tcBorders>
              <w:top w:val="nil"/>
              <w:left w:val="single" w:sz="4" w:space="0" w:color="auto"/>
              <w:bottom w:val="single" w:sz="4" w:space="0" w:color="auto"/>
              <w:right w:val="single" w:sz="4" w:space="0" w:color="auto"/>
            </w:tcBorders>
            <w:shd w:val="clear" w:color="000000" w:fill="F2DDDC"/>
            <w:noWrap/>
            <w:vAlign w:val="center"/>
            <w:hideMark/>
          </w:tcPr>
          <w:p w:rsidR="00D3033B" w:rsidRPr="00284BD5" w:rsidRDefault="00D3033B" w:rsidP="00D3033B">
            <w:pPr>
              <w:spacing w:after="0" w:line="240" w:lineRule="auto"/>
              <w:jc w:val="center"/>
              <w:rPr>
                <w:rFonts w:cs="Arial"/>
                <w:color w:val="000000"/>
                <w:sz w:val="16"/>
                <w:szCs w:val="16"/>
              </w:rPr>
            </w:pPr>
            <w:r w:rsidRPr="00284BD5">
              <w:rPr>
                <w:rFonts w:cs="Arial"/>
                <w:color w:val="000000"/>
                <w:sz w:val="16"/>
                <w:szCs w:val="16"/>
              </w:rPr>
              <w:t xml:space="preserve">školy </w:t>
            </w:r>
          </w:p>
        </w:tc>
        <w:tc>
          <w:tcPr>
            <w:tcW w:w="620" w:type="dxa"/>
            <w:vMerge w:val="restart"/>
            <w:tcBorders>
              <w:top w:val="nil"/>
              <w:left w:val="single" w:sz="4" w:space="0" w:color="auto"/>
              <w:bottom w:val="single" w:sz="4" w:space="0" w:color="auto"/>
              <w:right w:val="single" w:sz="4" w:space="0" w:color="auto"/>
            </w:tcBorders>
            <w:shd w:val="clear" w:color="000000" w:fill="F2DDDC"/>
            <w:noWrap/>
            <w:vAlign w:val="center"/>
            <w:hideMark/>
          </w:tcPr>
          <w:p w:rsidR="00D3033B" w:rsidRPr="00284BD5" w:rsidRDefault="00D3033B" w:rsidP="00D3033B">
            <w:pPr>
              <w:spacing w:after="0" w:line="240" w:lineRule="auto"/>
              <w:jc w:val="center"/>
              <w:rPr>
                <w:rFonts w:cs="Arial"/>
                <w:color w:val="000000"/>
                <w:sz w:val="16"/>
                <w:szCs w:val="16"/>
              </w:rPr>
            </w:pPr>
            <w:r w:rsidRPr="00284BD5">
              <w:rPr>
                <w:rFonts w:cs="Arial"/>
                <w:color w:val="000000"/>
                <w:sz w:val="16"/>
                <w:szCs w:val="16"/>
              </w:rPr>
              <w:t>třídy</w:t>
            </w:r>
          </w:p>
        </w:tc>
        <w:tc>
          <w:tcPr>
            <w:tcW w:w="740" w:type="dxa"/>
            <w:vMerge w:val="restart"/>
            <w:tcBorders>
              <w:top w:val="nil"/>
              <w:left w:val="single" w:sz="4" w:space="0" w:color="auto"/>
              <w:bottom w:val="single" w:sz="4" w:space="0" w:color="auto"/>
              <w:right w:val="nil"/>
            </w:tcBorders>
            <w:shd w:val="clear" w:color="000000" w:fill="F2DDDC"/>
            <w:noWrap/>
            <w:vAlign w:val="center"/>
            <w:hideMark/>
          </w:tcPr>
          <w:p w:rsidR="00D3033B" w:rsidRPr="00284BD5" w:rsidRDefault="00D3033B" w:rsidP="00D3033B">
            <w:pPr>
              <w:spacing w:after="0" w:line="240" w:lineRule="auto"/>
              <w:jc w:val="center"/>
              <w:rPr>
                <w:rFonts w:cs="Arial"/>
                <w:color w:val="000000"/>
                <w:sz w:val="16"/>
                <w:szCs w:val="16"/>
              </w:rPr>
            </w:pPr>
            <w:r w:rsidRPr="00284BD5">
              <w:rPr>
                <w:rFonts w:cs="Arial"/>
                <w:color w:val="000000"/>
                <w:sz w:val="16"/>
                <w:szCs w:val="16"/>
              </w:rPr>
              <w:t>žáci</w:t>
            </w:r>
          </w:p>
        </w:tc>
      </w:tr>
      <w:tr w:rsidR="00D3033B" w:rsidRPr="00284BD5" w:rsidTr="00D3033B">
        <w:trPr>
          <w:trHeight w:val="300"/>
        </w:trPr>
        <w:tc>
          <w:tcPr>
            <w:tcW w:w="1344" w:type="dxa"/>
            <w:vMerge/>
            <w:tcBorders>
              <w:top w:val="nil"/>
              <w:left w:val="nil"/>
              <w:bottom w:val="single" w:sz="4" w:space="0" w:color="auto"/>
              <w:right w:val="single" w:sz="4" w:space="0" w:color="auto"/>
            </w:tcBorders>
            <w:vAlign w:val="center"/>
            <w:hideMark/>
          </w:tcPr>
          <w:p w:rsidR="00D3033B" w:rsidRPr="00284BD5" w:rsidRDefault="00D3033B" w:rsidP="00D3033B">
            <w:pPr>
              <w:spacing w:after="0" w:line="240" w:lineRule="auto"/>
              <w:rPr>
                <w:rFonts w:cs="Arial"/>
                <w:sz w:val="16"/>
                <w:szCs w:val="16"/>
              </w:rPr>
            </w:pPr>
          </w:p>
        </w:tc>
        <w:tc>
          <w:tcPr>
            <w:tcW w:w="586" w:type="dxa"/>
            <w:vMerge/>
            <w:tcBorders>
              <w:top w:val="nil"/>
              <w:left w:val="single" w:sz="4" w:space="0" w:color="auto"/>
              <w:bottom w:val="single" w:sz="4" w:space="0" w:color="auto"/>
              <w:right w:val="single" w:sz="4" w:space="0" w:color="auto"/>
            </w:tcBorders>
            <w:vAlign w:val="center"/>
            <w:hideMark/>
          </w:tcPr>
          <w:p w:rsidR="00D3033B" w:rsidRPr="00284BD5" w:rsidRDefault="00D3033B" w:rsidP="00D3033B">
            <w:pPr>
              <w:spacing w:after="0" w:line="240" w:lineRule="auto"/>
              <w:rPr>
                <w:rFonts w:cs="Arial"/>
                <w:color w:val="000000"/>
                <w:sz w:val="16"/>
                <w:szCs w:val="16"/>
              </w:rPr>
            </w:pPr>
          </w:p>
        </w:tc>
        <w:tc>
          <w:tcPr>
            <w:tcW w:w="506" w:type="dxa"/>
            <w:vMerge/>
            <w:tcBorders>
              <w:top w:val="nil"/>
              <w:left w:val="single" w:sz="4" w:space="0" w:color="auto"/>
              <w:bottom w:val="single" w:sz="4" w:space="0" w:color="auto"/>
              <w:right w:val="single" w:sz="4" w:space="0" w:color="auto"/>
            </w:tcBorders>
            <w:vAlign w:val="center"/>
            <w:hideMark/>
          </w:tcPr>
          <w:p w:rsidR="00D3033B" w:rsidRPr="00284BD5" w:rsidRDefault="00D3033B" w:rsidP="00D3033B">
            <w:pPr>
              <w:spacing w:after="0" w:line="240" w:lineRule="auto"/>
              <w:rPr>
                <w:rFonts w:cs="Arial"/>
                <w:color w:val="000000"/>
                <w:sz w:val="16"/>
                <w:szCs w:val="16"/>
              </w:rPr>
            </w:pPr>
          </w:p>
        </w:tc>
        <w:tc>
          <w:tcPr>
            <w:tcW w:w="639" w:type="dxa"/>
            <w:vMerge/>
            <w:tcBorders>
              <w:top w:val="nil"/>
              <w:left w:val="single" w:sz="4" w:space="0" w:color="auto"/>
              <w:bottom w:val="single" w:sz="4" w:space="0" w:color="auto"/>
              <w:right w:val="single" w:sz="4" w:space="0" w:color="auto"/>
            </w:tcBorders>
            <w:vAlign w:val="center"/>
            <w:hideMark/>
          </w:tcPr>
          <w:p w:rsidR="00D3033B" w:rsidRPr="00284BD5" w:rsidRDefault="00D3033B" w:rsidP="00D3033B">
            <w:pPr>
              <w:spacing w:after="0" w:line="240" w:lineRule="auto"/>
              <w:rPr>
                <w:rFonts w:cs="Arial"/>
                <w:color w:val="000000"/>
                <w:sz w:val="16"/>
                <w:szCs w:val="16"/>
              </w:rPr>
            </w:pPr>
          </w:p>
        </w:tc>
        <w:tc>
          <w:tcPr>
            <w:tcW w:w="585" w:type="dxa"/>
            <w:vMerge/>
            <w:tcBorders>
              <w:top w:val="nil"/>
              <w:left w:val="single" w:sz="4" w:space="0" w:color="auto"/>
              <w:bottom w:val="single" w:sz="4" w:space="0" w:color="auto"/>
              <w:right w:val="single" w:sz="4" w:space="0" w:color="auto"/>
            </w:tcBorders>
            <w:vAlign w:val="center"/>
            <w:hideMark/>
          </w:tcPr>
          <w:p w:rsidR="00D3033B" w:rsidRPr="00284BD5" w:rsidRDefault="00D3033B" w:rsidP="00D3033B">
            <w:pPr>
              <w:spacing w:after="0" w:line="240" w:lineRule="auto"/>
              <w:rPr>
                <w:rFonts w:cs="Arial"/>
                <w:color w:val="000000"/>
                <w:sz w:val="16"/>
                <w:szCs w:val="16"/>
              </w:rPr>
            </w:pPr>
          </w:p>
        </w:tc>
        <w:tc>
          <w:tcPr>
            <w:tcW w:w="639" w:type="dxa"/>
            <w:vMerge/>
            <w:tcBorders>
              <w:top w:val="nil"/>
              <w:left w:val="single" w:sz="4" w:space="0" w:color="auto"/>
              <w:bottom w:val="single" w:sz="4" w:space="0" w:color="auto"/>
              <w:right w:val="single" w:sz="4" w:space="0" w:color="auto"/>
            </w:tcBorders>
            <w:vAlign w:val="center"/>
            <w:hideMark/>
          </w:tcPr>
          <w:p w:rsidR="00D3033B" w:rsidRPr="00284BD5" w:rsidRDefault="00D3033B" w:rsidP="00D3033B">
            <w:pPr>
              <w:spacing w:after="0" w:line="240" w:lineRule="auto"/>
              <w:rPr>
                <w:rFonts w:cs="Arial"/>
                <w:color w:val="000000"/>
                <w:sz w:val="16"/>
                <w:szCs w:val="16"/>
              </w:rPr>
            </w:pPr>
          </w:p>
        </w:tc>
        <w:tc>
          <w:tcPr>
            <w:tcW w:w="905" w:type="dxa"/>
            <w:vMerge/>
            <w:tcBorders>
              <w:top w:val="nil"/>
              <w:left w:val="single" w:sz="4" w:space="0" w:color="auto"/>
              <w:bottom w:val="single" w:sz="4" w:space="0" w:color="auto"/>
              <w:right w:val="single" w:sz="4" w:space="0" w:color="auto"/>
            </w:tcBorders>
            <w:vAlign w:val="center"/>
            <w:hideMark/>
          </w:tcPr>
          <w:p w:rsidR="00D3033B" w:rsidRPr="00284BD5" w:rsidRDefault="00D3033B" w:rsidP="00D3033B">
            <w:pPr>
              <w:spacing w:after="0" w:line="240" w:lineRule="auto"/>
              <w:rPr>
                <w:rFonts w:cs="Arial"/>
                <w:color w:val="000000"/>
                <w:sz w:val="16"/>
                <w:szCs w:val="16"/>
              </w:rPr>
            </w:pPr>
          </w:p>
        </w:tc>
        <w:tc>
          <w:tcPr>
            <w:tcW w:w="639" w:type="dxa"/>
            <w:vMerge/>
            <w:tcBorders>
              <w:top w:val="nil"/>
              <w:left w:val="single" w:sz="4" w:space="0" w:color="auto"/>
              <w:bottom w:val="single" w:sz="4" w:space="0" w:color="auto"/>
              <w:right w:val="single" w:sz="4" w:space="0" w:color="auto"/>
            </w:tcBorders>
            <w:vAlign w:val="center"/>
            <w:hideMark/>
          </w:tcPr>
          <w:p w:rsidR="00D3033B" w:rsidRPr="00284BD5" w:rsidRDefault="00D3033B" w:rsidP="00D3033B">
            <w:pPr>
              <w:spacing w:after="0" w:line="240" w:lineRule="auto"/>
              <w:rPr>
                <w:rFonts w:cs="Arial"/>
                <w:color w:val="000000"/>
                <w:sz w:val="16"/>
                <w:szCs w:val="16"/>
              </w:rPr>
            </w:pPr>
          </w:p>
        </w:tc>
        <w:tc>
          <w:tcPr>
            <w:tcW w:w="772" w:type="dxa"/>
            <w:vMerge/>
            <w:tcBorders>
              <w:top w:val="nil"/>
              <w:left w:val="single" w:sz="4" w:space="0" w:color="auto"/>
              <w:bottom w:val="single" w:sz="4" w:space="0" w:color="auto"/>
              <w:right w:val="single" w:sz="4" w:space="0" w:color="auto"/>
            </w:tcBorders>
            <w:vAlign w:val="center"/>
            <w:hideMark/>
          </w:tcPr>
          <w:p w:rsidR="00D3033B" w:rsidRPr="00284BD5" w:rsidRDefault="00D3033B" w:rsidP="00D3033B">
            <w:pPr>
              <w:spacing w:after="0" w:line="240" w:lineRule="auto"/>
              <w:rPr>
                <w:rFonts w:cs="Arial"/>
                <w:color w:val="000000"/>
                <w:sz w:val="16"/>
                <w:szCs w:val="16"/>
              </w:rPr>
            </w:pPr>
          </w:p>
        </w:tc>
        <w:tc>
          <w:tcPr>
            <w:tcW w:w="905" w:type="dxa"/>
            <w:vMerge/>
            <w:tcBorders>
              <w:top w:val="nil"/>
              <w:left w:val="single" w:sz="4" w:space="0" w:color="auto"/>
              <w:bottom w:val="single" w:sz="4" w:space="0" w:color="auto"/>
              <w:right w:val="single" w:sz="4" w:space="0" w:color="auto"/>
            </w:tcBorders>
            <w:vAlign w:val="center"/>
            <w:hideMark/>
          </w:tcPr>
          <w:p w:rsidR="00D3033B" w:rsidRPr="00284BD5" w:rsidRDefault="00D3033B" w:rsidP="00D3033B">
            <w:pPr>
              <w:spacing w:after="0" w:line="240" w:lineRule="auto"/>
              <w:rPr>
                <w:rFonts w:cs="Arial"/>
                <w:color w:val="000000"/>
                <w:sz w:val="16"/>
                <w:szCs w:val="16"/>
              </w:rPr>
            </w:pPr>
          </w:p>
        </w:tc>
        <w:tc>
          <w:tcPr>
            <w:tcW w:w="660" w:type="dxa"/>
            <w:vMerge/>
            <w:tcBorders>
              <w:top w:val="nil"/>
              <w:left w:val="single" w:sz="4" w:space="0" w:color="auto"/>
              <w:bottom w:val="single" w:sz="4" w:space="0" w:color="auto"/>
              <w:right w:val="single" w:sz="4" w:space="0" w:color="auto"/>
            </w:tcBorders>
            <w:vAlign w:val="center"/>
            <w:hideMark/>
          </w:tcPr>
          <w:p w:rsidR="00D3033B" w:rsidRPr="00284BD5" w:rsidRDefault="00D3033B" w:rsidP="00D3033B">
            <w:pPr>
              <w:spacing w:after="0" w:line="240" w:lineRule="auto"/>
              <w:rPr>
                <w:rFonts w:cs="Arial"/>
                <w:color w:val="000000"/>
                <w:sz w:val="16"/>
                <w:szCs w:val="16"/>
              </w:rPr>
            </w:pPr>
          </w:p>
        </w:tc>
        <w:tc>
          <w:tcPr>
            <w:tcW w:w="620" w:type="dxa"/>
            <w:vMerge/>
            <w:tcBorders>
              <w:top w:val="nil"/>
              <w:left w:val="single" w:sz="4" w:space="0" w:color="auto"/>
              <w:bottom w:val="single" w:sz="4" w:space="0" w:color="auto"/>
              <w:right w:val="single" w:sz="4" w:space="0" w:color="auto"/>
            </w:tcBorders>
            <w:vAlign w:val="center"/>
            <w:hideMark/>
          </w:tcPr>
          <w:p w:rsidR="00D3033B" w:rsidRPr="00284BD5" w:rsidRDefault="00D3033B" w:rsidP="00D3033B">
            <w:pPr>
              <w:spacing w:after="0" w:line="240" w:lineRule="auto"/>
              <w:rPr>
                <w:rFonts w:cs="Arial"/>
                <w:color w:val="000000"/>
                <w:sz w:val="16"/>
                <w:szCs w:val="16"/>
              </w:rPr>
            </w:pPr>
          </w:p>
        </w:tc>
        <w:tc>
          <w:tcPr>
            <w:tcW w:w="740" w:type="dxa"/>
            <w:vMerge/>
            <w:tcBorders>
              <w:top w:val="nil"/>
              <w:left w:val="single" w:sz="4" w:space="0" w:color="auto"/>
              <w:bottom w:val="single" w:sz="4" w:space="0" w:color="auto"/>
              <w:right w:val="nil"/>
            </w:tcBorders>
            <w:vAlign w:val="center"/>
            <w:hideMark/>
          </w:tcPr>
          <w:p w:rsidR="00D3033B" w:rsidRPr="00284BD5" w:rsidRDefault="00D3033B" w:rsidP="00D3033B">
            <w:pPr>
              <w:spacing w:after="0" w:line="240" w:lineRule="auto"/>
              <w:rPr>
                <w:rFonts w:cs="Arial"/>
                <w:color w:val="000000"/>
                <w:sz w:val="16"/>
                <w:szCs w:val="16"/>
              </w:rPr>
            </w:pPr>
          </w:p>
        </w:tc>
      </w:tr>
      <w:tr w:rsidR="00D3033B" w:rsidRPr="00284BD5" w:rsidTr="00D3033B">
        <w:trPr>
          <w:trHeight w:val="300"/>
        </w:trPr>
        <w:tc>
          <w:tcPr>
            <w:tcW w:w="1344"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center"/>
              <w:rPr>
                <w:rFonts w:cs="Arial"/>
                <w:sz w:val="16"/>
                <w:szCs w:val="16"/>
              </w:rPr>
            </w:pPr>
            <w:r w:rsidRPr="00284BD5">
              <w:rPr>
                <w:rFonts w:cs="Arial"/>
                <w:sz w:val="16"/>
                <w:szCs w:val="16"/>
              </w:rPr>
              <w:t>2007/08</w:t>
            </w:r>
          </w:p>
        </w:tc>
        <w:tc>
          <w:tcPr>
            <w:tcW w:w="586"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106 </w:t>
            </w:r>
          </w:p>
        </w:tc>
        <w:tc>
          <w:tcPr>
            <w:tcW w:w="506"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215 </w:t>
            </w:r>
          </w:p>
        </w:tc>
        <w:tc>
          <w:tcPr>
            <w:tcW w:w="639"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sz w:val="16"/>
                <w:szCs w:val="16"/>
              </w:rPr>
            </w:pPr>
            <w:r w:rsidRPr="00284BD5">
              <w:rPr>
                <w:rFonts w:cs="Arial"/>
                <w:sz w:val="16"/>
                <w:szCs w:val="16"/>
              </w:rPr>
              <w:t xml:space="preserve">1 749 </w:t>
            </w:r>
          </w:p>
        </w:tc>
        <w:tc>
          <w:tcPr>
            <w:tcW w:w="585"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548 </w:t>
            </w:r>
          </w:p>
        </w:tc>
        <w:tc>
          <w:tcPr>
            <w:tcW w:w="639"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5 929 </w:t>
            </w:r>
          </w:p>
        </w:tc>
        <w:tc>
          <w:tcPr>
            <w:tcW w:w="905"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sz w:val="16"/>
                <w:szCs w:val="16"/>
              </w:rPr>
            </w:pPr>
            <w:r w:rsidRPr="00284BD5">
              <w:rPr>
                <w:rFonts w:cs="Arial"/>
                <w:sz w:val="16"/>
                <w:szCs w:val="16"/>
              </w:rPr>
              <w:t xml:space="preserve">123 550 </w:t>
            </w:r>
          </w:p>
        </w:tc>
        <w:tc>
          <w:tcPr>
            <w:tcW w:w="639"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1 236 </w:t>
            </w:r>
          </w:p>
        </w:tc>
        <w:tc>
          <w:tcPr>
            <w:tcW w:w="772"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14 739 </w:t>
            </w:r>
          </w:p>
        </w:tc>
        <w:tc>
          <w:tcPr>
            <w:tcW w:w="905"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sz w:val="16"/>
                <w:szCs w:val="16"/>
              </w:rPr>
            </w:pPr>
            <w:r w:rsidRPr="00284BD5">
              <w:rPr>
                <w:rFonts w:cs="Arial"/>
                <w:sz w:val="16"/>
                <w:szCs w:val="16"/>
              </w:rPr>
              <w:t xml:space="preserve">400 475 </w:t>
            </w:r>
          </w:p>
        </w:tc>
        <w:tc>
          <w:tcPr>
            <w:tcW w:w="660"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438 </w:t>
            </w:r>
          </w:p>
        </w:tc>
        <w:tc>
          <w:tcPr>
            <w:tcW w:w="620"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843 </w:t>
            </w:r>
          </w:p>
        </w:tc>
        <w:tc>
          <w:tcPr>
            <w:tcW w:w="740" w:type="dxa"/>
            <w:tcBorders>
              <w:top w:val="nil"/>
              <w:left w:val="nil"/>
              <w:bottom w:val="nil"/>
              <w:right w:val="nil"/>
            </w:tcBorders>
            <w:shd w:val="clear" w:color="000000" w:fill="FFFFFF"/>
            <w:noWrap/>
            <w:vAlign w:val="center"/>
            <w:hideMark/>
          </w:tcPr>
          <w:p w:rsidR="00D3033B" w:rsidRPr="00284BD5" w:rsidRDefault="00D3033B" w:rsidP="00D3033B">
            <w:pPr>
              <w:spacing w:after="0" w:line="240" w:lineRule="auto"/>
              <w:jc w:val="right"/>
              <w:rPr>
                <w:rFonts w:cs="Arial"/>
                <w:sz w:val="16"/>
                <w:szCs w:val="16"/>
              </w:rPr>
            </w:pPr>
            <w:r w:rsidRPr="00284BD5">
              <w:rPr>
                <w:rFonts w:cs="Arial"/>
                <w:sz w:val="16"/>
                <w:szCs w:val="16"/>
              </w:rPr>
              <w:t xml:space="preserve">43 493 </w:t>
            </w:r>
          </w:p>
        </w:tc>
      </w:tr>
      <w:tr w:rsidR="00D3033B" w:rsidRPr="00284BD5" w:rsidTr="00D3033B">
        <w:trPr>
          <w:trHeight w:val="300"/>
        </w:trPr>
        <w:tc>
          <w:tcPr>
            <w:tcW w:w="1344"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center"/>
              <w:rPr>
                <w:rFonts w:cs="Arial"/>
                <w:sz w:val="16"/>
                <w:szCs w:val="16"/>
              </w:rPr>
            </w:pPr>
            <w:r w:rsidRPr="00284BD5">
              <w:rPr>
                <w:rFonts w:cs="Arial"/>
                <w:sz w:val="16"/>
                <w:szCs w:val="16"/>
              </w:rPr>
              <w:t>2008/09</w:t>
            </w:r>
          </w:p>
        </w:tc>
        <w:tc>
          <w:tcPr>
            <w:tcW w:w="586"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111 </w:t>
            </w:r>
          </w:p>
        </w:tc>
        <w:tc>
          <w:tcPr>
            <w:tcW w:w="506"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220 </w:t>
            </w:r>
          </w:p>
        </w:tc>
        <w:tc>
          <w:tcPr>
            <w:tcW w:w="639"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sz w:val="16"/>
                <w:szCs w:val="16"/>
              </w:rPr>
            </w:pPr>
            <w:r w:rsidRPr="00284BD5">
              <w:rPr>
                <w:rFonts w:cs="Arial"/>
                <w:sz w:val="16"/>
                <w:szCs w:val="16"/>
              </w:rPr>
              <w:t xml:space="preserve">1 795 </w:t>
            </w:r>
          </w:p>
        </w:tc>
        <w:tc>
          <w:tcPr>
            <w:tcW w:w="585"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541 </w:t>
            </w:r>
          </w:p>
        </w:tc>
        <w:tc>
          <w:tcPr>
            <w:tcW w:w="639"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5 682 </w:t>
            </w:r>
          </w:p>
        </w:tc>
        <w:tc>
          <w:tcPr>
            <w:tcW w:w="905"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sz w:val="16"/>
                <w:szCs w:val="16"/>
              </w:rPr>
            </w:pPr>
            <w:r w:rsidRPr="00284BD5">
              <w:rPr>
                <w:rFonts w:cs="Arial"/>
                <w:sz w:val="16"/>
                <w:szCs w:val="16"/>
              </w:rPr>
              <w:t xml:space="preserve">116 401 </w:t>
            </w:r>
          </w:p>
        </w:tc>
        <w:tc>
          <w:tcPr>
            <w:tcW w:w="639"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1 239 </w:t>
            </w:r>
          </w:p>
        </w:tc>
        <w:tc>
          <w:tcPr>
            <w:tcW w:w="772"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14 899 </w:t>
            </w:r>
          </w:p>
        </w:tc>
        <w:tc>
          <w:tcPr>
            <w:tcW w:w="905"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sz w:val="16"/>
                <w:szCs w:val="16"/>
              </w:rPr>
            </w:pPr>
            <w:r w:rsidRPr="00284BD5">
              <w:rPr>
                <w:rFonts w:cs="Arial"/>
                <w:sz w:val="16"/>
                <w:szCs w:val="16"/>
              </w:rPr>
              <w:t xml:space="preserve">401 071 </w:t>
            </w:r>
          </w:p>
        </w:tc>
        <w:tc>
          <w:tcPr>
            <w:tcW w:w="660"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443 </w:t>
            </w:r>
          </w:p>
        </w:tc>
        <w:tc>
          <w:tcPr>
            <w:tcW w:w="620"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839 </w:t>
            </w:r>
          </w:p>
        </w:tc>
        <w:tc>
          <w:tcPr>
            <w:tcW w:w="740" w:type="dxa"/>
            <w:tcBorders>
              <w:top w:val="nil"/>
              <w:left w:val="nil"/>
              <w:bottom w:val="nil"/>
              <w:right w:val="nil"/>
            </w:tcBorders>
            <w:shd w:val="clear" w:color="000000" w:fill="FFFFFF"/>
            <w:noWrap/>
            <w:vAlign w:val="center"/>
            <w:hideMark/>
          </w:tcPr>
          <w:p w:rsidR="00D3033B" w:rsidRPr="00284BD5" w:rsidRDefault="00D3033B" w:rsidP="00D3033B">
            <w:pPr>
              <w:spacing w:after="0" w:line="240" w:lineRule="auto"/>
              <w:jc w:val="right"/>
              <w:rPr>
                <w:rFonts w:cs="Arial"/>
                <w:sz w:val="16"/>
                <w:szCs w:val="16"/>
              </w:rPr>
            </w:pPr>
            <w:r w:rsidRPr="00284BD5">
              <w:rPr>
                <w:rFonts w:cs="Arial"/>
                <w:sz w:val="16"/>
                <w:szCs w:val="16"/>
              </w:rPr>
              <w:t xml:space="preserve">45 059 </w:t>
            </w:r>
          </w:p>
        </w:tc>
      </w:tr>
      <w:tr w:rsidR="00D3033B" w:rsidRPr="00284BD5" w:rsidTr="00D3033B">
        <w:trPr>
          <w:trHeight w:val="300"/>
        </w:trPr>
        <w:tc>
          <w:tcPr>
            <w:tcW w:w="1344"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center"/>
              <w:rPr>
                <w:rFonts w:cs="Arial"/>
                <w:sz w:val="16"/>
                <w:szCs w:val="16"/>
              </w:rPr>
            </w:pPr>
            <w:r w:rsidRPr="00284BD5">
              <w:rPr>
                <w:rFonts w:cs="Arial"/>
                <w:sz w:val="16"/>
                <w:szCs w:val="16"/>
              </w:rPr>
              <w:t>2009/10</w:t>
            </w:r>
          </w:p>
        </w:tc>
        <w:tc>
          <w:tcPr>
            <w:tcW w:w="586"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115 </w:t>
            </w:r>
          </w:p>
        </w:tc>
        <w:tc>
          <w:tcPr>
            <w:tcW w:w="506"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231 </w:t>
            </w:r>
          </w:p>
        </w:tc>
        <w:tc>
          <w:tcPr>
            <w:tcW w:w="639"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sz w:val="16"/>
                <w:szCs w:val="16"/>
              </w:rPr>
            </w:pPr>
            <w:r w:rsidRPr="00284BD5">
              <w:rPr>
                <w:rFonts w:cs="Arial"/>
                <w:sz w:val="16"/>
                <w:szCs w:val="16"/>
              </w:rPr>
              <w:t xml:space="preserve">1 917 </w:t>
            </w:r>
          </w:p>
        </w:tc>
        <w:tc>
          <w:tcPr>
            <w:tcW w:w="585"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539 </w:t>
            </w:r>
          </w:p>
        </w:tc>
        <w:tc>
          <w:tcPr>
            <w:tcW w:w="639"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5 497 </w:t>
            </w:r>
          </w:p>
        </w:tc>
        <w:tc>
          <w:tcPr>
            <w:tcW w:w="905"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sz w:val="16"/>
                <w:szCs w:val="16"/>
              </w:rPr>
            </w:pPr>
            <w:r w:rsidRPr="00284BD5">
              <w:rPr>
                <w:rFonts w:cs="Arial"/>
                <w:sz w:val="16"/>
                <w:szCs w:val="16"/>
              </w:rPr>
              <w:t xml:space="preserve">113 609 </w:t>
            </w:r>
          </w:p>
        </w:tc>
        <w:tc>
          <w:tcPr>
            <w:tcW w:w="639"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1 239 </w:t>
            </w:r>
          </w:p>
        </w:tc>
        <w:tc>
          <w:tcPr>
            <w:tcW w:w="772"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14 982 </w:t>
            </w:r>
          </w:p>
        </w:tc>
        <w:tc>
          <w:tcPr>
            <w:tcW w:w="905"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sz w:val="16"/>
                <w:szCs w:val="16"/>
              </w:rPr>
            </w:pPr>
            <w:r w:rsidRPr="00284BD5">
              <w:rPr>
                <w:rFonts w:cs="Arial"/>
                <w:sz w:val="16"/>
                <w:szCs w:val="16"/>
              </w:rPr>
              <w:t xml:space="preserve">396 214 </w:t>
            </w:r>
          </w:p>
        </w:tc>
        <w:tc>
          <w:tcPr>
            <w:tcW w:w="660"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430 </w:t>
            </w:r>
          </w:p>
        </w:tc>
        <w:tc>
          <w:tcPr>
            <w:tcW w:w="620"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830 </w:t>
            </w:r>
          </w:p>
        </w:tc>
        <w:tc>
          <w:tcPr>
            <w:tcW w:w="740" w:type="dxa"/>
            <w:tcBorders>
              <w:top w:val="nil"/>
              <w:left w:val="nil"/>
              <w:bottom w:val="nil"/>
              <w:right w:val="nil"/>
            </w:tcBorders>
            <w:shd w:val="clear" w:color="000000" w:fill="FFFFFF"/>
            <w:noWrap/>
            <w:vAlign w:val="center"/>
            <w:hideMark/>
          </w:tcPr>
          <w:p w:rsidR="00D3033B" w:rsidRPr="00284BD5" w:rsidRDefault="00D3033B" w:rsidP="00D3033B">
            <w:pPr>
              <w:spacing w:after="0" w:line="240" w:lineRule="auto"/>
              <w:jc w:val="right"/>
              <w:rPr>
                <w:rFonts w:cs="Arial"/>
                <w:sz w:val="16"/>
                <w:szCs w:val="16"/>
              </w:rPr>
            </w:pPr>
            <w:r w:rsidRPr="00284BD5">
              <w:rPr>
                <w:rFonts w:cs="Arial"/>
                <w:sz w:val="16"/>
                <w:szCs w:val="16"/>
              </w:rPr>
              <w:t xml:space="preserve">44 520 </w:t>
            </w:r>
          </w:p>
        </w:tc>
      </w:tr>
      <w:tr w:rsidR="00D3033B" w:rsidRPr="00284BD5" w:rsidTr="00D3033B">
        <w:trPr>
          <w:trHeight w:val="300"/>
        </w:trPr>
        <w:tc>
          <w:tcPr>
            <w:tcW w:w="1344"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center"/>
              <w:rPr>
                <w:rFonts w:cs="Arial"/>
                <w:sz w:val="16"/>
                <w:szCs w:val="16"/>
              </w:rPr>
            </w:pPr>
            <w:r w:rsidRPr="00284BD5">
              <w:rPr>
                <w:rFonts w:cs="Arial"/>
                <w:sz w:val="16"/>
                <w:szCs w:val="16"/>
              </w:rPr>
              <w:t>2010/11</w:t>
            </w:r>
          </w:p>
        </w:tc>
        <w:tc>
          <w:tcPr>
            <w:tcW w:w="586"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123 </w:t>
            </w:r>
          </w:p>
        </w:tc>
        <w:tc>
          <w:tcPr>
            <w:tcW w:w="506"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248 </w:t>
            </w:r>
          </w:p>
        </w:tc>
        <w:tc>
          <w:tcPr>
            <w:tcW w:w="639"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sz w:val="16"/>
                <w:szCs w:val="16"/>
              </w:rPr>
            </w:pPr>
            <w:r w:rsidRPr="00284BD5">
              <w:rPr>
                <w:rFonts w:cs="Arial"/>
                <w:sz w:val="16"/>
                <w:szCs w:val="16"/>
              </w:rPr>
              <w:t xml:space="preserve">2 107 </w:t>
            </w:r>
          </w:p>
        </w:tc>
        <w:tc>
          <w:tcPr>
            <w:tcW w:w="585"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533 </w:t>
            </w:r>
          </w:p>
        </w:tc>
        <w:tc>
          <w:tcPr>
            <w:tcW w:w="639"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5 389 </w:t>
            </w:r>
          </w:p>
        </w:tc>
        <w:tc>
          <w:tcPr>
            <w:tcW w:w="905"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sz w:val="16"/>
                <w:szCs w:val="16"/>
              </w:rPr>
            </w:pPr>
            <w:r w:rsidRPr="00284BD5">
              <w:rPr>
                <w:rFonts w:cs="Arial"/>
                <w:sz w:val="16"/>
                <w:szCs w:val="16"/>
              </w:rPr>
              <w:t xml:space="preserve">108 529 </w:t>
            </w:r>
          </w:p>
        </w:tc>
        <w:tc>
          <w:tcPr>
            <w:tcW w:w="639"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1 228 </w:t>
            </w:r>
          </w:p>
        </w:tc>
        <w:tc>
          <w:tcPr>
            <w:tcW w:w="772"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14 714 </w:t>
            </w:r>
          </w:p>
        </w:tc>
        <w:tc>
          <w:tcPr>
            <w:tcW w:w="905"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sz w:val="16"/>
                <w:szCs w:val="16"/>
              </w:rPr>
            </w:pPr>
            <w:r w:rsidRPr="00284BD5">
              <w:rPr>
                <w:rFonts w:cs="Arial"/>
                <w:sz w:val="16"/>
                <w:szCs w:val="16"/>
              </w:rPr>
              <w:t xml:space="preserve">379 075 </w:t>
            </w:r>
          </w:p>
        </w:tc>
        <w:tc>
          <w:tcPr>
            <w:tcW w:w="660"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431 </w:t>
            </w:r>
          </w:p>
        </w:tc>
        <w:tc>
          <w:tcPr>
            <w:tcW w:w="620"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825 </w:t>
            </w:r>
          </w:p>
        </w:tc>
        <w:tc>
          <w:tcPr>
            <w:tcW w:w="740" w:type="dxa"/>
            <w:tcBorders>
              <w:top w:val="nil"/>
              <w:left w:val="nil"/>
              <w:bottom w:val="nil"/>
              <w:right w:val="nil"/>
            </w:tcBorders>
            <w:shd w:val="clear" w:color="000000" w:fill="FFFFFF"/>
            <w:noWrap/>
            <w:vAlign w:val="center"/>
            <w:hideMark/>
          </w:tcPr>
          <w:p w:rsidR="00D3033B" w:rsidRPr="00284BD5" w:rsidRDefault="00D3033B" w:rsidP="00D3033B">
            <w:pPr>
              <w:spacing w:after="0" w:line="240" w:lineRule="auto"/>
              <w:jc w:val="right"/>
              <w:rPr>
                <w:rFonts w:cs="Arial"/>
                <w:sz w:val="16"/>
                <w:szCs w:val="16"/>
              </w:rPr>
            </w:pPr>
            <w:r w:rsidRPr="00284BD5">
              <w:rPr>
                <w:rFonts w:cs="Arial"/>
                <w:sz w:val="16"/>
                <w:szCs w:val="16"/>
              </w:rPr>
              <w:t xml:space="preserve">43 207 </w:t>
            </w:r>
          </w:p>
        </w:tc>
      </w:tr>
      <w:tr w:rsidR="00D3033B" w:rsidRPr="00284BD5" w:rsidTr="00D3033B">
        <w:trPr>
          <w:trHeight w:val="300"/>
        </w:trPr>
        <w:tc>
          <w:tcPr>
            <w:tcW w:w="1344"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center"/>
              <w:rPr>
                <w:rFonts w:cs="Arial"/>
                <w:sz w:val="16"/>
                <w:szCs w:val="16"/>
              </w:rPr>
            </w:pPr>
            <w:r w:rsidRPr="00284BD5">
              <w:rPr>
                <w:rFonts w:cs="Arial"/>
                <w:sz w:val="16"/>
                <w:szCs w:val="16"/>
              </w:rPr>
              <w:t>2011/12</w:t>
            </w:r>
          </w:p>
        </w:tc>
        <w:tc>
          <w:tcPr>
            <w:tcW w:w="586"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126 </w:t>
            </w:r>
          </w:p>
        </w:tc>
        <w:tc>
          <w:tcPr>
            <w:tcW w:w="506"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257 </w:t>
            </w:r>
          </w:p>
        </w:tc>
        <w:tc>
          <w:tcPr>
            <w:tcW w:w="639"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sz w:val="16"/>
                <w:szCs w:val="16"/>
              </w:rPr>
            </w:pPr>
            <w:r w:rsidRPr="00284BD5">
              <w:rPr>
                <w:rFonts w:cs="Arial"/>
                <w:sz w:val="16"/>
                <w:szCs w:val="16"/>
              </w:rPr>
              <w:t xml:space="preserve">2 053 </w:t>
            </w:r>
          </w:p>
        </w:tc>
        <w:tc>
          <w:tcPr>
            <w:tcW w:w="585"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525 </w:t>
            </w:r>
          </w:p>
        </w:tc>
        <w:tc>
          <w:tcPr>
            <w:tcW w:w="639"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5 139 </w:t>
            </w:r>
          </w:p>
        </w:tc>
        <w:tc>
          <w:tcPr>
            <w:tcW w:w="905"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sz w:val="16"/>
                <w:szCs w:val="16"/>
              </w:rPr>
            </w:pPr>
            <w:r w:rsidRPr="00284BD5">
              <w:rPr>
                <w:rFonts w:cs="Arial"/>
                <w:sz w:val="16"/>
                <w:szCs w:val="16"/>
              </w:rPr>
              <w:t xml:space="preserve">103 685 </w:t>
            </w:r>
          </w:p>
        </w:tc>
        <w:tc>
          <w:tcPr>
            <w:tcW w:w="639"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1 196 </w:t>
            </w:r>
          </w:p>
        </w:tc>
        <w:tc>
          <w:tcPr>
            <w:tcW w:w="772"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14 240 </w:t>
            </w:r>
          </w:p>
        </w:tc>
        <w:tc>
          <w:tcPr>
            <w:tcW w:w="905"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sz w:val="16"/>
                <w:szCs w:val="16"/>
              </w:rPr>
            </w:pPr>
            <w:r w:rsidRPr="00284BD5">
              <w:rPr>
                <w:rFonts w:cs="Arial"/>
                <w:sz w:val="16"/>
                <w:szCs w:val="16"/>
              </w:rPr>
              <w:t xml:space="preserve">359 000 </w:t>
            </w:r>
          </w:p>
        </w:tc>
        <w:tc>
          <w:tcPr>
            <w:tcW w:w="660"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417 </w:t>
            </w:r>
          </w:p>
        </w:tc>
        <w:tc>
          <w:tcPr>
            <w:tcW w:w="620"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764 </w:t>
            </w:r>
          </w:p>
        </w:tc>
        <w:tc>
          <w:tcPr>
            <w:tcW w:w="740" w:type="dxa"/>
            <w:tcBorders>
              <w:top w:val="nil"/>
              <w:left w:val="nil"/>
              <w:bottom w:val="nil"/>
              <w:right w:val="nil"/>
            </w:tcBorders>
            <w:shd w:val="clear" w:color="000000" w:fill="FFFFFF"/>
            <w:noWrap/>
            <w:vAlign w:val="center"/>
            <w:hideMark/>
          </w:tcPr>
          <w:p w:rsidR="00D3033B" w:rsidRPr="00284BD5" w:rsidRDefault="00D3033B" w:rsidP="00D3033B">
            <w:pPr>
              <w:spacing w:after="0" w:line="240" w:lineRule="auto"/>
              <w:jc w:val="right"/>
              <w:rPr>
                <w:rFonts w:cs="Arial"/>
                <w:sz w:val="16"/>
                <w:szCs w:val="16"/>
              </w:rPr>
            </w:pPr>
            <w:r w:rsidRPr="00284BD5">
              <w:rPr>
                <w:rFonts w:cs="Arial"/>
                <w:sz w:val="16"/>
                <w:szCs w:val="16"/>
              </w:rPr>
              <w:t xml:space="preserve">36 482 </w:t>
            </w:r>
          </w:p>
        </w:tc>
      </w:tr>
      <w:tr w:rsidR="00D3033B" w:rsidRPr="00284BD5" w:rsidTr="00D3033B">
        <w:trPr>
          <w:trHeight w:val="300"/>
        </w:trPr>
        <w:tc>
          <w:tcPr>
            <w:tcW w:w="1344"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center"/>
              <w:rPr>
                <w:rFonts w:cs="Arial"/>
                <w:sz w:val="16"/>
                <w:szCs w:val="16"/>
              </w:rPr>
            </w:pPr>
            <w:r w:rsidRPr="00284BD5">
              <w:rPr>
                <w:rFonts w:cs="Arial"/>
                <w:sz w:val="16"/>
                <w:szCs w:val="16"/>
              </w:rPr>
              <w:t>2012/13</w:t>
            </w:r>
          </w:p>
        </w:tc>
        <w:tc>
          <w:tcPr>
            <w:tcW w:w="586"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123 </w:t>
            </w:r>
          </w:p>
        </w:tc>
        <w:tc>
          <w:tcPr>
            <w:tcW w:w="506"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248 </w:t>
            </w:r>
          </w:p>
        </w:tc>
        <w:tc>
          <w:tcPr>
            <w:tcW w:w="639"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sz w:val="16"/>
                <w:szCs w:val="16"/>
              </w:rPr>
            </w:pPr>
            <w:r w:rsidRPr="00284BD5">
              <w:rPr>
                <w:rFonts w:cs="Arial"/>
                <w:sz w:val="16"/>
                <w:szCs w:val="16"/>
              </w:rPr>
              <w:t xml:space="preserve">1 965 </w:t>
            </w:r>
          </w:p>
        </w:tc>
        <w:tc>
          <w:tcPr>
            <w:tcW w:w="585"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522 </w:t>
            </w:r>
          </w:p>
        </w:tc>
        <w:tc>
          <w:tcPr>
            <w:tcW w:w="639"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4 928 </w:t>
            </w:r>
          </w:p>
        </w:tc>
        <w:tc>
          <w:tcPr>
            <w:tcW w:w="905"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sz w:val="16"/>
                <w:szCs w:val="16"/>
              </w:rPr>
            </w:pPr>
            <w:r w:rsidRPr="00284BD5">
              <w:rPr>
                <w:rFonts w:cs="Arial"/>
                <w:sz w:val="16"/>
                <w:szCs w:val="16"/>
              </w:rPr>
              <w:t xml:space="preserve">100 558 </w:t>
            </w:r>
          </w:p>
        </w:tc>
        <w:tc>
          <w:tcPr>
            <w:tcW w:w="639"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1 148 </w:t>
            </w:r>
          </w:p>
        </w:tc>
        <w:tc>
          <w:tcPr>
            <w:tcW w:w="772"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13 579 </w:t>
            </w:r>
          </w:p>
        </w:tc>
        <w:tc>
          <w:tcPr>
            <w:tcW w:w="905"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sz w:val="16"/>
                <w:szCs w:val="16"/>
              </w:rPr>
            </w:pPr>
            <w:r w:rsidRPr="00284BD5">
              <w:rPr>
                <w:rFonts w:cs="Arial"/>
                <w:sz w:val="16"/>
                <w:szCs w:val="16"/>
              </w:rPr>
              <w:t xml:space="preserve">338 065 </w:t>
            </w:r>
          </w:p>
        </w:tc>
        <w:tc>
          <w:tcPr>
            <w:tcW w:w="660"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400 </w:t>
            </w:r>
          </w:p>
        </w:tc>
        <w:tc>
          <w:tcPr>
            <w:tcW w:w="620"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685 </w:t>
            </w:r>
          </w:p>
        </w:tc>
        <w:tc>
          <w:tcPr>
            <w:tcW w:w="740" w:type="dxa"/>
            <w:tcBorders>
              <w:top w:val="nil"/>
              <w:left w:val="nil"/>
              <w:bottom w:val="nil"/>
              <w:right w:val="nil"/>
            </w:tcBorders>
            <w:shd w:val="clear" w:color="000000" w:fill="FFFFFF"/>
            <w:noWrap/>
            <w:vAlign w:val="center"/>
            <w:hideMark/>
          </w:tcPr>
          <w:p w:rsidR="00D3033B" w:rsidRPr="00284BD5" w:rsidRDefault="00D3033B" w:rsidP="00D3033B">
            <w:pPr>
              <w:spacing w:after="0" w:line="240" w:lineRule="auto"/>
              <w:jc w:val="right"/>
              <w:rPr>
                <w:rFonts w:cs="Arial"/>
                <w:sz w:val="16"/>
                <w:szCs w:val="16"/>
              </w:rPr>
            </w:pPr>
            <w:r w:rsidRPr="00284BD5">
              <w:rPr>
                <w:rFonts w:cs="Arial"/>
                <w:sz w:val="16"/>
                <w:szCs w:val="16"/>
              </w:rPr>
              <w:t xml:space="preserve">30 166 </w:t>
            </w:r>
          </w:p>
        </w:tc>
      </w:tr>
      <w:tr w:rsidR="00D3033B" w:rsidRPr="00284BD5" w:rsidTr="00D3033B">
        <w:trPr>
          <w:trHeight w:val="300"/>
        </w:trPr>
        <w:tc>
          <w:tcPr>
            <w:tcW w:w="1344"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center"/>
              <w:rPr>
                <w:rFonts w:cs="Arial"/>
                <w:sz w:val="16"/>
                <w:szCs w:val="16"/>
              </w:rPr>
            </w:pPr>
            <w:r w:rsidRPr="00284BD5">
              <w:rPr>
                <w:rFonts w:cs="Arial"/>
                <w:sz w:val="16"/>
                <w:szCs w:val="16"/>
              </w:rPr>
              <w:t>2013/14</w:t>
            </w:r>
          </w:p>
        </w:tc>
        <w:tc>
          <w:tcPr>
            <w:tcW w:w="586"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123 </w:t>
            </w:r>
          </w:p>
        </w:tc>
        <w:tc>
          <w:tcPr>
            <w:tcW w:w="506"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265 </w:t>
            </w:r>
          </w:p>
        </w:tc>
        <w:tc>
          <w:tcPr>
            <w:tcW w:w="639"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sz w:val="16"/>
                <w:szCs w:val="16"/>
              </w:rPr>
            </w:pPr>
            <w:r w:rsidRPr="00284BD5">
              <w:rPr>
                <w:rFonts w:cs="Arial"/>
                <w:sz w:val="16"/>
                <w:szCs w:val="16"/>
              </w:rPr>
              <w:t xml:space="preserve">1 965 </w:t>
            </w:r>
          </w:p>
        </w:tc>
        <w:tc>
          <w:tcPr>
            <w:tcW w:w="585"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523 </w:t>
            </w:r>
          </w:p>
        </w:tc>
        <w:tc>
          <w:tcPr>
            <w:tcW w:w="639"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4 848 </w:t>
            </w:r>
          </w:p>
        </w:tc>
        <w:tc>
          <w:tcPr>
            <w:tcW w:w="905"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sz w:val="16"/>
                <w:szCs w:val="16"/>
              </w:rPr>
            </w:pPr>
            <w:r w:rsidRPr="00284BD5">
              <w:rPr>
                <w:rFonts w:cs="Arial"/>
                <w:sz w:val="16"/>
                <w:szCs w:val="16"/>
              </w:rPr>
              <w:t xml:space="preserve">97 491 </w:t>
            </w:r>
          </w:p>
        </w:tc>
        <w:tc>
          <w:tcPr>
            <w:tcW w:w="639"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1 131 </w:t>
            </w:r>
          </w:p>
        </w:tc>
        <w:tc>
          <w:tcPr>
            <w:tcW w:w="772"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13 076 </w:t>
            </w:r>
          </w:p>
        </w:tc>
        <w:tc>
          <w:tcPr>
            <w:tcW w:w="905"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sz w:val="16"/>
                <w:szCs w:val="16"/>
              </w:rPr>
            </w:pPr>
            <w:r w:rsidRPr="00284BD5">
              <w:rPr>
                <w:rFonts w:cs="Arial"/>
                <w:sz w:val="16"/>
                <w:szCs w:val="16"/>
              </w:rPr>
              <w:t xml:space="preserve">322 853 </w:t>
            </w:r>
          </w:p>
        </w:tc>
        <w:tc>
          <w:tcPr>
            <w:tcW w:w="660"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381 </w:t>
            </w:r>
          </w:p>
        </w:tc>
        <w:tc>
          <w:tcPr>
            <w:tcW w:w="620"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634 </w:t>
            </w:r>
          </w:p>
        </w:tc>
        <w:tc>
          <w:tcPr>
            <w:tcW w:w="740" w:type="dxa"/>
            <w:tcBorders>
              <w:top w:val="nil"/>
              <w:left w:val="nil"/>
              <w:bottom w:val="nil"/>
              <w:right w:val="nil"/>
            </w:tcBorders>
            <w:shd w:val="clear" w:color="000000" w:fill="FFFFFF"/>
            <w:noWrap/>
            <w:vAlign w:val="center"/>
            <w:hideMark/>
          </w:tcPr>
          <w:p w:rsidR="00D3033B" w:rsidRPr="00284BD5" w:rsidRDefault="00D3033B" w:rsidP="00D3033B">
            <w:pPr>
              <w:spacing w:after="0" w:line="240" w:lineRule="auto"/>
              <w:jc w:val="right"/>
              <w:rPr>
                <w:rFonts w:cs="Arial"/>
                <w:sz w:val="16"/>
                <w:szCs w:val="16"/>
              </w:rPr>
            </w:pPr>
            <w:r w:rsidRPr="00284BD5">
              <w:rPr>
                <w:rFonts w:cs="Arial"/>
                <w:sz w:val="16"/>
                <w:szCs w:val="16"/>
              </w:rPr>
              <w:t xml:space="preserve">26 483 </w:t>
            </w:r>
          </w:p>
        </w:tc>
      </w:tr>
      <w:tr w:rsidR="00D3033B" w:rsidRPr="00284BD5" w:rsidTr="00D3033B">
        <w:trPr>
          <w:trHeight w:val="300"/>
        </w:trPr>
        <w:tc>
          <w:tcPr>
            <w:tcW w:w="1344"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center"/>
              <w:rPr>
                <w:rFonts w:cs="Arial"/>
                <w:sz w:val="16"/>
                <w:szCs w:val="16"/>
              </w:rPr>
            </w:pPr>
            <w:r w:rsidRPr="00284BD5">
              <w:rPr>
                <w:rFonts w:cs="Arial"/>
                <w:sz w:val="16"/>
                <w:szCs w:val="16"/>
              </w:rPr>
              <w:t>2014/15</w:t>
            </w:r>
          </w:p>
        </w:tc>
        <w:tc>
          <w:tcPr>
            <w:tcW w:w="586"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127 </w:t>
            </w:r>
          </w:p>
        </w:tc>
        <w:tc>
          <w:tcPr>
            <w:tcW w:w="506"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277 </w:t>
            </w:r>
          </w:p>
        </w:tc>
        <w:tc>
          <w:tcPr>
            <w:tcW w:w="639"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sz w:val="16"/>
                <w:szCs w:val="16"/>
              </w:rPr>
            </w:pPr>
            <w:r w:rsidRPr="00284BD5">
              <w:rPr>
                <w:rFonts w:cs="Arial"/>
                <w:sz w:val="16"/>
                <w:szCs w:val="16"/>
              </w:rPr>
              <w:t xml:space="preserve">2 040 </w:t>
            </w:r>
          </w:p>
        </w:tc>
        <w:tc>
          <w:tcPr>
            <w:tcW w:w="585"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517 </w:t>
            </w:r>
          </w:p>
        </w:tc>
        <w:tc>
          <w:tcPr>
            <w:tcW w:w="639"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4 790 </w:t>
            </w:r>
          </w:p>
        </w:tc>
        <w:tc>
          <w:tcPr>
            <w:tcW w:w="905"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sz w:val="16"/>
                <w:szCs w:val="16"/>
              </w:rPr>
            </w:pPr>
            <w:r w:rsidRPr="00284BD5">
              <w:rPr>
                <w:rFonts w:cs="Arial"/>
                <w:sz w:val="16"/>
                <w:szCs w:val="16"/>
              </w:rPr>
              <w:t xml:space="preserve">94 759 </w:t>
            </w:r>
          </w:p>
        </w:tc>
        <w:tc>
          <w:tcPr>
            <w:tcW w:w="639"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1 100 </w:t>
            </w:r>
          </w:p>
        </w:tc>
        <w:tc>
          <w:tcPr>
            <w:tcW w:w="772"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12 801 </w:t>
            </w:r>
          </w:p>
        </w:tc>
        <w:tc>
          <w:tcPr>
            <w:tcW w:w="905"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sz w:val="16"/>
                <w:szCs w:val="16"/>
              </w:rPr>
            </w:pPr>
            <w:r w:rsidRPr="00284BD5">
              <w:rPr>
                <w:rFonts w:cs="Arial"/>
                <w:sz w:val="16"/>
                <w:szCs w:val="16"/>
              </w:rPr>
              <w:t xml:space="preserve">315 985 </w:t>
            </w:r>
          </w:p>
        </w:tc>
        <w:tc>
          <w:tcPr>
            <w:tcW w:w="660"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362 </w:t>
            </w:r>
          </w:p>
        </w:tc>
        <w:tc>
          <w:tcPr>
            <w:tcW w:w="620"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587 </w:t>
            </w:r>
          </w:p>
        </w:tc>
        <w:tc>
          <w:tcPr>
            <w:tcW w:w="740" w:type="dxa"/>
            <w:tcBorders>
              <w:top w:val="nil"/>
              <w:left w:val="nil"/>
              <w:bottom w:val="nil"/>
              <w:right w:val="nil"/>
            </w:tcBorders>
            <w:shd w:val="clear" w:color="000000" w:fill="FFFFFF"/>
            <w:noWrap/>
            <w:vAlign w:val="center"/>
            <w:hideMark/>
          </w:tcPr>
          <w:p w:rsidR="00D3033B" w:rsidRPr="00284BD5" w:rsidRDefault="00D3033B" w:rsidP="00D3033B">
            <w:pPr>
              <w:spacing w:after="0" w:line="240" w:lineRule="auto"/>
              <w:jc w:val="right"/>
              <w:rPr>
                <w:rFonts w:cs="Arial"/>
                <w:sz w:val="16"/>
                <w:szCs w:val="16"/>
              </w:rPr>
            </w:pPr>
            <w:r w:rsidRPr="00284BD5">
              <w:rPr>
                <w:rFonts w:cs="Arial"/>
                <w:sz w:val="16"/>
                <w:szCs w:val="16"/>
              </w:rPr>
              <w:t xml:space="preserve">22 758 </w:t>
            </w:r>
          </w:p>
        </w:tc>
      </w:tr>
      <w:tr w:rsidR="00D3033B" w:rsidRPr="00284BD5" w:rsidTr="00D3033B">
        <w:trPr>
          <w:trHeight w:val="300"/>
        </w:trPr>
        <w:tc>
          <w:tcPr>
            <w:tcW w:w="1344"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center"/>
              <w:rPr>
                <w:rFonts w:cs="Arial"/>
                <w:sz w:val="16"/>
                <w:szCs w:val="16"/>
              </w:rPr>
            </w:pPr>
            <w:r w:rsidRPr="00284BD5">
              <w:rPr>
                <w:rFonts w:cs="Arial"/>
                <w:sz w:val="16"/>
                <w:szCs w:val="16"/>
              </w:rPr>
              <w:t>2015/16</w:t>
            </w:r>
          </w:p>
        </w:tc>
        <w:tc>
          <w:tcPr>
            <w:tcW w:w="586"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131 </w:t>
            </w:r>
          </w:p>
        </w:tc>
        <w:tc>
          <w:tcPr>
            <w:tcW w:w="506"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309 </w:t>
            </w:r>
          </w:p>
        </w:tc>
        <w:tc>
          <w:tcPr>
            <w:tcW w:w="639"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2 201 </w:t>
            </w:r>
          </w:p>
        </w:tc>
        <w:tc>
          <w:tcPr>
            <w:tcW w:w="585"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515 </w:t>
            </w:r>
          </w:p>
        </w:tc>
        <w:tc>
          <w:tcPr>
            <w:tcW w:w="639"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4 731 </w:t>
            </w:r>
          </w:p>
        </w:tc>
        <w:tc>
          <w:tcPr>
            <w:tcW w:w="905"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91 841 </w:t>
            </w:r>
          </w:p>
        </w:tc>
        <w:tc>
          <w:tcPr>
            <w:tcW w:w="639"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1 096 </w:t>
            </w:r>
          </w:p>
        </w:tc>
        <w:tc>
          <w:tcPr>
            <w:tcW w:w="772"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12 674 </w:t>
            </w:r>
          </w:p>
        </w:tc>
        <w:tc>
          <w:tcPr>
            <w:tcW w:w="905"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312 628 </w:t>
            </w:r>
          </w:p>
        </w:tc>
        <w:tc>
          <w:tcPr>
            <w:tcW w:w="660"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354 </w:t>
            </w:r>
          </w:p>
        </w:tc>
        <w:tc>
          <w:tcPr>
            <w:tcW w:w="620"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555 </w:t>
            </w:r>
          </w:p>
        </w:tc>
        <w:tc>
          <w:tcPr>
            <w:tcW w:w="740" w:type="dxa"/>
            <w:tcBorders>
              <w:top w:val="nil"/>
              <w:left w:val="nil"/>
              <w:bottom w:val="nil"/>
              <w:right w:val="nil"/>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20 437 </w:t>
            </w:r>
          </w:p>
        </w:tc>
      </w:tr>
      <w:tr w:rsidR="00D3033B" w:rsidRPr="00284BD5" w:rsidTr="00D3033B">
        <w:trPr>
          <w:trHeight w:val="300"/>
        </w:trPr>
        <w:tc>
          <w:tcPr>
            <w:tcW w:w="1344"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center"/>
              <w:rPr>
                <w:rFonts w:cs="Arial"/>
                <w:sz w:val="16"/>
                <w:szCs w:val="16"/>
              </w:rPr>
            </w:pPr>
            <w:r w:rsidRPr="00284BD5">
              <w:rPr>
                <w:rFonts w:cs="Arial"/>
                <w:sz w:val="16"/>
                <w:szCs w:val="16"/>
              </w:rPr>
              <w:t>2016/17</w:t>
            </w:r>
          </w:p>
        </w:tc>
        <w:tc>
          <w:tcPr>
            <w:tcW w:w="586"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140 </w:t>
            </w:r>
          </w:p>
        </w:tc>
        <w:tc>
          <w:tcPr>
            <w:tcW w:w="506"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328 </w:t>
            </w:r>
          </w:p>
        </w:tc>
        <w:tc>
          <w:tcPr>
            <w:tcW w:w="639"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2 404 </w:t>
            </w:r>
          </w:p>
        </w:tc>
        <w:tc>
          <w:tcPr>
            <w:tcW w:w="585"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519 </w:t>
            </w:r>
          </w:p>
        </w:tc>
        <w:tc>
          <w:tcPr>
            <w:tcW w:w="639"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4 609 </w:t>
            </w:r>
          </w:p>
        </w:tc>
        <w:tc>
          <w:tcPr>
            <w:tcW w:w="905"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89 467 </w:t>
            </w:r>
          </w:p>
        </w:tc>
        <w:tc>
          <w:tcPr>
            <w:tcW w:w="639"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1 093 </w:t>
            </w:r>
          </w:p>
        </w:tc>
        <w:tc>
          <w:tcPr>
            <w:tcW w:w="772"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12 662 </w:t>
            </w:r>
          </w:p>
        </w:tc>
        <w:tc>
          <w:tcPr>
            <w:tcW w:w="905"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314 000 </w:t>
            </w:r>
          </w:p>
        </w:tc>
        <w:tc>
          <w:tcPr>
            <w:tcW w:w="660"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345 </w:t>
            </w:r>
          </w:p>
        </w:tc>
        <w:tc>
          <w:tcPr>
            <w:tcW w:w="620"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528 </w:t>
            </w:r>
          </w:p>
        </w:tc>
        <w:tc>
          <w:tcPr>
            <w:tcW w:w="740" w:type="dxa"/>
            <w:tcBorders>
              <w:top w:val="nil"/>
              <w:left w:val="nil"/>
              <w:bottom w:val="nil"/>
              <w:right w:val="nil"/>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18 978 </w:t>
            </w:r>
          </w:p>
        </w:tc>
      </w:tr>
      <w:tr w:rsidR="00D3033B" w:rsidRPr="00284BD5" w:rsidTr="00D3033B">
        <w:trPr>
          <w:trHeight w:val="300"/>
        </w:trPr>
        <w:tc>
          <w:tcPr>
            <w:tcW w:w="1344"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center"/>
              <w:rPr>
                <w:rFonts w:cs="Arial"/>
                <w:sz w:val="16"/>
                <w:szCs w:val="16"/>
              </w:rPr>
            </w:pPr>
            <w:r w:rsidRPr="00284BD5">
              <w:rPr>
                <w:rFonts w:cs="Arial"/>
                <w:sz w:val="16"/>
                <w:szCs w:val="16"/>
              </w:rPr>
              <w:t>2017/18</w:t>
            </w:r>
          </w:p>
        </w:tc>
        <w:tc>
          <w:tcPr>
            <w:tcW w:w="586"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146 </w:t>
            </w:r>
          </w:p>
        </w:tc>
        <w:tc>
          <w:tcPr>
            <w:tcW w:w="506"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361 </w:t>
            </w:r>
          </w:p>
        </w:tc>
        <w:tc>
          <w:tcPr>
            <w:tcW w:w="639"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2 612 </w:t>
            </w:r>
          </w:p>
        </w:tc>
        <w:tc>
          <w:tcPr>
            <w:tcW w:w="585"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517 </w:t>
            </w:r>
          </w:p>
        </w:tc>
        <w:tc>
          <w:tcPr>
            <w:tcW w:w="639"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4 504 </w:t>
            </w:r>
          </w:p>
        </w:tc>
        <w:tc>
          <w:tcPr>
            <w:tcW w:w="905"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87 437 </w:t>
            </w:r>
          </w:p>
        </w:tc>
        <w:tc>
          <w:tcPr>
            <w:tcW w:w="639"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1 091 </w:t>
            </w:r>
          </w:p>
        </w:tc>
        <w:tc>
          <w:tcPr>
            <w:tcW w:w="772"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12 711 </w:t>
            </w:r>
          </w:p>
        </w:tc>
        <w:tc>
          <w:tcPr>
            <w:tcW w:w="905"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315 000 </w:t>
            </w:r>
          </w:p>
        </w:tc>
        <w:tc>
          <w:tcPr>
            <w:tcW w:w="660"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337 </w:t>
            </w:r>
          </w:p>
        </w:tc>
        <w:tc>
          <w:tcPr>
            <w:tcW w:w="620" w:type="dxa"/>
            <w:tcBorders>
              <w:top w:val="nil"/>
              <w:left w:val="nil"/>
              <w:bottom w:val="nil"/>
              <w:right w:val="single" w:sz="4" w:space="0" w:color="auto"/>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512 </w:t>
            </w:r>
          </w:p>
        </w:tc>
        <w:tc>
          <w:tcPr>
            <w:tcW w:w="740" w:type="dxa"/>
            <w:tcBorders>
              <w:top w:val="nil"/>
              <w:left w:val="nil"/>
              <w:bottom w:val="nil"/>
              <w:right w:val="nil"/>
            </w:tcBorders>
            <w:shd w:val="clear" w:color="000000" w:fill="FFFFFF"/>
            <w:noWrap/>
            <w:vAlign w:val="center"/>
            <w:hideMark/>
          </w:tcPr>
          <w:p w:rsidR="00D3033B" w:rsidRPr="00284BD5" w:rsidRDefault="00D3033B" w:rsidP="00D3033B">
            <w:pPr>
              <w:spacing w:after="0" w:line="240" w:lineRule="auto"/>
              <w:jc w:val="right"/>
              <w:rPr>
                <w:rFonts w:cs="Arial"/>
                <w:color w:val="000000"/>
                <w:sz w:val="16"/>
                <w:szCs w:val="16"/>
              </w:rPr>
            </w:pPr>
            <w:r w:rsidRPr="00284BD5">
              <w:rPr>
                <w:rFonts w:cs="Arial"/>
                <w:color w:val="000000"/>
                <w:sz w:val="16"/>
                <w:szCs w:val="16"/>
              </w:rPr>
              <w:t xml:space="preserve">16 486 </w:t>
            </w:r>
          </w:p>
        </w:tc>
      </w:tr>
    </w:tbl>
    <w:p w:rsidR="00760CB8" w:rsidRPr="00D3033B" w:rsidRDefault="00760CB8" w:rsidP="00760CB8">
      <w:pPr>
        <w:spacing w:after="0" w:line="276" w:lineRule="auto"/>
        <w:jc w:val="both"/>
        <w:rPr>
          <w:szCs w:val="28"/>
        </w:rPr>
      </w:pPr>
      <w:r w:rsidRPr="00D3033B">
        <w:rPr>
          <w:sz w:val="16"/>
          <w:szCs w:val="28"/>
        </w:rPr>
        <w:t>Zdroj: MŠMT</w:t>
      </w:r>
    </w:p>
    <w:p w:rsidR="00760CB8" w:rsidRDefault="00760CB8" w:rsidP="00D3033B">
      <w:pPr>
        <w:spacing w:after="0" w:line="276" w:lineRule="auto"/>
        <w:jc w:val="both"/>
        <w:rPr>
          <w:rFonts w:cs="Arial"/>
          <w:b/>
          <w:sz w:val="28"/>
          <w:szCs w:val="28"/>
        </w:rPr>
      </w:pPr>
    </w:p>
    <w:p w:rsidR="00D3033B" w:rsidRDefault="00D3033B" w:rsidP="00A365B0">
      <w:pPr>
        <w:pStyle w:val="Nadpis2"/>
        <w:rPr>
          <w:rFonts w:cs="Arial"/>
          <w:b w:val="0"/>
          <w:sz w:val="24"/>
        </w:rPr>
      </w:pPr>
      <w:bookmarkStart w:id="43" w:name="_Toc523408617"/>
      <w:bookmarkStart w:id="44" w:name="_Toc523466202"/>
      <w:r w:rsidRPr="00284BD5">
        <w:t>3.3 Střední vzdělávání s výučním listem</w:t>
      </w:r>
      <w:bookmarkEnd w:id="43"/>
      <w:bookmarkEnd w:id="44"/>
    </w:p>
    <w:p w:rsidR="00D3033B" w:rsidRDefault="00D3033B" w:rsidP="00F2308B">
      <w:pPr>
        <w:spacing w:after="120" w:line="276" w:lineRule="auto"/>
        <w:jc w:val="both"/>
        <w:rPr>
          <w:rFonts w:cs="Arial"/>
          <w:szCs w:val="20"/>
        </w:rPr>
      </w:pPr>
      <w:r>
        <w:rPr>
          <w:rFonts w:cs="Arial"/>
          <w:szCs w:val="20"/>
        </w:rPr>
        <w:t xml:space="preserve">Střední vzdělávání s výučním listem </w:t>
      </w:r>
      <w:r w:rsidRPr="001872DB">
        <w:rPr>
          <w:rFonts w:cs="Arial"/>
          <w:szCs w:val="20"/>
        </w:rPr>
        <w:t>se</w:t>
      </w:r>
      <w:r>
        <w:rPr>
          <w:rFonts w:cs="Arial"/>
          <w:szCs w:val="20"/>
        </w:rPr>
        <w:t xml:space="preserve"> v minulém školním roce </w:t>
      </w:r>
      <w:r w:rsidRPr="001872DB">
        <w:rPr>
          <w:rFonts w:cs="Arial"/>
          <w:szCs w:val="20"/>
        </w:rPr>
        <w:t>realizoval</w:t>
      </w:r>
      <w:r>
        <w:rPr>
          <w:rFonts w:cs="Arial"/>
          <w:szCs w:val="20"/>
        </w:rPr>
        <w:t xml:space="preserve">o </w:t>
      </w:r>
      <w:r w:rsidRPr="001872DB">
        <w:rPr>
          <w:rFonts w:cs="Arial"/>
          <w:szCs w:val="20"/>
        </w:rPr>
        <w:t>n</w:t>
      </w:r>
      <w:r>
        <w:rPr>
          <w:rFonts w:cs="Arial"/>
          <w:szCs w:val="20"/>
        </w:rPr>
        <w:t xml:space="preserve">a </w:t>
      </w:r>
      <w:r w:rsidRPr="001872DB">
        <w:rPr>
          <w:rFonts w:cs="Arial"/>
          <w:szCs w:val="20"/>
        </w:rPr>
        <w:t>517</w:t>
      </w:r>
      <w:r>
        <w:rPr>
          <w:rFonts w:cs="Arial"/>
          <w:szCs w:val="20"/>
        </w:rPr>
        <w:t> </w:t>
      </w:r>
      <w:r w:rsidRPr="001872DB">
        <w:rPr>
          <w:rFonts w:cs="Arial"/>
          <w:szCs w:val="20"/>
        </w:rPr>
        <w:t>školách.</w:t>
      </w:r>
      <w:r>
        <w:rPr>
          <w:rFonts w:cs="Arial"/>
          <w:szCs w:val="20"/>
        </w:rPr>
        <w:t xml:space="preserve"> V </w:t>
      </w:r>
      <w:r w:rsidRPr="001872DB">
        <w:rPr>
          <w:rFonts w:cs="Arial"/>
          <w:szCs w:val="20"/>
        </w:rPr>
        <w:t>průběhu</w:t>
      </w:r>
      <w:r>
        <w:rPr>
          <w:rFonts w:cs="Arial"/>
          <w:szCs w:val="20"/>
        </w:rPr>
        <w:t xml:space="preserve"> 10 let </w:t>
      </w:r>
      <w:r w:rsidRPr="001872DB">
        <w:rPr>
          <w:rFonts w:cs="Arial"/>
          <w:szCs w:val="20"/>
        </w:rPr>
        <w:t>počet škol klesl</w:t>
      </w:r>
      <w:r>
        <w:rPr>
          <w:rFonts w:cs="Arial"/>
          <w:szCs w:val="20"/>
        </w:rPr>
        <w:t xml:space="preserve"> o </w:t>
      </w:r>
      <w:r w:rsidRPr="001872DB">
        <w:rPr>
          <w:rFonts w:cs="Arial"/>
          <w:szCs w:val="20"/>
        </w:rPr>
        <w:t>31</w:t>
      </w:r>
      <w:r>
        <w:rPr>
          <w:rFonts w:cs="Arial"/>
          <w:szCs w:val="20"/>
        </w:rPr>
        <w:t>. Počet tříd klesá každým rokem. V roce </w:t>
      </w:r>
      <w:r w:rsidRPr="001872DB">
        <w:rPr>
          <w:rFonts w:cs="Arial"/>
          <w:szCs w:val="20"/>
        </w:rPr>
        <w:t>2017/18 jich byl</w:t>
      </w:r>
      <w:r>
        <w:rPr>
          <w:rFonts w:cs="Arial"/>
          <w:szCs w:val="20"/>
        </w:rPr>
        <w:t xml:space="preserve">o </w:t>
      </w:r>
      <w:r w:rsidRPr="001872DB">
        <w:rPr>
          <w:rFonts w:cs="Arial"/>
          <w:szCs w:val="20"/>
        </w:rPr>
        <w:t>4</w:t>
      </w:r>
      <w:r>
        <w:rPr>
          <w:rFonts w:cs="Arial"/>
          <w:szCs w:val="20"/>
        </w:rPr>
        <w:t>,5 tis.</w:t>
      </w:r>
      <w:r w:rsidRPr="001872DB">
        <w:rPr>
          <w:rFonts w:cs="Arial"/>
          <w:szCs w:val="20"/>
        </w:rPr>
        <w:t>,</w:t>
      </w:r>
      <w:r>
        <w:rPr>
          <w:rFonts w:cs="Arial"/>
          <w:szCs w:val="20"/>
        </w:rPr>
        <w:t xml:space="preserve"> o </w:t>
      </w:r>
      <w:r w:rsidRPr="001872DB">
        <w:rPr>
          <w:rFonts w:cs="Arial"/>
          <w:szCs w:val="20"/>
        </w:rPr>
        <w:t>1</w:t>
      </w:r>
      <w:r>
        <w:rPr>
          <w:rFonts w:cs="Arial"/>
          <w:szCs w:val="20"/>
        </w:rPr>
        <w:t xml:space="preserve">,4 tis. méně </w:t>
      </w:r>
      <w:r w:rsidRPr="001872DB">
        <w:rPr>
          <w:rFonts w:cs="Arial"/>
          <w:szCs w:val="20"/>
        </w:rPr>
        <w:t>než před 10</w:t>
      </w:r>
      <w:r>
        <w:rPr>
          <w:rFonts w:cs="Arial"/>
          <w:szCs w:val="20"/>
        </w:rPr>
        <w:t> let</w:t>
      </w:r>
      <w:r w:rsidRPr="001872DB">
        <w:rPr>
          <w:rFonts w:cs="Arial"/>
          <w:szCs w:val="20"/>
        </w:rPr>
        <w:t xml:space="preserve">y. Počet </w:t>
      </w:r>
      <w:r>
        <w:rPr>
          <w:rFonts w:cs="Arial"/>
          <w:szCs w:val="20"/>
        </w:rPr>
        <w:t>studentů</w:t>
      </w:r>
      <w:r w:rsidRPr="001872DB">
        <w:rPr>
          <w:rFonts w:cs="Arial"/>
          <w:szCs w:val="20"/>
        </w:rPr>
        <w:t xml:space="preserve"> klesl </w:t>
      </w:r>
      <w:r>
        <w:rPr>
          <w:rFonts w:cs="Arial"/>
          <w:szCs w:val="20"/>
        </w:rPr>
        <w:t>od roku </w:t>
      </w:r>
      <w:r w:rsidRPr="001872DB">
        <w:rPr>
          <w:rFonts w:cs="Arial"/>
          <w:szCs w:val="20"/>
        </w:rPr>
        <w:t>2007/08</w:t>
      </w:r>
      <w:r>
        <w:rPr>
          <w:rFonts w:cs="Arial"/>
          <w:szCs w:val="20"/>
        </w:rPr>
        <w:t xml:space="preserve"> o </w:t>
      </w:r>
      <w:r w:rsidRPr="001872DB">
        <w:rPr>
          <w:rFonts w:cs="Arial"/>
          <w:szCs w:val="20"/>
        </w:rPr>
        <w:t>29,2</w:t>
      </w:r>
      <w:r>
        <w:rPr>
          <w:rFonts w:cs="Arial"/>
          <w:szCs w:val="20"/>
        </w:rPr>
        <w:t xml:space="preserve"> %, </w:t>
      </w:r>
      <w:r w:rsidRPr="001872DB">
        <w:rPr>
          <w:rFonts w:cs="Arial"/>
          <w:szCs w:val="20"/>
        </w:rPr>
        <w:t>n</w:t>
      </w:r>
      <w:r>
        <w:rPr>
          <w:rFonts w:cs="Arial"/>
          <w:szCs w:val="20"/>
        </w:rPr>
        <w:t xml:space="preserve">a </w:t>
      </w:r>
      <w:r w:rsidRPr="001872DB">
        <w:rPr>
          <w:rFonts w:cs="Arial"/>
          <w:szCs w:val="20"/>
        </w:rPr>
        <w:t>87</w:t>
      </w:r>
      <w:r>
        <w:rPr>
          <w:rFonts w:cs="Arial"/>
          <w:szCs w:val="20"/>
        </w:rPr>
        <w:t>,4 tis. studentů ve školním roce 2017/18</w:t>
      </w:r>
      <w:r w:rsidRPr="001872DB">
        <w:rPr>
          <w:rFonts w:cs="Arial"/>
          <w:szCs w:val="20"/>
        </w:rPr>
        <w:t>. Podíl dívek n</w:t>
      </w:r>
      <w:r>
        <w:rPr>
          <w:rFonts w:cs="Arial"/>
          <w:szCs w:val="20"/>
        </w:rPr>
        <w:t xml:space="preserve">a </w:t>
      </w:r>
      <w:r w:rsidRPr="001872DB">
        <w:rPr>
          <w:rFonts w:cs="Arial"/>
          <w:szCs w:val="20"/>
        </w:rPr>
        <w:t xml:space="preserve">středních školách </w:t>
      </w:r>
      <w:r>
        <w:rPr>
          <w:rFonts w:cs="Arial"/>
          <w:szCs w:val="20"/>
        </w:rPr>
        <w:t>s </w:t>
      </w:r>
      <w:r w:rsidRPr="001872DB">
        <w:rPr>
          <w:rFonts w:cs="Arial"/>
          <w:szCs w:val="20"/>
        </w:rPr>
        <w:t>v</w:t>
      </w:r>
      <w:r>
        <w:rPr>
          <w:rFonts w:cs="Arial"/>
          <w:szCs w:val="20"/>
        </w:rPr>
        <w:t>ýučním listem byl 34,1% a zůstal</w:t>
      </w:r>
      <w:r w:rsidRPr="001872DB">
        <w:rPr>
          <w:rFonts w:cs="Arial"/>
          <w:szCs w:val="20"/>
        </w:rPr>
        <w:t xml:space="preserve"> konstantní. Každoročně klesá nejen počet studentů, ale </w:t>
      </w:r>
      <w:r>
        <w:rPr>
          <w:rFonts w:cs="Arial"/>
          <w:szCs w:val="20"/>
        </w:rPr>
        <w:t>i </w:t>
      </w:r>
      <w:r w:rsidRPr="001872DB">
        <w:rPr>
          <w:rFonts w:cs="Arial"/>
          <w:szCs w:val="20"/>
        </w:rPr>
        <w:t>nově přijatých</w:t>
      </w:r>
      <w:r>
        <w:rPr>
          <w:rFonts w:cs="Arial"/>
          <w:szCs w:val="20"/>
        </w:rPr>
        <w:t xml:space="preserve"> a absolventů, což </w:t>
      </w:r>
      <w:r w:rsidRPr="001872DB">
        <w:rPr>
          <w:rFonts w:cs="Arial"/>
          <w:szCs w:val="20"/>
        </w:rPr>
        <w:t>ukazuje následující graf.</w:t>
      </w:r>
    </w:p>
    <w:p w:rsidR="00D3033B" w:rsidRDefault="00D3033B" w:rsidP="00322C9B">
      <w:pPr>
        <w:spacing w:after="0" w:line="276" w:lineRule="auto"/>
        <w:jc w:val="both"/>
        <w:rPr>
          <w:rFonts w:cs="Arial"/>
          <w:sz w:val="16"/>
          <w:szCs w:val="16"/>
        </w:rPr>
      </w:pPr>
      <w:r w:rsidRPr="00284BD5">
        <w:rPr>
          <w:rFonts w:cs="Arial"/>
          <w:b/>
          <w:szCs w:val="20"/>
        </w:rPr>
        <w:t>Graf 3</w:t>
      </w:r>
      <w:r w:rsidR="004377B2">
        <w:rPr>
          <w:rFonts w:cs="Arial"/>
          <w:b/>
          <w:szCs w:val="20"/>
        </w:rPr>
        <w:t>0</w:t>
      </w:r>
      <w:r>
        <w:rPr>
          <w:rFonts w:cs="Arial"/>
          <w:b/>
          <w:szCs w:val="20"/>
        </w:rPr>
        <w:t>:</w:t>
      </w:r>
      <w:r w:rsidRPr="00284BD5">
        <w:rPr>
          <w:rFonts w:cs="Arial"/>
          <w:b/>
          <w:szCs w:val="20"/>
        </w:rPr>
        <w:t xml:space="preserve"> Studenti a absolventi středního vzdělávání s výučním listem </w:t>
      </w:r>
      <w:r>
        <w:rPr>
          <w:rFonts w:cs="Arial"/>
          <w:b/>
          <w:szCs w:val="20"/>
        </w:rPr>
        <w:t xml:space="preserve">v ČR v letech 2007/2008 až 2017/2018 – přijatí a absolventi </w:t>
      </w:r>
    </w:p>
    <w:p w:rsidR="00D3033B" w:rsidRDefault="00D3033B" w:rsidP="00D3033B">
      <w:pPr>
        <w:spacing w:after="0" w:line="276" w:lineRule="auto"/>
        <w:jc w:val="center"/>
        <w:rPr>
          <w:rFonts w:cs="Arial"/>
          <w:sz w:val="16"/>
          <w:szCs w:val="16"/>
        </w:rPr>
      </w:pPr>
    </w:p>
    <w:p w:rsidR="00D3033B" w:rsidRDefault="001C064A" w:rsidP="00D3033B">
      <w:pPr>
        <w:spacing w:after="0" w:line="276" w:lineRule="auto"/>
        <w:jc w:val="center"/>
        <w:rPr>
          <w:rFonts w:cs="Arial"/>
          <w:sz w:val="16"/>
          <w:szCs w:val="16"/>
        </w:rPr>
      </w:pPr>
      <w:r>
        <w:rPr>
          <w:rFonts w:cs="Arial"/>
          <w:noProof/>
          <w:sz w:val="16"/>
          <w:szCs w:val="16"/>
        </w:rPr>
        <w:drawing>
          <wp:inline distT="0" distB="0" distL="0" distR="0" wp14:anchorId="71C097E6">
            <wp:extent cx="4584700" cy="2755900"/>
            <wp:effectExtent l="0" t="0" r="6350" b="635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D3033B" w:rsidRPr="000D42DF" w:rsidRDefault="00D3033B" w:rsidP="00D3033B">
      <w:pPr>
        <w:spacing w:after="0" w:line="276" w:lineRule="auto"/>
        <w:rPr>
          <w:rFonts w:cs="Arial"/>
          <w:sz w:val="16"/>
          <w:szCs w:val="16"/>
        </w:rPr>
      </w:pPr>
      <w:r w:rsidRPr="000D42DF">
        <w:rPr>
          <w:rFonts w:cs="Arial"/>
          <w:sz w:val="16"/>
          <w:szCs w:val="16"/>
        </w:rPr>
        <w:t>Zdroj: MŠMT</w:t>
      </w:r>
    </w:p>
    <w:p w:rsidR="00D3033B" w:rsidRDefault="00D3033B" w:rsidP="00D3033B">
      <w:pPr>
        <w:spacing w:after="0" w:line="276" w:lineRule="auto"/>
        <w:jc w:val="both"/>
        <w:rPr>
          <w:rFonts w:cs="Arial"/>
          <w:szCs w:val="20"/>
        </w:rPr>
      </w:pPr>
      <w:r>
        <w:rPr>
          <w:rFonts w:cs="Arial"/>
          <w:szCs w:val="20"/>
        </w:rPr>
        <w:br/>
      </w:r>
      <w:r w:rsidRPr="001872DB">
        <w:rPr>
          <w:rFonts w:cs="Arial"/>
          <w:szCs w:val="20"/>
        </w:rPr>
        <w:t>Které obory jsou pr</w:t>
      </w:r>
      <w:r>
        <w:rPr>
          <w:rFonts w:cs="Arial"/>
          <w:szCs w:val="20"/>
        </w:rPr>
        <w:t xml:space="preserve">o </w:t>
      </w:r>
      <w:r w:rsidRPr="001872DB">
        <w:rPr>
          <w:rFonts w:cs="Arial"/>
          <w:szCs w:val="20"/>
        </w:rPr>
        <w:t xml:space="preserve">studenty </w:t>
      </w:r>
      <w:r>
        <w:rPr>
          <w:rFonts w:cs="Arial"/>
          <w:szCs w:val="20"/>
        </w:rPr>
        <w:t>s</w:t>
      </w:r>
      <w:r w:rsidRPr="001872DB">
        <w:rPr>
          <w:rFonts w:cs="Arial"/>
          <w:szCs w:val="20"/>
        </w:rPr>
        <w:t>třední</w:t>
      </w:r>
      <w:r>
        <w:rPr>
          <w:rFonts w:cs="Arial"/>
          <w:szCs w:val="20"/>
        </w:rPr>
        <w:t xml:space="preserve">ho </w:t>
      </w:r>
      <w:r w:rsidRPr="001872DB">
        <w:rPr>
          <w:rFonts w:cs="Arial"/>
          <w:szCs w:val="20"/>
        </w:rPr>
        <w:t xml:space="preserve">vzdělávání </w:t>
      </w:r>
      <w:r>
        <w:rPr>
          <w:rFonts w:cs="Arial"/>
          <w:szCs w:val="20"/>
        </w:rPr>
        <w:t>s </w:t>
      </w:r>
      <w:r w:rsidRPr="001872DB">
        <w:rPr>
          <w:rFonts w:cs="Arial"/>
          <w:szCs w:val="20"/>
        </w:rPr>
        <w:t>výučním listem nejlákavější?</w:t>
      </w:r>
      <w:r>
        <w:rPr>
          <w:rFonts w:cs="Arial"/>
          <w:szCs w:val="20"/>
        </w:rPr>
        <w:t xml:space="preserve"> V minulém školním roce jich nejvíce </w:t>
      </w:r>
      <w:r w:rsidRPr="001872DB">
        <w:rPr>
          <w:rFonts w:cs="Arial"/>
          <w:szCs w:val="20"/>
        </w:rPr>
        <w:t>studo</w:t>
      </w:r>
      <w:r>
        <w:rPr>
          <w:rFonts w:cs="Arial"/>
          <w:szCs w:val="20"/>
        </w:rPr>
        <w:t xml:space="preserve">valo </w:t>
      </w:r>
      <w:r w:rsidRPr="00B46D74">
        <w:rPr>
          <w:rFonts w:cs="Arial"/>
          <w:i/>
          <w:szCs w:val="20"/>
        </w:rPr>
        <w:t>Strojírenství a strojírenskou výrobu</w:t>
      </w:r>
      <w:r>
        <w:rPr>
          <w:rFonts w:cs="Arial"/>
          <w:szCs w:val="20"/>
        </w:rPr>
        <w:t xml:space="preserve"> – 20,1 tis. (23,5 %). </w:t>
      </w:r>
      <w:r w:rsidRPr="00B46D74">
        <w:rPr>
          <w:rFonts w:cs="Arial"/>
          <w:i/>
          <w:szCs w:val="20"/>
        </w:rPr>
        <w:t>Gastronomii, hotelnictví a turismus</w:t>
      </w:r>
      <w:r>
        <w:rPr>
          <w:rFonts w:cs="Arial"/>
          <w:szCs w:val="20"/>
        </w:rPr>
        <w:t xml:space="preserve"> studovalo </w:t>
      </w:r>
      <w:r w:rsidRPr="001872DB">
        <w:rPr>
          <w:rFonts w:cs="Arial"/>
          <w:szCs w:val="20"/>
        </w:rPr>
        <w:t>17,5</w:t>
      </w:r>
      <w:r>
        <w:rPr>
          <w:rFonts w:cs="Arial"/>
          <w:szCs w:val="20"/>
        </w:rPr>
        <w:t> % studentů</w:t>
      </w:r>
      <w:r w:rsidRPr="001872DB">
        <w:rPr>
          <w:rFonts w:cs="Arial"/>
          <w:szCs w:val="20"/>
        </w:rPr>
        <w:t>. U</w:t>
      </w:r>
      <w:r>
        <w:rPr>
          <w:rFonts w:cs="Arial"/>
          <w:szCs w:val="20"/>
        </w:rPr>
        <w:t> </w:t>
      </w:r>
      <w:r w:rsidRPr="001872DB">
        <w:rPr>
          <w:rFonts w:cs="Arial"/>
          <w:szCs w:val="20"/>
        </w:rPr>
        <w:t>těcht</w:t>
      </w:r>
      <w:r>
        <w:rPr>
          <w:rFonts w:cs="Arial"/>
          <w:szCs w:val="20"/>
        </w:rPr>
        <w:t xml:space="preserve">o </w:t>
      </w:r>
      <w:r w:rsidRPr="001872DB">
        <w:rPr>
          <w:rFonts w:cs="Arial"/>
          <w:szCs w:val="20"/>
        </w:rPr>
        <w:t>studentů však z</w:t>
      </w:r>
      <w:r>
        <w:rPr>
          <w:rFonts w:cs="Arial"/>
          <w:szCs w:val="20"/>
        </w:rPr>
        <w:t xml:space="preserve">a posledních 5 let nastal pokles o 30 %. Ještě výrazněji poklesl počet žáků oborů </w:t>
      </w:r>
      <w:r>
        <w:rPr>
          <w:rFonts w:cs="Arial"/>
          <w:i/>
          <w:szCs w:val="20"/>
        </w:rPr>
        <w:t>S</w:t>
      </w:r>
      <w:r w:rsidRPr="00143185">
        <w:rPr>
          <w:rFonts w:cs="Arial"/>
          <w:i/>
          <w:szCs w:val="20"/>
        </w:rPr>
        <w:t>tavebnictví, geodézie a kartografie</w:t>
      </w:r>
      <w:r>
        <w:rPr>
          <w:rFonts w:cs="Arial"/>
          <w:szCs w:val="20"/>
        </w:rPr>
        <w:t xml:space="preserve">, až o 42 %.    </w:t>
      </w:r>
    </w:p>
    <w:p w:rsidR="00D3033B" w:rsidRDefault="00D3033B" w:rsidP="00D3033B">
      <w:pPr>
        <w:spacing w:after="0" w:line="276" w:lineRule="auto"/>
        <w:jc w:val="both"/>
        <w:rPr>
          <w:rFonts w:cs="Arial"/>
          <w:szCs w:val="20"/>
        </w:rPr>
      </w:pPr>
    </w:p>
    <w:p w:rsidR="00D3033B" w:rsidRDefault="00D3033B" w:rsidP="00D3033B">
      <w:pPr>
        <w:spacing w:after="0" w:line="276" w:lineRule="auto"/>
        <w:jc w:val="both"/>
        <w:rPr>
          <w:rFonts w:cs="Arial"/>
          <w:szCs w:val="20"/>
        </w:rPr>
      </w:pPr>
    </w:p>
    <w:p w:rsidR="00D3033B" w:rsidRPr="00284BD5" w:rsidRDefault="00D3033B" w:rsidP="00D3033B">
      <w:pPr>
        <w:spacing w:after="0" w:line="276" w:lineRule="auto"/>
        <w:jc w:val="both"/>
        <w:rPr>
          <w:rFonts w:cs="Arial"/>
          <w:b/>
          <w:szCs w:val="20"/>
        </w:rPr>
      </w:pPr>
      <w:r w:rsidRPr="00284BD5">
        <w:rPr>
          <w:rFonts w:cs="Arial"/>
          <w:b/>
          <w:szCs w:val="20"/>
        </w:rPr>
        <w:t xml:space="preserve">Graf </w:t>
      </w:r>
      <w:r w:rsidR="004377B2">
        <w:rPr>
          <w:rFonts w:cs="Arial"/>
          <w:b/>
          <w:szCs w:val="20"/>
        </w:rPr>
        <w:t>31</w:t>
      </w:r>
      <w:r>
        <w:rPr>
          <w:rFonts w:cs="Arial"/>
          <w:b/>
          <w:szCs w:val="20"/>
        </w:rPr>
        <w:t>:</w:t>
      </w:r>
      <w:r w:rsidRPr="00284BD5">
        <w:rPr>
          <w:rFonts w:cs="Arial"/>
          <w:b/>
          <w:szCs w:val="20"/>
        </w:rPr>
        <w:t xml:space="preserve"> </w:t>
      </w:r>
      <w:r>
        <w:rPr>
          <w:rFonts w:cs="Arial"/>
          <w:b/>
          <w:szCs w:val="20"/>
        </w:rPr>
        <w:t>Studenti vybraných o</w:t>
      </w:r>
      <w:r w:rsidRPr="00284BD5">
        <w:rPr>
          <w:rFonts w:cs="Arial"/>
          <w:b/>
          <w:szCs w:val="20"/>
        </w:rPr>
        <w:t>bor</w:t>
      </w:r>
      <w:r>
        <w:rPr>
          <w:rFonts w:cs="Arial"/>
          <w:b/>
          <w:szCs w:val="20"/>
        </w:rPr>
        <w:t>ů</w:t>
      </w:r>
      <w:r w:rsidRPr="00284BD5">
        <w:rPr>
          <w:rFonts w:cs="Arial"/>
          <w:b/>
          <w:szCs w:val="20"/>
        </w:rPr>
        <w:t xml:space="preserve"> </w:t>
      </w:r>
      <w:r>
        <w:rPr>
          <w:rFonts w:cs="Arial"/>
          <w:b/>
          <w:szCs w:val="20"/>
        </w:rPr>
        <w:t xml:space="preserve">středního </w:t>
      </w:r>
      <w:r w:rsidRPr="00284BD5">
        <w:rPr>
          <w:rFonts w:cs="Arial"/>
          <w:b/>
          <w:szCs w:val="20"/>
        </w:rPr>
        <w:t>vzděláv</w:t>
      </w:r>
      <w:r>
        <w:rPr>
          <w:rFonts w:cs="Arial"/>
          <w:b/>
          <w:szCs w:val="20"/>
        </w:rPr>
        <w:t>á</w:t>
      </w:r>
      <w:r w:rsidRPr="00284BD5">
        <w:rPr>
          <w:rFonts w:cs="Arial"/>
          <w:b/>
          <w:szCs w:val="20"/>
        </w:rPr>
        <w:t xml:space="preserve">ní </w:t>
      </w:r>
      <w:r>
        <w:rPr>
          <w:rFonts w:cs="Arial"/>
          <w:b/>
          <w:szCs w:val="20"/>
        </w:rPr>
        <w:t>s výučním listem v ČR v letech 2012/2013 až 2017/2018</w:t>
      </w:r>
    </w:p>
    <w:p w:rsidR="00D3033B" w:rsidRDefault="001C064A" w:rsidP="00D3033B">
      <w:pPr>
        <w:spacing w:after="0" w:line="276" w:lineRule="auto"/>
        <w:jc w:val="center"/>
        <w:rPr>
          <w:rFonts w:cs="Arial"/>
          <w:szCs w:val="20"/>
        </w:rPr>
      </w:pPr>
      <w:r>
        <w:rPr>
          <w:rFonts w:cs="Arial"/>
          <w:noProof/>
          <w:szCs w:val="20"/>
        </w:rPr>
        <w:drawing>
          <wp:inline distT="0" distB="0" distL="0" distR="0" wp14:anchorId="64C7AC2D">
            <wp:extent cx="5767070" cy="1840865"/>
            <wp:effectExtent l="0" t="0" r="5080" b="6985"/>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7070" cy="1840865"/>
                    </a:xfrm>
                    <a:prstGeom prst="rect">
                      <a:avLst/>
                    </a:prstGeom>
                    <a:noFill/>
                  </pic:spPr>
                </pic:pic>
              </a:graphicData>
            </a:graphic>
          </wp:inline>
        </w:drawing>
      </w:r>
    </w:p>
    <w:p w:rsidR="00D3033B" w:rsidRPr="000D42DF" w:rsidRDefault="00D3033B" w:rsidP="00D3033B">
      <w:pPr>
        <w:spacing w:after="0" w:line="276" w:lineRule="auto"/>
        <w:rPr>
          <w:rFonts w:cs="Arial"/>
          <w:sz w:val="16"/>
          <w:szCs w:val="16"/>
        </w:rPr>
      </w:pPr>
      <w:r w:rsidRPr="000D42DF">
        <w:rPr>
          <w:rFonts w:cs="Arial"/>
          <w:sz w:val="16"/>
          <w:szCs w:val="16"/>
        </w:rPr>
        <w:t>Zdroj: MŠMT</w:t>
      </w:r>
    </w:p>
    <w:p w:rsidR="00D3033B" w:rsidRDefault="00D3033B" w:rsidP="00D3033B">
      <w:pPr>
        <w:spacing w:after="0" w:line="276" w:lineRule="auto"/>
        <w:rPr>
          <w:rFonts w:cs="Arial"/>
          <w:szCs w:val="20"/>
        </w:rPr>
      </w:pPr>
    </w:p>
    <w:p w:rsidR="00D3033B" w:rsidRPr="00284BD5" w:rsidRDefault="00D3033B" w:rsidP="00A365B0">
      <w:pPr>
        <w:pStyle w:val="Nadpis2"/>
      </w:pPr>
      <w:bookmarkStart w:id="45" w:name="_Toc523408618"/>
      <w:bookmarkStart w:id="46" w:name="_Toc523466203"/>
      <w:r w:rsidRPr="00284BD5">
        <w:t>3.4 Střední vzdělávání s maturitní zkouškou</w:t>
      </w:r>
      <w:bookmarkEnd w:id="45"/>
      <w:bookmarkEnd w:id="46"/>
    </w:p>
    <w:p w:rsidR="00D3033B" w:rsidRDefault="00D3033B" w:rsidP="00D3033B">
      <w:pPr>
        <w:spacing w:after="0" w:line="276" w:lineRule="auto"/>
        <w:jc w:val="both"/>
        <w:rPr>
          <w:rFonts w:cs="Arial"/>
          <w:szCs w:val="20"/>
        </w:rPr>
      </w:pPr>
      <w:r w:rsidRPr="008A13AF">
        <w:rPr>
          <w:rFonts w:cs="Arial"/>
          <w:szCs w:val="20"/>
        </w:rPr>
        <w:t>Tent</w:t>
      </w:r>
      <w:r>
        <w:rPr>
          <w:rFonts w:cs="Arial"/>
          <w:szCs w:val="20"/>
        </w:rPr>
        <w:t xml:space="preserve">o typ vzdělání </w:t>
      </w:r>
      <w:r w:rsidRPr="008A13AF">
        <w:rPr>
          <w:rFonts w:cs="Arial"/>
          <w:szCs w:val="20"/>
        </w:rPr>
        <w:t>poskytoval</w:t>
      </w:r>
      <w:r>
        <w:rPr>
          <w:rFonts w:cs="Arial"/>
          <w:szCs w:val="20"/>
        </w:rPr>
        <w:t>o ve </w:t>
      </w:r>
      <w:r w:rsidRPr="008A13AF">
        <w:rPr>
          <w:rFonts w:cs="Arial"/>
          <w:szCs w:val="20"/>
        </w:rPr>
        <w:t xml:space="preserve">školním </w:t>
      </w:r>
      <w:r>
        <w:rPr>
          <w:rFonts w:cs="Arial"/>
          <w:szCs w:val="20"/>
        </w:rPr>
        <w:t>roce </w:t>
      </w:r>
      <w:r w:rsidRPr="008A13AF">
        <w:rPr>
          <w:rFonts w:cs="Arial"/>
          <w:szCs w:val="20"/>
        </w:rPr>
        <w:t>2017/18</w:t>
      </w:r>
      <w:r>
        <w:rPr>
          <w:rFonts w:cs="Arial"/>
          <w:szCs w:val="20"/>
        </w:rPr>
        <w:t xml:space="preserve"> celkem</w:t>
      </w:r>
      <w:r w:rsidRPr="008A13AF">
        <w:rPr>
          <w:rFonts w:cs="Arial"/>
          <w:szCs w:val="20"/>
        </w:rPr>
        <w:t xml:space="preserve"> 1</w:t>
      </w:r>
      <w:r>
        <w:rPr>
          <w:rFonts w:cs="Arial"/>
          <w:szCs w:val="20"/>
        </w:rPr>
        <w:t xml:space="preserve"> </w:t>
      </w:r>
      <w:r w:rsidRPr="008A13AF">
        <w:rPr>
          <w:rFonts w:cs="Arial"/>
          <w:szCs w:val="20"/>
        </w:rPr>
        <w:t>091</w:t>
      </w:r>
      <w:r>
        <w:rPr>
          <w:rFonts w:cs="Arial"/>
          <w:szCs w:val="20"/>
        </w:rPr>
        <w:t> </w:t>
      </w:r>
      <w:r w:rsidRPr="008A13AF">
        <w:rPr>
          <w:rFonts w:cs="Arial"/>
          <w:szCs w:val="20"/>
        </w:rPr>
        <w:t>škol, d</w:t>
      </w:r>
      <w:r>
        <w:rPr>
          <w:rFonts w:cs="Arial"/>
          <w:szCs w:val="20"/>
        </w:rPr>
        <w:t xml:space="preserve">o </w:t>
      </w:r>
      <w:r w:rsidRPr="008A13AF">
        <w:rPr>
          <w:rFonts w:cs="Arial"/>
          <w:szCs w:val="20"/>
        </w:rPr>
        <w:t>kterých docházel</w:t>
      </w:r>
      <w:r>
        <w:rPr>
          <w:rFonts w:cs="Arial"/>
          <w:szCs w:val="20"/>
        </w:rPr>
        <w:t xml:space="preserve">o </w:t>
      </w:r>
      <w:r w:rsidRPr="008A13AF">
        <w:rPr>
          <w:rFonts w:cs="Arial"/>
          <w:szCs w:val="20"/>
        </w:rPr>
        <w:t>315</w:t>
      </w:r>
      <w:r>
        <w:rPr>
          <w:rFonts w:cs="Arial"/>
          <w:szCs w:val="20"/>
        </w:rPr>
        <w:t> </w:t>
      </w:r>
      <w:r w:rsidRPr="008A13AF">
        <w:rPr>
          <w:rFonts w:cs="Arial"/>
          <w:szCs w:val="20"/>
        </w:rPr>
        <w:t>tis.</w:t>
      </w:r>
      <w:r>
        <w:rPr>
          <w:rFonts w:cs="Arial"/>
          <w:szCs w:val="20"/>
        </w:rPr>
        <w:t> studentů</w:t>
      </w:r>
      <w:r w:rsidRPr="008A13AF">
        <w:rPr>
          <w:rFonts w:cs="Arial"/>
          <w:szCs w:val="20"/>
        </w:rPr>
        <w:t>, z</w:t>
      </w:r>
      <w:r>
        <w:rPr>
          <w:rFonts w:cs="Arial"/>
          <w:szCs w:val="20"/>
        </w:rPr>
        <w:t> </w:t>
      </w:r>
      <w:r w:rsidRPr="008A13AF">
        <w:rPr>
          <w:rFonts w:cs="Arial"/>
          <w:szCs w:val="20"/>
        </w:rPr>
        <w:t>nichž většinu tvořil</w:t>
      </w:r>
      <w:r>
        <w:rPr>
          <w:rFonts w:cs="Arial"/>
          <w:szCs w:val="20"/>
        </w:rPr>
        <w:t>i </w:t>
      </w:r>
      <w:r w:rsidRPr="008A13AF">
        <w:rPr>
          <w:rFonts w:cs="Arial"/>
          <w:szCs w:val="20"/>
        </w:rPr>
        <w:t>dívky</w:t>
      </w:r>
      <w:r>
        <w:rPr>
          <w:rFonts w:cs="Arial"/>
          <w:szCs w:val="20"/>
        </w:rPr>
        <w:t> (</w:t>
      </w:r>
      <w:r w:rsidRPr="008A13AF">
        <w:rPr>
          <w:rFonts w:cs="Arial"/>
          <w:szCs w:val="20"/>
        </w:rPr>
        <w:t>53,9</w:t>
      </w:r>
      <w:r>
        <w:rPr>
          <w:rFonts w:cs="Arial"/>
          <w:szCs w:val="20"/>
        </w:rPr>
        <w:t> </w:t>
      </w:r>
      <w:r w:rsidRPr="008A13AF">
        <w:rPr>
          <w:rFonts w:cs="Arial"/>
          <w:szCs w:val="20"/>
        </w:rPr>
        <w:t>%</w:t>
      </w:r>
      <w:r>
        <w:rPr>
          <w:rFonts w:cs="Arial"/>
          <w:szCs w:val="20"/>
        </w:rPr>
        <w:t>)</w:t>
      </w:r>
      <w:r w:rsidRPr="008A13AF">
        <w:rPr>
          <w:rFonts w:cs="Arial"/>
          <w:szCs w:val="20"/>
        </w:rPr>
        <w:t xml:space="preserve">. </w:t>
      </w:r>
      <w:r>
        <w:rPr>
          <w:rFonts w:cs="Arial"/>
          <w:szCs w:val="20"/>
        </w:rPr>
        <w:t>Studenti </w:t>
      </w:r>
      <w:r w:rsidRPr="008A13AF">
        <w:rPr>
          <w:rFonts w:cs="Arial"/>
          <w:szCs w:val="20"/>
        </w:rPr>
        <w:t>navštěvoval</w:t>
      </w:r>
      <w:r>
        <w:rPr>
          <w:rFonts w:cs="Arial"/>
          <w:szCs w:val="20"/>
        </w:rPr>
        <w:t>i </w:t>
      </w:r>
      <w:r w:rsidRPr="008A13AF">
        <w:rPr>
          <w:rFonts w:cs="Arial"/>
          <w:szCs w:val="20"/>
        </w:rPr>
        <w:t>12</w:t>
      </w:r>
      <w:r>
        <w:rPr>
          <w:rFonts w:cs="Arial"/>
          <w:szCs w:val="20"/>
        </w:rPr>
        <w:t>,7 tis.</w:t>
      </w:r>
      <w:r w:rsidRPr="008A13AF">
        <w:rPr>
          <w:rFonts w:cs="Arial"/>
          <w:szCs w:val="20"/>
        </w:rPr>
        <w:t xml:space="preserve"> tříd,</w:t>
      </w:r>
      <w:r>
        <w:rPr>
          <w:rFonts w:cs="Arial"/>
          <w:szCs w:val="20"/>
        </w:rPr>
        <w:t xml:space="preserve"> o </w:t>
      </w:r>
      <w:r w:rsidRPr="008A13AF">
        <w:rPr>
          <w:rFonts w:cs="Arial"/>
          <w:szCs w:val="20"/>
        </w:rPr>
        <w:t>49</w:t>
      </w:r>
      <w:r>
        <w:rPr>
          <w:rFonts w:cs="Arial"/>
          <w:szCs w:val="20"/>
        </w:rPr>
        <w:t> </w:t>
      </w:r>
      <w:r w:rsidRPr="008A13AF">
        <w:rPr>
          <w:rFonts w:cs="Arial"/>
          <w:szCs w:val="20"/>
        </w:rPr>
        <w:t>více než</w:t>
      </w:r>
      <w:r>
        <w:rPr>
          <w:rFonts w:cs="Arial"/>
          <w:szCs w:val="20"/>
        </w:rPr>
        <w:t xml:space="preserve"> v </w:t>
      </w:r>
      <w:r w:rsidRPr="008A13AF">
        <w:rPr>
          <w:rFonts w:cs="Arial"/>
          <w:szCs w:val="20"/>
        </w:rPr>
        <w:t xml:space="preserve">minulém školním roce. </w:t>
      </w:r>
      <w:r>
        <w:rPr>
          <w:rFonts w:cs="Arial"/>
          <w:szCs w:val="20"/>
        </w:rPr>
        <w:t>Od roku </w:t>
      </w:r>
      <w:r w:rsidRPr="008A13AF">
        <w:rPr>
          <w:rFonts w:cs="Arial"/>
          <w:szCs w:val="20"/>
        </w:rPr>
        <w:t xml:space="preserve">2009/10 </w:t>
      </w:r>
      <w:r>
        <w:rPr>
          <w:rFonts w:cs="Arial"/>
          <w:szCs w:val="20"/>
        </w:rPr>
        <w:t>tříd každoročně ubývá, a tak jich v </w:t>
      </w:r>
      <w:r w:rsidRPr="008A13AF">
        <w:rPr>
          <w:rFonts w:cs="Arial"/>
          <w:szCs w:val="20"/>
        </w:rPr>
        <w:t xml:space="preserve">minulém školním </w:t>
      </w:r>
      <w:r>
        <w:rPr>
          <w:rFonts w:cs="Arial"/>
          <w:szCs w:val="20"/>
        </w:rPr>
        <w:t>roce </w:t>
      </w:r>
      <w:r w:rsidRPr="008A13AF">
        <w:rPr>
          <w:rFonts w:cs="Arial"/>
          <w:szCs w:val="20"/>
        </w:rPr>
        <w:t>byl</w:t>
      </w:r>
      <w:r>
        <w:rPr>
          <w:rFonts w:cs="Arial"/>
          <w:szCs w:val="20"/>
        </w:rPr>
        <w:t>o o </w:t>
      </w:r>
      <w:r w:rsidRPr="008A13AF">
        <w:rPr>
          <w:rFonts w:cs="Arial"/>
          <w:szCs w:val="20"/>
        </w:rPr>
        <w:t>15,2</w:t>
      </w:r>
      <w:r>
        <w:rPr>
          <w:rFonts w:cs="Arial"/>
          <w:szCs w:val="20"/>
        </w:rPr>
        <w:t> % </w:t>
      </w:r>
      <w:r w:rsidRPr="008A13AF">
        <w:rPr>
          <w:rFonts w:cs="Arial"/>
          <w:szCs w:val="20"/>
        </w:rPr>
        <w:t>méně než před 8</w:t>
      </w:r>
      <w:r>
        <w:rPr>
          <w:rFonts w:cs="Arial"/>
          <w:szCs w:val="20"/>
        </w:rPr>
        <w:t> let</w:t>
      </w:r>
      <w:r w:rsidRPr="008A13AF">
        <w:rPr>
          <w:rFonts w:cs="Arial"/>
          <w:szCs w:val="20"/>
        </w:rPr>
        <w:t>y. Převážná většin</w:t>
      </w:r>
      <w:r>
        <w:rPr>
          <w:rFonts w:cs="Arial"/>
          <w:szCs w:val="20"/>
        </w:rPr>
        <w:t xml:space="preserve">a </w:t>
      </w:r>
      <w:r w:rsidRPr="008A13AF">
        <w:rPr>
          <w:rFonts w:cs="Arial"/>
          <w:szCs w:val="20"/>
        </w:rPr>
        <w:t>studentů se vzdělával</w:t>
      </w:r>
      <w:r>
        <w:rPr>
          <w:rFonts w:cs="Arial"/>
          <w:szCs w:val="20"/>
        </w:rPr>
        <w:t>a v </w:t>
      </w:r>
      <w:r w:rsidRPr="008A13AF">
        <w:rPr>
          <w:rFonts w:cs="Arial"/>
          <w:szCs w:val="20"/>
        </w:rPr>
        <w:t>denní formě vzdělávání</w:t>
      </w:r>
      <w:r>
        <w:rPr>
          <w:rFonts w:cs="Arial"/>
          <w:szCs w:val="20"/>
        </w:rPr>
        <w:t> </w:t>
      </w:r>
      <w:r w:rsidRPr="008A13AF">
        <w:rPr>
          <w:rFonts w:cs="Arial"/>
          <w:szCs w:val="20"/>
        </w:rPr>
        <w:t>(97,3%). Počet nově přijatých d</w:t>
      </w:r>
      <w:r>
        <w:rPr>
          <w:rFonts w:cs="Arial"/>
          <w:szCs w:val="20"/>
        </w:rPr>
        <w:t xml:space="preserve">o </w:t>
      </w:r>
      <w:r w:rsidRPr="008A13AF">
        <w:rPr>
          <w:rFonts w:cs="Arial"/>
          <w:szCs w:val="20"/>
        </w:rPr>
        <w:t>prvníh</w:t>
      </w:r>
      <w:r>
        <w:rPr>
          <w:rFonts w:cs="Arial"/>
          <w:szCs w:val="20"/>
        </w:rPr>
        <w:t xml:space="preserve">o </w:t>
      </w:r>
      <w:r w:rsidRPr="008A13AF">
        <w:rPr>
          <w:rFonts w:cs="Arial"/>
          <w:szCs w:val="20"/>
        </w:rPr>
        <w:t>ročníku každoročně klesá. Z</w:t>
      </w:r>
      <w:r>
        <w:rPr>
          <w:rFonts w:cs="Arial"/>
          <w:szCs w:val="20"/>
        </w:rPr>
        <w:t xml:space="preserve">a </w:t>
      </w:r>
      <w:r w:rsidRPr="008A13AF">
        <w:rPr>
          <w:rFonts w:cs="Arial"/>
          <w:szCs w:val="20"/>
        </w:rPr>
        <w:t>posledních 10</w:t>
      </w:r>
      <w:r>
        <w:rPr>
          <w:rFonts w:cs="Arial"/>
          <w:szCs w:val="20"/>
        </w:rPr>
        <w:t> let</w:t>
      </w:r>
      <w:r w:rsidRPr="008A13AF">
        <w:rPr>
          <w:rFonts w:cs="Arial"/>
          <w:szCs w:val="20"/>
        </w:rPr>
        <w:t xml:space="preserve"> je t</w:t>
      </w:r>
      <w:r>
        <w:rPr>
          <w:rFonts w:cs="Arial"/>
          <w:szCs w:val="20"/>
        </w:rPr>
        <w:t xml:space="preserve">o </w:t>
      </w:r>
      <w:r w:rsidRPr="008A13AF">
        <w:rPr>
          <w:rFonts w:cs="Arial"/>
          <w:szCs w:val="20"/>
        </w:rPr>
        <w:t>pokle</w:t>
      </w:r>
      <w:r>
        <w:rPr>
          <w:rFonts w:cs="Arial"/>
          <w:szCs w:val="20"/>
        </w:rPr>
        <w:t>s o </w:t>
      </w:r>
      <w:r w:rsidRPr="008A13AF">
        <w:rPr>
          <w:rFonts w:cs="Arial"/>
          <w:szCs w:val="20"/>
        </w:rPr>
        <w:t>22,7</w:t>
      </w:r>
      <w:r>
        <w:rPr>
          <w:rFonts w:cs="Arial"/>
          <w:szCs w:val="20"/>
        </w:rPr>
        <w:t> </w:t>
      </w:r>
      <w:r w:rsidRPr="008A13AF">
        <w:rPr>
          <w:rFonts w:cs="Arial"/>
          <w:szCs w:val="20"/>
        </w:rPr>
        <w:t>%. Středn</w:t>
      </w:r>
      <w:r>
        <w:rPr>
          <w:rFonts w:cs="Arial"/>
          <w:szCs w:val="20"/>
        </w:rPr>
        <w:t>í</w:t>
      </w:r>
      <w:r w:rsidRPr="008A13AF">
        <w:rPr>
          <w:rFonts w:cs="Arial"/>
          <w:szCs w:val="20"/>
        </w:rPr>
        <w:t xml:space="preserve"> vzdělávání </w:t>
      </w:r>
      <w:r>
        <w:rPr>
          <w:rFonts w:cs="Arial"/>
          <w:szCs w:val="20"/>
        </w:rPr>
        <w:t>s </w:t>
      </w:r>
      <w:r w:rsidRPr="008A13AF">
        <w:rPr>
          <w:rFonts w:cs="Arial"/>
          <w:szCs w:val="20"/>
        </w:rPr>
        <w:t>maturitní zkouškou se dělí n</w:t>
      </w:r>
      <w:r>
        <w:rPr>
          <w:rFonts w:cs="Arial"/>
          <w:szCs w:val="20"/>
        </w:rPr>
        <w:t xml:space="preserve">a </w:t>
      </w:r>
      <w:r w:rsidRPr="008A13AF">
        <w:rPr>
          <w:rFonts w:cs="Arial"/>
          <w:szCs w:val="20"/>
        </w:rPr>
        <w:t>všeobecně</w:t>
      </w:r>
      <w:r>
        <w:rPr>
          <w:rFonts w:cs="Arial"/>
          <w:szCs w:val="20"/>
        </w:rPr>
        <w:t xml:space="preserve"> a </w:t>
      </w:r>
      <w:r w:rsidRPr="008A13AF">
        <w:rPr>
          <w:rFonts w:cs="Arial"/>
          <w:szCs w:val="20"/>
        </w:rPr>
        <w:t>odborné.</w:t>
      </w:r>
    </w:p>
    <w:p w:rsidR="00D3033B" w:rsidRPr="00A365B0" w:rsidRDefault="00D3033B" w:rsidP="00A365B0">
      <w:pPr>
        <w:pStyle w:val="Nadpis3"/>
      </w:pPr>
      <w:r w:rsidRPr="008A13AF">
        <w:rPr>
          <w:szCs w:val="20"/>
        </w:rPr>
        <w:br/>
      </w:r>
      <w:bookmarkStart w:id="47" w:name="_Toc523408619"/>
      <w:bookmarkStart w:id="48" w:name="_Toc523466204"/>
      <w:r w:rsidRPr="00A365B0">
        <w:t>Střední vzdělávání s maturitní zkouškou odborné</w:t>
      </w:r>
      <w:bookmarkEnd w:id="47"/>
      <w:bookmarkEnd w:id="48"/>
    </w:p>
    <w:p w:rsidR="00B1475D" w:rsidRDefault="00D3033B" w:rsidP="008D3EB6">
      <w:pPr>
        <w:spacing w:after="0" w:line="276" w:lineRule="auto"/>
        <w:jc w:val="both"/>
        <w:rPr>
          <w:rFonts w:cs="Arial"/>
          <w:szCs w:val="20"/>
        </w:rPr>
      </w:pPr>
      <w:r w:rsidRPr="008A13AF">
        <w:rPr>
          <w:rFonts w:cs="Arial"/>
          <w:szCs w:val="20"/>
        </w:rPr>
        <w:t>Z</w:t>
      </w:r>
      <w:r>
        <w:rPr>
          <w:rFonts w:cs="Arial"/>
          <w:szCs w:val="20"/>
        </w:rPr>
        <w:t> </w:t>
      </w:r>
      <w:r w:rsidRPr="008A13AF">
        <w:rPr>
          <w:rFonts w:cs="Arial"/>
          <w:szCs w:val="20"/>
        </w:rPr>
        <w:t>1</w:t>
      </w:r>
      <w:r>
        <w:rPr>
          <w:rFonts w:cs="Arial"/>
          <w:szCs w:val="20"/>
        </w:rPr>
        <w:t> </w:t>
      </w:r>
      <w:r w:rsidRPr="008A13AF">
        <w:rPr>
          <w:rFonts w:cs="Arial"/>
          <w:szCs w:val="20"/>
        </w:rPr>
        <w:t>091</w:t>
      </w:r>
      <w:r>
        <w:rPr>
          <w:rFonts w:cs="Arial"/>
          <w:szCs w:val="20"/>
        </w:rPr>
        <w:t> </w:t>
      </w:r>
      <w:r w:rsidRPr="008A13AF">
        <w:rPr>
          <w:rFonts w:cs="Arial"/>
          <w:szCs w:val="20"/>
        </w:rPr>
        <w:t>škol poskytujících středn</w:t>
      </w:r>
      <w:r>
        <w:rPr>
          <w:rFonts w:cs="Arial"/>
          <w:szCs w:val="20"/>
        </w:rPr>
        <w:t>í</w:t>
      </w:r>
      <w:r w:rsidRPr="008A13AF">
        <w:rPr>
          <w:rFonts w:cs="Arial"/>
          <w:szCs w:val="20"/>
        </w:rPr>
        <w:t xml:space="preserve"> vzdělávání </w:t>
      </w:r>
      <w:r>
        <w:rPr>
          <w:rFonts w:cs="Arial"/>
          <w:szCs w:val="20"/>
        </w:rPr>
        <w:t>s </w:t>
      </w:r>
      <w:r w:rsidRPr="008A13AF">
        <w:rPr>
          <w:rFonts w:cs="Arial"/>
          <w:szCs w:val="20"/>
        </w:rPr>
        <w:t>maturitní zkouškou</w:t>
      </w:r>
      <w:r>
        <w:rPr>
          <w:rFonts w:cs="Arial"/>
          <w:szCs w:val="20"/>
        </w:rPr>
        <w:t xml:space="preserve"> jich</w:t>
      </w:r>
      <w:r w:rsidRPr="008A13AF">
        <w:rPr>
          <w:rFonts w:cs="Arial"/>
          <w:szCs w:val="20"/>
        </w:rPr>
        <w:t xml:space="preserve"> 792</w:t>
      </w:r>
      <w:r>
        <w:rPr>
          <w:rFonts w:cs="Arial"/>
          <w:szCs w:val="20"/>
        </w:rPr>
        <w:t> </w:t>
      </w:r>
      <w:r w:rsidRPr="008A13AF">
        <w:rPr>
          <w:rFonts w:cs="Arial"/>
          <w:szCs w:val="20"/>
        </w:rPr>
        <w:t>poskytoval</w:t>
      </w:r>
      <w:r>
        <w:rPr>
          <w:rFonts w:cs="Arial"/>
          <w:szCs w:val="20"/>
        </w:rPr>
        <w:t xml:space="preserve">o </w:t>
      </w:r>
      <w:r w:rsidRPr="008A13AF">
        <w:rPr>
          <w:rFonts w:cs="Arial"/>
          <w:szCs w:val="20"/>
        </w:rPr>
        <w:t>odborn</w:t>
      </w:r>
      <w:r>
        <w:rPr>
          <w:rFonts w:cs="Arial"/>
          <w:szCs w:val="20"/>
        </w:rPr>
        <w:t>é</w:t>
      </w:r>
      <w:r w:rsidRPr="008A13AF">
        <w:rPr>
          <w:rFonts w:cs="Arial"/>
          <w:szCs w:val="20"/>
        </w:rPr>
        <w:t xml:space="preserve"> vzdělávání.</w:t>
      </w:r>
      <w:r>
        <w:rPr>
          <w:rFonts w:cs="Arial"/>
          <w:szCs w:val="20"/>
        </w:rPr>
        <w:t xml:space="preserve"> V </w:t>
      </w:r>
      <w:r w:rsidRPr="008A13AF">
        <w:rPr>
          <w:rFonts w:cs="Arial"/>
          <w:szCs w:val="20"/>
        </w:rPr>
        <w:t>7</w:t>
      </w:r>
      <w:r>
        <w:rPr>
          <w:rFonts w:cs="Arial"/>
          <w:szCs w:val="20"/>
        </w:rPr>
        <w:t>,8 tis.</w:t>
      </w:r>
      <w:r w:rsidRPr="008A13AF">
        <w:rPr>
          <w:rFonts w:cs="Arial"/>
          <w:szCs w:val="20"/>
        </w:rPr>
        <w:t xml:space="preserve"> třídách se vzdělával</w:t>
      </w:r>
      <w:r>
        <w:rPr>
          <w:rFonts w:cs="Arial"/>
          <w:szCs w:val="20"/>
        </w:rPr>
        <w:t>o ve </w:t>
      </w:r>
      <w:r w:rsidRPr="008A13AF">
        <w:rPr>
          <w:rFonts w:cs="Arial"/>
          <w:szCs w:val="20"/>
        </w:rPr>
        <w:t xml:space="preserve">školním </w:t>
      </w:r>
      <w:r>
        <w:rPr>
          <w:rFonts w:cs="Arial"/>
          <w:szCs w:val="20"/>
        </w:rPr>
        <w:t>roce </w:t>
      </w:r>
      <w:r w:rsidRPr="008A13AF">
        <w:rPr>
          <w:rFonts w:cs="Arial"/>
          <w:szCs w:val="20"/>
        </w:rPr>
        <w:t>2017/18 celkem 182</w:t>
      </w:r>
      <w:r>
        <w:rPr>
          <w:rFonts w:cs="Arial"/>
          <w:szCs w:val="20"/>
        </w:rPr>
        <w:t>,5 tis. studentů</w:t>
      </w:r>
      <w:r w:rsidRPr="008A13AF">
        <w:rPr>
          <w:rFonts w:cs="Arial"/>
          <w:szCs w:val="20"/>
        </w:rPr>
        <w:t>.</w:t>
      </w:r>
      <w:r>
        <w:rPr>
          <w:rFonts w:cs="Arial"/>
          <w:szCs w:val="20"/>
        </w:rPr>
        <w:t xml:space="preserve"> V </w:t>
      </w:r>
      <w:r w:rsidRPr="008A13AF">
        <w:rPr>
          <w:rFonts w:cs="Arial"/>
          <w:szCs w:val="20"/>
        </w:rPr>
        <w:t>tomt</w:t>
      </w:r>
      <w:r>
        <w:rPr>
          <w:rFonts w:cs="Arial"/>
          <w:szCs w:val="20"/>
        </w:rPr>
        <w:t xml:space="preserve">o </w:t>
      </w:r>
      <w:r w:rsidRPr="008A13AF">
        <w:rPr>
          <w:rFonts w:cs="Arial"/>
          <w:szCs w:val="20"/>
        </w:rPr>
        <w:t>případě byl podíl pohlaví téměř vyrovnaný: 50,9</w:t>
      </w:r>
      <w:r>
        <w:rPr>
          <w:rFonts w:cs="Arial"/>
          <w:szCs w:val="20"/>
        </w:rPr>
        <w:t> % </w:t>
      </w:r>
      <w:r w:rsidRPr="008A13AF">
        <w:rPr>
          <w:rFonts w:cs="Arial"/>
          <w:szCs w:val="20"/>
        </w:rPr>
        <w:t>dívek</w:t>
      </w:r>
      <w:r>
        <w:rPr>
          <w:rFonts w:cs="Arial"/>
          <w:szCs w:val="20"/>
        </w:rPr>
        <w:t xml:space="preserve"> a </w:t>
      </w:r>
      <w:r w:rsidRPr="008A13AF">
        <w:rPr>
          <w:rFonts w:cs="Arial"/>
          <w:szCs w:val="20"/>
        </w:rPr>
        <w:t>49,1</w:t>
      </w:r>
      <w:r>
        <w:rPr>
          <w:rFonts w:cs="Arial"/>
          <w:szCs w:val="20"/>
        </w:rPr>
        <w:t> % </w:t>
      </w:r>
      <w:r w:rsidRPr="008A13AF">
        <w:rPr>
          <w:rFonts w:cs="Arial"/>
          <w:szCs w:val="20"/>
        </w:rPr>
        <w:t xml:space="preserve">chlapců. </w:t>
      </w:r>
      <w:r>
        <w:rPr>
          <w:rFonts w:cs="Arial"/>
          <w:szCs w:val="20"/>
        </w:rPr>
        <w:t>P</w:t>
      </w:r>
      <w:r w:rsidRPr="008A13AF">
        <w:rPr>
          <w:rFonts w:cs="Arial"/>
          <w:szCs w:val="20"/>
        </w:rPr>
        <w:t>očet studentů poklesl z</w:t>
      </w:r>
      <w:r>
        <w:rPr>
          <w:rFonts w:cs="Arial"/>
          <w:szCs w:val="20"/>
        </w:rPr>
        <w:t xml:space="preserve">a </w:t>
      </w:r>
      <w:r w:rsidRPr="008A13AF">
        <w:rPr>
          <w:rFonts w:cs="Arial"/>
          <w:szCs w:val="20"/>
        </w:rPr>
        <w:t>posledních 10</w:t>
      </w:r>
      <w:r>
        <w:rPr>
          <w:rFonts w:cs="Arial"/>
          <w:szCs w:val="20"/>
        </w:rPr>
        <w:t> let o </w:t>
      </w:r>
      <w:r w:rsidRPr="008A13AF">
        <w:rPr>
          <w:rFonts w:cs="Arial"/>
          <w:szCs w:val="20"/>
        </w:rPr>
        <w:t>28</w:t>
      </w:r>
      <w:r>
        <w:rPr>
          <w:rFonts w:cs="Arial"/>
          <w:szCs w:val="20"/>
        </w:rPr>
        <w:t> %</w:t>
      </w:r>
      <w:r w:rsidRPr="008A13AF">
        <w:rPr>
          <w:rFonts w:cs="Arial"/>
          <w:szCs w:val="20"/>
        </w:rPr>
        <w:t>.</w:t>
      </w:r>
      <w:r>
        <w:rPr>
          <w:rFonts w:cs="Arial"/>
          <w:szCs w:val="20"/>
        </w:rPr>
        <w:t xml:space="preserve"> V </w:t>
      </w:r>
      <w:r w:rsidRPr="008A13AF">
        <w:rPr>
          <w:rFonts w:cs="Arial"/>
          <w:szCs w:val="20"/>
        </w:rPr>
        <w:t>případě meziroční změny</w:t>
      </w:r>
      <w:r>
        <w:rPr>
          <w:rFonts w:cs="Arial"/>
          <w:szCs w:val="20"/>
        </w:rPr>
        <w:t xml:space="preserve"> mezi roky 2016/17 a 2017/18 byl zaznamenán nárůst počtu žáků o </w:t>
      </w:r>
      <w:r w:rsidRPr="008A13AF">
        <w:rPr>
          <w:rFonts w:cs="Arial"/>
          <w:szCs w:val="20"/>
        </w:rPr>
        <w:t>434. D</w:t>
      </w:r>
      <w:r>
        <w:rPr>
          <w:rFonts w:cs="Arial"/>
          <w:szCs w:val="20"/>
        </w:rPr>
        <w:t xml:space="preserve">o </w:t>
      </w:r>
      <w:r w:rsidRPr="008A13AF">
        <w:rPr>
          <w:rFonts w:cs="Arial"/>
          <w:szCs w:val="20"/>
        </w:rPr>
        <w:t>prvníh</w:t>
      </w:r>
      <w:r>
        <w:rPr>
          <w:rFonts w:cs="Arial"/>
          <w:szCs w:val="20"/>
        </w:rPr>
        <w:t xml:space="preserve">o </w:t>
      </w:r>
      <w:r w:rsidRPr="008A13AF">
        <w:rPr>
          <w:rFonts w:cs="Arial"/>
          <w:szCs w:val="20"/>
        </w:rPr>
        <w:t>ročníku byl</w:t>
      </w:r>
      <w:r>
        <w:rPr>
          <w:rFonts w:cs="Arial"/>
          <w:szCs w:val="20"/>
        </w:rPr>
        <w:t xml:space="preserve">o </w:t>
      </w:r>
      <w:r w:rsidRPr="008A13AF">
        <w:rPr>
          <w:rFonts w:cs="Arial"/>
          <w:szCs w:val="20"/>
        </w:rPr>
        <w:t>přijat</w:t>
      </w:r>
      <w:r>
        <w:rPr>
          <w:rFonts w:cs="Arial"/>
          <w:szCs w:val="20"/>
        </w:rPr>
        <w:t>o 48,2 tis. žáků. Před deseti let</w:t>
      </w:r>
      <w:r w:rsidRPr="008A13AF">
        <w:rPr>
          <w:rFonts w:cs="Arial"/>
          <w:szCs w:val="20"/>
        </w:rPr>
        <w:t>y t</w:t>
      </w:r>
      <w:r>
        <w:rPr>
          <w:rFonts w:cs="Arial"/>
          <w:szCs w:val="20"/>
        </w:rPr>
        <w:t xml:space="preserve">o </w:t>
      </w:r>
      <w:r w:rsidRPr="008A13AF">
        <w:rPr>
          <w:rFonts w:cs="Arial"/>
          <w:szCs w:val="20"/>
        </w:rPr>
        <w:t>byl</w:t>
      </w:r>
      <w:r>
        <w:rPr>
          <w:rFonts w:cs="Arial"/>
          <w:szCs w:val="20"/>
        </w:rPr>
        <w:t>o o </w:t>
      </w:r>
      <w:r w:rsidRPr="008A13AF">
        <w:rPr>
          <w:rFonts w:cs="Arial"/>
          <w:szCs w:val="20"/>
        </w:rPr>
        <w:t>29,3</w:t>
      </w:r>
      <w:r>
        <w:rPr>
          <w:rFonts w:cs="Arial"/>
          <w:szCs w:val="20"/>
        </w:rPr>
        <w:t> %  více. Žáci </w:t>
      </w:r>
      <w:r w:rsidRPr="008A13AF">
        <w:rPr>
          <w:rFonts w:cs="Arial"/>
          <w:szCs w:val="20"/>
        </w:rPr>
        <w:t>se vzdělával</w:t>
      </w:r>
      <w:r>
        <w:rPr>
          <w:rFonts w:cs="Arial"/>
          <w:szCs w:val="20"/>
        </w:rPr>
        <w:t>i v </w:t>
      </w:r>
      <w:r w:rsidRPr="008A13AF">
        <w:rPr>
          <w:rFonts w:cs="Arial"/>
          <w:szCs w:val="20"/>
        </w:rPr>
        <w:t>různých oborech.</w:t>
      </w:r>
      <w:r>
        <w:rPr>
          <w:rFonts w:cs="Arial"/>
          <w:szCs w:val="20"/>
        </w:rPr>
        <w:t xml:space="preserve"> V </w:t>
      </w:r>
      <w:r w:rsidRPr="008A13AF">
        <w:rPr>
          <w:rFonts w:cs="Arial"/>
          <w:szCs w:val="20"/>
        </w:rPr>
        <w:t xml:space="preserve">minulém školním </w:t>
      </w:r>
      <w:r>
        <w:rPr>
          <w:rFonts w:cs="Arial"/>
          <w:szCs w:val="20"/>
        </w:rPr>
        <w:t>roce jich nejvíce</w:t>
      </w:r>
      <w:r w:rsidRPr="008A13AF">
        <w:rPr>
          <w:rFonts w:cs="Arial"/>
          <w:szCs w:val="20"/>
        </w:rPr>
        <w:t xml:space="preserve"> studoval</w:t>
      </w:r>
      <w:r>
        <w:rPr>
          <w:rFonts w:cs="Arial"/>
          <w:szCs w:val="20"/>
        </w:rPr>
        <w:t xml:space="preserve">o obor </w:t>
      </w:r>
      <w:r w:rsidRPr="00B46D74">
        <w:rPr>
          <w:rFonts w:cs="Arial"/>
          <w:i/>
          <w:szCs w:val="20"/>
        </w:rPr>
        <w:t>Ekonomika a administrativa</w:t>
      </w:r>
      <w:r>
        <w:rPr>
          <w:rFonts w:cs="Arial"/>
          <w:szCs w:val="20"/>
        </w:rPr>
        <w:t xml:space="preserve">, </w:t>
      </w:r>
      <w:r w:rsidRPr="008A13AF">
        <w:rPr>
          <w:rFonts w:cs="Arial"/>
          <w:szCs w:val="20"/>
        </w:rPr>
        <w:t>27</w:t>
      </w:r>
      <w:r>
        <w:rPr>
          <w:rFonts w:cs="Arial"/>
          <w:szCs w:val="20"/>
        </w:rPr>
        <w:t xml:space="preserve">,5 tis. I zde došlo za posledních 5 let k poklesu zhruba o čtvrtinu.  </w:t>
      </w:r>
      <w:r w:rsidRPr="00B46D74">
        <w:rPr>
          <w:rFonts w:cs="Arial"/>
          <w:i/>
          <w:szCs w:val="20"/>
        </w:rPr>
        <w:t>Strojírenství a strojírenskou</w:t>
      </w:r>
      <w:r w:rsidRPr="008A13AF">
        <w:rPr>
          <w:rFonts w:cs="Arial"/>
          <w:szCs w:val="20"/>
        </w:rPr>
        <w:t xml:space="preserve"> </w:t>
      </w:r>
      <w:r w:rsidRPr="00825CB6">
        <w:rPr>
          <w:rFonts w:cs="Arial"/>
          <w:i/>
          <w:szCs w:val="20"/>
        </w:rPr>
        <w:t>výrobu</w:t>
      </w:r>
      <w:r w:rsidRPr="008A13AF">
        <w:rPr>
          <w:rFonts w:cs="Arial"/>
          <w:szCs w:val="20"/>
        </w:rPr>
        <w:t xml:space="preserve"> studoval</w:t>
      </w:r>
      <w:r>
        <w:rPr>
          <w:rFonts w:cs="Arial"/>
          <w:szCs w:val="20"/>
        </w:rPr>
        <w:t xml:space="preserve">o </w:t>
      </w:r>
      <w:r w:rsidRPr="008A13AF">
        <w:rPr>
          <w:rFonts w:cs="Arial"/>
          <w:szCs w:val="20"/>
        </w:rPr>
        <w:t>17</w:t>
      </w:r>
      <w:r>
        <w:rPr>
          <w:rFonts w:cs="Arial"/>
          <w:szCs w:val="20"/>
        </w:rPr>
        <w:t>,2 tis. žáků</w:t>
      </w:r>
      <w:r w:rsidRPr="008A13AF">
        <w:rPr>
          <w:rFonts w:cs="Arial"/>
          <w:szCs w:val="20"/>
        </w:rPr>
        <w:t xml:space="preserve">. </w:t>
      </w:r>
      <w:r>
        <w:rPr>
          <w:rFonts w:cs="Arial"/>
          <w:szCs w:val="20"/>
        </w:rPr>
        <w:t xml:space="preserve">Zde naopak za 5 let narostl počet žáku o pětinu. </w:t>
      </w:r>
      <w:r w:rsidRPr="008A13AF">
        <w:rPr>
          <w:rFonts w:cs="Arial"/>
          <w:szCs w:val="20"/>
        </w:rPr>
        <w:t>Třetím n</w:t>
      </w:r>
      <w:r>
        <w:rPr>
          <w:rFonts w:cs="Arial"/>
          <w:szCs w:val="20"/>
        </w:rPr>
        <w:t xml:space="preserve">ejnavštěvovanějším oborem byly </w:t>
      </w:r>
      <w:r w:rsidRPr="00B46D74">
        <w:rPr>
          <w:rFonts w:cs="Arial"/>
          <w:i/>
          <w:szCs w:val="20"/>
        </w:rPr>
        <w:t>Informatické obory</w:t>
      </w:r>
      <w:r w:rsidRPr="008A13AF">
        <w:rPr>
          <w:rFonts w:cs="Arial"/>
          <w:szCs w:val="20"/>
        </w:rPr>
        <w:t xml:space="preserve"> </w:t>
      </w:r>
      <w:r>
        <w:rPr>
          <w:rFonts w:cs="Arial"/>
          <w:szCs w:val="20"/>
        </w:rPr>
        <w:t>s </w:t>
      </w:r>
      <w:r w:rsidRPr="008A13AF">
        <w:rPr>
          <w:rFonts w:cs="Arial"/>
          <w:szCs w:val="20"/>
        </w:rPr>
        <w:t>počtem žáků 14</w:t>
      </w:r>
      <w:r>
        <w:rPr>
          <w:rFonts w:cs="Arial"/>
          <w:szCs w:val="20"/>
        </w:rPr>
        <w:t>,1 tis</w:t>
      </w:r>
      <w:r w:rsidRPr="008A13AF">
        <w:rPr>
          <w:rFonts w:cs="Arial"/>
          <w:szCs w:val="20"/>
        </w:rPr>
        <w:t>.</w:t>
      </w:r>
    </w:p>
    <w:p w:rsidR="00B1475D" w:rsidRDefault="00B1475D" w:rsidP="008D3EB6">
      <w:pPr>
        <w:spacing w:after="0" w:line="276" w:lineRule="auto"/>
        <w:jc w:val="both"/>
        <w:rPr>
          <w:rFonts w:cs="Arial"/>
          <w:szCs w:val="20"/>
        </w:rPr>
      </w:pPr>
    </w:p>
    <w:p w:rsidR="00D3033B" w:rsidRPr="00284BD5" w:rsidRDefault="00D3033B" w:rsidP="008D3EB6">
      <w:pPr>
        <w:spacing w:after="0" w:line="276" w:lineRule="auto"/>
        <w:jc w:val="both"/>
        <w:rPr>
          <w:rFonts w:cs="Arial"/>
          <w:b/>
          <w:szCs w:val="20"/>
        </w:rPr>
      </w:pPr>
      <w:r w:rsidRPr="00284BD5">
        <w:rPr>
          <w:rFonts w:cs="Arial"/>
          <w:b/>
          <w:szCs w:val="20"/>
        </w:rPr>
        <w:t xml:space="preserve">Graf </w:t>
      </w:r>
      <w:r w:rsidR="004377B2">
        <w:rPr>
          <w:rFonts w:cs="Arial"/>
          <w:b/>
          <w:szCs w:val="20"/>
        </w:rPr>
        <w:t>32</w:t>
      </w:r>
      <w:r>
        <w:rPr>
          <w:rFonts w:cs="Arial"/>
          <w:b/>
          <w:szCs w:val="20"/>
        </w:rPr>
        <w:t>:</w:t>
      </w:r>
      <w:r w:rsidRPr="00284BD5">
        <w:rPr>
          <w:rFonts w:cs="Arial"/>
          <w:b/>
          <w:szCs w:val="20"/>
        </w:rPr>
        <w:t xml:space="preserve"> </w:t>
      </w:r>
      <w:r>
        <w:rPr>
          <w:rFonts w:cs="Arial"/>
          <w:b/>
          <w:szCs w:val="20"/>
        </w:rPr>
        <w:t>Studenti vybraných o</w:t>
      </w:r>
      <w:r w:rsidRPr="00284BD5">
        <w:rPr>
          <w:rFonts w:cs="Arial"/>
          <w:b/>
          <w:szCs w:val="20"/>
        </w:rPr>
        <w:t>bor</w:t>
      </w:r>
      <w:r>
        <w:rPr>
          <w:rFonts w:cs="Arial"/>
          <w:b/>
          <w:szCs w:val="20"/>
        </w:rPr>
        <w:t>ů</w:t>
      </w:r>
      <w:r w:rsidRPr="00284BD5">
        <w:rPr>
          <w:rFonts w:cs="Arial"/>
          <w:b/>
          <w:szCs w:val="20"/>
        </w:rPr>
        <w:t xml:space="preserve"> </w:t>
      </w:r>
      <w:r>
        <w:rPr>
          <w:rFonts w:cs="Arial"/>
          <w:b/>
          <w:szCs w:val="20"/>
        </w:rPr>
        <w:t xml:space="preserve">středního odborného </w:t>
      </w:r>
      <w:r w:rsidRPr="00284BD5">
        <w:rPr>
          <w:rFonts w:cs="Arial"/>
          <w:b/>
          <w:szCs w:val="20"/>
        </w:rPr>
        <w:t>vzděláv</w:t>
      </w:r>
      <w:r>
        <w:rPr>
          <w:rFonts w:cs="Arial"/>
          <w:b/>
          <w:szCs w:val="20"/>
        </w:rPr>
        <w:t>á</w:t>
      </w:r>
      <w:r w:rsidRPr="00284BD5">
        <w:rPr>
          <w:rFonts w:cs="Arial"/>
          <w:b/>
          <w:szCs w:val="20"/>
        </w:rPr>
        <w:t xml:space="preserve">ní </w:t>
      </w:r>
      <w:r>
        <w:rPr>
          <w:rFonts w:cs="Arial"/>
          <w:b/>
          <w:szCs w:val="20"/>
        </w:rPr>
        <w:t>s maturitní zkouškou v ČR v letech 2012/2013 až 2017/2018</w:t>
      </w:r>
    </w:p>
    <w:p w:rsidR="00D3033B" w:rsidRPr="00AA76C2" w:rsidRDefault="00D3033B" w:rsidP="00D3033B">
      <w:pPr>
        <w:spacing w:after="0" w:line="276" w:lineRule="auto"/>
        <w:rPr>
          <w:rFonts w:cs="Arial"/>
          <w:szCs w:val="20"/>
        </w:rPr>
      </w:pPr>
    </w:p>
    <w:p w:rsidR="00D3033B" w:rsidRDefault="001C064A" w:rsidP="00D3033B">
      <w:pPr>
        <w:spacing w:after="0" w:line="276" w:lineRule="auto"/>
        <w:jc w:val="center"/>
        <w:rPr>
          <w:rFonts w:cs="Arial"/>
          <w:b/>
          <w:sz w:val="24"/>
        </w:rPr>
      </w:pPr>
      <w:r>
        <w:rPr>
          <w:rFonts w:cs="Arial"/>
          <w:b/>
          <w:noProof/>
          <w:sz w:val="24"/>
        </w:rPr>
        <w:drawing>
          <wp:inline distT="0" distB="0" distL="0" distR="0" wp14:anchorId="1D62EB1A">
            <wp:extent cx="5688330" cy="1701165"/>
            <wp:effectExtent l="0" t="0" r="7620" b="0"/>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88330" cy="1701165"/>
                    </a:xfrm>
                    <a:prstGeom prst="rect">
                      <a:avLst/>
                    </a:prstGeom>
                    <a:noFill/>
                  </pic:spPr>
                </pic:pic>
              </a:graphicData>
            </a:graphic>
          </wp:inline>
        </w:drawing>
      </w:r>
    </w:p>
    <w:p w:rsidR="00D3033B" w:rsidRPr="000D42DF" w:rsidRDefault="00D3033B" w:rsidP="00D3033B">
      <w:pPr>
        <w:spacing w:after="0" w:line="276" w:lineRule="auto"/>
        <w:rPr>
          <w:rFonts w:cs="Arial"/>
          <w:sz w:val="16"/>
          <w:szCs w:val="16"/>
        </w:rPr>
      </w:pPr>
      <w:r w:rsidRPr="000D42DF">
        <w:rPr>
          <w:rFonts w:cs="Arial"/>
          <w:sz w:val="16"/>
          <w:szCs w:val="16"/>
        </w:rPr>
        <w:t>Zdroj: MŠMT</w:t>
      </w:r>
    </w:p>
    <w:p w:rsidR="00D3033B" w:rsidRDefault="00D3033B" w:rsidP="00D3033B">
      <w:pPr>
        <w:spacing w:after="0" w:line="276" w:lineRule="auto"/>
        <w:rPr>
          <w:rFonts w:cs="Arial"/>
          <w:b/>
          <w:color w:val="C00000"/>
          <w:sz w:val="24"/>
        </w:rPr>
      </w:pPr>
    </w:p>
    <w:p w:rsidR="00D3033B" w:rsidRDefault="00D3033B" w:rsidP="00A365B0">
      <w:pPr>
        <w:pStyle w:val="Nadpis3"/>
      </w:pPr>
      <w:bookmarkStart w:id="49" w:name="_Toc523408620"/>
      <w:bookmarkStart w:id="50" w:name="_Toc523466205"/>
      <w:r>
        <w:lastRenderedPageBreak/>
        <w:t>Střední</w:t>
      </w:r>
      <w:r w:rsidRPr="00284BD5">
        <w:t xml:space="preserve"> vzdělávání s maturitní zkouškou všeobecné</w:t>
      </w:r>
      <w:bookmarkEnd w:id="49"/>
      <w:bookmarkEnd w:id="50"/>
    </w:p>
    <w:p w:rsidR="00D3033B" w:rsidRPr="00390C8A" w:rsidRDefault="00D3033B" w:rsidP="00D3033B">
      <w:pPr>
        <w:spacing w:after="0" w:line="276" w:lineRule="auto"/>
        <w:jc w:val="both"/>
        <w:rPr>
          <w:rFonts w:cs="Arial"/>
          <w:b/>
          <w:color w:val="C00000"/>
          <w:sz w:val="24"/>
        </w:rPr>
      </w:pPr>
      <w:r w:rsidRPr="009F7EF6">
        <w:rPr>
          <w:rFonts w:cs="Arial"/>
          <w:szCs w:val="20"/>
        </w:rPr>
        <w:t>Gymnázia rozdělujeme podle délky denního vzdělávání na 4, 6 a 8</w:t>
      </w:r>
      <w:r>
        <w:rPr>
          <w:rFonts w:cs="Arial"/>
          <w:szCs w:val="20"/>
        </w:rPr>
        <w:t>letá.</w:t>
      </w:r>
      <w:r w:rsidRPr="009F7EF6">
        <w:rPr>
          <w:rFonts w:cs="Arial"/>
          <w:szCs w:val="20"/>
        </w:rPr>
        <w:t>  V minulém školním roce se na 358</w:t>
      </w:r>
      <w:r>
        <w:rPr>
          <w:rFonts w:cs="Arial"/>
          <w:szCs w:val="20"/>
        </w:rPr>
        <w:t xml:space="preserve"> </w:t>
      </w:r>
      <w:r w:rsidRPr="008A13AF">
        <w:rPr>
          <w:rFonts w:cs="Arial"/>
          <w:szCs w:val="20"/>
        </w:rPr>
        <w:t>gymnázi</w:t>
      </w:r>
      <w:r>
        <w:rPr>
          <w:rFonts w:cs="Arial"/>
          <w:szCs w:val="20"/>
        </w:rPr>
        <w:t xml:space="preserve">ích </w:t>
      </w:r>
      <w:r w:rsidRPr="008A13AF">
        <w:rPr>
          <w:rFonts w:cs="Arial"/>
          <w:szCs w:val="20"/>
        </w:rPr>
        <w:t>vzdělával</w:t>
      </w:r>
      <w:r>
        <w:rPr>
          <w:rFonts w:cs="Arial"/>
          <w:szCs w:val="20"/>
        </w:rPr>
        <w:t xml:space="preserve">o </w:t>
      </w:r>
      <w:r w:rsidRPr="008A13AF">
        <w:rPr>
          <w:rFonts w:cs="Arial"/>
          <w:szCs w:val="20"/>
        </w:rPr>
        <w:t>129</w:t>
      </w:r>
      <w:r>
        <w:rPr>
          <w:rFonts w:cs="Arial"/>
          <w:szCs w:val="20"/>
        </w:rPr>
        <w:t>,6 tis. studentů</w:t>
      </w:r>
      <w:r w:rsidRPr="008A13AF">
        <w:rPr>
          <w:rFonts w:cs="Arial"/>
          <w:szCs w:val="20"/>
        </w:rPr>
        <w:t>. Ví</w:t>
      </w:r>
      <w:r>
        <w:rPr>
          <w:rFonts w:cs="Arial"/>
          <w:szCs w:val="20"/>
        </w:rPr>
        <w:t>ce než polovinu</w:t>
      </w:r>
      <w:r w:rsidRPr="008A13AF">
        <w:rPr>
          <w:rFonts w:cs="Arial"/>
          <w:szCs w:val="20"/>
        </w:rPr>
        <w:t xml:space="preserve"> tvořily dívky (55</w:t>
      </w:r>
      <w:r>
        <w:rPr>
          <w:rFonts w:cs="Arial"/>
          <w:szCs w:val="20"/>
        </w:rPr>
        <w:t>,5 tis</w:t>
      </w:r>
      <w:r w:rsidRPr="008A13AF">
        <w:rPr>
          <w:rFonts w:cs="Arial"/>
          <w:szCs w:val="20"/>
        </w:rPr>
        <w:t>). Z</w:t>
      </w:r>
      <w:r>
        <w:rPr>
          <w:rFonts w:cs="Arial"/>
          <w:szCs w:val="20"/>
        </w:rPr>
        <w:t> </w:t>
      </w:r>
      <w:r w:rsidRPr="008A13AF">
        <w:rPr>
          <w:rFonts w:cs="Arial"/>
          <w:szCs w:val="20"/>
        </w:rPr>
        <w:t>celkovéh</w:t>
      </w:r>
      <w:r>
        <w:rPr>
          <w:rFonts w:cs="Arial"/>
          <w:szCs w:val="20"/>
        </w:rPr>
        <w:t xml:space="preserve">o počtu </w:t>
      </w:r>
      <w:r w:rsidR="00322C9B">
        <w:rPr>
          <w:rFonts w:cs="Arial"/>
          <w:szCs w:val="20"/>
        </w:rPr>
        <w:t>studentů</w:t>
      </w:r>
      <w:r w:rsidRPr="008A13AF">
        <w:rPr>
          <w:rFonts w:cs="Arial"/>
          <w:szCs w:val="20"/>
        </w:rPr>
        <w:t xml:space="preserve"> gymnázi</w:t>
      </w:r>
      <w:r>
        <w:rPr>
          <w:rFonts w:cs="Arial"/>
          <w:szCs w:val="20"/>
        </w:rPr>
        <w:t xml:space="preserve">í </w:t>
      </w:r>
      <w:r w:rsidRPr="008A13AF">
        <w:rPr>
          <w:rFonts w:cs="Arial"/>
          <w:szCs w:val="20"/>
        </w:rPr>
        <w:t>více než polovin</w:t>
      </w:r>
      <w:r>
        <w:rPr>
          <w:rFonts w:cs="Arial"/>
          <w:szCs w:val="20"/>
        </w:rPr>
        <w:t xml:space="preserve">a </w:t>
      </w:r>
      <w:r w:rsidRPr="008A13AF">
        <w:rPr>
          <w:rFonts w:cs="Arial"/>
          <w:szCs w:val="20"/>
        </w:rPr>
        <w:t>(53%) navštěvoval</w:t>
      </w:r>
      <w:r>
        <w:rPr>
          <w:rFonts w:cs="Arial"/>
          <w:szCs w:val="20"/>
        </w:rPr>
        <w:t>a 8letá</w:t>
      </w:r>
      <w:r w:rsidRPr="008A13AF">
        <w:rPr>
          <w:rFonts w:cs="Arial"/>
          <w:szCs w:val="20"/>
        </w:rPr>
        <w:t xml:space="preserve"> gymnázia, 37</w:t>
      </w:r>
      <w:r>
        <w:rPr>
          <w:rFonts w:cs="Arial"/>
          <w:szCs w:val="20"/>
        </w:rPr>
        <w:t xml:space="preserve"> % studentů</w:t>
      </w:r>
      <w:r w:rsidRPr="008A13AF">
        <w:rPr>
          <w:rFonts w:cs="Arial"/>
          <w:szCs w:val="20"/>
        </w:rPr>
        <w:t xml:space="preserve"> 4</w:t>
      </w:r>
      <w:r>
        <w:rPr>
          <w:rFonts w:cs="Arial"/>
          <w:szCs w:val="20"/>
        </w:rPr>
        <w:t>letá a </w:t>
      </w:r>
      <w:r w:rsidRPr="008A13AF">
        <w:rPr>
          <w:rFonts w:cs="Arial"/>
          <w:szCs w:val="20"/>
        </w:rPr>
        <w:t>ostatních 10</w:t>
      </w:r>
      <w:r>
        <w:rPr>
          <w:rFonts w:cs="Arial"/>
          <w:szCs w:val="20"/>
        </w:rPr>
        <w:t> % studentů</w:t>
      </w:r>
      <w:r w:rsidRPr="008A13AF">
        <w:rPr>
          <w:rFonts w:cs="Arial"/>
          <w:szCs w:val="20"/>
        </w:rPr>
        <w:t xml:space="preserve"> navštěvoval</w:t>
      </w:r>
      <w:r>
        <w:rPr>
          <w:rFonts w:cs="Arial"/>
          <w:szCs w:val="20"/>
        </w:rPr>
        <w:t xml:space="preserve">o </w:t>
      </w:r>
      <w:r w:rsidRPr="008A13AF">
        <w:rPr>
          <w:rFonts w:cs="Arial"/>
          <w:szCs w:val="20"/>
        </w:rPr>
        <w:t>6</w:t>
      </w:r>
      <w:r>
        <w:rPr>
          <w:rFonts w:cs="Arial"/>
          <w:szCs w:val="20"/>
        </w:rPr>
        <w:t>letá</w:t>
      </w:r>
      <w:r w:rsidRPr="008A13AF">
        <w:rPr>
          <w:rFonts w:cs="Arial"/>
          <w:szCs w:val="20"/>
        </w:rPr>
        <w:t xml:space="preserve"> gymnázia. D</w:t>
      </w:r>
      <w:r>
        <w:rPr>
          <w:rFonts w:cs="Arial"/>
          <w:szCs w:val="20"/>
        </w:rPr>
        <w:t xml:space="preserve">o </w:t>
      </w:r>
      <w:r w:rsidRPr="008A13AF">
        <w:rPr>
          <w:rFonts w:cs="Arial"/>
          <w:szCs w:val="20"/>
        </w:rPr>
        <w:t>prvníh</w:t>
      </w:r>
      <w:r>
        <w:rPr>
          <w:rFonts w:cs="Arial"/>
          <w:szCs w:val="20"/>
        </w:rPr>
        <w:t xml:space="preserve">o </w:t>
      </w:r>
      <w:r w:rsidRPr="008A13AF">
        <w:rPr>
          <w:rFonts w:cs="Arial"/>
          <w:szCs w:val="20"/>
        </w:rPr>
        <w:t>ročníku byl</w:t>
      </w:r>
      <w:r>
        <w:rPr>
          <w:rFonts w:cs="Arial"/>
          <w:szCs w:val="20"/>
        </w:rPr>
        <w:t xml:space="preserve">o </w:t>
      </w:r>
      <w:r w:rsidRPr="008A13AF">
        <w:rPr>
          <w:rFonts w:cs="Arial"/>
          <w:szCs w:val="20"/>
        </w:rPr>
        <w:t>přijat</w:t>
      </w:r>
      <w:r>
        <w:rPr>
          <w:rFonts w:cs="Arial"/>
          <w:szCs w:val="20"/>
        </w:rPr>
        <w:t xml:space="preserve">o </w:t>
      </w:r>
      <w:r w:rsidRPr="008A13AF">
        <w:rPr>
          <w:rFonts w:cs="Arial"/>
          <w:szCs w:val="20"/>
        </w:rPr>
        <w:t>23</w:t>
      </w:r>
      <w:r>
        <w:rPr>
          <w:rFonts w:cs="Arial"/>
          <w:szCs w:val="20"/>
        </w:rPr>
        <w:t>,7 tis. studentů</w:t>
      </w:r>
      <w:r w:rsidRPr="008A13AF">
        <w:rPr>
          <w:rFonts w:cs="Arial"/>
          <w:szCs w:val="20"/>
        </w:rPr>
        <w:t>, z toh</w:t>
      </w:r>
      <w:r>
        <w:rPr>
          <w:rFonts w:cs="Arial"/>
          <w:szCs w:val="20"/>
        </w:rPr>
        <w:t>o téměř 14 tis. </w:t>
      </w:r>
      <w:r w:rsidRPr="008A13AF">
        <w:rPr>
          <w:rFonts w:cs="Arial"/>
          <w:szCs w:val="20"/>
        </w:rPr>
        <w:t>dívek.</w:t>
      </w:r>
    </w:p>
    <w:p w:rsidR="00D3033B" w:rsidRDefault="00D3033B" w:rsidP="00D3033B">
      <w:pPr>
        <w:spacing w:after="0" w:line="276" w:lineRule="auto"/>
        <w:rPr>
          <w:rFonts w:cs="Arial"/>
          <w:szCs w:val="20"/>
        </w:rPr>
      </w:pPr>
    </w:p>
    <w:p w:rsidR="00D3033B" w:rsidRPr="00284BD5" w:rsidRDefault="00D3033B" w:rsidP="00D3033B">
      <w:pPr>
        <w:spacing w:after="0" w:line="276" w:lineRule="auto"/>
        <w:rPr>
          <w:rFonts w:cs="Arial"/>
          <w:b/>
          <w:szCs w:val="20"/>
        </w:rPr>
      </w:pPr>
      <w:r w:rsidRPr="00284BD5">
        <w:rPr>
          <w:rFonts w:cs="Arial"/>
          <w:b/>
          <w:szCs w:val="20"/>
        </w:rPr>
        <w:t xml:space="preserve">Graf </w:t>
      </w:r>
      <w:r w:rsidR="004377B2">
        <w:rPr>
          <w:rFonts w:cs="Arial"/>
          <w:b/>
          <w:szCs w:val="20"/>
        </w:rPr>
        <w:t>33</w:t>
      </w:r>
      <w:r>
        <w:rPr>
          <w:rFonts w:cs="Arial"/>
          <w:b/>
          <w:szCs w:val="20"/>
        </w:rPr>
        <w:t>:</w:t>
      </w:r>
      <w:r w:rsidRPr="00284BD5">
        <w:rPr>
          <w:rFonts w:cs="Arial"/>
          <w:b/>
          <w:szCs w:val="20"/>
        </w:rPr>
        <w:t xml:space="preserve"> Gymnázia</w:t>
      </w:r>
      <w:r>
        <w:rPr>
          <w:rFonts w:cs="Arial"/>
          <w:b/>
          <w:szCs w:val="20"/>
        </w:rPr>
        <w:t xml:space="preserve"> v ČR ve školním roce 2017/2018</w:t>
      </w:r>
    </w:p>
    <w:p w:rsidR="00D3033B" w:rsidRDefault="00D3033B" w:rsidP="00D3033B">
      <w:pPr>
        <w:spacing w:after="0" w:line="276" w:lineRule="auto"/>
        <w:jc w:val="center"/>
        <w:rPr>
          <w:noProof/>
        </w:rPr>
      </w:pPr>
      <w:r w:rsidRPr="00660022">
        <w:rPr>
          <w:noProof/>
        </w:rPr>
        <w:t xml:space="preserve"> </w:t>
      </w:r>
    </w:p>
    <w:p w:rsidR="00D3033B" w:rsidRDefault="001C064A" w:rsidP="00D3033B">
      <w:pPr>
        <w:spacing w:after="0" w:line="276" w:lineRule="auto"/>
        <w:jc w:val="center"/>
        <w:rPr>
          <w:noProof/>
        </w:rPr>
      </w:pPr>
      <w:r>
        <w:rPr>
          <w:noProof/>
        </w:rPr>
        <w:drawing>
          <wp:inline distT="0" distB="0" distL="0" distR="0" wp14:anchorId="304808AB">
            <wp:extent cx="3828415" cy="2103120"/>
            <wp:effectExtent l="0" t="0" r="635" b="0"/>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28415" cy="2103120"/>
                    </a:xfrm>
                    <a:prstGeom prst="rect">
                      <a:avLst/>
                    </a:prstGeom>
                    <a:noFill/>
                  </pic:spPr>
                </pic:pic>
              </a:graphicData>
            </a:graphic>
          </wp:inline>
        </w:drawing>
      </w:r>
    </w:p>
    <w:p w:rsidR="00D3033B" w:rsidRDefault="00D3033B" w:rsidP="00D3033B">
      <w:pPr>
        <w:spacing w:after="0" w:line="276" w:lineRule="auto"/>
        <w:jc w:val="center"/>
        <w:rPr>
          <w:rFonts w:cs="Arial"/>
          <w:szCs w:val="20"/>
        </w:rPr>
      </w:pPr>
    </w:p>
    <w:p w:rsidR="00D3033B" w:rsidRPr="000D42DF" w:rsidRDefault="00D3033B" w:rsidP="00D3033B">
      <w:pPr>
        <w:spacing w:after="0" w:line="276" w:lineRule="auto"/>
        <w:rPr>
          <w:rFonts w:cs="Arial"/>
          <w:sz w:val="16"/>
          <w:szCs w:val="16"/>
        </w:rPr>
      </w:pPr>
      <w:r w:rsidRPr="000D42DF">
        <w:rPr>
          <w:rFonts w:cs="Arial"/>
          <w:sz w:val="16"/>
          <w:szCs w:val="16"/>
        </w:rPr>
        <w:t>Zdroj: MŠMT</w:t>
      </w:r>
      <w:r w:rsidRPr="000D42DF">
        <w:rPr>
          <w:rFonts w:cs="Arial"/>
          <w:sz w:val="16"/>
          <w:szCs w:val="16"/>
        </w:rPr>
        <w:br/>
      </w:r>
    </w:p>
    <w:p w:rsidR="00D3033B" w:rsidRPr="00284BD5" w:rsidRDefault="00D3033B" w:rsidP="00A365B0">
      <w:pPr>
        <w:pStyle w:val="Nadpis2"/>
      </w:pPr>
      <w:bookmarkStart w:id="51" w:name="_Toc523408621"/>
      <w:bookmarkStart w:id="52" w:name="_Toc523466206"/>
      <w:r w:rsidRPr="00284BD5">
        <w:t>3.5 Nástavbové studium</w:t>
      </w:r>
      <w:bookmarkEnd w:id="51"/>
      <w:bookmarkEnd w:id="52"/>
    </w:p>
    <w:p w:rsidR="00B1475D" w:rsidRDefault="00D3033B" w:rsidP="008D3EB6">
      <w:pPr>
        <w:spacing w:after="0" w:line="276" w:lineRule="auto"/>
        <w:jc w:val="both"/>
        <w:rPr>
          <w:i/>
        </w:rPr>
      </w:pPr>
      <w:r>
        <w:t xml:space="preserve">Ve školním roce 2017/18 poskytovalo 337 škol nástavbové studium. Počet škol za posledních 10 let klesl o 101. Klesá i počet studentů, nově přijatých a absolventů. Zatímco ještě před 10 lety studovalo nástavbové studium 43,5 tis. studentů, v minulém školním roce to bylo o 62,1 % méně. V roce 2017/18 se téměř 9,1 tis. studentů vzdělávalo v denní formě studia. Ostatní formy studia navštěvovalo 7,4 tis. studentů. Oproti ostatním typům středoškolského vzdělávání je tak nástavbové studium výrazně častěji studováno dálkově (45 %). Obory nástavbového studia studovalo 7,3 tis. dívek.  Z celkového počtu studentů nástavbového studia (16,4 tis.) 67 % studovalo obor </w:t>
      </w:r>
      <w:r>
        <w:rPr>
          <w:i/>
        </w:rPr>
        <w:t>Podnikání</w:t>
      </w:r>
      <w:r w:rsidRPr="00964E22">
        <w:rPr>
          <w:i/>
        </w:rPr>
        <w:t xml:space="preserve"> v oborech, odvětví</w:t>
      </w:r>
      <w:r>
        <w:t xml:space="preserve">, 8,6 % studovalo </w:t>
      </w:r>
      <w:r w:rsidRPr="00257E9C">
        <w:rPr>
          <w:i/>
        </w:rPr>
        <w:t>Strojírenství a strojírensk</w:t>
      </w:r>
      <w:r>
        <w:rPr>
          <w:i/>
        </w:rPr>
        <w:t>ou</w:t>
      </w:r>
      <w:r w:rsidRPr="00257E9C">
        <w:rPr>
          <w:i/>
        </w:rPr>
        <w:t xml:space="preserve"> výrobu</w:t>
      </w:r>
      <w:r>
        <w:rPr>
          <w:i/>
        </w:rPr>
        <w:t>.</w:t>
      </w:r>
    </w:p>
    <w:p w:rsidR="00B1475D" w:rsidRDefault="00B1475D" w:rsidP="008D3EB6">
      <w:pPr>
        <w:spacing w:after="0" w:line="276" w:lineRule="auto"/>
        <w:jc w:val="both"/>
        <w:rPr>
          <w:i/>
        </w:rPr>
      </w:pPr>
    </w:p>
    <w:p w:rsidR="00D3033B" w:rsidRDefault="004377B2" w:rsidP="008D3EB6">
      <w:pPr>
        <w:spacing w:after="0" w:line="276" w:lineRule="auto"/>
        <w:jc w:val="both"/>
        <w:rPr>
          <w:rFonts w:cs="Arial"/>
          <w:b/>
          <w:sz w:val="28"/>
          <w:szCs w:val="28"/>
        </w:rPr>
      </w:pPr>
      <w:r>
        <w:rPr>
          <w:b/>
        </w:rPr>
        <w:t>Graf 34</w:t>
      </w:r>
      <w:r w:rsidR="00D3033B">
        <w:rPr>
          <w:b/>
        </w:rPr>
        <w:t>:</w:t>
      </w:r>
      <w:r w:rsidR="00D3033B" w:rsidRPr="00284BD5">
        <w:rPr>
          <w:b/>
        </w:rPr>
        <w:t xml:space="preserve"> Nástavbové studium </w:t>
      </w:r>
      <w:r w:rsidR="00D3033B">
        <w:rPr>
          <w:b/>
        </w:rPr>
        <w:t xml:space="preserve">v ČR v letech 2007/2008 až 2017/2018 </w:t>
      </w:r>
      <w:r w:rsidR="00D3033B" w:rsidRPr="00284BD5">
        <w:rPr>
          <w:b/>
        </w:rPr>
        <w:t>– žáci, přijatí a absolventi</w:t>
      </w:r>
    </w:p>
    <w:p w:rsidR="00D3033B" w:rsidRDefault="00D3033B" w:rsidP="00D3033B">
      <w:pPr>
        <w:spacing w:after="0" w:line="276" w:lineRule="auto"/>
        <w:rPr>
          <w:rFonts w:cs="Arial"/>
          <w:sz w:val="16"/>
          <w:szCs w:val="16"/>
        </w:rPr>
      </w:pPr>
    </w:p>
    <w:p w:rsidR="00D3033B" w:rsidRDefault="001C064A" w:rsidP="00D3033B">
      <w:pPr>
        <w:spacing w:after="0" w:line="276" w:lineRule="auto"/>
        <w:jc w:val="center"/>
        <w:rPr>
          <w:rFonts w:cs="Arial"/>
          <w:sz w:val="16"/>
          <w:szCs w:val="16"/>
        </w:rPr>
      </w:pPr>
      <w:r>
        <w:rPr>
          <w:rFonts w:cs="Arial"/>
          <w:noProof/>
          <w:sz w:val="16"/>
          <w:szCs w:val="16"/>
        </w:rPr>
        <w:drawing>
          <wp:inline distT="0" distB="0" distL="0" distR="0" wp14:anchorId="33F29390">
            <wp:extent cx="4584700" cy="2603500"/>
            <wp:effectExtent l="0" t="0" r="6350" b="6350"/>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84700" cy="2603500"/>
                    </a:xfrm>
                    <a:prstGeom prst="rect">
                      <a:avLst/>
                    </a:prstGeom>
                    <a:noFill/>
                  </pic:spPr>
                </pic:pic>
              </a:graphicData>
            </a:graphic>
          </wp:inline>
        </w:drawing>
      </w:r>
    </w:p>
    <w:p w:rsidR="00D3033B" w:rsidRDefault="00D3033B" w:rsidP="00D3033B">
      <w:pPr>
        <w:spacing w:after="0" w:line="276" w:lineRule="auto"/>
        <w:rPr>
          <w:rFonts w:cs="Arial"/>
          <w:b/>
          <w:color w:val="C00000"/>
          <w:sz w:val="32"/>
          <w:szCs w:val="32"/>
        </w:rPr>
      </w:pPr>
      <w:r w:rsidRPr="000D42DF">
        <w:rPr>
          <w:rFonts w:cs="Arial"/>
          <w:sz w:val="16"/>
          <w:szCs w:val="16"/>
        </w:rPr>
        <w:t>Zdroj: MŠMT</w:t>
      </w:r>
    </w:p>
    <w:p w:rsidR="00D3033B" w:rsidRPr="00A365B0" w:rsidRDefault="00A365B0" w:rsidP="00A365B0">
      <w:pPr>
        <w:pStyle w:val="Nadpis1"/>
      </w:pPr>
      <w:r>
        <w:br w:type="page"/>
      </w:r>
      <w:bookmarkStart w:id="53" w:name="_Toc523408622"/>
      <w:bookmarkStart w:id="54" w:name="_Toc523466207"/>
      <w:r w:rsidR="00D3033B" w:rsidRPr="00A365B0">
        <w:lastRenderedPageBreak/>
        <w:t>4. Vysoké školy</w:t>
      </w:r>
      <w:bookmarkEnd w:id="53"/>
      <w:bookmarkEnd w:id="54"/>
    </w:p>
    <w:p w:rsidR="00D3033B" w:rsidRDefault="00D3033B" w:rsidP="00D3033B">
      <w:pPr>
        <w:spacing w:line="276" w:lineRule="auto"/>
        <w:jc w:val="both"/>
        <w:rPr>
          <w:rFonts w:cs="Arial"/>
          <w:szCs w:val="20"/>
        </w:rPr>
      </w:pPr>
      <w:r w:rsidRPr="00E0397D">
        <w:rPr>
          <w:rFonts w:cs="Arial"/>
          <w:szCs w:val="20"/>
        </w:rPr>
        <w:t>V roce 2017 studovalo na vysokých školách v České republice téměř 300 tisíc studentů. Je to o 12</w:t>
      </w:r>
      <w:r>
        <w:rPr>
          <w:rFonts w:cs="Arial"/>
          <w:szCs w:val="20"/>
        </w:rPr>
        <w:t xml:space="preserve"> tis. méně než v minulém</w:t>
      </w:r>
      <w:r w:rsidRPr="00E0397D">
        <w:rPr>
          <w:rFonts w:cs="Arial"/>
          <w:szCs w:val="20"/>
        </w:rPr>
        <w:t xml:space="preserve"> roce. Převážná většina studentů navštěvovala veřejné vysoké školy</w:t>
      </w:r>
      <w:r>
        <w:rPr>
          <w:rFonts w:cs="Arial"/>
          <w:szCs w:val="20"/>
        </w:rPr>
        <w:t xml:space="preserve"> (269,7 tis</w:t>
      </w:r>
      <w:r w:rsidRPr="00E0397D">
        <w:rPr>
          <w:rFonts w:cs="Arial"/>
          <w:szCs w:val="20"/>
        </w:rPr>
        <w:t>.</w:t>
      </w:r>
      <w:r>
        <w:rPr>
          <w:rFonts w:cs="Arial"/>
          <w:szCs w:val="20"/>
        </w:rPr>
        <w:t>).</w:t>
      </w:r>
      <w:r w:rsidRPr="00E0397D">
        <w:rPr>
          <w:rFonts w:cs="Arial"/>
          <w:szCs w:val="20"/>
        </w:rPr>
        <w:t xml:space="preserve"> Na soukromých vysokých školách studovalo 29</w:t>
      </w:r>
      <w:r>
        <w:rPr>
          <w:rFonts w:cs="Arial"/>
          <w:szCs w:val="20"/>
        </w:rPr>
        <w:t>,4 tis.</w:t>
      </w:r>
      <w:r w:rsidRPr="00E0397D">
        <w:rPr>
          <w:rFonts w:cs="Arial"/>
          <w:szCs w:val="20"/>
        </w:rPr>
        <w:t xml:space="preserve"> studentů.</w:t>
      </w:r>
      <w:r>
        <w:rPr>
          <w:rFonts w:cs="Arial"/>
          <w:szCs w:val="20"/>
        </w:rPr>
        <w:t xml:space="preserve"> Na vysokých školách studuje více žen než mužů, a to 56 %. Převážná většina studentů vysokých škol studuje v prezenční formě studia, 76 %. </w:t>
      </w:r>
      <w:r w:rsidRPr="00E0397D">
        <w:rPr>
          <w:rFonts w:cs="Arial"/>
          <w:szCs w:val="20"/>
        </w:rPr>
        <w:t xml:space="preserve">V posledních deseti letech se počet studentů dynamicky vyvíjel </w:t>
      </w:r>
      <w:r>
        <w:rPr>
          <w:rFonts w:cs="Arial"/>
          <w:szCs w:val="20"/>
        </w:rPr>
        <w:t>–</w:t>
      </w:r>
      <w:r w:rsidRPr="00E0397D">
        <w:rPr>
          <w:rFonts w:cs="Arial"/>
          <w:szCs w:val="20"/>
        </w:rPr>
        <w:t xml:space="preserve"> zatímco do roku 2010 jich každoročně po tisících přibývalo, od roku 2010, kdy bylo vysokoškolských studentů téměř 400 tisíc, klesl jeji</w:t>
      </w:r>
      <w:r>
        <w:rPr>
          <w:rFonts w:cs="Arial"/>
          <w:szCs w:val="20"/>
        </w:rPr>
        <w:t xml:space="preserve">ch počet o více než pětinu. </w:t>
      </w:r>
    </w:p>
    <w:p w:rsidR="00D3033B" w:rsidRDefault="00322C9B" w:rsidP="00322C9B">
      <w:pPr>
        <w:spacing w:after="60" w:line="276" w:lineRule="auto"/>
        <w:jc w:val="both"/>
        <w:rPr>
          <w:rFonts w:cs="Arial"/>
          <w:b/>
          <w:color w:val="C00000"/>
          <w:sz w:val="28"/>
          <w:szCs w:val="28"/>
        </w:rPr>
      </w:pPr>
      <w:r w:rsidRPr="00322C9B">
        <w:rPr>
          <w:rFonts w:cs="Arial"/>
          <w:b/>
          <w:szCs w:val="20"/>
        </w:rPr>
        <w:t>Tab. 7 Studenti a absolventi vysokých škol v ČR v letech 2007 až 2017</w:t>
      </w:r>
    </w:p>
    <w:tbl>
      <w:tblPr>
        <w:tblW w:w="9426" w:type="dxa"/>
        <w:tblCellMar>
          <w:left w:w="70" w:type="dxa"/>
          <w:right w:w="70" w:type="dxa"/>
        </w:tblCellMar>
        <w:tblLook w:val="04A0" w:firstRow="1" w:lastRow="0" w:firstColumn="1" w:lastColumn="0" w:noHBand="0" w:noVBand="1"/>
      </w:tblPr>
      <w:tblGrid>
        <w:gridCol w:w="500"/>
        <w:gridCol w:w="777"/>
        <w:gridCol w:w="958"/>
        <w:gridCol w:w="1004"/>
        <w:gridCol w:w="994"/>
        <w:gridCol w:w="825"/>
        <w:gridCol w:w="647"/>
        <w:gridCol w:w="905"/>
        <w:gridCol w:w="994"/>
        <w:gridCol w:w="994"/>
        <w:gridCol w:w="820"/>
        <w:gridCol w:w="8"/>
      </w:tblGrid>
      <w:tr w:rsidR="00D3033B" w:rsidRPr="00766E55" w:rsidTr="00322C9B">
        <w:trPr>
          <w:trHeight w:val="515"/>
        </w:trPr>
        <w:tc>
          <w:tcPr>
            <w:tcW w:w="500" w:type="dxa"/>
            <w:vMerge w:val="restart"/>
            <w:tcBorders>
              <w:top w:val="nil"/>
              <w:left w:val="nil"/>
              <w:bottom w:val="single" w:sz="4" w:space="0" w:color="auto"/>
              <w:right w:val="single" w:sz="4" w:space="0" w:color="auto"/>
            </w:tcBorders>
            <w:shd w:val="clear" w:color="000000" w:fill="F2DDDC"/>
            <w:noWrap/>
            <w:vAlign w:val="center"/>
            <w:hideMark/>
          </w:tcPr>
          <w:p w:rsidR="00D3033B" w:rsidRPr="00766E55" w:rsidRDefault="00D3033B" w:rsidP="00D3033B">
            <w:pPr>
              <w:spacing w:after="0" w:line="240" w:lineRule="auto"/>
              <w:jc w:val="center"/>
              <w:rPr>
                <w:rFonts w:cs="Arial"/>
                <w:color w:val="000000"/>
                <w:sz w:val="16"/>
                <w:szCs w:val="16"/>
              </w:rPr>
            </w:pPr>
            <w:r w:rsidRPr="00766E55">
              <w:rPr>
                <w:rFonts w:cs="Arial"/>
                <w:color w:val="000000"/>
                <w:sz w:val="16"/>
                <w:szCs w:val="16"/>
              </w:rPr>
              <w:t>rok</w:t>
            </w:r>
          </w:p>
        </w:tc>
        <w:tc>
          <w:tcPr>
            <w:tcW w:w="4558" w:type="dxa"/>
            <w:gridSpan w:val="5"/>
            <w:tcBorders>
              <w:top w:val="nil"/>
              <w:left w:val="nil"/>
              <w:bottom w:val="single" w:sz="4" w:space="0" w:color="auto"/>
              <w:right w:val="single" w:sz="4" w:space="0" w:color="auto"/>
            </w:tcBorders>
            <w:shd w:val="clear" w:color="000000" w:fill="F2DDDC"/>
            <w:vAlign w:val="center"/>
            <w:hideMark/>
          </w:tcPr>
          <w:p w:rsidR="00D3033B" w:rsidRPr="00766E55" w:rsidRDefault="00D3033B" w:rsidP="00D3033B">
            <w:pPr>
              <w:spacing w:after="0" w:line="240" w:lineRule="auto"/>
              <w:jc w:val="center"/>
              <w:rPr>
                <w:rFonts w:cs="Arial"/>
                <w:sz w:val="16"/>
                <w:szCs w:val="16"/>
              </w:rPr>
            </w:pPr>
            <w:r w:rsidRPr="00766E55">
              <w:rPr>
                <w:rFonts w:cs="Arial"/>
                <w:sz w:val="16"/>
                <w:szCs w:val="16"/>
              </w:rPr>
              <w:t>studenti vysokých škol</w:t>
            </w:r>
          </w:p>
        </w:tc>
        <w:tc>
          <w:tcPr>
            <w:tcW w:w="4368" w:type="dxa"/>
            <w:gridSpan w:val="6"/>
            <w:tcBorders>
              <w:top w:val="nil"/>
              <w:left w:val="single" w:sz="4" w:space="0" w:color="auto"/>
              <w:bottom w:val="single" w:sz="4" w:space="0" w:color="auto"/>
            </w:tcBorders>
            <w:shd w:val="clear" w:color="000000" w:fill="F2DDDC"/>
            <w:vAlign w:val="center"/>
            <w:hideMark/>
          </w:tcPr>
          <w:p w:rsidR="00D3033B" w:rsidRPr="00766E55" w:rsidRDefault="00D3033B" w:rsidP="00D3033B">
            <w:pPr>
              <w:spacing w:after="0" w:line="240" w:lineRule="auto"/>
              <w:jc w:val="center"/>
              <w:rPr>
                <w:rFonts w:cs="Arial"/>
                <w:sz w:val="16"/>
                <w:szCs w:val="16"/>
              </w:rPr>
            </w:pPr>
            <w:r w:rsidRPr="00766E55">
              <w:rPr>
                <w:rFonts w:cs="Arial"/>
                <w:sz w:val="16"/>
                <w:szCs w:val="16"/>
              </w:rPr>
              <w:t>absolventi vysokých škol</w:t>
            </w:r>
          </w:p>
        </w:tc>
      </w:tr>
      <w:tr w:rsidR="00D3033B" w:rsidRPr="00766E55" w:rsidTr="00322C9B">
        <w:trPr>
          <w:gridAfter w:val="1"/>
          <w:wAfter w:w="8" w:type="dxa"/>
          <w:trHeight w:val="343"/>
        </w:trPr>
        <w:tc>
          <w:tcPr>
            <w:tcW w:w="500" w:type="dxa"/>
            <w:vMerge/>
            <w:tcBorders>
              <w:top w:val="nil"/>
              <w:left w:val="nil"/>
              <w:bottom w:val="single" w:sz="4" w:space="0" w:color="auto"/>
              <w:right w:val="single" w:sz="4" w:space="0" w:color="auto"/>
            </w:tcBorders>
            <w:vAlign w:val="center"/>
            <w:hideMark/>
          </w:tcPr>
          <w:p w:rsidR="00D3033B" w:rsidRPr="00766E55" w:rsidRDefault="00D3033B" w:rsidP="00D3033B">
            <w:pPr>
              <w:spacing w:after="0" w:line="240" w:lineRule="auto"/>
              <w:rPr>
                <w:rFonts w:cs="Arial"/>
                <w:color w:val="000000"/>
                <w:sz w:val="16"/>
                <w:szCs w:val="16"/>
              </w:rPr>
            </w:pPr>
          </w:p>
        </w:tc>
        <w:tc>
          <w:tcPr>
            <w:tcW w:w="777" w:type="dxa"/>
            <w:vMerge w:val="restart"/>
            <w:tcBorders>
              <w:top w:val="nil"/>
              <w:left w:val="single" w:sz="4" w:space="0" w:color="auto"/>
              <w:bottom w:val="single" w:sz="4" w:space="0" w:color="auto"/>
              <w:right w:val="single" w:sz="4" w:space="0" w:color="auto"/>
            </w:tcBorders>
            <w:shd w:val="clear" w:color="000000" w:fill="F2DDDC"/>
            <w:vAlign w:val="center"/>
            <w:hideMark/>
          </w:tcPr>
          <w:p w:rsidR="00D3033B" w:rsidRPr="00766E55" w:rsidRDefault="00D3033B" w:rsidP="00D3033B">
            <w:pPr>
              <w:spacing w:after="0" w:line="240" w:lineRule="auto"/>
              <w:jc w:val="center"/>
              <w:rPr>
                <w:rFonts w:cs="Arial"/>
                <w:sz w:val="16"/>
                <w:szCs w:val="16"/>
              </w:rPr>
            </w:pPr>
            <w:r w:rsidRPr="00766E55">
              <w:rPr>
                <w:rFonts w:cs="Arial"/>
                <w:sz w:val="16"/>
                <w:szCs w:val="16"/>
              </w:rPr>
              <w:t>celkem</w:t>
            </w:r>
          </w:p>
        </w:tc>
        <w:tc>
          <w:tcPr>
            <w:tcW w:w="3781" w:type="dxa"/>
            <w:gridSpan w:val="4"/>
            <w:tcBorders>
              <w:top w:val="single" w:sz="4" w:space="0" w:color="auto"/>
              <w:left w:val="nil"/>
              <w:bottom w:val="single" w:sz="4" w:space="0" w:color="auto"/>
              <w:right w:val="single" w:sz="4" w:space="0" w:color="auto"/>
            </w:tcBorders>
            <w:shd w:val="clear" w:color="000000" w:fill="F2DDDC"/>
            <w:vAlign w:val="center"/>
            <w:hideMark/>
          </w:tcPr>
          <w:p w:rsidR="00D3033B" w:rsidRPr="00766E55" w:rsidRDefault="00D3033B" w:rsidP="00D3033B">
            <w:pPr>
              <w:spacing w:after="0" w:line="240" w:lineRule="auto"/>
              <w:jc w:val="center"/>
              <w:rPr>
                <w:rFonts w:cs="Arial"/>
                <w:sz w:val="16"/>
                <w:szCs w:val="16"/>
              </w:rPr>
            </w:pPr>
            <w:r w:rsidRPr="00766E55">
              <w:rPr>
                <w:rFonts w:cs="Arial"/>
                <w:sz w:val="16"/>
                <w:szCs w:val="16"/>
              </w:rPr>
              <w:t>z toho studijní program</w:t>
            </w:r>
          </w:p>
        </w:tc>
        <w:tc>
          <w:tcPr>
            <w:tcW w:w="647" w:type="dxa"/>
            <w:vMerge w:val="restart"/>
            <w:tcBorders>
              <w:top w:val="nil"/>
              <w:left w:val="single" w:sz="4" w:space="0" w:color="auto"/>
              <w:right w:val="single" w:sz="4" w:space="0" w:color="auto"/>
            </w:tcBorders>
            <w:shd w:val="clear" w:color="000000" w:fill="F2DDDC"/>
            <w:vAlign w:val="center"/>
            <w:hideMark/>
          </w:tcPr>
          <w:p w:rsidR="00D3033B" w:rsidRPr="00766E55" w:rsidRDefault="00D3033B" w:rsidP="00D3033B">
            <w:pPr>
              <w:spacing w:after="0" w:line="240" w:lineRule="auto"/>
              <w:jc w:val="center"/>
              <w:rPr>
                <w:rFonts w:cs="Arial"/>
                <w:sz w:val="16"/>
                <w:szCs w:val="16"/>
              </w:rPr>
            </w:pPr>
            <w:r w:rsidRPr="00766E55">
              <w:rPr>
                <w:rFonts w:cs="Arial"/>
                <w:sz w:val="16"/>
                <w:szCs w:val="16"/>
              </w:rPr>
              <w:t>celkem</w:t>
            </w:r>
          </w:p>
        </w:tc>
        <w:tc>
          <w:tcPr>
            <w:tcW w:w="3713" w:type="dxa"/>
            <w:gridSpan w:val="4"/>
            <w:tcBorders>
              <w:top w:val="single" w:sz="4" w:space="0" w:color="auto"/>
              <w:left w:val="nil"/>
              <w:bottom w:val="single" w:sz="4" w:space="0" w:color="auto"/>
            </w:tcBorders>
            <w:shd w:val="clear" w:color="000000" w:fill="F2DDDC"/>
            <w:vAlign w:val="center"/>
            <w:hideMark/>
          </w:tcPr>
          <w:p w:rsidR="00D3033B" w:rsidRPr="00766E55" w:rsidRDefault="00D3033B" w:rsidP="00D3033B">
            <w:pPr>
              <w:spacing w:after="0" w:line="240" w:lineRule="auto"/>
              <w:jc w:val="center"/>
              <w:rPr>
                <w:rFonts w:cs="Arial"/>
                <w:sz w:val="16"/>
                <w:szCs w:val="16"/>
              </w:rPr>
            </w:pPr>
            <w:r w:rsidRPr="00766E55">
              <w:rPr>
                <w:rFonts w:cs="Arial"/>
                <w:sz w:val="16"/>
                <w:szCs w:val="16"/>
              </w:rPr>
              <w:t>z toho studijní program</w:t>
            </w:r>
          </w:p>
        </w:tc>
      </w:tr>
      <w:tr w:rsidR="00D3033B" w:rsidRPr="00766E55" w:rsidTr="00322C9B">
        <w:trPr>
          <w:trHeight w:val="773"/>
        </w:trPr>
        <w:tc>
          <w:tcPr>
            <w:tcW w:w="500" w:type="dxa"/>
            <w:vMerge/>
            <w:tcBorders>
              <w:top w:val="nil"/>
              <w:left w:val="nil"/>
              <w:bottom w:val="single" w:sz="4" w:space="0" w:color="auto"/>
              <w:right w:val="single" w:sz="4" w:space="0" w:color="auto"/>
            </w:tcBorders>
            <w:vAlign w:val="center"/>
            <w:hideMark/>
          </w:tcPr>
          <w:p w:rsidR="00D3033B" w:rsidRPr="00766E55" w:rsidRDefault="00D3033B" w:rsidP="00D3033B">
            <w:pPr>
              <w:spacing w:after="0" w:line="240" w:lineRule="auto"/>
              <w:rPr>
                <w:rFonts w:cs="Arial"/>
                <w:color w:val="000000"/>
                <w:sz w:val="16"/>
                <w:szCs w:val="16"/>
              </w:rPr>
            </w:pPr>
          </w:p>
        </w:tc>
        <w:tc>
          <w:tcPr>
            <w:tcW w:w="777" w:type="dxa"/>
            <w:vMerge/>
            <w:tcBorders>
              <w:top w:val="nil"/>
              <w:left w:val="single" w:sz="4" w:space="0" w:color="auto"/>
              <w:bottom w:val="single" w:sz="4" w:space="0" w:color="auto"/>
              <w:right w:val="single" w:sz="4" w:space="0" w:color="auto"/>
            </w:tcBorders>
            <w:vAlign w:val="center"/>
            <w:hideMark/>
          </w:tcPr>
          <w:p w:rsidR="00D3033B" w:rsidRPr="00766E55" w:rsidRDefault="00D3033B" w:rsidP="00D3033B">
            <w:pPr>
              <w:spacing w:after="0" w:line="240" w:lineRule="auto"/>
              <w:rPr>
                <w:rFonts w:cs="Arial"/>
                <w:sz w:val="16"/>
                <w:szCs w:val="16"/>
              </w:rPr>
            </w:pPr>
          </w:p>
        </w:tc>
        <w:tc>
          <w:tcPr>
            <w:tcW w:w="958" w:type="dxa"/>
            <w:tcBorders>
              <w:top w:val="nil"/>
              <w:left w:val="nil"/>
              <w:bottom w:val="single" w:sz="4" w:space="0" w:color="auto"/>
              <w:right w:val="single" w:sz="4" w:space="0" w:color="auto"/>
            </w:tcBorders>
            <w:shd w:val="clear" w:color="000000" w:fill="F2DDDC"/>
            <w:vAlign w:val="center"/>
            <w:hideMark/>
          </w:tcPr>
          <w:p w:rsidR="00D3033B" w:rsidRPr="00766E55" w:rsidRDefault="00D3033B" w:rsidP="00D3033B">
            <w:pPr>
              <w:spacing w:after="0" w:line="240" w:lineRule="auto"/>
              <w:jc w:val="center"/>
              <w:rPr>
                <w:rFonts w:cs="Arial"/>
                <w:sz w:val="16"/>
                <w:szCs w:val="16"/>
              </w:rPr>
            </w:pPr>
            <w:r w:rsidRPr="00766E55">
              <w:rPr>
                <w:rFonts w:cs="Arial"/>
                <w:sz w:val="16"/>
                <w:szCs w:val="16"/>
              </w:rPr>
              <w:t>bakalářský</w:t>
            </w:r>
          </w:p>
        </w:tc>
        <w:tc>
          <w:tcPr>
            <w:tcW w:w="1004" w:type="dxa"/>
            <w:tcBorders>
              <w:top w:val="nil"/>
              <w:left w:val="nil"/>
              <w:bottom w:val="single" w:sz="4" w:space="0" w:color="auto"/>
              <w:right w:val="single" w:sz="4" w:space="0" w:color="auto"/>
            </w:tcBorders>
            <w:shd w:val="clear" w:color="000000" w:fill="F2DDDC"/>
            <w:vAlign w:val="center"/>
            <w:hideMark/>
          </w:tcPr>
          <w:p w:rsidR="00D3033B" w:rsidRPr="00766E55" w:rsidRDefault="00D3033B" w:rsidP="00D3033B">
            <w:pPr>
              <w:spacing w:after="0" w:line="240" w:lineRule="auto"/>
              <w:jc w:val="center"/>
              <w:rPr>
                <w:rFonts w:cs="Arial"/>
                <w:sz w:val="16"/>
                <w:szCs w:val="16"/>
              </w:rPr>
            </w:pPr>
            <w:r w:rsidRPr="00766E55">
              <w:rPr>
                <w:rFonts w:cs="Arial"/>
                <w:sz w:val="16"/>
                <w:szCs w:val="16"/>
              </w:rPr>
              <w:t>magisterský</w:t>
            </w:r>
          </w:p>
        </w:tc>
        <w:tc>
          <w:tcPr>
            <w:tcW w:w="994" w:type="dxa"/>
            <w:tcBorders>
              <w:top w:val="nil"/>
              <w:left w:val="nil"/>
              <w:bottom w:val="single" w:sz="4" w:space="0" w:color="auto"/>
              <w:right w:val="single" w:sz="4" w:space="0" w:color="auto"/>
            </w:tcBorders>
            <w:shd w:val="clear" w:color="000000" w:fill="F2DDDC"/>
            <w:vAlign w:val="center"/>
            <w:hideMark/>
          </w:tcPr>
          <w:p w:rsidR="00D3033B" w:rsidRPr="00766E55" w:rsidRDefault="00D3033B" w:rsidP="00D3033B">
            <w:pPr>
              <w:spacing w:after="0" w:line="240" w:lineRule="auto"/>
              <w:jc w:val="center"/>
              <w:rPr>
                <w:rFonts w:cs="Arial"/>
                <w:sz w:val="16"/>
                <w:szCs w:val="16"/>
              </w:rPr>
            </w:pPr>
            <w:r w:rsidRPr="00766E55">
              <w:rPr>
                <w:rFonts w:cs="Arial"/>
                <w:sz w:val="16"/>
                <w:szCs w:val="16"/>
              </w:rPr>
              <w:t>navazující</w:t>
            </w:r>
            <w:r w:rsidRPr="00766E55">
              <w:rPr>
                <w:rFonts w:cs="Arial"/>
                <w:sz w:val="16"/>
                <w:szCs w:val="16"/>
              </w:rPr>
              <w:br/>
              <w:t>magisterský</w:t>
            </w:r>
          </w:p>
        </w:tc>
        <w:tc>
          <w:tcPr>
            <w:tcW w:w="825" w:type="dxa"/>
            <w:tcBorders>
              <w:top w:val="nil"/>
              <w:left w:val="nil"/>
              <w:bottom w:val="single" w:sz="4" w:space="0" w:color="auto"/>
              <w:right w:val="single" w:sz="4" w:space="0" w:color="auto"/>
            </w:tcBorders>
            <w:shd w:val="clear" w:color="000000" w:fill="F2DDDC"/>
            <w:vAlign w:val="center"/>
            <w:hideMark/>
          </w:tcPr>
          <w:p w:rsidR="00D3033B" w:rsidRPr="00766E55" w:rsidRDefault="00D3033B" w:rsidP="00D3033B">
            <w:pPr>
              <w:spacing w:after="0" w:line="240" w:lineRule="auto"/>
              <w:jc w:val="center"/>
              <w:rPr>
                <w:rFonts w:cs="Arial"/>
                <w:sz w:val="16"/>
                <w:szCs w:val="16"/>
              </w:rPr>
            </w:pPr>
            <w:r w:rsidRPr="00766E55">
              <w:rPr>
                <w:rFonts w:cs="Arial"/>
                <w:sz w:val="16"/>
                <w:szCs w:val="16"/>
              </w:rPr>
              <w:t>doktorský</w:t>
            </w:r>
          </w:p>
        </w:tc>
        <w:tc>
          <w:tcPr>
            <w:tcW w:w="647" w:type="dxa"/>
            <w:vMerge/>
            <w:tcBorders>
              <w:left w:val="single" w:sz="4" w:space="0" w:color="auto"/>
              <w:bottom w:val="single" w:sz="4" w:space="0" w:color="auto"/>
              <w:right w:val="single" w:sz="4" w:space="0" w:color="auto"/>
            </w:tcBorders>
            <w:vAlign w:val="center"/>
            <w:hideMark/>
          </w:tcPr>
          <w:p w:rsidR="00D3033B" w:rsidRPr="00766E55" w:rsidRDefault="00D3033B" w:rsidP="00D3033B">
            <w:pPr>
              <w:spacing w:after="0" w:line="240" w:lineRule="auto"/>
              <w:rPr>
                <w:rFonts w:cs="Arial"/>
                <w:sz w:val="16"/>
                <w:szCs w:val="16"/>
              </w:rPr>
            </w:pPr>
          </w:p>
        </w:tc>
        <w:tc>
          <w:tcPr>
            <w:tcW w:w="905" w:type="dxa"/>
            <w:tcBorders>
              <w:top w:val="nil"/>
              <w:left w:val="nil"/>
              <w:bottom w:val="single" w:sz="4" w:space="0" w:color="auto"/>
              <w:right w:val="single" w:sz="4" w:space="0" w:color="auto"/>
            </w:tcBorders>
            <w:shd w:val="clear" w:color="000000" w:fill="F2DDDC"/>
            <w:vAlign w:val="center"/>
            <w:hideMark/>
          </w:tcPr>
          <w:p w:rsidR="00D3033B" w:rsidRPr="00766E55" w:rsidRDefault="00D3033B" w:rsidP="00D3033B">
            <w:pPr>
              <w:spacing w:after="0" w:line="240" w:lineRule="auto"/>
              <w:jc w:val="center"/>
              <w:rPr>
                <w:rFonts w:cs="Arial"/>
                <w:sz w:val="16"/>
                <w:szCs w:val="16"/>
              </w:rPr>
            </w:pPr>
            <w:r w:rsidRPr="00766E55">
              <w:rPr>
                <w:rFonts w:cs="Arial"/>
                <w:sz w:val="16"/>
                <w:szCs w:val="16"/>
              </w:rPr>
              <w:t>bakalářský</w:t>
            </w:r>
          </w:p>
        </w:tc>
        <w:tc>
          <w:tcPr>
            <w:tcW w:w="994" w:type="dxa"/>
            <w:tcBorders>
              <w:top w:val="nil"/>
              <w:left w:val="nil"/>
              <w:bottom w:val="single" w:sz="4" w:space="0" w:color="auto"/>
              <w:right w:val="single" w:sz="4" w:space="0" w:color="auto"/>
            </w:tcBorders>
            <w:shd w:val="clear" w:color="000000" w:fill="F2DDDC"/>
            <w:vAlign w:val="center"/>
            <w:hideMark/>
          </w:tcPr>
          <w:p w:rsidR="00D3033B" w:rsidRPr="00766E55" w:rsidRDefault="00D3033B" w:rsidP="00D3033B">
            <w:pPr>
              <w:spacing w:after="0" w:line="240" w:lineRule="auto"/>
              <w:jc w:val="center"/>
              <w:rPr>
                <w:rFonts w:cs="Arial"/>
                <w:sz w:val="16"/>
                <w:szCs w:val="16"/>
              </w:rPr>
            </w:pPr>
            <w:r w:rsidRPr="00766E55">
              <w:rPr>
                <w:rFonts w:cs="Arial"/>
                <w:sz w:val="16"/>
                <w:szCs w:val="16"/>
              </w:rPr>
              <w:t>magisterský</w:t>
            </w:r>
          </w:p>
        </w:tc>
        <w:tc>
          <w:tcPr>
            <w:tcW w:w="994" w:type="dxa"/>
            <w:tcBorders>
              <w:top w:val="nil"/>
              <w:left w:val="nil"/>
              <w:bottom w:val="single" w:sz="4" w:space="0" w:color="auto"/>
              <w:right w:val="single" w:sz="4" w:space="0" w:color="auto"/>
            </w:tcBorders>
            <w:shd w:val="clear" w:color="000000" w:fill="F2DDDC"/>
            <w:vAlign w:val="center"/>
            <w:hideMark/>
          </w:tcPr>
          <w:p w:rsidR="00D3033B" w:rsidRPr="00766E55" w:rsidRDefault="00D3033B" w:rsidP="00D3033B">
            <w:pPr>
              <w:spacing w:after="0" w:line="240" w:lineRule="auto"/>
              <w:jc w:val="center"/>
              <w:rPr>
                <w:rFonts w:cs="Arial"/>
                <w:sz w:val="16"/>
                <w:szCs w:val="16"/>
              </w:rPr>
            </w:pPr>
            <w:r w:rsidRPr="00766E55">
              <w:rPr>
                <w:rFonts w:cs="Arial"/>
                <w:sz w:val="16"/>
                <w:szCs w:val="16"/>
              </w:rPr>
              <w:t>navazující</w:t>
            </w:r>
            <w:r w:rsidRPr="00766E55">
              <w:rPr>
                <w:rFonts w:cs="Arial"/>
                <w:sz w:val="16"/>
                <w:szCs w:val="16"/>
              </w:rPr>
              <w:br/>
              <w:t>magisterský</w:t>
            </w:r>
          </w:p>
        </w:tc>
        <w:tc>
          <w:tcPr>
            <w:tcW w:w="828" w:type="dxa"/>
            <w:gridSpan w:val="2"/>
            <w:tcBorders>
              <w:top w:val="nil"/>
              <w:left w:val="nil"/>
              <w:bottom w:val="single" w:sz="4" w:space="0" w:color="auto"/>
            </w:tcBorders>
            <w:shd w:val="clear" w:color="000000" w:fill="F2DDDC"/>
            <w:vAlign w:val="center"/>
            <w:hideMark/>
          </w:tcPr>
          <w:p w:rsidR="00D3033B" w:rsidRPr="00766E55" w:rsidRDefault="00D3033B" w:rsidP="00D3033B">
            <w:pPr>
              <w:spacing w:after="0" w:line="240" w:lineRule="auto"/>
              <w:jc w:val="center"/>
              <w:rPr>
                <w:rFonts w:cs="Arial"/>
                <w:sz w:val="16"/>
                <w:szCs w:val="16"/>
              </w:rPr>
            </w:pPr>
            <w:r w:rsidRPr="00766E55">
              <w:rPr>
                <w:rFonts w:cs="Arial"/>
                <w:sz w:val="16"/>
                <w:szCs w:val="16"/>
              </w:rPr>
              <w:t>doktorský</w:t>
            </w:r>
          </w:p>
        </w:tc>
      </w:tr>
      <w:tr w:rsidR="00D3033B" w:rsidRPr="00766E55" w:rsidTr="00322C9B">
        <w:trPr>
          <w:trHeight w:val="343"/>
        </w:trPr>
        <w:tc>
          <w:tcPr>
            <w:tcW w:w="500"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center"/>
              <w:rPr>
                <w:rFonts w:cs="Arial"/>
                <w:sz w:val="16"/>
                <w:szCs w:val="16"/>
              </w:rPr>
            </w:pPr>
            <w:r w:rsidRPr="00766E55">
              <w:rPr>
                <w:rFonts w:cs="Arial"/>
                <w:sz w:val="16"/>
                <w:szCs w:val="16"/>
              </w:rPr>
              <w:t>2007</w:t>
            </w:r>
          </w:p>
        </w:tc>
        <w:tc>
          <w:tcPr>
            <w:tcW w:w="777"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sz w:val="16"/>
                <w:szCs w:val="16"/>
              </w:rPr>
            </w:pPr>
            <w:r w:rsidRPr="00766E55">
              <w:rPr>
                <w:rFonts w:cs="Arial"/>
                <w:sz w:val="16"/>
                <w:szCs w:val="16"/>
              </w:rPr>
              <w:t xml:space="preserve">343 942 </w:t>
            </w:r>
          </w:p>
        </w:tc>
        <w:tc>
          <w:tcPr>
            <w:tcW w:w="958"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207 803 </w:t>
            </w:r>
          </w:p>
        </w:tc>
        <w:tc>
          <w:tcPr>
            <w:tcW w:w="100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65 183 </w:t>
            </w:r>
          </w:p>
        </w:tc>
        <w:tc>
          <w:tcPr>
            <w:tcW w:w="99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51 461 </w:t>
            </w:r>
          </w:p>
        </w:tc>
        <w:tc>
          <w:tcPr>
            <w:tcW w:w="825"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23 962 </w:t>
            </w:r>
          </w:p>
        </w:tc>
        <w:tc>
          <w:tcPr>
            <w:tcW w:w="647"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sz w:val="16"/>
                <w:szCs w:val="16"/>
              </w:rPr>
            </w:pPr>
            <w:r w:rsidRPr="00766E55">
              <w:rPr>
                <w:rFonts w:cs="Arial"/>
                <w:sz w:val="16"/>
                <w:szCs w:val="16"/>
              </w:rPr>
              <w:t xml:space="preserve">63 793 </w:t>
            </w:r>
          </w:p>
        </w:tc>
        <w:tc>
          <w:tcPr>
            <w:tcW w:w="905"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32 974 </w:t>
            </w:r>
          </w:p>
        </w:tc>
        <w:tc>
          <w:tcPr>
            <w:tcW w:w="99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17 892 </w:t>
            </w:r>
          </w:p>
        </w:tc>
        <w:tc>
          <w:tcPr>
            <w:tcW w:w="99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10 765 </w:t>
            </w:r>
          </w:p>
        </w:tc>
        <w:tc>
          <w:tcPr>
            <w:tcW w:w="828" w:type="dxa"/>
            <w:gridSpan w:val="2"/>
            <w:tcBorders>
              <w:top w:val="nil"/>
              <w:left w:val="nil"/>
              <w:bottom w:val="nil"/>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2 267 </w:t>
            </w:r>
          </w:p>
        </w:tc>
      </w:tr>
      <w:tr w:rsidR="00D3033B" w:rsidRPr="00766E55" w:rsidTr="00322C9B">
        <w:trPr>
          <w:trHeight w:val="343"/>
        </w:trPr>
        <w:tc>
          <w:tcPr>
            <w:tcW w:w="500"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center"/>
              <w:rPr>
                <w:rFonts w:cs="Arial"/>
                <w:sz w:val="16"/>
                <w:szCs w:val="16"/>
              </w:rPr>
            </w:pPr>
            <w:r w:rsidRPr="00766E55">
              <w:rPr>
                <w:rFonts w:cs="Arial"/>
                <w:sz w:val="16"/>
                <w:szCs w:val="16"/>
              </w:rPr>
              <w:t>2008</w:t>
            </w:r>
          </w:p>
        </w:tc>
        <w:tc>
          <w:tcPr>
            <w:tcW w:w="777"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sz w:val="16"/>
                <w:szCs w:val="16"/>
              </w:rPr>
            </w:pPr>
            <w:r w:rsidRPr="00766E55">
              <w:rPr>
                <w:rFonts w:cs="Arial"/>
                <w:sz w:val="16"/>
                <w:szCs w:val="16"/>
              </w:rPr>
              <w:t xml:space="preserve">368 050 </w:t>
            </w:r>
          </w:p>
        </w:tc>
        <w:tc>
          <w:tcPr>
            <w:tcW w:w="958"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228 900 </w:t>
            </w:r>
          </w:p>
        </w:tc>
        <w:tc>
          <w:tcPr>
            <w:tcW w:w="100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53 359 </w:t>
            </w:r>
          </w:p>
        </w:tc>
        <w:tc>
          <w:tcPr>
            <w:tcW w:w="99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66 252 </w:t>
            </w:r>
          </w:p>
        </w:tc>
        <w:tc>
          <w:tcPr>
            <w:tcW w:w="825" w:type="dxa"/>
            <w:tcBorders>
              <w:top w:val="nil"/>
              <w:left w:val="single" w:sz="4" w:space="0" w:color="auto"/>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24 500 </w:t>
            </w:r>
          </w:p>
        </w:tc>
        <w:tc>
          <w:tcPr>
            <w:tcW w:w="647"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sz w:val="16"/>
                <w:szCs w:val="16"/>
              </w:rPr>
            </w:pPr>
            <w:r w:rsidRPr="00766E55">
              <w:rPr>
                <w:rFonts w:cs="Arial"/>
                <w:sz w:val="16"/>
                <w:szCs w:val="16"/>
              </w:rPr>
              <w:t xml:space="preserve">73 250 </w:t>
            </w:r>
          </w:p>
        </w:tc>
        <w:tc>
          <w:tcPr>
            <w:tcW w:w="905"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39 108 </w:t>
            </w:r>
          </w:p>
        </w:tc>
        <w:tc>
          <w:tcPr>
            <w:tcW w:w="99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15 761 </w:t>
            </w:r>
          </w:p>
        </w:tc>
        <w:tc>
          <w:tcPr>
            <w:tcW w:w="99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16 102 </w:t>
            </w:r>
          </w:p>
        </w:tc>
        <w:tc>
          <w:tcPr>
            <w:tcW w:w="828" w:type="dxa"/>
            <w:gridSpan w:val="2"/>
            <w:tcBorders>
              <w:top w:val="nil"/>
              <w:left w:val="single" w:sz="4" w:space="0" w:color="auto"/>
              <w:bottom w:val="nil"/>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2 378 </w:t>
            </w:r>
          </w:p>
        </w:tc>
      </w:tr>
      <w:tr w:rsidR="00D3033B" w:rsidRPr="00766E55" w:rsidTr="00322C9B">
        <w:trPr>
          <w:trHeight w:val="343"/>
        </w:trPr>
        <w:tc>
          <w:tcPr>
            <w:tcW w:w="500"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center"/>
              <w:rPr>
                <w:rFonts w:cs="Arial"/>
                <w:sz w:val="16"/>
                <w:szCs w:val="16"/>
              </w:rPr>
            </w:pPr>
            <w:r w:rsidRPr="00766E55">
              <w:rPr>
                <w:rFonts w:cs="Arial"/>
                <w:sz w:val="16"/>
                <w:szCs w:val="16"/>
              </w:rPr>
              <w:t>2009</w:t>
            </w:r>
          </w:p>
        </w:tc>
        <w:tc>
          <w:tcPr>
            <w:tcW w:w="777"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sz w:val="16"/>
                <w:szCs w:val="16"/>
              </w:rPr>
            </w:pPr>
            <w:r w:rsidRPr="00766E55">
              <w:rPr>
                <w:rFonts w:cs="Arial"/>
                <w:sz w:val="16"/>
                <w:szCs w:val="16"/>
              </w:rPr>
              <w:t xml:space="preserve">388 990 </w:t>
            </w:r>
          </w:p>
        </w:tc>
        <w:tc>
          <w:tcPr>
            <w:tcW w:w="958"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243 368 </w:t>
            </w:r>
          </w:p>
        </w:tc>
        <w:tc>
          <w:tcPr>
            <w:tcW w:w="100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46 074 </w:t>
            </w:r>
          </w:p>
        </w:tc>
        <w:tc>
          <w:tcPr>
            <w:tcW w:w="99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79 247 </w:t>
            </w:r>
          </w:p>
        </w:tc>
        <w:tc>
          <w:tcPr>
            <w:tcW w:w="825" w:type="dxa"/>
            <w:tcBorders>
              <w:top w:val="nil"/>
              <w:left w:val="single" w:sz="4" w:space="0" w:color="auto"/>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25 484 </w:t>
            </w:r>
          </w:p>
        </w:tc>
        <w:tc>
          <w:tcPr>
            <w:tcW w:w="647"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sz w:val="16"/>
                <w:szCs w:val="16"/>
              </w:rPr>
            </w:pPr>
            <w:r w:rsidRPr="00766E55">
              <w:rPr>
                <w:rFonts w:cs="Arial"/>
                <w:sz w:val="16"/>
                <w:szCs w:val="16"/>
              </w:rPr>
              <w:t xml:space="preserve">81 757 </w:t>
            </w:r>
          </w:p>
        </w:tc>
        <w:tc>
          <w:tcPr>
            <w:tcW w:w="905"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45 299 </w:t>
            </w:r>
          </w:p>
        </w:tc>
        <w:tc>
          <w:tcPr>
            <w:tcW w:w="99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11 712 </w:t>
            </w:r>
          </w:p>
        </w:tc>
        <w:tc>
          <w:tcPr>
            <w:tcW w:w="99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22 485 </w:t>
            </w:r>
          </w:p>
        </w:tc>
        <w:tc>
          <w:tcPr>
            <w:tcW w:w="828" w:type="dxa"/>
            <w:gridSpan w:val="2"/>
            <w:tcBorders>
              <w:top w:val="nil"/>
              <w:left w:val="single" w:sz="4" w:space="0" w:color="auto"/>
              <w:bottom w:val="nil"/>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2 375 </w:t>
            </w:r>
          </w:p>
        </w:tc>
      </w:tr>
      <w:tr w:rsidR="00D3033B" w:rsidRPr="00766E55" w:rsidTr="00322C9B">
        <w:trPr>
          <w:trHeight w:val="343"/>
        </w:trPr>
        <w:tc>
          <w:tcPr>
            <w:tcW w:w="500"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center"/>
              <w:rPr>
                <w:rFonts w:cs="Arial"/>
                <w:sz w:val="16"/>
                <w:szCs w:val="16"/>
              </w:rPr>
            </w:pPr>
            <w:r w:rsidRPr="00766E55">
              <w:rPr>
                <w:rFonts w:cs="Arial"/>
                <w:sz w:val="16"/>
                <w:szCs w:val="16"/>
              </w:rPr>
              <w:t>2010</w:t>
            </w:r>
          </w:p>
        </w:tc>
        <w:tc>
          <w:tcPr>
            <w:tcW w:w="777"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sz w:val="16"/>
                <w:szCs w:val="16"/>
              </w:rPr>
            </w:pPr>
            <w:r w:rsidRPr="00766E55">
              <w:rPr>
                <w:rFonts w:cs="Arial"/>
                <w:sz w:val="16"/>
                <w:szCs w:val="16"/>
              </w:rPr>
              <w:t xml:space="preserve">395 979 </w:t>
            </w:r>
          </w:p>
        </w:tc>
        <w:tc>
          <w:tcPr>
            <w:tcW w:w="958"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248 032 </w:t>
            </w:r>
          </w:p>
        </w:tc>
        <w:tc>
          <w:tcPr>
            <w:tcW w:w="100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40 735 </w:t>
            </w:r>
          </w:p>
        </w:tc>
        <w:tc>
          <w:tcPr>
            <w:tcW w:w="99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86 202 </w:t>
            </w:r>
          </w:p>
        </w:tc>
        <w:tc>
          <w:tcPr>
            <w:tcW w:w="825" w:type="dxa"/>
            <w:tcBorders>
              <w:top w:val="nil"/>
              <w:left w:val="single" w:sz="4" w:space="0" w:color="auto"/>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25 912 </w:t>
            </w:r>
          </w:p>
        </w:tc>
        <w:tc>
          <w:tcPr>
            <w:tcW w:w="647"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sz w:val="16"/>
                <w:szCs w:val="16"/>
              </w:rPr>
            </w:pPr>
            <w:r w:rsidRPr="00766E55">
              <w:rPr>
                <w:rFonts w:cs="Arial"/>
                <w:sz w:val="16"/>
                <w:szCs w:val="16"/>
              </w:rPr>
              <w:t xml:space="preserve">88 075 </w:t>
            </w:r>
          </w:p>
        </w:tc>
        <w:tc>
          <w:tcPr>
            <w:tcW w:w="905"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49 219 </w:t>
            </w:r>
          </w:p>
        </w:tc>
        <w:tc>
          <w:tcPr>
            <w:tcW w:w="99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9 671 </w:t>
            </w:r>
          </w:p>
        </w:tc>
        <w:tc>
          <w:tcPr>
            <w:tcW w:w="99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27 087 </w:t>
            </w:r>
          </w:p>
        </w:tc>
        <w:tc>
          <w:tcPr>
            <w:tcW w:w="828" w:type="dxa"/>
            <w:gridSpan w:val="2"/>
            <w:tcBorders>
              <w:top w:val="nil"/>
              <w:left w:val="single" w:sz="4" w:space="0" w:color="auto"/>
              <w:bottom w:val="nil"/>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2 222 </w:t>
            </w:r>
          </w:p>
        </w:tc>
      </w:tr>
      <w:tr w:rsidR="00D3033B" w:rsidRPr="00766E55" w:rsidTr="00322C9B">
        <w:trPr>
          <w:trHeight w:val="343"/>
        </w:trPr>
        <w:tc>
          <w:tcPr>
            <w:tcW w:w="500"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center"/>
              <w:rPr>
                <w:rFonts w:cs="Arial"/>
                <w:sz w:val="16"/>
                <w:szCs w:val="16"/>
              </w:rPr>
            </w:pPr>
            <w:r w:rsidRPr="00766E55">
              <w:rPr>
                <w:rFonts w:cs="Arial"/>
                <w:sz w:val="16"/>
                <w:szCs w:val="16"/>
              </w:rPr>
              <w:t>2011</w:t>
            </w:r>
          </w:p>
        </w:tc>
        <w:tc>
          <w:tcPr>
            <w:tcW w:w="777"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sz w:val="16"/>
                <w:szCs w:val="16"/>
              </w:rPr>
            </w:pPr>
            <w:r w:rsidRPr="00766E55">
              <w:rPr>
                <w:rFonts w:cs="Arial"/>
                <w:sz w:val="16"/>
                <w:szCs w:val="16"/>
              </w:rPr>
              <w:t xml:space="preserve">392 039 </w:t>
            </w:r>
          </w:p>
        </w:tc>
        <w:tc>
          <w:tcPr>
            <w:tcW w:w="958"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243 892 </w:t>
            </w:r>
          </w:p>
        </w:tc>
        <w:tc>
          <w:tcPr>
            <w:tcW w:w="100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37 484 </w:t>
            </w:r>
          </w:p>
        </w:tc>
        <w:tc>
          <w:tcPr>
            <w:tcW w:w="99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89 639 </w:t>
            </w:r>
          </w:p>
        </w:tc>
        <w:tc>
          <w:tcPr>
            <w:tcW w:w="825" w:type="dxa"/>
            <w:tcBorders>
              <w:top w:val="nil"/>
              <w:left w:val="single" w:sz="4" w:space="0" w:color="auto"/>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25 647 </w:t>
            </w:r>
          </w:p>
        </w:tc>
        <w:tc>
          <w:tcPr>
            <w:tcW w:w="647"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sz w:val="16"/>
                <w:szCs w:val="16"/>
              </w:rPr>
            </w:pPr>
            <w:r w:rsidRPr="00766E55">
              <w:rPr>
                <w:rFonts w:cs="Arial"/>
                <w:sz w:val="16"/>
                <w:szCs w:val="16"/>
              </w:rPr>
              <w:t xml:space="preserve">93 104 </w:t>
            </w:r>
          </w:p>
        </w:tc>
        <w:tc>
          <w:tcPr>
            <w:tcW w:w="905"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52 036 </w:t>
            </w:r>
          </w:p>
        </w:tc>
        <w:tc>
          <w:tcPr>
            <w:tcW w:w="99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8 112 </w:t>
            </w:r>
          </w:p>
        </w:tc>
        <w:tc>
          <w:tcPr>
            <w:tcW w:w="99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30 654 </w:t>
            </w:r>
          </w:p>
        </w:tc>
        <w:tc>
          <w:tcPr>
            <w:tcW w:w="828" w:type="dxa"/>
            <w:gridSpan w:val="2"/>
            <w:tcBorders>
              <w:top w:val="nil"/>
              <w:left w:val="single" w:sz="4" w:space="0" w:color="auto"/>
              <w:bottom w:val="nil"/>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2 439 </w:t>
            </w:r>
          </w:p>
        </w:tc>
      </w:tr>
      <w:tr w:rsidR="00D3033B" w:rsidRPr="00766E55" w:rsidTr="00322C9B">
        <w:trPr>
          <w:trHeight w:val="343"/>
        </w:trPr>
        <w:tc>
          <w:tcPr>
            <w:tcW w:w="500"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center"/>
              <w:rPr>
                <w:rFonts w:cs="Arial"/>
                <w:sz w:val="16"/>
                <w:szCs w:val="16"/>
              </w:rPr>
            </w:pPr>
            <w:r w:rsidRPr="00766E55">
              <w:rPr>
                <w:rFonts w:cs="Arial"/>
                <w:sz w:val="16"/>
                <w:szCs w:val="16"/>
              </w:rPr>
              <w:t>2012</w:t>
            </w:r>
          </w:p>
        </w:tc>
        <w:tc>
          <w:tcPr>
            <w:tcW w:w="777"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sz w:val="16"/>
                <w:szCs w:val="16"/>
              </w:rPr>
            </w:pPr>
            <w:r w:rsidRPr="00766E55">
              <w:rPr>
                <w:rFonts w:cs="Arial"/>
                <w:sz w:val="16"/>
                <w:szCs w:val="16"/>
              </w:rPr>
              <w:t xml:space="preserve">380 891 </w:t>
            </w:r>
          </w:p>
        </w:tc>
        <w:tc>
          <w:tcPr>
            <w:tcW w:w="958"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235 257 </w:t>
            </w:r>
          </w:p>
        </w:tc>
        <w:tc>
          <w:tcPr>
            <w:tcW w:w="100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34 494 </w:t>
            </w:r>
          </w:p>
        </w:tc>
        <w:tc>
          <w:tcPr>
            <w:tcW w:w="99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90 302 </w:t>
            </w:r>
          </w:p>
        </w:tc>
        <w:tc>
          <w:tcPr>
            <w:tcW w:w="825" w:type="dxa"/>
            <w:tcBorders>
              <w:top w:val="nil"/>
              <w:left w:val="single" w:sz="4" w:space="0" w:color="auto"/>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24 793 </w:t>
            </w:r>
          </w:p>
        </w:tc>
        <w:tc>
          <w:tcPr>
            <w:tcW w:w="647"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sz w:val="16"/>
                <w:szCs w:val="16"/>
              </w:rPr>
            </w:pPr>
            <w:r w:rsidRPr="00766E55">
              <w:rPr>
                <w:rFonts w:cs="Arial"/>
                <w:sz w:val="16"/>
                <w:szCs w:val="16"/>
              </w:rPr>
              <w:t xml:space="preserve">94 090 </w:t>
            </w:r>
          </w:p>
        </w:tc>
        <w:tc>
          <w:tcPr>
            <w:tcW w:w="905"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52 529 </w:t>
            </w:r>
          </w:p>
        </w:tc>
        <w:tc>
          <w:tcPr>
            <w:tcW w:w="99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7 166 </w:t>
            </w:r>
          </w:p>
        </w:tc>
        <w:tc>
          <w:tcPr>
            <w:tcW w:w="99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31 866 </w:t>
            </w:r>
          </w:p>
        </w:tc>
        <w:tc>
          <w:tcPr>
            <w:tcW w:w="828" w:type="dxa"/>
            <w:gridSpan w:val="2"/>
            <w:tcBorders>
              <w:top w:val="nil"/>
              <w:left w:val="single" w:sz="4" w:space="0" w:color="auto"/>
              <w:bottom w:val="nil"/>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2 663 </w:t>
            </w:r>
          </w:p>
        </w:tc>
      </w:tr>
      <w:tr w:rsidR="00D3033B" w:rsidRPr="00766E55" w:rsidTr="00322C9B">
        <w:trPr>
          <w:trHeight w:val="343"/>
        </w:trPr>
        <w:tc>
          <w:tcPr>
            <w:tcW w:w="500"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center"/>
              <w:rPr>
                <w:rFonts w:cs="Arial"/>
                <w:sz w:val="16"/>
                <w:szCs w:val="16"/>
              </w:rPr>
            </w:pPr>
            <w:r w:rsidRPr="00766E55">
              <w:rPr>
                <w:rFonts w:cs="Arial"/>
                <w:sz w:val="16"/>
                <w:szCs w:val="16"/>
              </w:rPr>
              <w:t>2013</w:t>
            </w:r>
          </w:p>
        </w:tc>
        <w:tc>
          <w:tcPr>
            <w:tcW w:w="777"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sz w:val="16"/>
                <w:szCs w:val="16"/>
              </w:rPr>
            </w:pPr>
            <w:r w:rsidRPr="00766E55">
              <w:rPr>
                <w:rFonts w:cs="Arial"/>
                <w:sz w:val="16"/>
                <w:szCs w:val="16"/>
              </w:rPr>
              <w:t xml:space="preserve">367 747 </w:t>
            </w:r>
          </w:p>
        </w:tc>
        <w:tc>
          <w:tcPr>
            <w:tcW w:w="958"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224 440 </w:t>
            </w:r>
          </w:p>
        </w:tc>
        <w:tc>
          <w:tcPr>
            <w:tcW w:w="100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33 189 </w:t>
            </w:r>
          </w:p>
        </w:tc>
        <w:tc>
          <w:tcPr>
            <w:tcW w:w="99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88 933 </w:t>
            </w:r>
          </w:p>
        </w:tc>
        <w:tc>
          <w:tcPr>
            <w:tcW w:w="825" w:type="dxa"/>
            <w:tcBorders>
              <w:top w:val="nil"/>
              <w:left w:val="single" w:sz="4" w:space="0" w:color="auto"/>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24 717 </w:t>
            </w:r>
          </w:p>
        </w:tc>
        <w:tc>
          <w:tcPr>
            <w:tcW w:w="647"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sz w:val="16"/>
                <w:szCs w:val="16"/>
              </w:rPr>
            </w:pPr>
            <w:r w:rsidRPr="00766E55">
              <w:rPr>
                <w:rFonts w:cs="Arial"/>
                <w:sz w:val="16"/>
                <w:szCs w:val="16"/>
              </w:rPr>
              <w:t xml:space="preserve">91 692 </w:t>
            </w:r>
          </w:p>
        </w:tc>
        <w:tc>
          <w:tcPr>
            <w:tcW w:w="905"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50 957 </w:t>
            </w:r>
          </w:p>
        </w:tc>
        <w:tc>
          <w:tcPr>
            <w:tcW w:w="99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5 743 </w:t>
            </w:r>
          </w:p>
        </w:tc>
        <w:tc>
          <w:tcPr>
            <w:tcW w:w="99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32 733 </w:t>
            </w:r>
          </w:p>
        </w:tc>
        <w:tc>
          <w:tcPr>
            <w:tcW w:w="828" w:type="dxa"/>
            <w:gridSpan w:val="2"/>
            <w:tcBorders>
              <w:top w:val="nil"/>
              <w:left w:val="single" w:sz="4" w:space="0" w:color="auto"/>
              <w:bottom w:val="nil"/>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2 405 </w:t>
            </w:r>
          </w:p>
        </w:tc>
      </w:tr>
      <w:tr w:rsidR="00D3033B" w:rsidRPr="00766E55" w:rsidTr="00322C9B">
        <w:trPr>
          <w:trHeight w:val="343"/>
        </w:trPr>
        <w:tc>
          <w:tcPr>
            <w:tcW w:w="500"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center"/>
              <w:rPr>
                <w:rFonts w:cs="Arial"/>
                <w:sz w:val="16"/>
                <w:szCs w:val="16"/>
              </w:rPr>
            </w:pPr>
            <w:r w:rsidRPr="00766E55">
              <w:rPr>
                <w:rFonts w:cs="Arial"/>
                <w:sz w:val="16"/>
                <w:szCs w:val="16"/>
              </w:rPr>
              <w:t>2014</w:t>
            </w:r>
          </w:p>
        </w:tc>
        <w:tc>
          <w:tcPr>
            <w:tcW w:w="777"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sz w:val="16"/>
                <w:szCs w:val="16"/>
              </w:rPr>
            </w:pPr>
            <w:r w:rsidRPr="00766E55">
              <w:rPr>
                <w:rFonts w:cs="Arial"/>
                <w:sz w:val="16"/>
                <w:szCs w:val="16"/>
              </w:rPr>
              <w:t xml:space="preserve">346 893 </w:t>
            </w:r>
          </w:p>
        </w:tc>
        <w:tc>
          <w:tcPr>
            <w:tcW w:w="958"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207 247 </w:t>
            </w:r>
          </w:p>
        </w:tc>
        <w:tc>
          <w:tcPr>
            <w:tcW w:w="100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32 565 </w:t>
            </w:r>
          </w:p>
        </w:tc>
        <w:tc>
          <w:tcPr>
            <w:tcW w:w="99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86 098 </w:t>
            </w:r>
          </w:p>
        </w:tc>
        <w:tc>
          <w:tcPr>
            <w:tcW w:w="825" w:type="dxa"/>
            <w:tcBorders>
              <w:top w:val="nil"/>
              <w:left w:val="single" w:sz="4" w:space="0" w:color="auto"/>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24 205 </w:t>
            </w:r>
          </w:p>
        </w:tc>
        <w:tc>
          <w:tcPr>
            <w:tcW w:w="647"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sz w:val="16"/>
                <w:szCs w:val="16"/>
              </w:rPr>
            </w:pPr>
            <w:r w:rsidRPr="00766E55">
              <w:rPr>
                <w:rFonts w:cs="Arial"/>
                <w:sz w:val="16"/>
                <w:szCs w:val="16"/>
              </w:rPr>
              <w:t xml:space="preserve">88 187 </w:t>
            </w:r>
          </w:p>
        </w:tc>
        <w:tc>
          <w:tcPr>
            <w:tcW w:w="905"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48 265 </w:t>
            </w:r>
          </w:p>
        </w:tc>
        <w:tc>
          <w:tcPr>
            <w:tcW w:w="99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5 371 </w:t>
            </w:r>
          </w:p>
        </w:tc>
        <w:tc>
          <w:tcPr>
            <w:tcW w:w="99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32 181 </w:t>
            </w:r>
          </w:p>
        </w:tc>
        <w:tc>
          <w:tcPr>
            <w:tcW w:w="828" w:type="dxa"/>
            <w:gridSpan w:val="2"/>
            <w:tcBorders>
              <w:top w:val="nil"/>
              <w:left w:val="single" w:sz="4" w:space="0" w:color="auto"/>
              <w:bottom w:val="nil"/>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2 467 </w:t>
            </w:r>
          </w:p>
        </w:tc>
      </w:tr>
      <w:tr w:rsidR="00D3033B" w:rsidRPr="00766E55" w:rsidTr="00322C9B">
        <w:trPr>
          <w:trHeight w:val="343"/>
        </w:trPr>
        <w:tc>
          <w:tcPr>
            <w:tcW w:w="500"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center"/>
              <w:rPr>
                <w:rFonts w:cs="Arial"/>
                <w:sz w:val="16"/>
                <w:szCs w:val="16"/>
              </w:rPr>
            </w:pPr>
            <w:r w:rsidRPr="00766E55">
              <w:rPr>
                <w:rFonts w:cs="Arial"/>
                <w:sz w:val="16"/>
                <w:szCs w:val="16"/>
              </w:rPr>
              <w:t>2015</w:t>
            </w:r>
          </w:p>
        </w:tc>
        <w:tc>
          <w:tcPr>
            <w:tcW w:w="777"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sz w:val="16"/>
                <w:szCs w:val="16"/>
              </w:rPr>
            </w:pPr>
            <w:r w:rsidRPr="00766E55">
              <w:rPr>
                <w:rFonts w:cs="Arial"/>
                <w:sz w:val="16"/>
                <w:szCs w:val="16"/>
              </w:rPr>
              <w:t xml:space="preserve">326 528 </w:t>
            </w:r>
          </w:p>
        </w:tc>
        <w:tc>
          <w:tcPr>
            <w:tcW w:w="958"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192 382 </w:t>
            </w:r>
          </w:p>
        </w:tc>
        <w:tc>
          <w:tcPr>
            <w:tcW w:w="100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31 768 </w:t>
            </w:r>
          </w:p>
        </w:tc>
        <w:tc>
          <w:tcPr>
            <w:tcW w:w="99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81 353 </w:t>
            </w:r>
          </w:p>
        </w:tc>
        <w:tc>
          <w:tcPr>
            <w:tcW w:w="825" w:type="dxa"/>
            <w:tcBorders>
              <w:top w:val="nil"/>
              <w:left w:val="single" w:sz="4" w:space="0" w:color="auto"/>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23 861 </w:t>
            </w:r>
          </w:p>
        </w:tc>
        <w:tc>
          <w:tcPr>
            <w:tcW w:w="647"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sz w:val="16"/>
                <w:szCs w:val="16"/>
              </w:rPr>
            </w:pPr>
            <w:r w:rsidRPr="00766E55">
              <w:rPr>
                <w:rFonts w:cs="Arial"/>
                <w:sz w:val="16"/>
                <w:szCs w:val="16"/>
              </w:rPr>
              <w:t xml:space="preserve">82 037 </w:t>
            </w:r>
          </w:p>
        </w:tc>
        <w:tc>
          <w:tcPr>
            <w:tcW w:w="905" w:type="dxa"/>
            <w:tcBorders>
              <w:top w:val="nil"/>
              <w:left w:val="single" w:sz="4" w:space="0" w:color="auto"/>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43 562 </w:t>
            </w:r>
          </w:p>
        </w:tc>
        <w:tc>
          <w:tcPr>
            <w:tcW w:w="99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5 001 </w:t>
            </w:r>
          </w:p>
        </w:tc>
        <w:tc>
          <w:tcPr>
            <w:tcW w:w="99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31 155 </w:t>
            </w:r>
          </w:p>
        </w:tc>
        <w:tc>
          <w:tcPr>
            <w:tcW w:w="828" w:type="dxa"/>
            <w:gridSpan w:val="2"/>
            <w:tcBorders>
              <w:top w:val="nil"/>
              <w:left w:val="nil"/>
              <w:bottom w:val="nil"/>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2 410 </w:t>
            </w:r>
          </w:p>
        </w:tc>
      </w:tr>
      <w:tr w:rsidR="00D3033B" w:rsidRPr="00766E55" w:rsidTr="00322C9B">
        <w:trPr>
          <w:trHeight w:val="343"/>
        </w:trPr>
        <w:tc>
          <w:tcPr>
            <w:tcW w:w="500"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center"/>
              <w:rPr>
                <w:rFonts w:cs="Arial"/>
                <w:sz w:val="16"/>
                <w:szCs w:val="16"/>
              </w:rPr>
            </w:pPr>
            <w:r w:rsidRPr="00766E55">
              <w:rPr>
                <w:rFonts w:cs="Arial"/>
                <w:sz w:val="16"/>
                <w:szCs w:val="16"/>
              </w:rPr>
              <w:t>2016</w:t>
            </w:r>
          </w:p>
        </w:tc>
        <w:tc>
          <w:tcPr>
            <w:tcW w:w="777"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sz w:val="16"/>
                <w:szCs w:val="16"/>
              </w:rPr>
            </w:pPr>
            <w:r w:rsidRPr="00766E55">
              <w:rPr>
                <w:rFonts w:cs="Arial"/>
                <w:sz w:val="16"/>
                <w:szCs w:val="16"/>
              </w:rPr>
              <w:t xml:space="preserve">311 168 </w:t>
            </w:r>
          </w:p>
        </w:tc>
        <w:tc>
          <w:tcPr>
            <w:tcW w:w="958"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179 873 </w:t>
            </w:r>
          </w:p>
        </w:tc>
        <w:tc>
          <w:tcPr>
            <w:tcW w:w="100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31 211 </w:t>
            </w:r>
          </w:p>
        </w:tc>
        <w:tc>
          <w:tcPr>
            <w:tcW w:w="99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79 569 </w:t>
            </w:r>
          </w:p>
        </w:tc>
        <w:tc>
          <w:tcPr>
            <w:tcW w:w="825" w:type="dxa"/>
            <w:tcBorders>
              <w:top w:val="nil"/>
              <w:left w:val="single" w:sz="4" w:space="0" w:color="auto"/>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23 180 </w:t>
            </w:r>
          </w:p>
        </w:tc>
        <w:tc>
          <w:tcPr>
            <w:tcW w:w="647"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sz w:val="16"/>
                <w:szCs w:val="16"/>
              </w:rPr>
            </w:pPr>
            <w:r w:rsidRPr="00766E55">
              <w:rPr>
                <w:rFonts w:cs="Arial"/>
                <w:sz w:val="16"/>
                <w:szCs w:val="16"/>
              </w:rPr>
              <w:t xml:space="preserve">77 382 </w:t>
            </w:r>
          </w:p>
        </w:tc>
        <w:tc>
          <w:tcPr>
            <w:tcW w:w="905" w:type="dxa"/>
            <w:tcBorders>
              <w:top w:val="nil"/>
              <w:left w:val="single" w:sz="4" w:space="0" w:color="auto"/>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41 076 </w:t>
            </w:r>
          </w:p>
        </w:tc>
        <w:tc>
          <w:tcPr>
            <w:tcW w:w="99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4 899 </w:t>
            </w:r>
          </w:p>
        </w:tc>
        <w:tc>
          <w:tcPr>
            <w:tcW w:w="99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29 155 </w:t>
            </w:r>
          </w:p>
        </w:tc>
        <w:tc>
          <w:tcPr>
            <w:tcW w:w="828" w:type="dxa"/>
            <w:gridSpan w:val="2"/>
            <w:tcBorders>
              <w:top w:val="nil"/>
              <w:left w:val="nil"/>
              <w:bottom w:val="nil"/>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2 343 </w:t>
            </w:r>
          </w:p>
        </w:tc>
      </w:tr>
      <w:tr w:rsidR="00D3033B" w:rsidRPr="00766E55" w:rsidTr="00322C9B">
        <w:trPr>
          <w:trHeight w:val="343"/>
        </w:trPr>
        <w:tc>
          <w:tcPr>
            <w:tcW w:w="500"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center"/>
              <w:rPr>
                <w:rFonts w:cs="Arial"/>
                <w:sz w:val="16"/>
                <w:szCs w:val="16"/>
              </w:rPr>
            </w:pPr>
            <w:r w:rsidRPr="00766E55">
              <w:rPr>
                <w:rFonts w:cs="Arial"/>
                <w:sz w:val="16"/>
                <w:szCs w:val="16"/>
              </w:rPr>
              <w:t>2017</w:t>
            </w:r>
          </w:p>
        </w:tc>
        <w:tc>
          <w:tcPr>
            <w:tcW w:w="777"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sz w:val="16"/>
                <w:szCs w:val="16"/>
              </w:rPr>
            </w:pPr>
            <w:r w:rsidRPr="00766E55">
              <w:rPr>
                <w:rFonts w:cs="Arial"/>
                <w:sz w:val="16"/>
                <w:szCs w:val="16"/>
              </w:rPr>
              <w:t xml:space="preserve">299 054 </w:t>
            </w:r>
          </w:p>
        </w:tc>
        <w:tc>
          <w:tcPr>
            <w:tcW w:w="958"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172 365 </w:t>
            </w:r>
          </w:p>
        </w:tc>
        <w:tc>
          <w:tcPr>
            <w:tcW w:w="100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30 821 </w:t>
            </w:r>
          </w:p>
        </w:tc>
        <w:tc>
          <w:tcPr>
            <w:tcW w:w="99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76 001 </w:t>
            </w:r>
          </w:p>
        </w:tc>
        <w:tc>
          <w:tcPr>
            <w:tcW w:w="825" w:type="dxa"/>
            <w:tcBorders>
              <w:top w:val="nil"/>
              <w:left w:val="single" w:sz="4" w:space="0" w:color="auto"/>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22 192 </w:t>
            </w:r>
          </w:p>
        </w:tc>
        <w:tc>
          <w:tcPr>
            <w:tcW w:w="647"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sz w:val="16"/>
                <w:szCs w:val="16"/>
              </w:rPr>
            </w:pPr>
            <w:r w:rsidRPr="00766E55">
              <w:rPr>
                <w:rFonts w:cs="Arial"/>
                <w:sz w:val="16"/>
                <w:szCs w:val="16"/>
              </w:rPr>
              <w:t xml:space="preserve">72 057 </w:t>
            </w:r>
          </w:p>
        </w:tc>
        <w:tc>
          <w:tcPr>
            <w:tcW w:w="905" w:type="dxa"/>
            <w:tcBorders>
              <w:top w:val="nil"/>
              <w:left w:val="single" w:sz="4" w:space="0" w:color="auto"/>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37 118 </w:t>
            </w:r>
          </w:p>
        </w:tc>
        <w:tc>
          <w:tcPr>
            <w:tcW w:w="99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4 741 </w:t>
            </w:r>
          </w:p>
        </w:tc>
        <w:tc>
          <w:tcPr>
            <w:tcW w:w="994" w:type="dxa"/>
            <w:tcBorders>
              <w:top w:val="nil"/>
              <w:left w:val="nil"/>
              <w:bottom w:val="nil"/>
              <w:right w:val="single" w:sz="4" w:space="0" w:color="auto"/>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27 883 </w:t>
            </w:r>
          </w:p>
        </w:tc>
        <w:tc>
          <w:tcPr>
            <w:tcW w:w="828" w:type="dxa"/>
            <w:gridSpan w:val="2"/>
            <w:tcBorders>
              <w:top w:val="nil"/>
              <w:left w:val="nil"/>
              <w:bottom w:val="nil"/>
            </w:tcBorders>
            <w:shd w:val="clear" w:color="000000" w:fill="FFFFFF"/>
            <w:noWrap/>
            <w:vAlign w:val="center"/>
            <w:hideMark/>
          </w:tcPr>
          <w:p w:rsidR="00D3033B" w:rsidRPr="00766E55" w:rsidRDefault="00D3033B" w:rsidP="00D3033B">
            <w:pPr>
              <w:spacing w:after="0" w:line="240" w:lineRule="auto"/>
              <w:jc w:val="right"/>
              <w:rPr>
                <w:rFonts w:cs="Arial"/>
                <w:color w:val="000000"/>
                <w:sz w:val="16"/>
                <w:szCs w:val="16"/>
              </w:rPr>
            </w:pPr>
            <w:r w:rsidRPr="00766E55">
              <w:rPr>
                <w:rFonts w:cs="Arial"/>
                <w:color w:val="000000"/>
                <w:sz w:val="16"/>
                <w:szCs w:val="16"/>
              </w:rPr>
              <w:t xml:space="preserve">2 383 </w:t>
            </w:r>
          </w:p>
        </w:tc>
      </w:tr>
    </w:tbl>
    <w:p w:rsidR="008D3EB6" w:rsidRDefault="00322C9B" w:rsidP="00850FC9">
      <w:pPr>
        <w:spacing w:line="276" w:lineRule="auto"/>
        <w:rPr>
          <w:rFonts w:cs="Arial"/>
          <w:sz w:val="16"/>
          <w:szCs w:val="16"/>
        </w:rPr>
      </w:pPr>
      <w:r w:rsidRPr="000D42DF">
        <w:rPr>
          <w:rFonts w:cs="Arial"/>
          <w:sz w:val="16"/>
          <w:szCs w:val="16"/>
        </w:rPr>
        <w:t>Zdroj: MŠMT</w:t>
      </w:r>
    </w:p>
    <w:p w:rsidR="00D3033B" w:rsidRPr="00766E55" w:rsidRDefault="00D3033B" w:rsidP="00A365B0">
      <w:pPr>
        <w:pStyle w:val="Nadpis2"/>
      </w:pPr>
      <w:bookmarkStart w:id="55" w:name="_Toc523408623"/>
      <w:bookmarkStart w:id="56" w:name="_Toc523466208"/>
      <w:r w:rsidRPr="00766E55">
        <w:t>4.1 Studijn</w:t>
      </w:r>
      <w:r>
        <w:t>í</w:t>
      </w:r>
      <w:r w:rsidRPr="00766E55">
        <w:t xml:space="preserve"> programy</w:t>
      </w:r>
      <w:bookmarkEnd w:id="55"/>
      <w:bookmarkEnd w:id="56"/>
    </w:p>
    <w:p w:rsidR="008D3EB6" w:rsidRDefault="00D3033B" w:rsidP="00D3033B">
      <w:pPr>
        <w:spacing w:line="276" w:lineRule="auto"/>
        <w:jc w:val="both"/>
        <w:rPr>
          <w:rFonts w:cs="Arial"/>
          <w:szCs w:val="20"/>
        </w:rPr>
      </w:pPr>
      <w:r w:rsidRPr="00E0397D">
        <w:rPr>
          <w:rFonts w:cs="Arial"/>
          <w:szCs w:val="20"/>
        </w:rPr>
        <w:t xml:space="preserve"> Mezi studenty dlouhodobě převažuje zájem o studijní programy z kategorie </w:t>
      </w:r>
      <w:r w:rsidRPr="00E0397D">
        <w:rPr>
          <w:rFonts w:cs="Arial"/>
          <w:i/>
          <w:szCs w:val="20"/>
        </w:rPr>
        <w:t>Obchod, administrativa a právo</w:t>
      </w:r>
      <w:r w:rsidRPr="00E0397D">
        <w:rPr>
          <w:rFonts w:cs="Arial"/>
          <w:szCs w:val="20"/>
        </w:rPr>
        <w:t xml:space="preserve"> (20,2 % všech vysokoškolských studentů), </w:t>
      </w:r>
      <w:r w:rsidR="00322C9B">
        <w:rPr>
          <w:rFonts w:cs="Arial"/>
          <w:szCs w:val="20"/>
        </w:rPr>
        <w:t xml:space="preserve">z nichž nejvíce studuje </w:t>
      </w:r>
      <w:r w:rsidR="00322C9B" w:rsidRPr="00322C9B">
        <w:rPr>
          <w:rFonts w:cs="Arial"/>
          <w:i/>
          <w:szCs w:val="20"/>
        </w:rPr>
        <w:t>Management</w:t>
      </w:r>
      <w:r w:rsidRPr="00322C9B">
        <w:rPr>
          <w:rFonts w:cs="Arial"/>
          <w:i/>
          <w:szCs w:val="20"/>
        </w:rPr>
        <w:t xml:space="preserve"> </w:t>
      </w:r>
      <w:r w:rsidRPr="00105418">
        <w:rPr>
          <w:rFonts w:cs="Arial"/>
          <w:i/>
          <w:szCs w:val="20"/>
        </w:rPr>
        <w:t>a správ</w:t>
      </w:r>
      <w:r>
        <w:rPr>
          <w:rFonts w:cs="Arial"/>
          <w:i/>
          <w:szCs w:val="20"/>
        </w:rPr>
        <w:t>u</w:t>
      </w:r>
      <w:r w:rsidRPr="00E0397D">
        <w:rPr>
          <w:rFonts w:cs="Arial"/>
          <w:szCs w:val="20"/>
        </w:rPr>
        <w:t xml:space="preserve"> (</w:t>
      </w:r>
      <w:r>
        <w:rPr>
          <w:rFonts w:cs="Arial"/>
          <w:szCs w:val="20"/>
        </w:rPr>
        <w:t>téměř 20 tis.</w:t>
      </w:r>
      <w:r w:rsidRPr="00E0397D">
        <w:rPr>
          <w:rFonts w:cs="Arial"/>
          <w:szCs w:val="20"/>
        </w:rPr>
        <w:t xml:space="preserve"> studentů). </w:t>
      </w:r>
      <w:r>
        <w:rPr>
          <w:rFonts w:cs="Arial"/>
          <w:szCs w:val="20"/>
        </w:rPr>
        <w:t>Zároveň však t</w:t>
      </w:r>
      <w:r w:rsidRPr="00E0397D">
        <w:rPr>
          <w:rFonts w:cs="Arial"/>
          <w:szCs w:val="20"/>
        </w:rPr>
        <w:t xml:space="preserve">yto programy od roku 2010 </w:t>
      </w:r>
      <w:r w:rsidR="00322C9B" w:rsidRPr="00E0397D">
        <w:rPr>
          <w:rFonts w:cs="Arial"/>
          <w:szCs w:val="20"/>
        </w:rPr>
        <w:t xml:space="preserve">zaznamenávají </w:t>
      </w:r>
      <w:r w:rsidR="00322C9B">
        <w:rPr>
          <w:rFonts w:cs="Arial"/>
          <w:szCs w:val="20"/>
        </w:rPr>
        <w:t>jeden</w:t>
      </w:r>
      <w:r>
        <w:rPr>
          <w:rFonts w:cs="Arial"/>
          <w:szCs w:val="20"/>
        </w:rPr>
        <w:t xml:space="preserve"> z </w:t>
      </w:r>
      <w:r w:rsidRPr="00E0397D">
        <w:rPr>
          <w:rFonts w:cs="Arial"/>
          <w:szCs w:val="20"/>
        </w:rPr>
        <w:t>nejvyšší</w:t>
      </w:r>
      <w:r>
        <w:rPr>
          <w:rFonts w:cs="Arial"/>
          <w:szCs w:val="20"/>
        </w:rPr>
        <w:t>ch</w:t>
      </w:r>
      <w:r w:rsidRPr="00E0397D">
        <w:rPr>
          <w:rFonts w:cs="Arial"/>
          <w:szCs w:val="20"/>
        </w:rPr>
        <w:t xml:space="preserve"> pokles</w:t>
      </w:r>
      <w:r>
        <w:rPr>
          <w:rFonts w:cs="Arial"/>
          <w:szCs w:val="20"/>
        </w:rPr>
        <w:t>ů</w:t>
      </w:r>
      <w:r w:rsidRPr="00E0397D">
        <w:rPr>
          <w:rFonts w:cs="Arial"/>
          <w:szCs w:val="20"/>
        </w:rPr>
        <w:t xml:space="preserve"> studujících, kterých za posledních 7 let ubylo o </w:t>
      </w:r>
      <w:r>
        <w:rPr>
          <w:rFonts w:cs="Arial"/>
          <w:szCs w:val="20"/>
        </w:rPr>
        <w:t>téměř třetinu (-32 %). Oblíbené</w:t>
      </w:r>
      <w:r w:rsidRPr="00E0397D">
        <w:rPr>
          <w:rFonts w:cs="Arial"/>
          <w:szCs w:val="20"/>
        </w:rPr>
        <w:t xml:space="preserve"> mezi vysokoškoláky jsou také technické programy, resp. </w:t>
      </w:r>
      <w:r w:rsidRPr="00E0397D">
        <w:rPr>
          <w:rFonts w:cs="Arial"/>
          <w:i/>
          <w:szCs w:val="20"/>
        </w:rPr>
        <w:t>Technika, výroba a stavebnictví</w:t>
      </w:r>
      <w:r w:rsidRPr="00E0397D">
        <w:rPr>
          <w:rFonts w:cs="Arial"/>
          <w:szCs w:val="20"/>
        </w:rPr>
        <w:t>, které navštěvuje 16,1 % studujících, ovšem i tyto se v posledních letech potýkají s úbytkem studentů, který odpovídá celkovému úbytku vysokoškoláků. Za posledních 7 let jich ubylo téměř 17 tisíc (-26 %). Výrazně k</w:t>
      </w:r>
      <w:r>
        <w:rPr>
          <w:rFonts w:cs="Arial"/>
          <w:szCs w:val="20"/>
        </w:rPr>
        <w:t xml:space="preserve">lesá počet studentů oboru </w:t>
      </w:r>
      <w:r w:rsidRPr="00E0397D">
        <w:rPr>
          <w:rFonts w:cs="Arial"/>
          <w:i/>
          <w:szCs w:val="20"/>
        </w:rPr>
        <w:t>Vzdělávání a výchov</w:t>
      </w:r>
      <w:r>
        <w:rPr>
          <w:rFonts w:cs="Arial"/>
          <w:i/>
          <w:szCs w:val="20"/>
        </w:rPr>
        <w:t>a</w:t>
      </w:r>
      <w:r w:rsidRPr="00E0397D">
        <w:rPr>
          <w:rFonts w:cs="Arial"/>
          <w:szCs w:val="20"/>
        </w:rPr>
        <w:t>, kterých je od roku 2010 méně o celých 33 % a nyní tvoří jednu desetinu studentů. Stejný podíl na celku vysokoškolských studentů, tedy 10</w:t>
      </w:r>
      <w:r>
        <w:rPr>
          <w:rFonts w:cs="Arial"/>
          <w:szCs w:val="20"/>
        </w:rPr>
        <w:t> </w:t>
      </w:r>
      <w:r w:rsidRPr="00E0397D">
        <w:rPr>
          <w:rFonts w:cs="Arial"/>
          <w:szCs w:val="20"/>
        </w:rPr>
        <w:t xml:space="preserve">%, tvoří studenti </w:t>
      </w:r>
      <w:r w:rsidRPr="00E0397D">
        <w:rPr>
          <w:rFonts w:cs="Arial"/>
          <w:i/>
          <w:szCs w:val="20"/>
        </w:rPr>
        <w:t>Společenských věd, žurnalistiky a informačních věd</w:t>
      </w:r>
      <w:r w:rsidRPr="00E0397D">
        <w:rPr>
          <w:rFonts w:cs="Arial"/>
          <w:szCs w:val="20"/>
        </w:rPr>
        <w:t xml:space="preserve"> a studenti </w:t>
      </w:r>
      <w:r w:rsidRPr="00E0397D">
        <w:rPr>
          <w:rFonts w:cs="Arial"/>
          <w:i/>
          <w:szCs w:val="20"/>
        </w:rPr>
        <w:t>Humanitních věd a umění</w:t>
      </w:r>
      <w:r w:rsidRPr="00E0397D">
        <w:rPr>
          <w:rFonts w:cs="Arial"/>
          <w:szCs w:val="20"/>
        </w:rPr>
        <w:t>. Prvně jmenovaných ubylo v daném období téměř o  jednu třetinu. Pokles počtu studentů v druhé jmenované kategorii je způsoben zejména úbytkem studentů humanitních věd (s výjimkou jazyků), kterých je méně o jednu pětinu, zatímco počet studentů uměleckých oborů či jazyků zůstává stabilnější.</w:t>
      </w:r>
    </w:p>
    <w:p w:rsidR="00D3033B" w:rsidRPr="00766E55" w:rsidRDefault="008D3EB6" w:rsidP="00D3033B">
      <w:pPr>
        <w:spacing w:line="276" w:lineRule="auto"/>
        <w:jc w:val="both"/>
        <w:rPr>
          <w:rFonts w:cs="Arial"/>
          <w:b/>
          <w:szCs w:val="20"/>
        </w:rPr>
      </w:pPr>
      <w:r>
        <w:rPr>
          <w:rFonts w:cs="Arial"/>
          <w:szCs w:val="20"/>
        </w:rPr>
        <w:br w:type="page"/>
      </w:r>
      <w:r w:rsidR="004377B2">
        <w:rPr>
          <w:rFonts w:cs="Arial"/>
          <w:b/>
          <w:szCs w:val="20"/>
        </w:rPr>
        <w:lastRenderedPageBreak/>
        <w:t>Graf 35</w:t>
      </w:r>
      <w:r w:rsidR="00D3033B">
        <w:rPr>
          <w:rFonts w:cs="Arial"/>
          <w:b/>
          <w:szCs w:val="20"/>
        </w:rPr>
        <w:t>:</w:t>
      </w:r>
      <w:r w:rsidR="00D3033B" w:rsidRPr="00766E55">
        <w:rPr>
          <w:rFonts w:cs="Arial"/>
          <w:b/>
          <w:szCs w:val="20"/>
        </w:rPr>
        <w:t xml:space="preserve"> Studenti studijn</w:t>
      </w:r>
      <w:r w:rsidR="00D3033B">
        <w:rPr>
          <w:rFonts w:cs="Arial"/>
          <w:b/>
          <w:szCs w:val="20"/>
        </w:rPr>
        <w:t>í</w:t>
      </w:r>
      <w:r w:rsidR="00D3033B" w:rsidRPr="00766E55">
        <w:rPr>
          <w:rFonts w:cs="Arial"/>
          <w:b/>
          <w:szCs w:val="20"/>
        </w:rPr>
        <w:t xml:space="preserve">ch programů vysokých škol </w:t>
      </w:r>
      <w:r w:rsidR="00D3033B">
        <w:rPr>
          <w:rFonts w:cs="Arial"/>
          <w:b/>
          <w:szCs w:val="20"/>
        </w:rPr>
        <w:t xml:space="preserve">v ČR </w:t>
      </w:r>
      <w:r w:rsidR="00D3033B" w:rsidRPr="00766E55">
        <w:rPr>
          <w:rFonts w:cs="Arial"/>
          <w:b/>
          <w:szCs w:val="20"/>
        </w:rPr>
        <w:t>v roce 2017 dle pohlaví</w:t>
      </w:r>
    </w:p>
    <w:p w:rsidR="008D3EB6" w:rsidRDefault="001C064A" w:rsidP="008D3EB6">
      <w:pPr>
        <w:spacing w:after="0" w:line="276" w:lineRule="auto"/>
        <w:jc w:val="both"/>
        <w:rPr>
          <w:rFonts w:cs="Arial"/>
          <w:sz w:val="16"/>
          <w:szCs w:val="16"/>
        </w:rPr>
      </w:pPr>
      <w:r>
        <w:rPr>
          <w:rFonts w:cs="Arial"/>
          <w:noProof/>
          <w:sz w:val="16"/>
          <w:szCs w:val="16"/>
        </w:rPr>
        <w:drawing>
          <wp:inline distT="0" distB="0" distL="0" distR="0" wp14:anchorId="0A8AD50E">
            <wp:extent cx="5980430" cy="2974975"/>
            <wp:effectExtent l="0" t="0" r="1270" b="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80430" cy="2974975"/>
                    </a:xfrm>
                    <a:prstGeom prst="rect">
                      <a:avLst/>
                    </a:prstGeom>
                    <a:noFill/>
                  </pic:spPr>
                </pic:pic>
              </a:graphicData>
            </a:graphic>
          </wp:inline>
        </w:drawing>
      </w:r>
    </w:p>
    <w:p w:rsidR="00D3033B" w:rsidRPr="00955616" w:rsidRDefault="00D3033B" w:rsidP="00D3033B">
      <w:pPr>
        <w:spacing w:line="276" w:lineRule="auto"/>
        <w:jc w:val="both"/>
        <w:rPr>
          <w:rFonts w:cs="Arial"/>
          <w:sz w:val="16"/>
          <w:szCs w:val="16"/>
        </w:rPr>
      </w:pPr>
      <w:r w:rsidRPr="00955616">
        <w:rPr>
          <w:rFonts w:cs="Arial"/>
          <w:sz w:val="16"/>
          <w:szCs w:val="16"/>
        </w:rPr>
        <w:t>Zdroj: MŠMT</w:t>
      </w:r>
    </w:p>
    <w:p w:rsidR="00D3033B" w:rsidRDefault="00D3033B" w:rsidP="00D3033B">
      <w:pPr>
        <w:spacing w:line="276" w:lineRule="auto"/>
        <w:jc w:val="both"/>
        <w:rPr>
          <w:rFonts w:cs="Arial"/>
          <w:szCs w:val="20"/>
        </w:rPr>
      </w:pPr>
      <w:r w:rsidRPr="00E0397D">
        <w:rPr>
          <w:rFonts w:cs="Arial"/>
          <w:szCs w:val="20"/>
        </w:rPr>
        <w:t>Velmi dobře se n</w:t>
      </w:r>
      <w:r w:rsidR="00322C9B">
        <w:rPr>
          <w:rFonts w:cs="Arial"/>
          <w:szCs w:val="20"/>
        </w:rPr>
        <w:t>aopak daří studijní</w:t>
      </w:r>
      <w:r>
        <w:rPr>
          <w:rFonts w:cs="Arial"/>
          <w:szCs w:val="20"/>
        </w:rPr>
        <w:t xml:space="preserve">m programům </w:t>
      </w:r>
      <w:r w:rsidRPr="00B224E2">
        <w:rPr>
          <w:rFonts w:cs="Arial"/>
          <w:i/>
          <w:szCs w:val="20"/>
        </w:rPr>
        <w:t>Zdravotní péče</w:t>
      </w:r>
      <w:r w:rsidRPr="00E0397D">
        <w:rPr>
          <w:rFonts w:cs="Arial"/>
          <w:szCs w:val="20"/>
        </w:rPr>
        <w:t xml:space="preserve">, ve </w:t>
      </w:r>
      <w:proofErr w:type="gramStart"/>
      <w:r w:rsidRPr="00E0397D">
        <w:rPr>
          <w:rFonts w:cs="Arial"/>
          <w:szCs w:val="20"/>
        </w:rPr>
        <w:t>kterém</w:t>
      </w:r>
      <w:proofErr w:type="gramEnd"/>
      <w:r w:rsidRPr="00E0397D">
        <w:rPr>
          <w:rFonts w:cs="Arial"/>
          <w:szCs w:val="20"/>
        </w:rPr>
        <w:t xml:space="preserve"> za sledované období studentů nejen že neubylo, ale dokonce </w:t>
      </w:r>
      <w:r>
        <w:rPr>
          <w:rFonts w:cs="Arial"/>
          <w:szCs w:val="20"/>
        </w:rPr>
        <w:t xml:space="preserve">5 tis. </w:t>
      </w:r>
      <w:r w:rsidRPr="00E0397D">
        <w:rPr>
          <w:rFonts w:cs="Arial"/>
          <w:szCs w:val="20"/>
        </w:rPr>
        <w:t>přibylo. Studenti zdravotní péče, tj. zejména lékařství, ale také např.</w:t>
      </w:r>
      <w:r>
        <w:rPr>
          <w:rFonts w:cs="Arial"/>
          <w:szCs w:val="20"/>
        </w:rPr>
        <w:t> </w:t>
      </w:r>
      <w:r w:rsidRPr="00E0397D">
        <w:rPr>
          <w:rFonts w:cs="Arial"/>
          <w:szCs w:val="20"/>
        </w:rPr>
        <w:t>ošetřovatelství či farmacie tvoří dohromady 11,</w:t>
      </w:r>
      <w:r>
        <w:rPr>
          <w:rFonts w:cs="Arial"/>
          <w:szCs w:val="20"/>
        </w:rPr>
        <w:t xml:space="preserve">9 % vysokoškoláků. Ve stejné </w:t>
      </w:r>
      <w:r w:rsidRPr="00E0397D">
        <w:rPr>
          <w:rFonts w:cs="Arial"/>
          <w:szCs w:val="20"/>
        </w:rPr>
        <w:t>kategorii společně s</w:t>
      </w:r>
      <w:r>
        <w:rPr>
          <w:rFonts w:cs="Arial"/>
          <w:szCs w:val="20"/>
        </w:rPr>
        <w:t xml:space="preserve">e zdravotnictvím jsou studenti </w:t>
      </w:r>
      <w:r w:rsidRPr="00B224E2">
        <w:rPr>
          <w:rFonts w:cs="Arial"/>
          <w:i/>
          <w:szCs w:val="20"/>
        </w:rPr>
        <w:t>Sociální péče a péče o příznivé životní podmínky</w:t>
      </w:r>
      <w:r w:rsidRPr="00E0397D">
        <w:rPr>
          <w:rFonts w:cs="Arial"/>
          <w:szCs w:val="20"/>
        </w:rPr>
        <w:t>, kterých naopak v posledních 7 letech výrazně ubylo (-</w:t>
      </w:r>
      <w:r w:rsidR="00322C9B" w:rsidRPr="00E0397D">
        <w:rPr>
          <w:rFonts w:cs="Arial"/>
          <w:szCs w:val="20"/>
        </w:rPr>
        <w:t xml:space="preserve">30 %) </w:t>
      </w:r>
      <w:r w:rsidR="00322C9B">
        <w:rPr>
          <w:rFonts w:cs="Arial"/>
          <w:szCs w:val="20"/>
        </w:rPr>
        <w:t>a tvoří</w:t>
      </w:r>
      <w:r w:rsidRPr="00E0397D">
        <w:rPr>
          <w:rFonts w:cs="Arial"/>
          <w:szCs w:val="20"/>
        </w:rPr>
        <w:t xml:space="preserve"> </w:t>
      </w:r>
      <w:r w:rsidR="00322C9B">
        <w:rPr>
          <w:rFonts w:cs="Arial"/>
          <w:szCs w:val="20"/>
        </w:rPr>
        <w:t xml:space="preserve">tak </w:t>
      </w:r>
      <w:r w:rsidR="00322C9B" w:rsidRPr="00E0397D">
        <w:rPr>
          <w:rFonts w:cs="Arial"/>
          <w:szCs w:val="20"/>
        </w:rPr>
        <w:t>pouze</w:t>
      </w:r>
      <w:r w:rsidRPr="00E0397D">
        <w:rPr>
          <w:rFonts w:cs="Arial"/>
          <w:szCs w:val="20"/>
        </w:rPr>
        <w:t xml:space="preserve"> 1,5 % vysokoškolskýc</w:t>
      </w:r>
      <w:r>
        <w:rPr>
          <w:rFonts w:cs="Arial"/>
          <w:szCs w:val="20"/>
        </w:rPr>
        <w:t xml:space="preserve">h studentů. </w:t>
      </w:r>
    </w:p>
    <w:p w:rsidR="00D3033B" w:rsidRDefault="00D3033B" w:rsidP="00D3033B">
      <w:pPr>
        <w:spacing w:line="276" w:lineRule="auto"/>
        <w:jc w:val="both"/>
        <w:rPr>
          <w:rFonts w:cs="Arial"/>
          <w:szCs w:val="20"/>
        </w:rPr>
      </w:pPr>
      <w:r>
        <w:rPr>
          <w:rFonts w:cs="Arial"/>
          <w:szCs w:val="20"/>
        </w:rPr>
        <w:t xml:space="preserve">Relativně stabilní </w:t>
      </w:r>
      <w:r w:rsidRPr="00E0397D">
        <w:rPr>
          <w:rFonts w:cs="Arial"/>
          <w:szCs w:val="20"/>
        </w:rPr>
        <w:t xml:space="preserve">je kategorie oborů </w:t>
      </w:r>
      <w:r w:rsidRPr="00E0397D">
        <w:rPr>
          <w:rFonts w:cs="Arial"/>
          <w:i/>
          <w:szCs w:val="20"/>
        </w:rPr>
        <w:t>Přírodních věd, matematiky a statistiky</w:t>
      </w:r>
      <w:r w:rsidRPr="00E0397D">
        <w:rPr>
          <w:rFonts w:cs="Arial"/>
          <w:szCs w:val="20"/>
        </w:rPr>
        <w:t xml:space="preserve">, která zahrnuje 6,3 % studentů. I v rámci ní jsou však významné rozdíly </w:t>
      </w:r>
      <w:r>
        <w:rPr>
          <w:rFonts w:cs="Arial"/>
          <w:szCs w:val="20"/>
        </w:rPr>
        <w:t>–</w:t>
      </w:r>
      <w:r w:rsidRPr="00E0397D">
        <w:rPr>
          <w:rFonts w:cs="Arial"/>
          <w:szCs w:val="20"/>
        </w:rPr>
        <w:t xml:space="preserve"> zatímco studentů biologie a příbuzných věd od roku 2010 přibývá, studentů věd o neživé přírodě a životním prostředí ubylo o 24 % a statistiků a matematiků dokonce o 27 %. Počet posledně jmenovaných je však tradičně velmi nízký, tvoří pouze kolem 0,5 % všech studentů a změny jsou tak více patrné. V čase relativně stabilní, pouze s mírným úbytkem, zůstává i počet studentů </w:t>
      </w:r>
      <w:r w:rsidRPr="00E0397D">
        <w:rPr>
          <w:rFonts w:cs="Arial"/>
          <w:i/>
          <w:szCs w:val="20"/>
        </w:rPr>
        <w:t>Informačních a komunikačních technologií</w:t>
      </w:r>
      <w:r w:rsidRPr="00E0397D">
        <w:rPr>
          <w:rFonts w:cs="Arial"/>
          <w:szCs w:val="20"/>
        </w:rPr>
        <w:t xml:space="preserve"> (6,7 % studentů), </w:t>
      </w:r>
      <w:r w:rsidRPr="00E0397D">
        <w:rPr>
          <w:rFonts w:cs="Arial"/>
          <w:i/>
          <w:szCs w:val="20"/>
        </w:rPr>
        <w:t xml:space="preserve">Zemědělství, lesnictví, rybářství a veterinářství </w:t>
      </w:r>
      <w:r w:rsidRPr="00E0397D">
        <w:rPr>
          <w:rFonts w:cs="Arial"/>
          <w:szCs w:val="20"/>
        </w:rPr>
        <w:t xml:space="preserve">(4 %) a </w:t>
      </w:r>
      <w:r w:rsidRPr="00E0397D">
        <w:rPr>
          <w:rFonts w:cs="Arial"/>
          <w:i/>
          <w:szCs w:val="20"/>
        </w:rPr>
        <w:t>Služeb</w:t>
      </w:r>
      <w:r w:rsidRPr="00E0397D">
        <w:rPr>
          <w:rFonts w:cs="Arial"/>
          <w:szCs w:val="20"/>
        </w:rPr>
        <w:t xml:space="preserve"> (5,6 %). </w:t>
      </w:r>
    </w:p>
    <w:p w:rsidR="00D3033B" w:rsidRPr="00766E55" w:rsidRDefault="00D3033B" w:rsidP="00A365B0">
      <w:pPr>
        <w:pStyle w:val="Nadpis2"/>
      </w:pPr>
      <w:bookmarkStart w:id="57" w:name="_Toc523408624"/>
      <w:bookmarkStart w:id="58" w:name="_Toc523466209"/>
      <w:r w:rsidRPr="00766E55">
        <w:t>4.2 Studenti vysokých škol v ČR s cizím státním občanstvím</w:t>
      </w:r>
      <w:bookmarkEnd w:id="57"/>
      <w:bookmarkEnd w:id="58"/>
    </w:p>
    <w:p w:rsidR="00850FC9" w:rsidRDefault="00D3033B" w:rsidP="00D3033B">
      <w:pPr>
        <w:spacing w:line="276" w:lineRule="auto"/>
        <w:jc w:val="both"/>
        <w:rPr>
          <w:rFonts w:cs="Arial"/>
          <w:szCs w:val="20"/>
        </w:rPr>
      </w:pPr>
      <w:r w:rsidRPr="008C5FE4">
        <w:rPr>
          <w:rFonts w:cs="Arial"/>
          <w:szCs w:val="20"/>
        </w:rPr>
        <w:t>Mimo studentů s českým státním občanstvím studuje na vysokých školách v ČR také řada cizinců – v roce 2017 jich bylo téměř 44 tis., což představuje 14,7 % všech vysokoškoláků. I přes zmíněný celkový úbytek vysokoškolských studentů počet studujících cizinců u nás kontinuálně roste a za posledních 10 let se zvýšil 1,</w:t>
      </w:r>
      <w:r>
        <w:rPr>
          <w:rFonts w:cs="Arial"/>
          <w:szCs w:val="20"/>
        </w:rPr>
        <w:t>6</w:t>
      </w:r>
      <w:r w:rsidRPr="008C5FE4">
        <w:rPr>
          <w:rFonts w:cs="Arial"/>
          <w:szCs w:val="20"/>
        </w:rPr>
        <w:t xml:space="preserve">násobně. Stejně jako pro české, jsou i pro studenty s cizím státním občanstvím nejatraktivnější obory spadající do kategorie </w:t>
      </w:r>
      <w:r w:rsidRPr="008C5FE4">
        <w:rPr>
          <w:rFonts w:cs="Arial"/>
          <w:i/>
          <w:szCs w:val="20"/>
        </w:rPr>
        <w:t>Obchod, administrativa a právo</w:t>
      </w:r>
      <w:r w:rsidRPr="008C5FE4">
        <w:rPr>
          <w:rFonts w:cs="Arial"/>
          <w:szCs w:val="20"/>
        </w:rPr>
        <w:t xml:space="preserve">, které studuje pětina z nich (9 043). Velmi atraktivními obory jsou pro ně však také </w:t>
      </w:r>
      <w:r w:rsidRPr="008C5FE4">
        <w:rPr>
          <w:rFonts w:cs="Arial"/>
          <w:i/>
          <w:szCs w:val="20"/>
        </w:rPr>
        <w:t>Zdravotní péče</w:t>
      </w:r>
      <w:r w:rsidRPr="008C5FE4">
        <w:rPr>
          <w:rFonts w:cs="Arial"/>
          <w:szCs w:val="20"/>
        </w:rPr>
        <w:t xml:space="preserve"> (18,3 % studentů</w:t>
      </w:r>
      <w:r>
        <w:rPr>
          <w:rFonts w:cs="Arial"/>
          <w:szCs w:val="20"/>
        </w:rPr>
        <w:t xml:space="preserve"> cizinců</w:t>
      </w:r>
      <w:r w:rsidRPr="008C5FE4">
        <w:rPr>
          <w:rFonts w:cs="Arial"/>
          <w:szCs w:val="20"/>
        </w:rPr>
        <w:t xml:space="preserve">), </w:t>
      </w:r>
      <w:r w:rsidRPr="008C5FE4">
        <w:rPr>
          <w:rFonts w:cs="Arial"/>
          <w:i/>
          <w:szCs w:val="20"/>
        </w:rPr>
        <w:t>Technika, výroba a stavebnictví</w:t>
      </w:r>
      <w:r w:rsidRPr="008C5FE4">
        <w:rPr>
          <w:rFonts w:cs="Arial"/>
          <w:szCs w:val="20"/>
        </w:rPr>
        <w:t xml:space="preserve"> (14,5 %) a </w:t>
      </w:r>
      <w:r w:rsidRPr="008C5FE4">
        <w:rPr>
          <w:rFonts w:cs="Arial"/>
          <w:i/>
          <w:szCs w:val="20"/>
        </w:rPr>
        <w:t>Informační a komunikační technologie</w:t>
      </w:r>
      <w:r w:rsidRPr="008C5FE4">
        <w:rPr>
          <w:rFonts w:cs="Arial"/>
          <w:szCs w:val="20"/>
        </w:rPr>
        <w:t xml:space="preserve"> (11,1 %). Ve zdravotnických a ICT oborech je cizincem dokonce přibližně každý čtvrtý student. Studenty s cizím státním občanstvím naopak příliš nelákají obory </w:t>
      </w:r>
      <w:r w:rsidRPr="008C5FE4">
        <w:rPr>
          <w:rFonts w:cs="Arial"/>
          <w:i/>
          <w:szCs w:val="20"/>
        </w:rPr>
        <w:t>Vzdělávání a výchovy</w:t>
      </w:r>
      <w:r w:rsidRPr="008C5FE4">
        <w:rPr>
          <w:rFonts w:cs="Arial"/>
          <w:szCs w:val="20"/>
        </w:rPr>
        <w:t>, které v roce 2017 navštěvovalo pouze 790, tj. 1,8 % z celkového počtu stud</w:t>
      </w:r>
      <w:r>
        <w:rPr>
          <w:rFonts w:cs="Arial"/>
          <w:szCs w:val="20"/>
        </w:rPr>
        <w:t>ujících</w:t>
      </w:r>
      <w:r w:rsidRPr="008C5FE4">
        <w:rPr>
          <w:rFonts w:cs="Arial"/>
          <w:szCs w:val="20"/>
        </w:rPr>
        <w:t xml:space="preserve"> cizinců. </w:t>
      </w:r>
    </w:p>
    <w:p w:rsidR="00D3033B" w:rsidRDefault="00850FC9" w:rsidP="00322C9B">
      <w:pPr>
        <w:spacing w:line="276" w:lineRule="auto"/>
        <w:jc w:val="both"/>
        <w:rPr>
          <w:rFonts w:cs="Arial"/>
          <w:szCs w:val="20"/>
        </w:rPr>
      </w:pPr>
      <w:r>
        <w:rPr>
          <w:rFonts w:cs="Arial"/>
          <w:szCs w:val="20"/>
        </w:rPr>
        <w:br w:type="page"/>
      </w:r>
      <w:r w:rsidR="00D3033B" w:rsidRPr="00766E55">
        <w:rPr>
          <w:rFonts w:cs="Arial"/>
          <w:b/>
          <w:szCs w:val="20"/>
        </w:rPr>
        <w:lastRenderedPageBreak/>
        <w:t xml:space="preserve">Graf </w:t>
      </w:r>
      <w:r w:rsidR="004377B2">
        <w:rPr>
          <w:rFonts w:cs="Arial"/>
          <w:b/>
          <w:szCs w:val="20"/>
        </w:rPr>
        <w:t>36</w:t>
      </w:r>
      <w:r w:rsidR="00D3033B">
        <w:rPr>
          <w:rFonts w:cs="Arial"/>
          <w:b/>
          <w:szCs w:val="20"/>
        </w:rPr>
        <w:t>:</w:t>
      </w:r>
      <w:r w:rsidR="00D3033B" w:rsidRPr="00766E55">
        <w:rPr>
          <w:rFonts w:cs="Arial"/>
          <w:b/>
          <w:szCs w:val="20"/>
        </w:rPr>
        <w:t xml:space="preserve"> Počet studentů na veřejných </w:t>
      </w:r>
      <w:r w:rsidR="00D3033B">
        <w:rPr>
          <w:rFonts w:cs="Arial"/>
          <w:b/>
          <w:szCs w:val="20"/>
        </w:rPr>
        <w:t>a soukromých vysokých školách v ČR v letech 2007 až 2017</w:t>
      </w:r>
    </w:p>
    <w:p w:rsidR="00D3033B" w:rsidRDefault="001C064A" w:rsidP="00850FC9">
      <w:pPr>
        <w:spacing w:after="0" w:line="276" w:lineRule="auto"/>
        <w:jc w:val="center"/>
        <w:rPr>
          <w:rFonts w:cs="Arial"/>
          <w:szCs w:val="20"/>
        </w:rPr>
      </w:pPr>
      <w:bookmarkStart w:id="59" w:name="_GoBack"/>
      <w:bookmarkEnd w:id="59"/>
      <w:r>
        <w:rPr>
          <w:rFonts w:cs="Arial"/>
          <w:noProof/>
          <w:szCs w:val="20"/>
        </w:rPr>
        <w:drawing>
          <wp:inline distT="0" distB="0" distL="0" distR="0" wp14:anchorId="3DCCAF20">
            <wp:extent cx="4639310" cy="2627630"/>
            <wp:effectExtent l="0" t="0" r="8890" b="1270"/>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39310" cy="2627630"/>
                    </a:xfrm>
                    <a:prstGeom prst="rect">
                      <a:avLst/>
                    </a:prstGeom>
                    <a:noFill/>
                  </pic:spPr>
                </pic:pic>
              </a:graphicData>
            </a:graphic>
          </wp:inline>
        </w:drawing>
      </w:r>
    </w:p>
    <w:p w:rsidR="00D3033B" w:rsidRPr="00955616" w:rsidRDefault="00D3033B" w:rsidP="00D3033B">
      <w:pPr>
        <w:spacing w:line="276" w:lineRule="auto"/>
        <w:rPr>
          <w:rFonts w:cs="Arial"/>
          <w:sz w:val="16"/>
          <w:szCs w:val="16"/>
        </w:rPr>
      </w:pPr>
      <w:r w:rsidRPr="00955616">
        <w:rPr>
          <w:rFonts w:cs="Arial"/>
          <w:sz w:val="16"/>
          <w:szCs w:val="16"/>
        </w:rPr>
        <w:t>Zdroj: MŠMT</w:t>
      </w:r>
    </w:p>
    <w:p w:rsidR="00D3033B" w:rsidRPr="00766E55" w:rsidRDefault="00D3033B" w:rsidP="00A365B0">
      <w:pPr>
        <w:pStyle w:val="Nadpis2"/>
      </w:pPr>
      <w:bookmarkStart w:id="60" w:name="_Toc523408625"/>
      <w:bookmarkStart w:id="61" w:name="_Toc523466210"/>
      <w:r w:rsidRPr="00766E55">
        <w:t xml:space="preserve">4.3 </w:t>
      </w:r>
      <w:r>
        <w:t>Studenti doktorského studia</w:t>
      </w:r>
      <w:bookmarkEnd w:id="60"/>
      <w:bookmarkEnd w:id="61"/>
    </w:p>
    <w:p w:rsidR="00D3033B" w:rsidRDefault="00D3033B" w:rsidP="00D3033B">
      <w:pPr>
        <w:spacing w:line="276" w:lineRule="auto"/>
        <w:jc w:val="both"/>
        <w:rPr>
          <w:rFonts w:cs="Arial"/>
          <w:szCs w:val="20"/>
        </w:rPr>
      </w:pPr>
      <w:r>
        <w:rPr>
          <w:rFonts w:cs="Arial"/>
          <w:szCs w:val="20"/>
        </w:rPr>
        <w:t>V roce 2017</w:t>
      </w:r>
      <w:r w:rsidRPr="00B91CFE">
        <w:rPr>
          <w:rFonts w:cs="Arial"/>
          <w:szCs w:val="20"/>
        </w:rPr>
        <w:t xml:space="preserve"> činili</w:t>
      </w:r>
      <w:r>
        <w:rPr>
          <w:rFonts w:cs="Arial"/>
          <w:szCs w:val="20"/>
        </w:rPr>
        <w:t xml:space="preserve"> studenti doktorského studia 7,4 </w:t>
      </w:r>
      <w:r w:rsidRPr="00B91CFE">
        <w:rPr>
          <w:rFonts w:cs="Arial"/>
          <w:szCs w:val="20"/>
        </w:rPr>
        <w:t xml:space="preserve">% z celkového počtu studentů </w:t>
      </w:r>
      <w:r>
        <w:rPr>
          <w:rFonts w:cs="Arial"/>
          <w:szCs w:val="20"/>
        </w:rPr>
        <w:t>na</w:t>
      </w:r>
      <w:r w:rsidRPr="00B91CFE">
        <w:rPr>
          <w:rFonts w:cs="Arial"/>
          <w:szCs w:val="20"/>
        </w:rPr>
        <w:t xml:space="preserve"> veřejných a soukromých vysokých školách. Za posledních 10 let se jejich počet </w:t>
      </w:r>
      <w:r>
        <w:rPr>
          <w:rFonts w:cs="Arial"/>
          <w:szCs w:val="20"/>
        </w:rPr>
        <w:t>snížil, ale ne tak výrazně, jako u ostatních typů vysokoškolského studia.  Zatímco v roce 2007</w:t>
      </w:r>
      <w:r w:rsidRPr="00B91CFE">
        <w:rPr>
          <w:rFonts w:cs="Arial"/>
          <w:szCs w:val="20"/>
        </w:rPr>
        <w:t xml:space="preserve"> st</w:t>
      </w:r>
      <w:r>
        <w:rPr>
          <w:rFonts w:cs="Arial"/>
          <w:szCs w:val="20"/>
        </w:rPr>
        <w:t>udovalo doktorské studium téměř 24 tis.</w:t>
      </w:r>
      <w:r w:rsidRPr="00B91CFE">
        <w:rPr>
          <w:rFonts w:cs="Arial"/>
          <w:szCs w:val="20"/>
        </w:rPr>
        <w:t xml:space="preserve"> doktorandů</w:t>
      </w:r>
      <w:r>
        <w:rPr>
          <w:rFonts w:cs="Arial"/>
          <w:szCs w:val="20"/>
        </w:rPr>
        <w:t xml:space="preserve"> a o 10 let později, v roce 2017, jich bylo o 1,8 tis.</w:t>
      </w:r>
      <w:r w:rsidRPr="00B91CFE">
        <w:rPr>
          <w:rFonts w:cs="Arial"/>
          <w:szCs w:val="20"/>
        </w:rPr>
        <w:t xml:space="preserve"> méně. Počet studentů v doktorském studiu byl </w:t>
      </w:r>
      <w:r>
        <w:rPr>
          <w:rFonts w:cs="Arial"/>
          <w:szCs w:val="20"/>
        </w:rPr>
        <w:t> </w:t>
      </w:r>
      <w:r w:rsidRPr="00B91CFE">
        <w:rPr>
          <w:rFonts w:cs="Arial"/>
          <w:szCs w:val="20"/>
        </w:rPr>
        <w:t>nejvyšší</w:t>
      </w:r>
      <w:r>
        <w:rPr>
          <w:rFonts w:cs="Arial"/>
          <w:szCs w:val="20"/>
        </w:rPr>
        <w:t xml:space="preserve"> v</w:t>
      </w:r>
      <w:r w:rsidRPr="00B91CFE">
        <w:rPr>
          <w:rFonts w:cs="Arial"/>
          <w:szCs w:val="20"/>
        </w:rPr>
        <w:t xml:space="preserve"> roce 20</w:t>
      </w:r>
      <w:r>
        <w:rPr>
          <w:rFonts w:cs="Arial"/>
          <w:szCs w:val="20"/>
        </w:rPr>
        <w:t>10 a vyšplhal se téměř na 26 tisíc</w:t>
      </w:r>
      <w:r w:rsidRPr="00B91CFE">
        <w:rPr>
          <w:rFonts w:cs="Arial"/>
          <w:szCs w:val="20"/>
        </w:rPr>
        <w:t xml:space="preserve"> studentů. Od té doby jejich počet klesl </w:t>
      </w:r>
      <w:r>
        <w:rPr>
          <w:rFonts w:cs="Arial"/>
          <w:szCs w:val="20"/>
        </w:rPr>
        <w:t>o 14</w:t>
      </w:r>
      <w:r w:rsidRPr="00B91CFE">
        <w:rPr>
          <w:rFonts w:cs="Arial"/>
          <w:szCs w:val="20"/>
        </w:rPr>
        <w:t xml:space="preserve"> %. </w:t>
      </w:r>
      <w:r>
        <w:rPr>
          <w:rFonts w:cs="Arial"/>
          <w:szCs w:val="20"/>
        </w:rPr>
        <w:t>Doktorské studium navštěvuje více</w:t>
      </w:r>
      <w:r w:rsidRPr="00B91CFE">
        <w:rPr>
          <w:rFonts w:cs="Arial"/>
          <w:szCs w:val="20"/>
        </w:rPr>
        <w:t xml:space="preserve"> mužů</w:t>
      </w:r>
      <w:r>
        <w:rPr>
          <w:rFonts w:cs="Arial"/>
          <w:szCs w:val="20"/>
        </w:rPr>
        <w:t xml:space="preserve"> (55 %)</w:t>
      </w:r>
      <w:r w:rsidRPr="00B91CFE">
        <w:rPr>
          <w:rFonts w:cs="Arial"/>
          <w:szCs w:val="20"/>
        </w:rPr>
        <w:t xml:space="preserve"> než žen</w:t>
      </w:r>
      <w:r>
        <w:rPr>
          <w:rFonts w:cs="Arial"/>
          <w:szCs w:val="20"/>
        </w:rPr>
        <w:t xml:space="preserve"> (45 %). V roce 2017</w:t>
      </w:r>
      <w:r w:rsidRPr="00B91CFE">
        <w:rPr>
          <w:rFonts w:cs="Arial"/>
          <w:szCs w:val="20"/>
        </w:rPr>
        <w:t xml:space="preserve"> </w:t>
      </w:r>
      <w:r>
        <w:rPr>
          <w:rFonts w:cs="Arial"/>
          <w:szCs w:val="20"/>
        </w:rPr>
        <w:t xml:space="preserve">absolvovalo </w:t>
      </w:r>
      <w:r w:rsidRPr="00B91CFE">
        <w:rPr>
          <w:rFonts w:cs="Arial"/>
          <w:szCs w:val="20"/>
        </w:rPr>
        <w:t>dok</w:t>
      </w:r>
      <w:r w:rsidR="00EF63D9">
        <w:rPr>
          <w:rFonts w:cs="Arial"/>
          <w:szCs w:val="20"/>
        </w:rPr>
        <w:t xml:space="preserve">torské studium </w:t>
      </w:r>
      <w:r>
        <w:rPr>
          <w:rFonts w:cs="Arial"/>
          <w:szCs w:val="20"/>
        </w:rPr>
        <w:t>2,4 tis.</w:t>
      </w:r>
      <w:r w:rsidRPr="00B91CFE">
        <w:rPr>
          <w:rFonts w:cs="Arial"/>
          <w:szCs w:val="20"/>
        </w:rPr>
        <w:t xml:space="preserve"> studen</w:t>
      </w:r>
      <w:r>
        <w:rPr>
          <w:rFonts w:cs="Arial"/>
          <w:szCs w:val="20"/>
        </w:rPr>
        <w:t>tů.</w:t>
      </w:r>
    </w:p>
    <w:p w:rsidR="00D3033B" w:rsidRDefault="00D3033B" w:rsidP="00D3033B">
      <w:pPr>
        <w:spacing w:line="276" w:lineRule="auto"/>
        <w:jc w:val="both"/>
        <w:rPr>
          <w:rFonts w:cs="Arial"/>
          <w:szCs w:val="20"/>
        </w:rPr>
      </w:pPr>
      <w:r w:rsidRPr="00815C70">
        <w:rPr>
          <w:rFonts w:cs="Arial"/>
          <w:noProof/>
          <w:szCs w:val="20"/>
        </w:rPr>
        <w:drawing>
          <wp:inline distT="0" distB="0" distL="0" distR="0" wp14:anchorId="0625B352" wp14:editId="6F5CFC52">
            <wp:extent cx="5745645" cy="1995777"/>
            <wp:effectExtent l="0" t="0" r="26670" b="5080"/>
            <wp:docPr id="5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D3033B" w:rsidRPr="00B91CFE" w:rsidRDefault="00D3033B" w:rsidP="00D3033B">
      <w:pPr>
        <w:spacing w:line="276" w:lineRule="auto"/>
        <w:jc w:val="both"/>
        <w:rPr>
          <w:rFonts w:cs="Arial"/>
          <w:szCs w:val="20"/>
        </w:rPr>
      </w:pPr>
      <w:r>
        <w:rPr>
          <w:rFonts w:cs="Arial"/>
          <w:szCs w:val="20"/>
        </w:rPr>
        <w:t>M</w:t>
      </w:r>
      <w:r w:rsidRPr="00B91CFE">
        <w:rPr>
          <w:rFonts w:cs="Arial"/>
          <w:szCs w:val="20"/>
        </w:rPr>
        <w:t>ezi studenty doktorského studia dlouhodobě převažuje zájem o studijní programy z kategorie</w:t>
      </w:r>
      <w:r>
        <w:rPr>
          <w:rFonts w:cs="Arial"/>
          <w:szCs w:val="20"/>
        </w:rPr>
        <w:t xml:space="preserve"> </w:t>
      </w:r>
      <w:r w:rsidRPr="00B46D74">
        <w:rPr>
          <w:rFonts w:cs="Arial"/>
          <w:i/>
          <w:szCs w:val="20"/>
        </w:rPr>
        <w:t>Přírodní vědy, matematika a statistika</w:t>
      </w:r>
      <w:r>
        <w:rPr>
          <w:rFonts w:cs="Arial"/>
          <w:szCs w:val="20"/>
        </w:rPr>
        <w:t xml:space="preserve"> (4,3 tis. doktorandů v roce 2017) a </w:t>
      </w:r>
      <w:r w:rsidRPr="00B46D74">
        <w:rPr>
          <w:rFonts w:cs="Arial"/>
          <w:i/>
          <w:szCs w:val="20"/>
        </w:rPr>
        <w:t>Technika, výroba a stavebnictví</w:t>
      </w:r>
      <w:r>
        <w:rPr>
          <w:rFonts w:cs="Arial"/>
          <w:szCs w:val="20"/>
        </w:rPr>
        <w:t xml:space="preserve"> (5,3 tis. studentů v roce 2017). V prvním ze zmíněných</w:t>
      </w:r>
      <w:r w:rsidRPr="00B91CFE">
        <w:rPr>
          <w:rFonts w:cs="Arial"/>
          <w:szCs w:val="20"/>
        </w:rPr>
        <w:t xml:space="preserve"> oborů je počet mužů a žen téměř stejný, zatímco v technických oborech převažují muži (7</w:t>
      </w:r>
      <w:r>
        <w:rPr>
          <w:rFonts w:cs="Arial"/>
          <w:szCs w:val="20"/>
        </w:rPr>
        <w:t xml:space="preserve">1,8 </w:t>
      </w:r>
      <w:r w:rsidRPr="00B91CFE">
        <w:rPr>
          <w:rFonts w:cs="Arial"/>
          <w:szCs w:val="20"/>
        </w:rPr>
        <w:t xml:space="preserve">%). Z nabídky oborů </w:t>
      </w:r>
      <w:r>
        <w:rPr>
          <w:rFonts w:cs="Arial"/>
          <w:szCs w:val="20"/>
        </w:rPr>
        <w:t>technických věd bylo v roce 2017</w:t>
      </w:r>
      <w:r w:rsidRPr="00B91CFE">
        <w:rPr>
          <w:rFonts w:cs="Arial"/>
          <w:szCs w:val="20"/>
        </w:rPr>
        <w:t xml:space="preserve"> pro doktorandy nejpopulárnější </w:t>
      </w:r>
      <w:r>
        <w:rPr>
          <w:rFonts w:cs="Arial"/>
          <w:i/>
          <w:szCs w:val="20"/>
        </w:rPr>
        <w:t>I</w:t>
      </w:r>
      <w:r w:rsidRPr="00B46D74">
        <w:rPr>
          <w:rFonts w:cs="Arial"/>
          <w:i/>
          <w:szCs w:val="20"/>
        </w:rPr>
        <w:t>nženýrství a strojírenství</w:t>
      </w:r>
      <w:r>
        <w:rPr>
          <w:rFonts w:cs="Arial"/>
          <w:szCs w:val="20"/>
        </w:rPr>
        <w:t>, jehož studiu se věnovalo 53,8 </w:t>
      </w:r>
      <w:r w:rsidRPr="00B91CFE">
        <w:rPr>
          <w:rFonts w:cs="Arial"/>
          <w:szCs w:val="20"/>
        </w:rPr>
        <w:t>% všech stu</w:t>
      </w:r>
      <w:r>
        <w:rPr>
          <w:rFonts w:cs="Arial"/>
          <w:szCs w:val="20"/>
        </w:rPr>
        <w:t>dentů technických věd, z toho 23,5</w:t>
      </w:r>
      <w:r w:rsidRPr="00B91CFE">
        <w:rPr>
          <w:rFonts w:cs="Arial"/>
          <w:szCs w:val="20"/>
        </w:rPr>
        <w:t xml:space="preserve"> % by</w:t>
      </w:r>
      <w:r>
        <w:rPr>
          <w:rFonts w:cs="Arial"/>
          <w:szCs w:val="20"/>
        </w:rPr>
        <w:t xml:space="preserve">ly ženy. Doktorandky v roce 2017 upřednostňovaly </w:t>
      </w:r>
      <w:r w:rsidRPr="00B46D74">
        <w:rPr>
          <w:rFonts w:cs="Arial"/>
          <w:i/>
          <w:szCs w:val="20"/>
        </w:rPr>
        <w:t>Přírodní vědy, matematiku a statistiku</w:t>
      </w:r>
      <w:r>
        <w:rPr>
          <w:rFonts w:cs="Arial"/>
          <w:szCs w:val="20"/>
        </w:rPr>
        <w:t xml:space="preserve"> (2,2 tis.) a </w:t>
      </w:r>
      <w:r w:rsidRPr="00B46D74">
        <w:rPr>
          <w:rFonts w:cs="Arial"/>
          <w:i/>
          <w:szCs w:val="20"/>
        </w:rPr>
        <w:t>Umění a humanitní vědy</w:t>
      </w:r>
      <w:r>
        <w:rPr>
          <w:rFonts w:cs="Arial"/>
          <w:szCs w:val="20"/>
        </w:rPr>
        <w:t xml:space="preserve"> (1,7 tis.</w:t>
      </w:r>
      <w:r w:rsidRPr="00B91CFE">
        <w:rPr>
          <w:rFonts w:cs="Arial"/>
          <w:szCs w:val="20"/>
        </w:rPr>
        <w:t>). Velmi malý počet d</w:t>
      </w:r>
      <w:r>
        <w:rPr>
          <w:rFonts w:cs="Arial"/>
          <w:szCs w:val="20"/>
        </w:rPr>
        <w:t xml:space="preserve">oktorandů studuje </w:t>
      </w:r>
      <w:r w:rsidRPr="00B46D74">
        <w:rPr>
          <w:rFonts w:cs="Arial"/>
          <w:i/>
          <w:szCs w:val="20"/>
        </w:rPr>
        <w:t>Informační technologie</w:t>
      </w:r>
      <w:r>
        <w:rPr>
          <w:rFonts w:cs="Arial"/>
          <w:szCs w:val="20"/>
        </w:rPr>
        <w:t>, pouze 3,7 % (832) a z toho jen 122</w:t>
      </w:r>
      <w:r w:rsidRPr="00B91CFE">
        <w:rPr>
          <w:rFonts w:cs="Arial"/>
          <w:szCs w:val="20"/>
        </w:rPr>
        <w:t xml:space="preserve"> žen. Nejméně dokto</w:t>
      </w:r>
      <w:r>
        <w:rPr>
          <w:rFonts w:cs="Arial"/>
          <w:szCs w:val="20"/>
        </w:rPr>
        <w:t xml:space="preserve">randů studovalo obor </w:t>
      </w:r>
      <w:r w:rsidRPr="00B46D74">
        <w:rPr>
          <w:rFonts w:cs="Arial"/>
          <w:i/>
          <w:szCs w:val="20"/>
        </w:rPr>
        <w:t>Služby</w:t>
      </w:r>
      <w:r>
        <w:rPr>
          <w:rFonts w:cs="Arial"/>
          <w:szCs w:val="20"/>
        </w:rPr>
        <w:t xml:space="preserve"> (604</w:t>
      </w:r>
      <w:r w:rsidRPr="00B91CFE">
        <w:rPr>
          <w:rFonts w:cs="Arial"/>
          <w:szCs w:val="20"/>
        </w:rPr>
        <w:t xml:space="preserve">). Stejně jako čeští studenti doktorského studia mají i zahraniční studenti také největší zájem o obory </w:t>
      </w:r>
      <w:r w:rsidRPr="00825CB6">
        <w:rPr>
          <w:rFonts w:cs="Arial"/>
          <w:i/>
          <w:szCs w:val="20"/>
        </w:rPr>
        <w:t>Přírodních věd, matematiky a statistiky</w:t>
      </w:r>
      <w:r>
        <w:rPr>
          <w:rFonts w:cs="Arial"/>
          <w:szCs w:val="20"/>
        </w:rPr>
        <w:t>, kde studuje 25,2 % všech doktorandů</w:t>
      </w:r>
      <w:r w:rsidRPr="00B91CFE">
        <w:rPr>
          <w:rFonts w:cs="Arial"/>
          <w:szCs w:val="20"/>
        </w:rPr>
        <w:t xml:space="preserve"> – cizinců. Počet doktorandů – cizinců kontinuálně roste a za </w:t>
      </w:r>
      <w:r>
        <w:rPr>
          <w:rFonts w:cs="Arial"/>
          <w:szCs w:val="20"/>
        </w:rPr>
        <w:t xml:space="preserve">posledních 10 roků se zvýšil téměř </w:t>
      </w:r>
      <w:r w:rsidRPr="00B91CFE">
        <w:rPr>
          <w:rFonts w:cs="Arial"/>
          <w:szCs w:val="20"/>
        </w:rPr>
        <w:t xml:space="preserve">dvojnásobně. </w:t>
      </w:r>
    </w:p>
    <w:p w:rsidR="000C1722" w:rsidRDefault="000C1722" w:rsidP="0076068B">
      <w:pPr>
        <w:spacing w:line="276" w:lineRule="auto"/>
        <w:jc w:val="both"/>
        <w:rPr>
          <w:rFonts w:cs="Arial"/>
          <w:b/>
          <w:color w:val="C00000"/>
          <w:sz w:val="28"/>
          <w:szCs w:val="28"/>
        </w:rPr>
      </w:pPr>
    </w:p>
    <w:sectPr w:rsidR="000C1722" w:rsidSect="00881D7C">
      <w:headerReference w:type="even" r:id="rId91"/>
      <w:headerReference w:type="default" r:id="rId92"/>
      <w:footerReference w:type="even" r:id="rId93"/>
      <w:footerReference w:type="default" r:id="rId94"/>
      <w:pgSz w:w="11906" w:h="16838" w:code="9"/>
      <w:pgMar w:top="1134" w:right="1134" w:bottom="1418" w:left="1134"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207" w:rsidRDefault="00631207" w:rsidP="00E71A58">
      <w:r>
        <w:separator/>
      </w:r>
    </w:p>
  </w:endnote>
  <w:endnote w:type="continuationSeparator" w:id="0">
    <w:p w:rsidR="00631207" w:rsidRDefault="00631207" w:rsidP="00E7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207" w:rsidRPr="00932443" w:rsidRDefault="00631207" w:rsidP="00A418BC">
    <w:pPr>
      <w:pStyle w:val="Zpat"/>
      <w:rPr>
        <w:szCs w:val="16"/>
      </w:rPr>
    </w:pPr>
    <w:r>
      <w:rPr>
        <w:szCs w:val="16"/>
        <w:lang w:eastAsia="cs-CZ"/>
      </w:rPr>
      <w:drawing>
        <wp:anchor distT="0" distB="0" distL="114300" distR="114300" simplePos="0" relativeHeight="251658240" behindDoc="0" locked="0" layoutInCell="1" allowOverlap="1">
          <wp:simplePos x="0" y="0"/>
          <wp:positionH relativeFrom="column">
            <wp:align>right</wp:align>
          </wp:positionH>
          <wp:positionV relativeFrom="paragraph">
            <wp:posOffset>-64770</wp:posOffset>
          </wp:positionV>
          <wp:extent cx="428625" cy="201295"/>
          <wp:effectExtent l="0" t="0" r="9525" b="8255"/>
          <wp:wrapNone/>
          <wp:docPr id="23" name="obrázek 11" descr="CSU RGB CZ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U RGB CZ log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201295"/>
                  </a:xfrm>
                  <a:prstGeom prst="rect">
                    <a:avLst/>
                  </a:prstGeom>
                  <a:noFill/>
                </pic:spPr>
              </pic:pic>
            </a:graphicData>
          </a:graphic>
          <wp14:sizeRelH relativeFrom="page">
            <wp14:pctWidth>0</wp14:pctWidth>
          </wp14:sizeRelH>
          <wp14:sizeRelV relativeFrom="page">
            <wp14:pctHeight>0</wp14:pctHeight>
          </wp14:sizeRelV>
        </wp:anchor>
      </w:drawing>
    </w:r>
    <w:r w:rsidRPr="00932443">
      <w:rPr>
        <w:szCs w:val="16"/>
      </w:rPr>
      <w:fldChar w:fldCharType="begin"/>
    </w:r>
    <w:r w:rsidRPr="00932443">
      <w:rPr>
        <w:szCs w:val="16"/>
      </w:rPr>
      <w:instrText>PAGE   \* MERGEFORMAT</w:instrText>
    </w:r>
    <w:r w:rsidRPr="00932443">
      <w:rPr>
        <w:szCs w:val="16"/>
      </w:rPr>
      <w:fldChar w:fldCharType="separate"/>
    </w:r>
    <w:r w:rsidR="001C064A">
      <w:rPr>
        <w:szCs w:val="16"/>
      </w:rPr>
      <w:t>32</w:t>
    </w:r>
    <w:r w:rsidRPr="00932443">
      <w:rPr>
        <w:szCs w:val="16"/>
      </w:rPr>
      <w:fldChar w:fldCharType="end"/>
    </w:r>
    <w:r w:rsidRPr="00932443">
      <w:rPr>
        <w:szCs w:val="16"/>
      </w:rPr>
      <w:tab/>
    </w:r>
    <w:r>
      <w:rPr>
        <w:szCs w:val="16"/>
      </w:rPr>
      <w:t>2017/18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207" w:rsidRPr="00932443" w:rsidRDefault="00631207" w:rsidP="00A418BC">
    <w:pPr>
      <w:pStyle w:val="Zpat"/>
      <w:rPr>
        <w:szCs w:val="16"/>
      </w:rPr>
    </w:pPr>
    <w:r>
      <w:rPr>
        <w:szCs w:val="16"/>
        <w:lang w:eastAsia="cs-CZ"/>
      </w:rPr>
      <w:drawing>
        <wp:anchor distT="0" distB="0" distL="114300" distR="114300" simplePos="0" relativeHeight="251657216" behindDoc="0" locked="0" layoutInCell="1" allowOverlap="1">
          <wp:simplePos x="0" y="0"/>
          <wp:positionH relativeFrom="column">
            <wp:align>left</wp:align>
          </wp:positionH>
          <wp:positionV relativeFrom="paragraph">
            <wp:posOffset>-122555</wp:posOffset>
          </wp:positionV>
          <wp:extent cx="510540" cy="272415"/>
          <wp:effectExtent l="0" t="0" r="3810" b="0"/>
          <wp:wrapNone/>
          <wp:docPr id="11" name="obrázek 10" descr="CSU RGB CZ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U RGB CZ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272415"/>
                  </a:xfrm>
                  <a:prstGeom prst="rect">
                    <a:avLst/>
                  </a:prstGeom>
                  <a:noFill/>
                </pic:spPr>
              </pic:pic>
            </a:graphicData>
          </a:graphic>
          <wp14:sizeRelH relativeFrom="page">
            <wp14:pctWidth>0</wp14:pctWidth>
          </wp14:sizeRelH>
          <wp14:sizeRelV relativeFrom="page">
            <wp14:pctHeight>0</wp14:pctHeight>
          </wp14:sizeRelV>
        </wp:anchor>
      </w:drawing>
    </w:r>
    <w:r w:rsidRPr="00932443">
      <w:rPr>
        <w:szCs w:val="16"/>
      </w:rPr>
      <w:tab/>
    </w:r>
    <w:r>
      <w:rPr>
        <w:rStyle w:val="ZpatChar"/>
        <w:szCs w:val="16"/>
      </w:rPr>
      <w:t>2017/18</w:t>
    </w:r>
    <w:r w:rsidRPr="00932443">
      <w:rPr>
        <w:szCs w:val="16"/>
      </w:rPr>
      <w:tab/>
    </w:r>
    <w:r w:rsidRPr="00932443">
      <w:rPr>
        <w:rStyle w:val="ZpatChar"/>
        <w:szCs w:val="16"/>
      </w:rPr>
      <w:fldChar w:fldCharType="begin"/>
    </w:r>
    <w:r w:rsidRPr="00932443">
      <w:rPr>
        <w:rStyle w:val="ZpatChar"/>
        <w:szCs w:val="16"/>
      </w:rPr>
      <w:instrText>PAGE   \* MERGEFORMAT</w:instrText>
    </w:r>
    <w:r w:rsidRPr="00932443">
      <w:rPr>
        <w:rStyle w:val="ZpatChar"/>
        <w:szCs w:val="16"/>
      </w:rPr>
      <w:fldChar w:fldCharType="separate"/>
    </w:r>
    <w:r w:rsidR="001C064A">
      <w:rPr>
        <w:rStyle w:val="ZpatChar"/>
        <w:szCs w:val="16"/>
      </w:rPr>
      <w:t>31</w:t>
    </w:r>
    <w:r w:rsidRPr="00932443">
      <w:rPr>
        <w:rStyle w:val="ZpatChar"/>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207" w:rsidRDefault="00631207" w:rsidP="00E71A58">
      <w:r>
        <w:separator/>
      </w:r>
    </w:p>
  </w:footnote>
  <w:footnote w:type="continuationSeparator" w:id="0">
    <w:p w:rsidR="00631207" w:rsidRDefault="00631207" w:rsidP="00E71A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207" w:rsidRDefault="00631207" w:rsidP="00937AE2">
    <w:pPr>
      <w:pStyle w:val="Zhlav"/>
    </w:pPr>
    <w:r>
      <w:t>Školy a školská zařízení  2017/18</w:t>
    </w:r>
  </w:p>
  <w:p w:rsidR="00631207" w:rsidRPr="006F5416" w:rsidRDefault="00631207" w:rsidP="00937AE2">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207" w:rsidRDefault="00631207" w:rsidP="00937AE2">
    <w:pPr>
      <w:pStyle w:val="Zhlav"/>
    </w:pPr>
    <w:r>
      <w:t>Školy a školská zařízení  2017/18</w:t>
    </w:r>
  </w:p>
  <w:p w:rsidR="00631207" w:rsidRPr="006F5416" w:rsidRDefault="00631207" w:rsidP="00937AE2">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FAAF"/>
      </v:shape>
    </w:pict>
  </w:numPicBullet>
  <w:abstractNum w:abstractNumId="0">
    <w:nsid w:val="FFFFFF7C"/>
    <w:multiLevelType w:val="singleLevel"/>
    <w:tmpl w:val="49CEEC48"/>
    <w:lvl w:ilvl="0">
      <w:start w:val="1"/>
      <w:numFmt w:val="decimal"/>
      <w:lvlText w:val="%1."/>
      <w:lvlJc w:val="left"/>
      <w:pPr>
        <w:tabs>
          <w:tab w:val="num" w:pos="1492"/>
        </w:tabs>
        <w:ind w:left="1492" w:hanging="360"/>
      </w:pPr>
    </w:lvl>
  </w:abstractNum>
  <w:abstractNum w:abstractNumId="1">
    <w:nsid w:val="FFFFFF7D"/>
    <w:multiLevelType w:val="singleLevel"/>
    <w:tmpl w:val="FEC69A9E"/>
    <w:lvl w:ilvl="0">
      <w:start w:val="1"/>
      <w:numFmt w:val="decimal"/>
      <w:lvlText w:val="%1."/>
      <w:lvlJc w:val="left"/>
      <w:pPr>
        <w:tabs>
          <w:tab w:val="num" w:pos="1209"/>
        </w:tabs>
        <w:ind w:left="1209" w:hanging="360"/>
      </w:pPr>
    </w:lvl>
  </w:abstractNum>
  <w:abstractNum w:abstractNumId="2">
    <w:nsid w:val="FFFFFF7E"/>
    <w:multiLevelType w:val="singleLevel"/>
    <w:tmpl w:val="437A1C9C"/>
    <w:lvl w:ilvl="0">
      <w:start w:val="1"/>
      <w:numFmt w:val="decimal"/>
      <w:lvlText w:val="%1."/>
      <w:lvlJc w:val="left"/>
      <w:pPr>
        <w:tabs>
          <w:tab w:val="num" w:pos="926"/>
        </w:tabs>
        <w:ind w:left="926" w:hanging="360"/>
      </w:pPr>
    </w:lvl>
  </w:abstractNum>
  <w:abstractNum w:abstractNumId="3">
    <w:nsid w:val="FFFFFF7F"/>
    <w:multiLevelType w:val="singleLevel"/>
    <w:tmpl w:val="5B762300"/>
    <w:lvl w:ilvl="0">
      <w:start w:val="1"/>
      <w:numFmt w:val="decimal"/>
      <w:lvlText w:val="%1."/>
      <w:lvlJc w:val="left"/>
      <w:pPr>
        <w:tabs>
          <w:tab w:val="num" w:pos="643"/>
        </w:tabs>
        <w:ind w:left="643" w:hanging="360"/>
      </w:pPr>
    </w:lvl>
  </w:abstractNum>
  <w:abstractNum w:abstractNumId="4">
    <w:nsid w:val="FFFFFF80"/>
    <w:multiLevelType w:val="singleLevel"/>
    <w:tmpl w:val="F6965B5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0DE276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C7AED3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68C5BA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7C8EEA8"/>
    <w:lvl w:ilvl="0">
      <w:start w:val="1"/>
      <w:numFmt w:val="decimal"/>
      <w:lvlText w:val="%1."/>
      <w:lvlJc w:val="left"/>
      <w:pPr>
        <w:tabs>
          <w:tab w:val="num" w:pos="360"/>
        </w:tabs>
        <w:ind w:left="360" w:hanging="360"/>
      </w:pPr>
    </w:lvl>
  </w:abstractNum>
  <w:abstractNum w:abstractNumId="9">
    <w:nsid w:val="FFFFFF89"/>
    <w:multiLevelType w:val="singleLevel"/>
    <w:tmpl w:val="918AD8C2"/>
    <w:lvl w:ilvl="0">
      <w:start w:val="1"/>
      <w:numFmt w:val="bullet"/>
      <w:lvlText w:val=""/>
      <w:lvlJc w:val="left"/>
      <w:pPr>
        <w:tabs>
          <w:tab w:val="num" w:pos="360"/>
        </w:tabs>
        <w:ind w:left="360" w:hanging="360"/>
      </w:pPr>
      <w:rPr>
        <w:rFonts w:ascii="Symbol" w:hAnsi="Symbol" w:hint="default"/>
      </w:rPr>
    </w:lvl>
  </w:abstractNum>
  <w:abstractNum w:abstractNumId="10">
    <w:nsid w:val="0B94523F"/>
    <w:multiLevelType w:val="hybridMultilevel"/>
    <w:tmpl w:val="2FAC6296"/>
    <w:lvl w:ilvl="0" w:tplc="578C2E4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4803663"/>
    <w:multiLevelType w:val="hybridMultilevel"/>
    <w:tmpl w:val="D2DCB808"/>
    <w:lvl w:ilvl="0" w:tplc="3A82E006">
      <w:start w:val="1"/>
      <w:numFmt w:val="decimal"/>
      <w:lvlText w:val="(%1)"/>
      <w:lvlJc w:val="left"/>
      <w:pPr>
        <w:ind w:left="405" w:hanging="360"/>
      </w:pPr>
      <w:rPr>
        <w:rFonts w:hint="default"/>
      </w:rPr>
    </w:lvl>
    <w:lvl w:ilvl="1" w:tplc="04050019" w:tentative="1">
      <w:start w:val="1"/>
      <w:numFmt w:val="lowerLetter"/>
      <w:lvlText w:val="%2."/>
      <w:lvlJc w:val="left"/>
      <w:pPr>
        <w:ind w:left="1125" w:hanging="360"/>
      </w:pPr>
    </w:lvl>
    <w:lvl w:ilvl="2" w:tplc="0405001B" w:tentative="1">
      <w:start w:val="1"/>
      <w:numFmt w:val="lowerRoman"/>
      <w:lvlText w:val="%3."/>
      <w:lvlJc w:val="right"/>
      <w:pPr>
        <w:ind w:left="1845" w:hanging="180"/>
      </w:pPr>
    </w:lvl>
    <w:lvl w:ilvl="3" w:tplc="0405000F" w:tentative="1">
      <w:start w:val="1"/>
      <w:numFmt w:val="decimal"/>
      <w:lvlText w:val="%4."/>
      <w:lvlJc w:val="left"/>
      <w:pPr>
        <w:ind w:left="2565" w:hanging="360"/>
      </w:pPr>
    </w:lvl>
    <w:lvl w:ilvl="4" w:tplc="04050019" w:tentative="1">
      <w:start w:val="1"/>
      <w:numFmt w:val="lowerLetter"/>
      <w:lvlText w:val="%5."/>
      <w:lvlJc w:val="left"/>
      <w:pPr>
        <w:ind w:left="3285" w:hanging="360"/>
      </w:pPr>
    </w:lvl>
    <w:lvl w:ilvl="5" w:tplc="0405001B" w:tentative="1">
      <w:start w:val="1"/>
      <w:numFmt w:val="lowerRoman"/>
      <w:lvlText w:val="%6."/>
      <w:lvlJc w:val="right"/>
      <w:pPr>
        <w:ind w:left="4005" w:hanging="180"/>
      </w:pPr>
    </w:lvl>
    <w:lvl w:ilvl="6" w:tplc="0405000F" w:tentative="1">
      <w:start w:val="1"/>
      <w:numFmt w:val="decimal"/>
      <w:lvlText w:val="%7."/>
      <w:lvlJc w:val="left"/>
      <w:pPr>
        <w:ind w:left="4725" w:hanging="360"/>
      </w:pPr>
    </w:lvl>
    <w:lvl w:ilvl="7" w:tplc="04050019" w:tentative="1">
      <w:start w:val="1"/>
      <w:numFmt w:val="lowerLetter"/>
      <w:lvlText w:val="%8."/>
      <w:lvlJc w:val="left"/>
      <w:pPr>
        <w:ind w:left="5445" w:hanging="360"/>
      </w:pPr>
    </w:lvl>
    <w:lvl w:ilvl="8" w:tplc="0405001B" w:tentative="1">
      <w:start w:val="1"/>
      <w:numFmt w:val="lowerRoman"/>
      <w:lvlText w:val="%9."/>
      <w:lvlJc w:val="right"/>
      <w:pPr>
        <w:ind w:left="6165" w:hanging="180"/>
      </w:pPr>
    </w:lvl>
  </w:abstractNum>
  <w:abstractNum w:abstractNumId="12">
    <w:nsid w:val="22887B3C"/>
    <w:multiLevelType w:val="hybridMultilevel"/>
    <w:tmpl w:val="02548A36"/>
    <w:lvl w:ilvl="0" w:tplc="578C2E4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44515D5"/>
    <w:multiLevelType w:val="hybridMultilevel"/>
    <w:tmpl w:val="694E5828"/>
    <w:lvl w:ilvl="0" w:tplc="578C2E4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58473A1"/>
    <w:multiLevelType w:val="hybridMultilevel"/>
    <w:tmpl w:val="7984410C"/>
    <w:lvl w:ilvl="0" w:tplc="3712003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6E674DD"/>
    <w:multiLevelType w:val="hybridMultilevel"/>
    <w:tmpl w:val="D7406DC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28F33B63"/>
    <w:multiLevelType w:val="multilevel"/>
    <w:tmpl w:val="EDF2F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8384A27"/>
    <w:multiLevelType w:val="hybridMultilevel"/>
    <w:tmpl w:val="105050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B414AB0"/>
    <w:multiLevelType w:val="hybridMultilevel"/>
    <w:tmpl w:val="20AA91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4C581760"/>
    <w:multiLevelType w:val="hybridMultilevel"/>
    <w:tmpl w:val="CFEE9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4D660CAC"/>
    <w:multiLevelType w:val="hybridMultilevel"/>
    <w:tmpl w:val="D66EF99C"/>
    <w:lvl w:ilvl="0" w:tplc="578C2E4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DC23E3D"/>
    <w:multiLevelType w:val="hybridMultilevel"/>
    <w:tmpl w:val="FC3AC148"/>
    <w:lvl w:ilvl="0" w:tplc="E35C037C">
      <w:start w:val="1"/>
      <w:numFmt w:val="lowerLetter"/>
      <w:lvlText w:val="%1)"/>
      <w:lvlJc w:val="left"/>
      <w:pPr>
        <w:ind w:left="516" w:hanging="375"/>
      </w:pPr>
      <w:rPr>
        <w:rFonts w:hint="default"/>
        <w:b/>
      </w:rPr>
    </w:lvl>
    <w:lvl w:ilvl="1" w:tplc="04050019" w:tentative="1">
      <w:start w:val="1"/>
      <w:numFmt w:val="lowerLetter"/>
      <w:lvlText w:val="%2."/>
      <w:lvlJc w:val="left"/>
      <w:pPr>
        <w:ind w:left="1221" w:hanging="360"/>
      </w:pPr>
    </w:lvl>
    <w:lvl w:ilvl="2" w:tplc="0405001B" w:tentative="1">
      <w:start w:val="1"/>
      <w:numFmt w:val="lowerRoman"/>
      <w:lvlText w:val="%3."/>
      <w:lvlJc w:val="right"/>
      <w:pPr>
        <w:ind w:left="1941" w:hanging="180"/>
      </w:pPr>
    </w:lvl>
    <w:lvl w:ilvl="3" w:tplc="0405000F" w:tentative="1">
      <w:start w:val="1"/>
      <w:numFmt w:val="decimal"/>
      <w:lvlText w:val="%4."/>
      <w:lvlJc w:val="left"/>
      <w:pPr>
        <w:ind w:left="2661" w:hanging="360"/>
      </w:pPr>
    </w:lvl>
    <w:lvl w:ilvl="4" w:tplc="04050019" w:tentative="1">
      <w:start w:val="1"/>
      <w:numFmt w:val="lowerLetter"/>
      <w:lvlText w:val="%5."/>
      <w:lvlJc w:val="left"/>
      <w:pPr>
        <w:ind w:left="3381" w:hanging="360"/>
      </w:pPr>
    </w:lvl>
    <w:lvl w:ilvl="5" w:tplc="0405001B" w:tentative="1">
      <w:start w:val="1"/>
      <w:numFmt w:val="lowerRoman"/>
      <w:lvlText w:val="%6."/>
      <w:lvlJc w:val="right"/>
      <w:pPr>
        <w:ind w:left="4101" w:hanging="180"/>
      </w:pPr>
    </w:lvl>
    <w:lvl w:ilvl="6" w:tplc="0405000F" w:tentative="1">
      <w:start w:val="1"/>
      <w:numFmt w:val="decimal"/>
      <w:lvlText w:val="%7."/>
      <w:lvlJc w:val="left"/>
      <w:pPr>
        <w:ind w:left="4821" w:hanging="360"/>
      </w:pPr>
    </w:lvl>
    <w:lvl w:ilvl="7" w:tplc="04050019" w:tentative="1">
      <w:start w:val="1"/>
      <w:numFmt w:val="lowerLetter"/>
      <w:lvlText w:val="%8."/>
      <w:lvlJc w:val="left"/>
      <w:pPr>
        <w:ind w:left="5541" w:hanging="360"/>
      </w:pPr>
    </w:lvl>
    <w:lvl w:ilvl="8" w:tplc="0405001B" w:tentative="1">
      <w:start w:val="1"/>
      <w:numFmt w:val="lowerRoman"/>
      <w:lvlText w:val="%9."/>
      <w:lvlJc w:val="right"/>
      <w:pPr>
        <w:ind w:left="6261" w:hanging="180"/>
      </w:pPr>
    </w:lvl>
  </w:abstractNum>
  <w:abstractNum w:abstractNumId="22">
    <w:nsid w:val="50307A58"/>
    <w:multiLevelType w:val="hybridMultilevel"/>
    <w:tmpl w:val="B9928C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6CE5C1C"/>
    <w:multiLevelType w:val="hybridMultilevel"/>
    <w:tmpl w:val="EC66CB14"/>
    <w:lvl w:ilvl="0" w:tplc="407E9412">
      <w:start w:val="1"/>
      <w:numFmt w:val="decimal"/>
      <w:lvlText w:val="%1."/>
      <w:lvlJc w:val="left"/>
      <w:pPr>
        <w:ind w:left="720" w:hanging="360"/>
      </w:pPr>
      <w:rPr>
        <w:rFonts w:eastAsia="Times New Roman" w:cs="Times New Roman" w:hint="default"/>
        <w:b/>
        <w:color w:val="C0504D" w:themeColor="accent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5D136F39"/>
    <w:multiLevelType w:val="hybridMultilevel"/>
    <w:tmpl w:val="A68E477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5E1801C9"/>
    <w:multiLevelType w:val="multilevel"/>
    <w:tmpl w:val="46EC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5F1CA8"/>
    <w:multiLevelType w:val="hybridMultilevel"/>
    <w:tmpl w:val="CF8240B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60EB7096"/>
    <w:multiLevelType w:val="hybridMultilevel"/>
    <w:tmpl w:val="9246131C"/>
    <w:lvl w:ilvl="0" w:tplc="9B6E62B0">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1A77F9"/>
    <w:multiLevelType w:val="hybridMultilevel"/>
    <w:tmpl w:val="50541FC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61984EBC"/>
    <w:multiLevelType w:val="hybridMultilevel"/>
    <w:tmpl w:val="D2745F02"/>
    <w:lvl w:ilvl="0" w:tplc="170ED2A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33E18D8"/>
    <w:multiLevelType w:val="hybridMultilevel"/>
    <w:tmpl w:val="89806270"/>
    <w:lvl w:ilvl="0" w:tplc="578C2E40">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1">
    <w:nsid w:val="6D507056"/>
    <w:multiLevelType w:val="multilevel"/>
    <w:tmpl w:val="679C68B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702755B4"/>
    <w:multiLevelType w:val="hybridMultilevel"/>
    <w:tmpl w:val="6E0C611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715936E7"/>
    <w:multiLevelType w:val="hybridMultilevel"/>
    <w:tmpl w:val="6EE6CB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72E8040F"/>
    <w:multiLevelType w:val="hybridMultilevel"/>
    <w:tmpl w:val="E99CCDA2"/>
    <w:lvl w:ilvl="0" w:tplc="578C2E4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781F1B45"/>
    <w:multiLevelType w:val="hybridMultilevel"/>
    <w:tmpl w:val="94C85F6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7FF94D3F"/>
    <w:multiLevelType w:val="hybridMultilevel"/>
    <w:tmpl w:val="48D8D7F2"/>
    <w:lvl w:ilvl="0" w:tplc="A8DC9748">
      <w:start w:val="2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7"/>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4"/>
  </w:num>
  <w:num w:numId="13">
    <w:abstractNumId w:val="19"/>
  </w:num>
  <w:num w:numId="14">
    <w:abstractNumId w:val="11"/>
  </w:num>
  <w:num w:numId="15">
    <w:abstractNumId w:val="16"/>
  </w:num>
  <w:num w:numId="16">
    <w:abstractNumId w:val="26"/>
  </w:num>
  <w:num w:numId="17">
    <w:abstractNumId w:val="25"/>
  </w:num>
  <w:num w:numId="18">
    <w:abstractNumId w:val="21"/>
  </w:num>
  <w:num w:numId="19">
    <w:abstractNumId w:val="13"/>
  </w:num>
  <w:num w:numId="20">
    <w:abstractNumId w:val="20"/>
  </w:num>
  <w:num w:numId="21">
    <w:abstractNumId w:val="10"/>
  </w:num>
  <w:num w:numId="22">
    <w:abstractNumId w:val="12"/>
  </w:num>
  <w:num w:numId="23">
    <w:abstractNumId w:val="34"/>
  </w:num>
  <w:num w:numId="24">
    <w:abstractNumId w:val="33"/>
  </w:num>
  <w:num w:numId="25">
    <w:abstractNumId w:val="22"/>
  </w:num>
  <w:num w:numId="26">
    <w:abstractNumId w:val="18"/>
  </w:num>
  <w:num w:numId="27">
    <w:abstractNumId w:val="31"/>
  </w:num>
  <w:num w:numId="28">
    <w:abstractNumId w:val="23"/>
  </w:num>
  <w:num w:numId="29">
    <w:abstractNumId w:val="30"/>
  </w:num>
  <w:num w:numId="30">
    <w:abstractNumId w:val="27"/>
  </w:num>
  <w:num w:numId="31">
    <w:abstractNumId w:val="15"/>
  </w:num>
  <w:num w:numId="32">
    <w:abstractNumId w:val="29"/>
  </w:num>
  <w:num w:numId="33">
    <w:abstractNumId w:val="35"/>
  </w:num>
  <w:num w:numId="34">
    <w:abstractNumId w:val="36"/>
  </w:num>
  <w:num w:numId="35">
    <w:abstractNumId w:val="24"/>
  </w:num>
  <w:num w:numId="36">
    <w:abstractNumId w:val="32"/>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drawingGridHorizontalSpacing w:val="100"/>
  <w:displayHorizontalDrawingGridEvery w:val="2"/>
  <w:characterSpacingControl w:val="doNotCompress"/>
  <w:hdrShapeDefaults>
    <o:shapedefaults v:ext="edit" spidmax="2049">
      <o:colormru v:ext="edit" colors="#ecf4dd,#eaecee,#fcec0a,#fcecdb,#f1daf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9EA"/>
    <w:rsid w:val="00001A6F"/>
    <w:rsid w:val="0000209D"/>
    <w:rsid w:val="00004D5A"/>
    <w:rsid w:val="000056D5"/>
    <w:rsid w:val="0000767A"/>
    <w:rsid w:val="00010702"/>
    <w:rsid w:val="0001360D"/>
    <w:rsid w:val="0001382D"/>
    <w:rsid w:val="000234D6"/>
    <w:rsid w:val="00023D29"/>
    <w:rsid w:val="000247D2"/>
    <w:rsid w:val="00026389"/>
    <w:rsid w:val="00027FC2"/>
    <w:rsid w:val="0003147F"/>
    <w:rsid w:val="00031AE0"/>
    <w:rsid w:val="000322EF"/>
    <w:rsid w:val="00033FCD"/>
    <w:rsid w:val="00035072"/>
    <w:rsid w:val="00041CEC"/>
    <w:rsid w:val="00041E4E"/>
    <w:rsid w:val="0004694F"/>
    <w:rsid w:val="000522E4"/>
    <w:rsid w:val="00057DCD"/>
    <w:rsid w:val="000610E1"/>
    <w:rsid w:val="0006209B"/>
    <w:rsid w:val="000629C3"/>
    <w:rsid w:val="00062EC5"/>
    <w:rsid w:val="00062F22"/>
    <w:rsid w:val="00067B8F"/>
    <w:rsid w:val="000712B3"/>
    <w:rsid w:val="00072763"/>
    <w:rsid w:val="00075533"/>
    <w:rsid w:val="000776E5"/>
    <w:rsid w:val="0008263E"/>
    <w:rsid w:val="00082C19"/>
    <w:rsid w:val="00085395"/>
    <w:rsid w:val="00087634"/>
    <w:rsid w:val="00087F2B"/>
    <w:rsid w:val="0009103A"/>
    <w:rsid w:val="00096214"/>
    <w:rsid w:val="00097066"/>
    <w:rsid w:val="000974D1"/>
    <w:rsid w:val="0009767D"/>
    <w:rsid w:val="0009799E"/>
    <w:rsid w:val="000A02E2"/>
    <w:rsid w:val="000A1183"/>
    <w:rsid w:val="000A256D"/>
    <w:rsid w:val="000A2970"/>
    <w:rsid w:val="000A32E2"/>
    <w:rsid w:val="000A3A2C"/>
    <w:rsid w:val="000B2191"/>
    <w:rsid w:val="000B59C4"/>
    <w:rsid w:val="000C1722"/>
    <w:rsid w:val="000C2E57"/>
    <w:rsid w:val="000C3408"/>
    <w:rsid w:val="000C6AFD"/>
    <w:rsid w:val="000C709F"/>
    <w:rsid w:val="000D0701"/>
    <w:rsid w:val="000D42DF"/>
    <w:rsid w:val="000D4F92"/>
    <w:rsid w:val="000D5169"/>
    <w:rsid w:val="000D5637"/>
    <w:rsid w:val="000D7763"/>
    <w:rsid w:val="000E27C6"/>
    <w:rsid w:val="000E2AB2"/>
    <w:rsid w:val="000E6FBD"/>
    <w:rsid w:val="000F031E"/>
    <w:rsid w:val="000F5ED7"/>
    <w:rsid w:val="000F7E55"/>
    <w:rsid w:val="00100F5C"/>
    <w:rsid w:val="00104C4C"/>
    <w:rsid w:val="00105418"/>
    <w:rsid w:val="001102CB"/>
    <w:rsid w:val="0011034C"/>
    <w:rsid w:val="00117E94"/>
    <w:rsid w:val="0012192F"/>
    <w:rsid w:val="00125D69"/>
    <w:rsid w:val="0012648D"/>
    <w:rsid w:val="00126FC5"/>
    <w:rsid w:val="00131CE1"/>
    <w:rsid w:val="00131EF4"/>
    <w:rsid w:val="001353FE"/>
    <w:rsid w:val="0014047F"/>
    <w:rsid w:val="001405FA"/>
    <w:rsid w:val="00140910"/>
    <w:rsid w:val="001425C3"/>
    <w:rsid w:val="00143185"/>
    <w:rsid w:val="00144A61"/>
    <w:rsid w:val="00144C23"/>
    <w:rsid w:val="001451BD"/>
    <w:rsid w:val="0015159B"/>
    <w:rsid w:val="00151D3C"/>
    <w:rsid w:val="0016256B"/>
    <w:rsid w:val="00162767"/>
    <w:rsid w:val="00163793"/>
    <w:rsid w:val="00164496"/>
    <w:rsid w:val="001661EC"/>
    <w:rsid w:val="00166B2C"/>
    <w:rsid w:val="001679E8"/>
    <w:rsid w:val="001706D6"/>
    <w:rsid w:val="001714F2"/>
    <w:rsid w:val="00172048"/>
    <w:rsid w:val="00174DA3"/>
    <w:rsid w:val="001754CD"/>
    <w:rsid w:val="00180FE8"/>
    <w:rsid w:val="00183E86"/>
    <w:rsid w:val="00184B08"/>
    <w:rsid w:val="00185010"/>
    <w:rsid w:val="0019010B"/>
    <w:rsid w:val="00194AE6"/>
    <w:rsid w:val="001A40F4"/>
    <w:rsid w:val="001A552F"/>
    <w:rsid w:val="001A5A58"/>
    <w:rsid w:val="001B2CA9"/>
    <w:rsid w:val="001B2FAB"/>
    <w:rsid w:val="001B3110"/>
    <w:rsid w:val="001B4729"/>
    <w:rsid w:val="001B53C7"/>
    <w:rsid w:val="001B6C09"/>
    <w:rsid w:val="001C05CD"/>
    <w:rsid w:val="001C064A"/>
    <w:rsid w:val="001C15BA"/>
    <w:rsid w:val="001C2D45"/>
    <w:rsid w:val="001C62BE"/>
    <w:rsid w:val="001C7DB3"/>
    <w:rsid w:val="001D442F"/>
    <w:rsid w:val="001D68B2"/>
    <w:rsid w:val="001D7FDF"/>
    <w:rsid w:val="001E0920"/>
    <w:rsid w:val="001E09EF"/>
    <w:rsid w:val="001E10AF"/>
    <w:rsid w:val="001F0637"/>
    <w:rsid w:val="001F3FA6"/>
    <w:rsid w:val="001F4597"/>
    <w:rsid w:val="001F5273"/>
    <w:rsid w:val="001F66C3"/>
    <w:rsid w:val="00202C61"/>
    <w:rsid w:val="0020369A"/>
    <w:rsid w:val="002118B9"/>
    <w:rsid w:val="002140F5"/>
    <w:rsid w:val="00215E55"/>
    <w:rsid w:val="00217C5B"/>
    <w:rsid w:val="00220045"/>
    <w:rsid w:val="0022139E"/>
    <w:rsid w:val="002252E0"/>
    <w:rsid w:val="002255F6"/>
    <w:rsid w:val="002266A5"/>
    <w:rsid w:val="00227850"/>
    <w:rsid w:val="00227A53"/>
    <w:rsid w:val="00227DCA"/>
    <w:rsid w:val="00230C6E"/>
    <w:rsid w:val="00232A19"/>
    <w:rsid w:val="0023397D"/>
    <w:rsid w:val="0023455E"/>
    <w:rsid w:val="00236443"/>
    <w:rsid w:val="00237EC6"/>
    <w:rsid w:val="002436BA"/>
    <w:rsid w:val="00244A15"/>
    <w:rsid w:val="00244D05"/>
    <w:rsid w:val="002457EE"/>
    <w:rsid w:val="00247319"/>
    <w:rsid w:val="00247399"/>
    <w:rsid w:val="00247971"/>
    <w:rsid w:val="0024799E"/>
    <w:rsid w:val="0025287B"/>
    <w:rsid w:val="00253C0F"/>
    <w:rsid w:val="00255B97"/>
    <w:rsid w:val="00257E9C"/>
    <w:rsid w:val="002621E1"/>
    <w:rsid w:val="00262B42"/>
    <w:rsid w:val="00271465"/>
    <w:rsid w:val="00284BD5"/>
    <w:rsid w:val="00285412"/>
    <w:rsid w:val="002857A4"/>
    <w:rsid w:val="002866F7"/>
    <w:rsid w:val="00287CF9"/>
    <w:rsid w:val="00291E81"/>
    <w:rsid w:val="00293322"/>
    <w:rsid w:val="00294829"/>
    <w:rsid w:val="002A00BE"/>
    <w:rsid w:val="002A16D4"/>
    <w:rsid w:val="002A230C"/>
    <w:rsid w:val="002A48D3"/>
    <w:rsid w:val="002A566C"/>
    <w:rsid w:val="002B17E5"/>
    <w:rsid w:val="002B6487"/>
    <w:rsid w:val="002C012B"/>
    <w:rsid w:val="002C43BD"/>
    <w:rsid w:val="002C50C3"/>
    <w:rsid w:val="002C6013"/>
    <w:rsid w:val="002C7121"/>
    <w:rsid w:val="002D0251"/>
    <w:rsid w:val="002D0E59"/>
    <w:rsid w:val="002D2BCE"/>
    <w:rsid w:val="002E02A1"/>
    <w:rsid w:val="002E4E4C"/>
    <w:rsid w:val="002E7A86"/>
    <w:rsid w:val="002F7706"/>
    <w:rsid w:val="00304771"/>
    <w:rsid w:val="003052D4"/>
    <w:rsid w:val="00305464"/>
    <w:rsid w:val="00306C5B"/>
    <w:rsid w:val="0031050E"/>
    <w:rsid w:val="0031138F"/>
    <w:rsid w:val="00311663"/>
    <w:rsid w:val="003155CB"/>
    <w:rsid w:val="00316735"/>
    <w:rsid w:val="003209D6"/>
    <w:rsid w:val="0032108A"/>
    <w:rsid w:val="00321924"/>
    <w:rsid w:val="00322C9B"/>
    <w:rsid w:val="00324D3A"/>
    <w:rsid w:val="0032656E"/>
    <w:rsid w:val="00331452"/>
    <w:rsid w:val="00332190"/>
    <w:rsid w:val="00344668"/>
    <w:rsid w:val="00345CF4"/>
    <w:rsid w:val="003462D9"/>
    <w:rsid w:val="00347D58"/>
    <w:rsid w:val="00357044"/>
    <w:rsid w:val="00360C86"/>
    <w:rsid w:val="00362845"/>
    <w:rsid w:val="003634A2"/>
    <w:rsid w:val="00364DA9"/>
    <w:rsid w:val="003657F3"/>
    <w:rsid w:val="003659DC"/>
    <w:rsid w:val="0036645E"/>
    <w:rsid w:val="00370107"/>
    <w:rsid w:val="003713BE"/>
    <w:rsid w:val="003718D3"/>
    <w:rsid w:val="003818DC"/>
    <w:rsid w:val="00384327"/>
    <w:rsid w:val="00384707"/>
    <w:rsid w:val="00385AA1"/>
    <w:rsid w:val="00385D98"/>
    <w:rsid w:val="00385E40"/>
    <w:rsid w:val="00393B1A"/>
    <w:rsid w:val="00396BD0"/>
    <w:rsid w:val="0039776A"/>
    <w:rsid w:val="003A2B4D"/>
    <w:rsid w:val="003A3CFC"/>
    <w:rsid w:val="003A440C"/>
    <w:rsid w:val="003A478C"/>
    <w:rsid w:val="003A5525"/>
    <w:rsid w:val="003A6B38"/>
    <w:rsid w:val="003B5A32"/>
    <w:rsid w:val="003C09F4"/>
    <w:rsid w:val="003C3490"/>
    <w:rsid w:val="003D64F1"/>
    <w:rsid w:val="003D6920"/>
    <w:rsid w:val="003D7535"/>
    <w:rsid w:val="003E4C91"/>
    <w:rsid w:val="003E5AE2"/>
    <w:rsid w:val="003E6530"/>
    <w:rsid w:val="003E66FB"/>
    <w:rsid w:val="003F313C"/>
    <w:rsid w:val="003F4B2C"/>
    <w:rsid w:val="003F551C"/>
    <w:rsid w:val="003F5AB8"/>
    <w:rsid w:val="003F7D23"/>
    <w:rsid w:val="004028DB"/>
    <w:rsid w:val="00404EEB"/>
    <w:rsid w:val="00407C13"/>
    <w:rsid w:val="00410638"/>
    <w:rsid w:val="00416691"/>
    <w:rsid w:val="00423AAB"/>
    <w:rsid w:val="00424EB4"/>
    <w:rsid w:val="004259F8"/>
    <w:rsid w:val="00432A58"/>
    <w:rsid w:val="00434617"/>
    <w:rsid w:val="00435E85"/>
    <w:rsid w:val="00436EBC"/>
    <w:rsid w:val="004377B2"/>
    <w:rsid w:val="00440900"/>
    <w:rsid w:val="004441A0"/>
    <w:rsid w:val="004550E1"/>
    <w:rsid w:val="00455516"/>
    <w:rsid w:val="00460FB3"/>
    <w:rsid w:val="00461BBC"/>
    <w:rsid w:val="00463124"/>
    <w:rsid w:val="00463632"/>
    <w:rsid w:val="00472F93"/>
    <w:rsid w:val="00476240"/>
    <w:rsid w:val="00476439"/>
    <w:rsid w:val="0047735C"/>
    <w:rsid w:val="004776BC"/>
    <w:rsid w:val="0048139F"/>
    <w:rsid w:val="00481E40"/>
    <w:rsid w:val="00481EC6"/>
    <w:rsid w:val="00484ECE"/>
    <w:rsid w:val="0048732D"/>
    <w:rsid w:val="004900FF"/>
    <w:rsid w:val="004915CB"/>
    <w:rsid w:val="004924DC"/>
    <w:rsid w:val="004A14E4"/>
    <w:rsid w:val="004A2FF6"/>
    <w:rsid w:val="004A3212"/>
    <w:rsid w:val="004A61C5"/>
    <w:rsid w:val="004A77DF"/>
    <w:rsid w:val="004B1417"/>
    <w:rsid w:val="004B55B7"/>
    <w:rsid w:val="004B6468"/>
    <w:rsid w:val="004B6768"/>
    <w:rsid w:val="004B77D7"/>
    <w:rsid w:val="004C0F4A"/>
    <w:rsid w:val="004C1F62"/>
    <w:rsid w:val="004C33B1"/>
    <w:rsid w:val="004C384C"/>
    <w:rsid w:val="004C3867"/>
    <w:rsid w:val="004C4CD0"/>
    <w:rsid w:val="004C70DC"/>
    <w:rsid w:val="004D0211"/>
    <w:rsid w:val="004D0794"/>
    <w:rsid w:val="004D1E8D"/>
    <w:rsid w:val="004D4EBD"/>
    <w:rsid w:val="004F06F5"/>
    <w:rsid w:val="004F33A0"/>
    <w:rsid w:val="004F5A6D"/>
    <w:rsid w:val="004F7535"/>
    <w:rsid w:val="004F799B"/>
    <w:rsid w:val="004F7BA7"/>
    <w:rsid w:val="00500A8A"/>
    <w:rsid w:val="005059FB"/>
    <w:rsid w:val="005108C0"/>
    <w:rsid w:val="00511873"/>
    <w:rsid w:val="00512A2F"/>
    <w:rsid w:val="00513B7E"/>
    <w:rsid w:val="00515C74"/>
    <w:rsid w:val="0052007E"/>
    <w:rsid w:val="00522F90"/>
    <w:rsid w:val="0052337A"/>
    <w:rsid w:val="00525137"/>
    <w:rsid w:val="005251DD"/>
    <w:rsid w:val="00527839"/>
    <w:rsid w:val="00532CE7"/>
    <w:rsid w:val="00533178"/>
    <w:rsid w:val="0053324C"/>
    <w:rsid w:val="00534A28"/>
    <w:rsid w:val="00535E32"/>
    <w:rsid w:val="00541508"/>
    <w:rsid w:val="005416C3"/>
    <w:rsid w:val="0054178D"/>
    <w:rsid w:val="00544C2F"/>
    <w:rsid w:val="00552068"/>
    <w:rsid w:val="0055599F"/>
    <w:rsid w:val="00556D68"/>
    <w:rsid w:val="005629AB"/>
    <w:rsid w:val="00562A93"/>
    <w:rsid w:val="005647BF"/>
    <w:rsid w:val="005653CA"/>
    <w:rsid w:val="0056704A"/>
    <w:rsid w:val="005678B5"/>
    <w:rsid w:val="00572851"/>
    <w:rsid w:val="0057364B"/>
    <w:rsid w:val="00574773"/>
    <w:rsid w:val="00574CB8"/>
    <w:rsid w:val="00575982"/>
    <w:rsid w:val="00581AC0"/>
    <w:rsid w:val="00582CA2"/>
    <w:rsid w:val="00583FFD"/>
    <w:rsid w:val="005911BE"/>
    <w:rsid w:val="00592153"/>
    <w:rsid w:val="00593152"/>
    <w:rsid w:val="00593282"/>
    <w:rsid w:val="00595576"/>
    <w:rsid w:val="005A10F2"/>
    <w:rsid w:val="005A21E0"/>
    <w:rsid w:val="005A28FF"/>
    <w:rsid w:val="005A3DF8"/>
    <w:rsid w:val="005A5549"/>
    <w:rsid w:val="005B121D"/>
    <w:rsid w:val="005B15B4"/>
    <w:rsid w:val="005B31C7"/>
    <w:rsid w:val="005B61F2"/>
    <w:rsid w:val="005B638F"/>
    <w:rsid w:val="005C06ED"/>
    <w:rsid w:val="005C737D"/>
    <w:rsid w:val="005C7AAD"/>
    <w:rsid w:val="005D1FDF"/>
    <w:rsid w:val="005D5802"/>
    <w:rsid w:val="005D7890"/>
    <w:rsid w:val="005E45E9"/>
    <w:rsid w:val="005E7C78"/>
    <w:rsid w:val="005F2A46"/>
    <w:rsid w:val="005F2C91"/>
    <w:rsid w:val="005F3EB1"/>
    <w:rsid w:val="005F3F60"/>
    <w:rsid w:val="005F492D"/>
    <w:rsid w:val="005F5469"/>
    <w:rsid w:val="00601B50"/>
    <w:rsid w:val="00604307"/>
    <w:rsid w:val="0060487F"/>
    <w:rsid w:val="00604EAD"/>
    <w:rsid w:val="006104FB"/>
    <w:rsid w:val="00610830"/>
    <w:rsid w:val="00612A2F"/>
    <w:rsid w:val="00616E05"/>
    <w:rsid w:val="00621C1C"/>
    <w:rsid w:val="00622001"/>
    <w:rsid w:val="00622B8B"/>
    <w:rsid w:val="00623ABB"/>
    <w:rsid w:val="00624093"/>
    <w:rsid w:val="00631207"/>
    <w:rsid w:val="00632548"/>
    <w:rsid w:val="00633189"/>
    <w:rsid w:val="006360DB"/>
    <w:rsid w:val="006404A7"/>
    <w:rsid w:val="006412CF"/>
    <w:rsid w:val="006451E4"/>
    <w:rsid w:val="00645B33"/>
    <w:rsid w:val="00646642"/>
    <w:rsid w:val="006475D8"/>
    <w:rsid w:val="006516CB"/>
    <w:rsid w:val="00653BD1"/>
    <w:rsid w:val="006540AC"/>
    <w:rsid w:val="0065552A"/>
    <w:rsid w:val="00656E91"/>
    <w:rsid w:val="00657E87"/>
    <w:rsid w:val="006611ED"/>
    <w:rsid w:val="006618C0"/>
    <w:rsid w:val="00662E4B"/>
    <w:rsid w:val="0066306F"/>
    <w:rsid w:val="00663FF1"/>
    <w:rsid w:val="00664803"/>
    <w:rsid w:val="00665BA4"/>
    <w:rsid w:val="00667AF2"/>
    <w:rsid w:val="006710C9"/>
    <w:rsid w:val="0067143C"/>
    <w:rsid w:val="00672DA4"/>
    <w:rsid w:val="00672FD8"/>
    <w:rsid w:val="006738FE"/>
    <w:rsid w:val="00674D89"/>
    <w:rsid w:val="00674E73"/>
    <w:rsid w:val="00675E37"/>
    <w:rsid w:val="00676DC7"/>
    <w:rsid w:val="0068174E"/>
    <w:rsid w:val="00681DCE"/>
    <w:rsid w:val="0068260E"/>
    <w:rsid w:val="006830BB"/>
    <w:rsid w:val="00695BEF"/>
    <w:rsid w:val="00695F91"/>
    <w:rsid w:val="006977F6"/>
    <w:rsid w:val="00697A13"/>
    <w:rsid w:val="006A109C"/>
    <w:rsid w:val="006A2677"/>
    <w:rsid w:val="006A4E05"/>
    <w:rsid w:val="006A4FD3"/>
    <w:rsid w:val="006A5384"/>
    <w:rsid w:val="006A72FB"/>
    <w:rsid w:val="006B0100"/>
    <w:rsid w:val="006B344A"/>
    <w:rsid w:val="006B5C92"/>
    <w:rsid w:val="006B78D8"/>
    <w:rsid w:val="006C113F"/>
    <w:rsid w:val="006C123E"/>
    <w:rsid w:val="006C56D4"/>
    <w:rsid w:val="006C6924"/>
    <w:rsid w:val="006C7CA6"/>
    <w:rsid w:val="006D041F"/>
    <w:rsid w:val="006D3E8A"/>
    <w:rsid w:val="006D5841"/>
    <w:rsid w:val="006D61F6"/>
    <w:rsid w:val="006D67BE"/>
    <w:rsid w:val="006D7212"/>
    <w:rsid w:val="006E0150"/>
    <w:rsid w:val="006E279A"/>
    <w:rsid w:val="006E313B"/>
    <w:rsid w:val="006E6239"/>
    <w:rsid w:val="006F0D99"/>
    <w:rsid w:val="006F174D"/>
    <w:rsid w:val="006F5416"/>
    <w:rsid w:val="006F56B3"/>
    <w:rsid w:val="006F5F30"/>
    <w:rsid w:val="006F7137"/>
    <w:rsid w:val="00700C5D"/>
    <w:rsid w:val="0070443B"/>
    <w:rsid w:val="00704D39"/>
    <w:rsid w:val="00706AD4"/>
    <w:rsid w:val="00711FCE"/>
    <w:rsid w:val="00713E3E"/>
    <w:rsid w:val="007140BE"/>
    <w:rsid w:val="00720400"/>
    <w:rsid w:val="007211F5"/>
    <w:rsid w:val="00722475"/>
    <w:rsid w:val="00722FD5"/>
    <w:rsid w:val="00723AAE"/>
    <w:rsid w:val="00725BB5"/>
    <w:rsid w:val="00726434"/>
    <w:rsid w:val="00730AE8"/>
    <w:rsid w:val="0073133B"/>
    <w:rsid w:val="00734A0E"/>
    <w:rsid w:val="00741493"/>
    <w:rsid w:val="00741F80"/>
    <w:rsid w:val="007459FD"/>
    <w:rsid w:val="007516E5"/>
    <w:rsid w:val="00752180"/>
    <w:rsid w:val="0075250E"/>
    <w:rsid w:val="00755202"/>
    <w:rsid w:val="00755D3A"/>
    <w:rsid w:val="00757053"/>
    <w:rsid w:val="007578D3"/>
    <w:rsid w:val="00760676"/>
    <w:rsid w:val="0076068B"/>
    <w:rsid w:val="007609C6"/>
    <w:rsid w:val="00760CB8"/>
    <w:rsid w:val="0076175D"/>
    <w:rsid w:val="00763A7F"/>
    <w:rsid w:val="0076521E"/>
    <w:rsid w:val="007661E9"/>
    <w:rsid w:val="00766E55"/>
    <w:rsid w:val="00770B75"/>
    <w:rsid w:val="007711D6"/>
    <w:rsid w:val="00773EFC"/>
    <w:rsid w:val="00776169"/>
    <w:rsid w:val="00776527"/>
    <w:rsid w:val="00780755"/>
    <w:rsid w:val="00780EF1"/>
    <w:rsid w:val="00790764"/>
    <w:rsid w:val="0079453C"/>
    <w:rsid w:val="00794677"/>
    <w:rsid w:val="0079487B"/>
    <w:rsid w:val="00794AB3"/>
    <w:rsid w:val="00794F4D"/>
    <w:rsid w:val="007A17CA"/>
    <w:rsid w:val="007A2643"/>
    <w:rsid w:val="007A2ED9"/>
    <w:rsid w:val="007A64B2"/>
    <w:rsid w:val="007B056C"/>
    <w:rsid w:val="007B1D7B"/>
    <w:rsid w:val="007B5F0C"/>
    <w:rsid w:val="007B6689"/>
    <w:rsid w:val="007B730D"/>
    <w:rsid w:val="007C1587"/>
    <w:rsid w:val="007C628A"/>
    <w:rsid w:val="007D40DF"/>
    <w:rsid w:val="007D7D0C"/>
    <w:rsid w:val="007E383C"/>
    <w:rsid w:val="007E515C"/>
    <w:rsid w:val="007E7E61"/>
    <w:rsid w:val="007F0845"/>
    <w:rsid w:val="007F6A9D"/>
    <w:rsid w:val="00807C82"/>
    <w:rsid w:val="0081194A"/>
    <w:rsid w:val="00811CC5"/>
    <w:rsid w:val="00815775"/>
    <w:rsid w:val="00815C70"/>
    <w:rsid w:val="00816905"/>
    <w:rsid w:val="00821FF6"/>
    <w:rsid w:val="0082276D"/>
    <w:rsid w:val="00825C4D"/>
    <w:rsid w:val="008276BC"/>
    <w:rsid w:val="0083143E"/>
    <w:rsid w:val="00831CDE"/>
    <w:rsid w:val="00832A82"/>
    <w:rsid w:val="00834304"/>
    <w:rsid w:val="00834FAA"/>
    <w:rsid w:val="00835208"/>
    <w:rsid w:val="008353FB"/>
    <w:rsid w:val="00836086"/>
    <w:rsid w:val="008441EA"/>
    <w:rsid w:val="008454D9"/>
    <w:rsid w:val="0084708F"/>
    <w:rsid w:val="008477C8"/>
    <w:rsid w:val="00847DA9"/>
    <w:rsid w:val="00850FC9"/>
    <w:rsid w:val="0085114D"/>
    <w:rsid w:val="00852217"/>
    <w:rsid w:val="00852369"/>
    <w:rsid w:val="00852793"/>
    <w:rsid w:val="00853D5A"/>
    <w:rsid w:val="00855408"/>
    <w:rsid w:val="00856D65"/>
    <w:rsid w:val="00857E90"/>
    <w:rsid w:val="008605DB"/>
    <w:rsid w:val="00861123"/>
    <w:rsid w:val="0086184E"/>
    <w:rsid w:val="00861B41"/>
    <w:rsid w:val="00862A3C"/>
    <w:rsid w:val="00863434"/>
    <w:rsid w:val="00865E4C"/>
    <w:rsid w:val="008701E4"/>
    <w:rsid w:val="00872662"/>
    <w:rsid w:val="00875A32"/>
    <w:rsid w:val="00876086"/>
    <w:rsid w:val="008763DF"/>
    <w:rsid w:val="00881D7C"/>
    <w:rsid w:val="00884C5B"/>
    <w:rsid w:val="008873D4"/>
    <w:rsid w:val="00887E2F"/>
    <w:rsid w:val="00893E85"/>
    <w:rsid w:val="00894031"/>
    <w:rsid w:val="00894FB1"/>
    <w:rsid w:val="00896061"/>
    <w:rsid w:val="008A0A90"/>
    <w:rsid w:val="008A13AF"/>
    <w:rsid w:val="008A6E3A"/>
    <w:rsid w:val="008B06F4"/>
    <w:rsid w:val="008B7C02"/>
    <w:rsid w:val="008B7D2B"/>
    <w:rsid w:val="008C0049"/>
    <w:rsid w:val="008C0E88"/>
    <w:rsid w:val="008D1E6A"/>
    <w:rsid w:val="008D2A16"/>
    <w:rsid w:val="008D3EB6"/>
    <w:rsid w:val="008E2C57"/>
    <w:rsid w:val="008E31FF"/>
    <w:rsid w:val="008E45A5"/>
    <w:rsid w:val="008E4A71"/>
    <w:rsid w:val="008E6EA1"/>
    <w:rsid w:val="008E6F06"/>
    <w:rsid w:val="008F029B"/>
    <w:rsid w:val="008F3FC9"/>
    <w:rsid w:val="008F585B"/>
    <w:rsid w:val="009003A8"/>
    <w:rsid w:val="00900906"/>
    <w:rsid w:val="009022DB"/>
    <w:rsid w:val="00902500"/>
    <w:rsid w:val="00902EFF"/>
    <w:rsid w:val="00903DD7"/>
    <w:rsid w:val="00906401"/>
    <w:rsid w:val="009069DD"/>
    <w:rsid w:val="0091155E"/>
    <w:rsid w:val="00912A92"/>
    <w:rsid w:val="009139D4"/>
    <w:rsid w:val="0091461C"/>
    <w:rsid w:val="0091728D"/>
    <w:rsid w:val="0092180B"/>
    <w:rsid w:val="00921F14"/>
    <w:rsid w:val="00924AC8"/>
    <w:rsid w:val="0092597A"/>
    <w:rsid w:val="00925B46"/>
    <w:rsid w:val="00932443"/>
    <w:rsid w:val="0093327D"/>
    <w:rsid w:val="00937AE2"/>
    <w:rsid w:val="009414C3"/>
    <w:rsid w:val="00942E9C"/>
    <w:rsid w:val="00943355"/>
    <w:rsid w:val="00943956"/>
    <w:rsid w:val="0094427A"/>
    <w:rsid w:val="0095097B"/>
    <w:rsid w:val="00952330"/>
    <w:rsid w:val="00954BEF"/>
    <w:rsid w:val="00955616"/>
    <w:rsid w:val="00955781"/>
    <w:rsid w:val="00962800"/>
    <w:rsid w:val="00964E22"/>
    <w:rsid w:val="0096780E"/>
    <w:rsid w:val="00967F54"/>
    <w:rsid w:val="0097432F"/>
    <w:rsid w:val="00974923"/>
    <w:rsid w:val="00974B67"/>
    <w:rsid w:val="009766D9"/>
    <w:rsid w:val="00980D3D"/>
    <w:rsid w:val="009842F9"/>
    <w:rsid w:val="00987450"/>
    <w:rsid w:val="00987A30"/>
    <w:rsid w:val="00987A7C"/>
    <w:rsid w:val="00992CF3"/>
    <w:rsid w:val="00994B4F"/>
    <w:rsid w:val="009968D6"/>
    <w:rsid w:val="009A0113"/>
    <w:rsid w:val="009A1CAB"/>
    <w:rsid w:val="009A60D1"/>
    <w:rsid w:val="009B0E68"/>
    <w:rsid w:val="009B58F8"/>
    <w:rsid w:val="009B6EF0"/>
    <w:rsid w:val="009B6FD3"/>
    <w:rsid w:val="009B7AB3"/>
    <w:rsid w:val="009C1750"/>
    <w:rsid w:val="009C2E29"/>
    <w:rsid w:val="009C554B"/>
    <w:rsid w:val="009C62E3"/>
    <w:rsid w:val="009C6EB0"/>
    <w:rsid w:val="009C719E"/>
    <w:rsid w:val="009D3ACD"/>
    <w:rsid w:val="009D40B8"/>
    <w:rsid w:val="009D411F"/>
    <w:rsid w:val="009E4DA8"/>
    <w:rsid w:val="009E5273"/>
    <w:rsid w:val="009E5DDB"/>
    <w:rsid w:val="009F4AAB"/>
    <w:rsid w:val="009F4CA7"/>
    <w:rsid w:val="009F57A5"/>
    <w:rsid w:val="009F77CC"/>
    <w:rsid w:val="009F7EF6"/>
    <w:rsid w:val="00A00211"/>
    <w:rsid w:val="00A0206A"/>
    <w:rsid w:val="00A02CD2"/>
    <w:rsid w:val="00A05A68"/>
    <w:rsid w:val="00A10D66"/>
    <w:rsid w:val="00A11D98"/>
    <w:rsid w:val="00A12639"/>
    <w:rsid w:val="00A12A36"/>
    <w:rsid w:val="00A1368C"/>
    <w:rsid w:val="00A14114"/>
    <w:rsid w:val="00A16413"/>
    <w:rsid w:val="00A23E43"/>
    <w:rsid w:val="00A26C82"/>
    <w:rsid w:val="00A30F65"/>
    <w:rsid w:val="00A32057"/>
    <w:rsid w:val="00A365B0"/>
    <w:rsid w:val="00A4000A"/>
    <w:rsid w:val="00A418BC"/>
    <w:rsid w:val="00A41E49"/>
    <w:rsid w:val="00A44374"/>
    <w:rsid w:val="00A465B5"/>
    <w:rsid w:val="00A46DE0"/>
    <w:rsid w:val="00A50D73"/>
    <w:rsid w:val="00A52CAD"/>
    <w:rsid w:val="00A53FC7"/>
    <w:rsid w:val="00A614C8"/>
    <w:rsid w:val="00A62CE1"/>
    <w:rsid w:val="00A64228"/>
    <w:rsid w:val="00A65F02"/>
    <w:rsid w:val="00A6741E"/>
    <w:rsid w:val="00A72AE3"/>
    <w:rsid w:val="00A735F4"/>
    <w:rsid w:val="00A75E40"/>
    <w:rsid w:val="00A77D1D"/>
    <w:rsid w:val="00A8100D"/>
    <w:rsid w:val="00A83D7F"/>
    <w:rsid w:val="00A857C0"/>
    <w:rsid w:val="00A87D0E"/>
    <w:rsid w:val="00A87EED"/>
    <w:rsid w:val="00AA2996"/>
    <w:rsid w:val="00AA3FB5"/>
    <w:rsid w:val="00AA52BF"/>
    <w:rsid w:val="00AA559A"/>
    <w:rsid w:val="00AA76C2"/>
    <w:rsid w:val="00AB120C"/>
    <w:rsid w:val="00AB1449"/>
    <w:rsid w:val="00AB2AF1"/>
    <w:rsid w:val="00AB417B"/>
    <w:rsid w:val="00AC5F80"/>
    <w:rsid w:val="00AD306C"/>
    <w:rsid w:val="00AD47A6"/>
    <w:rsid w:val="00AD62D4"/>
    <w:rsid w:val="00AE09B3"/>
    <w:rsid w:val="00AE1A83"/>
    <w:rsid w:val="00AE279D"/>
    <w:rsid w:val="00AE62C0"/>
    <w:rsid w:val="00AE7CCD"/>
    <w:rsid w:val="00AF6F2E"/>
    <w:rsid w:val="00AF77C7"/>
    <w:rsid w:val="00B00913"/>
    <w:rsid w:val="00B01593"/>
    <w:rsid w:val="00B04A5C"/>
    <w:rsid w:val="00B10A4D"/>
    <w:rsid w:val="00B1475D"/>
    <w:rsid w:val="00B17E71"/>
    <w:rsid w:val="00B17FDE"/>
    <w:rsid w:val="00B224E2"/>
    <w:rsid w:val="00B2379C"/>
    <w:rsid w:val="00B260C8"/>
    <w:rsid w:val="00B2687D"/>
    <w:rsid w:val="00B273E8"/>
    <w:rsid w:val="00B279F8"/>
    <w:rsid w:val="00B27FBF"/>
    <w:rsid w:val="00B30272"/>
    <w:rsid w:val="00B32DDB"/>
    <w:rsid w:val="00B34181"/>
    <w:rsid w:val="00B34465"/>
    <w:rsid w:val="00B34528"/>
    <w:rsid w:val="00B36D23"/>
    <w:rsid w:val="00B402FC"/>
    <w:rsid w:val="00B441A8"/>
    <w:rsid w:val="00B46604"/>
    <w:rsid w:val="00B46D74"/>
    <w:rsid w:val="00B530CD"/>
    <w:rsid w:val="00B55A2A"/>
    <w:rsid w:val="00B55F5E"/>
    <w:rsid w:val="00B5752E"/>
    <w:rsid w:val="00B619B4"/>
    <w:rsid w:val="00B63A11"/>
    <w:rsid w:val="00B64200"/>
    <w:rsid w:val="00B6433A"/>
    <w:rsid w:val="00B64C24"/>
    <w:rsid w:val="00B6608F"/>
    <w:rsid w:val="00B66B4E"/>
    <w:rsid w:val="00B679FB"/>
    <w:rsid w:val="00B70E68"/>
    <w:rsid w:val="00B72195"/>
    <w:rsid w:val="00B73994"/>
    <w:rsid w:val="00B75BBD"/>
    <w:rsid w:val="00B76D1E"/>
    <w:rsid w:val="00B80EC6"/>
    <w:rsid w:val="00B83BAD"/>
    <w:rsid w:val="00B92D1D"/>
    <w:rsid w:val="00B938C5"/>
    <w:rsid w:val="00B93D40"/>
    <w:rsid w:val="00B94FB9"/>
    <w:rsid w:val="00B95940"/>
    <w:rsid w:val="00BA0331"/>
    <w:rsid w:val="00BA10E8"/>
    <w:rsid w:val="00BA1DE3"/>
    <w:rsid w:val="00BA36A1"/>
    <w:rsid w:val="00BA4755"/>
    <w:rsid w:val="00BB139E"/>
    <w:rsid w:val="00BB45DF"/>
    <w:rsid w:val="00BB46F3"/>
    <w:rsid w:val="00BB4CB1"/>
    <w:rsid w:val="00BB4F98"/>
    <w:rsid w:val="00BC69ED"/>
    <w:rsid w:val="00BC7154"/>
    <w:rsid w:val="00BD1783"/>
    <w:rsid w:val="00BD24BE"/>
    <w:rsid w:val="00BD366B"/>
    <w:rsid w:val="00BD4810"/>
    <w:rsid w:val="00BD5067"/>
    <w:rsid w:val="00BD5439"/>
    <w:rsid w:val="00BD6D50"/>
    <w:rsid w:val="00BE18B9"/>
    <w:rsid w:val="00BE2495"/>
    <w:rsid w:val="00BE4E2C"/>
    <w:rsid w:val="00BE7929"/>
    <w:rsid w:val="00BE7A3A"/>
    <w:rsid w:val="00BF1578"/>
    <w:rsid w:val="00BF2883"/>
    <w:rsid w:val="00BF3462"/>
    <w:rsid w:val="00BF5046"/>
    <w:rsid w:val="00BF5D63"/>
    <w:rsid w:val="00C00F36"/>
    <w:rsid w:val="00C014CF"/>
    <w:rsid w:val="00C03051"/>
    <w:rsid w:val="00C06D15"/>
    <w:rsid w:val="00C11028"/>
    <w:rsid w:val="00C1353F"/>
    <w:rsid w:val="00C14866"/>
    <w:rsid w:val="00C17311"/>
    <w:rsid w:val="00C17A2C"/>
    <w:rsid w:val="00C20901"/>
    <w:rsid w:val="00C21F94"/>
    <w:rsid w:val="00C236E9"/>
    <w:rsid w:val="00C2399D"/>
    <w:rsid w:val="00C27913"/>
    <w:rsid w:val="00C27ECC"/>
    <w:rsid w:val="00C31E92"/>
    <w:rsid w:val="00C323F3"/>
    <w:rsid w:val="00C33B68"/>
    <w:rsid w:val="00C36A79"/>
    <w:rsid w:val="00C405D4"/>
    <w:rsid w:val="00C41282"/>
    <w:rsid w:val="00C4513B"/>
    <w:rsid w:val="00C5100F"/>
    <w:rsid w:val="00C511CE"/>
    <w:rsid w:val="00C54697"/>
    <w:rsid w:val="00C54C17"/>
    <w:rsid w:val="00C55813"/>
    <w:rsid w:val="00C6098D"/>
    <w:rsid w:val="00C62C08"/>
    <w:rsid w:val="00C7069B"/>
    <w:rsid w:val="00C70E45"/>
    <w:rsid w:val="00C732F4"/>
    <w:rsid w:val="00C73885"/>
    <w:rsid w:val="00C747B1"/>
    <w:rsid w:val="00C82191"/>
    <w:rsid w:val="00C83562"/>
    <w:rsid w:val="00C83D6F"/>
    <w:rsid w:val="00C8480C"/>
    <w:rsid w:val="00C90CF4"/>
    <w:rsid w:val="00C9239B"/>
    <w:rsid w:val="00C92EB6"/>
    <w:rsid w:val="00C93389"/>
    <w:rsid w:val="00C968EC"/>
    <w:rsid w:val="00CA0193"/>
    <w:rsid w:val="00CA1DC3"/>
    <w:rsid w:val="00CA3762"/>
    <w:rsid w:val="00CA48F0"/>
    <w:rsid w:val="00CA58AF"/>
    <w:rsid w:val="00CA5CD7"/>
    <w:rsid w:val="00CA7231"/>
    <w:rsid w:val="00CB4930"/>
    <w:rsid w:val="00CC0FAD"/>
    <w:rsid w:val="00CC2E7D"/>
    <w:rsid w:val="00CC4633"/>
    <w:rsid w:val="00CC7BD4"/>
    <w:rsid w:val="00CD10A5"/>
    <w:rsid w:val="00CD19A1"/>
    <w:rsid w:val="00CD2076"/>
    <w:rsid w:val="00CE02B0"/>
    <w:rsid w:val="00CE581D"/>
    <w:rsid w:val="00CE670B"/>
    <w:rsid w:val="00CF3B98"/>
    <w:rsid w:val="00CF51EC"/>
    <w:rsid w:val="00CF6D2E"/>
    <w:rsid w:val="00CF731B"/>
    <w:rsid w:val="00CF73AE"/>
    <w:rsid w:val="00CF7B32"/>
    <w:rsid w:val="00D01653"/>
    <w:rsid w:val="00D03933"/>
    <w:rsid w:val="00D040DD"/>
    <w:rsid w:val="00D1349A"/>
    <w:rsid w:val="00D13986"/>
    <w:rsid w:val="00D235B7"/>
    <w:rsid w:val="00D23F8C"/>
    <w:rsid w:val="00D25F28"/>
    <w:rsid w:val="00D27973"/>
    <w:rsid w:val="00D3033B"/>
    <w:rsid w:val="00D32094"/>
    <w:rsid w:val="00D34A1E"/>
    <w:rsid w:val="00D50F46"/>
    <w:rsid w:val="00D547FB"/>
    <w:rsid w:val="00D60E22"/>
    <w:rsid w:val="00D66223"/>
    <w:rsid w:val="00D67548"/>
    <w:rsid w:val="00D73EE0"/>
    <w:rsid w:val="00D8084C"/>
    <w:rsid w:val="00D812A5"/>
    <w:rsid w:val="00D85A17"/>
    <w:rsid w:val="00D93ACF"/>
    <w:rsid w:val="00DA7218"/>
    <w:rsid w:val="00DA7C0C"/>
    <w:rsid w:val="00DB0EA9"/>
    <w:rsid w:val="00DB2EC8"/>
    <w:rsid w:val="00DB3202"/>
    <w:rsid w:val="00DC010A"/>
    <w:rsid w:val="00DC1531"/>
    <w:rsid w:val="00DC18C2"/>
    <w:rsid w:val="00DC37BD"/>
    <w:rsid w:val="00DC5B3B"/>
    <w:rsid w:val="00DC5EF2"/>
    <w:rsid w:val="00DD1036"/>
    <w:rsid w:val="00DD129F"/>
    <w:rsid w:val="00DD45F9"/>
    <w:rsid w:val="00DF0884"/>
    <w:rsid w:val="00DF42FF"/>
    <w:rsid w:val="00DF6484"/>
    <w:rsid w:val="00DF76D8"/>
    <w:rsid w:val="00E01C0E"/>
    <w:rsid w:val="00E03F9A"/>
    <w:rsid w:val="00E04694"/>
    <w:rsid w:val="00E04A17"/>
    <w:rsid w:val="00E12B1E"/>
    <w:rsid w:val="00E132F3"/>
    <w:rsid w:val="00E13797"/>
    <w:rsid w:val="00E142C3"/>
    <w:rsid w:val="00E142C8"/>
    <w:rsid w:val="00E17262"/>
    <w:rsid w:val="00E253A2"/>
    <w:rsid w:val="00E325E3"/>
    <w:rsid w:val="00E3309D"/>
    <w:rsid w:val="00E43E8D"/>
    <w:rsid w:val="00E45B56"/>
    <w:rsid w:val="00E50156"/>
    <w:rsid w:val="00E50AF9"/>
    <w:rsid w:val="00E53470"/>
    <w:rsid w:val="00E539F6"/>
    <w:rsid w:val="00E57F58"/>
    <w:rsid w:val="00E620A9"/>
    <w:rsid w:val="00E6519D"/>
    <w:rsid w:val="00E67696"/>
    <w:rsid w:val="00E70DFF"/>
    <w:rsid w:val="00E71A58"/>
    <w:rsid w:val="00E72A7A"/>
    <w:rsid w:val="00E75C94"/>
    <w:rsid w:val="00E81ECB"/>
    <w:rsid w:val="00E84E0E"/>
    <w:rsid w:val="00E86E8B"/>
    <w:rsid w:val="00E93820"/>
    <w:rsid w:val="00EA0C68"/>
    <w:rsid w:val="00EA12E2"/>
    <w:rsid w:val="00EA32BC"/>
    <w:rsid w:val="00EB135D"/>
    <w:rsid w:val="00EB3D7B"/>
    <w:rsid w:val="00EB4511"/>
    <w:rsid w:val="00EB4D8D"/>
    <w:rsid w:val="00EB55BF"/>
    <w:rsid w:val="00EC03D7"/>
    <w:rsid w:val="00EC32CC"/>
    <w:rsid w:val="00EC7E31"/>
    <w:rsid w:val="00ED54C2"/>
    <w:rsid w:val="00ED62C6"/>
    <w:rsid w:val="00ED64C1"/>
    <w:rsid w:val="00ED6A91"/>
    <w:rsid w:val="00EE0658"/>
    <w:rsid w:val="00EE173E"/>
    <w:rsid w:val="00EE3446"/>
    <w:rsid w:val="00EE3E78"/>
    <w:rsid w:val="00EE4B1B"/>
    <w:rsid w:val="00EF150D"/>
    <w:rsid w:val="00EF1F5A"/>
    <w:rsid w:val="00EF47BF"/>
    <w:rsid w:val="00EF63D9"/>
    <w:rsid w:val="00EF6769"/>
    <w:rsid w:val="00EF717E"/>
    <w:rsid w:val="00F02847"/>
    <w:rsid w:val="00F04811"/>
    <w:rsid w:val="00F0488C"/>
    <w:rsid w:val="00F05F5E"/>
    <w:rsid w:val="00F10BBA"/>
    <w:rsid w:val="00F10F11"/>
    <w:rsid w:val="00F15AAA"/>
    <w:rsid w:val="00F15BEF"/>
    <w:rsid w:val="00F2308B"/>
    <w:rsid w:val="00F24407"/>
    <w:rsid w:val="00F24FAA"/>
    <w:rsid w:val="00F3086A"/>
    <w:rsid w:val="00F31E04"/>
    <w:rsid w:val="00F3364D"/>
    <w:rsid w:val="00F3412C"/>
    <w:rsid w:val="00F34506"/>
    <w:rsid w:val="00F3529F"/>
    <w:rsid w:val="00F37AB8"/>
    <w:rsid w:val="00F437CC"/>
    <w:rsid w:val="00F45774"/>
    <w:rsid w:val="00F47067"/>
    <w:rsid w:val="00F47424"/>
    <w:rsid w:val="00F50340"/>
    <w:rsid w:val="00F525EB"/>
    <w:rsid w:val="00F52AE0"/>
    <w:rsid w:val="00F53993"/>
    <w:rsid w:val="00F54584"/>
    <w:rsid w:val="00F55783"/>
    <w:rsid w:val="00F57BD6"/>
    <w:rsid w:val="00F63DDE"/>
    <w:rsid w:val="00F63FB7"/>
    <w:rsid w:val="00F649D2"/>
    <w:rsid w:val="00F653EA"/>
    <w:rsid w:val="00F6602B"/>
    <w:rsid w:val="00F701A9"/>
    <w:rsid w:val="00F70E02"/>
    <w:rsid w:val="00F70F2A"/>
    <w:rsid w:val="00F7260E"/>
    <w:rsid w:val="00F72660"/>
    <w:rsid w:val="00F73A0C"/>
    <w:rsid w:val="00F756DB"/>
    <w:rsid w:val="00F85066"/>
    <w:rsid w:val="00F85630"/>
    <w:rsid w:val="00F935A7"/>
    <w:rsid w:val="00F940C8"/>
    <w:rsid w:val="00F959EA"/>
    <w:rsid w:val="00FA1D8E"/>
    <w:rsid w:val="00FA5D4D"/>
    <w:rsid w:val="00FA7149"/>
    <w:rsid w:val="00FB0AB5"/>
    <w:rsid w:val="00FB0C23"/>
    <w:rsid w:val="00FB0EE2"/>
    <w:rsid w:val="00FB542E"/>
    <w:rsid w:val="00FB6B79"/>
    <w:rsid w:val="00FC0E5F"/>
    <w:rsid w:val="00FC1A95"/>
    <w:rsid w:val="00FC2D21"/>
    <w:rsid w:val="00FC56DE"/>
    <w:rsid w:val="00FC684B"/>
    <w:rsid w:val="00FD3265"/>
    <w:rsid w:val="00FE12B1"/>
    <w:rsid w:val="00FE2F78"/>
    <w:rsid w:val="00FE313E"/>
    <w:rsid w:val="00FF424F"/>
    <w:rsid w:val="00FF7B96"/>
    <w:rsid w:val="00FF7BB1"/>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cf4dd,#eaecee,#fcec0a,#fcecdb,#f1daf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footnote reference" w:uiPriority="0"/>
    <w:lsdException w:name="Lis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lsdException w:name="Colorful Grid Accent 1" w:semiHidden="0" w:uiPriority="29" w:unhideWhenUsed="0"/>
    <w:lsdException w:name="Light Shading Accent 2" w:semiHidden="0" w:uiPriority="3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39" w:qFormat="1"/>
  </w:latentStyles>
  <w:style w:type="paragraph" w:default="1" w:styleId="Normln">
    <w:name w:val="Normal"/>
    <w:qFormat/>
    <w:rsid w:val="00DF42FF"/>
    <w:pPr>
      <w:spacing w:after="240" w:line="288" w:lineRule="auto"/>
    </w:pPr>
    <w:rPr>
      <w:rFonts w:ascii="Arial" w:eastAsia="Times New Roman" w:hAnsi="Arial"/>
      <w:szCs w:val="24"/>
    </w:rPr>
  </w:style>
  <w:style w:type="paragraph" w:styleId="Nadpis1">
    <w:name w:val="heading 1"/>
    <w:next w:val="Normln"/>
    <w:link w:val="Nadpis1Char"/>
    <w:uiPriority w:val="9"/>
    <w:qFormat/>
    <w:rsid w:val="004900FF"/>
    <w:pPr>
      <w:keepNext/>
      <w:keepLines/>
      <w:spacing w:after="100" w:line="288" w:lineRule="auto"/>
      <w:contextualSpacing/>
      <w:outlineLvl w:val="0"/>
    </w:pPr>
    <w:rPr>
      <w:rFonts w:ascii="Arial" w:eastAsia="MS Gothic" w:hAnsi="Arial"/>
      <w:b/>
      <w:bCs/>
      <w:color w:val="C00000"/>
      <w:sz w:val="32"/>
      <w:szCs w:val="28"/>
    </w:rPr>
  </w:style>
  <w:style w:type="paragraph" w:styleId="Nadpis2">
    <w:name w:val="heading 2"/>
    <w:next w:val="Normln"/>
    <w:link w:val="Nadpis2Char"/>
    <w:uiPriority w:val="9"/>
    <w:qFormat/>
    <w:rsid w:val="004900FF"/>
    <w:pPr>
      <w:keepNext/>
      <w:keepLines/>
      <w:spacing w:line="288" w:lineRule="auto"/>
      <w:outlineLvl w:val="1"/>
    </w:pPr>
    <w:rPr>
      <w:rFonts w:ascii="Arial" w:eastAsia="MS Gothic" w:hAnsi="Arial"/>
      <w:b/>
      <w:bCs/>
      <w:color w:val="BC091B"/>
      <w:sz w:val="28"/>
      <w:szCs w:val="26"/>
    </w:rPr>
  </w:style>
  <w:style w:type="paragraph" w:styleId="Nadpis3">
    <w:name w:val="heading 3"/>
    <w:next w:val="Normln"/>
    <w:link w:val="Nadpis3Char"/>
    <w:uiPriority w:val="9"/>
    <w:qFormat/>
    <w:rsid w:val="004900FF"/>
    <w:pPr>
      <w:keepNext/>
      <w:keepLines/>
      <w:spacing w:line="288" w:lineRule="auto"/>
      <w:outlineLvl w:val="2"/>
    </w:pPr>
    <w:rPr>
      <w:rFonts w:ascii="Arial" w:eastAsia="MS Gothic" w:hAnsi="Arial"/>
      <w:b/>
      <w:bCs/>
      <w:color w:val="BC091B"/>
      <w:sz w:val="24"/>
      <w:szCs w:val="24"/>
    </w:rPr>
  </w:style>
  <w:style w:type="paragraph" w:styleId="Nadpis4">
    <w:name w:val="heading 4"/>
    <w:next w:val="Normln"/>
    <w:link w:val="Nadpis4Char"/>
    <w:uiPriority w:val="9"/>
    <w:qFormat/>
    <w:rsid w:val="004900FF"/>
    <w:pPr>
      <w:keepNext/>
      <w:keepLines/>
      <w:spacing w:line="288" w:lineRule="auto"/>
      <w:outlineLvl w:val="3"/>
    </w:pPr>
    <w:rPr>
      <w:rFonts w:ascii="Arial" w:eastAsia="MS Gothic" w:hAnsi="Arial"/>
      <w:b/>
      <w:bCs/>
      <w:iCs/>
      <w:color w:val="BC091B"/>
      <w:szCs w:val="24"/>
    </w:rPr>
  </w:style>
  <w:style w:type="paragraph" w:styleId="Nadpis9">
    <w:name w:val="heading 9"/>
    <w:basedOn w:val="Normln"/>
    <w:next w:val="Normln"/>
    <w:link w:val="Nadpis9Char"/>
    <w:uiPriority w:val="9"/>
    <w:semiHidden/>
    <w:unhideWhenUsed/>
    <w:qFormat/>
    <w:rsid w:val="00A30F65"/>
    <w:p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4900FF"/>
    <w:rPr>
      <w:rFonts w:ascii="Arial" w:eastAsia="MS Gothic" w:hAnsi="Arial"/>
      <w:b/>
      <w:bCs/>
      <w:color w:val="C00000"/>
      <w:sz w:val="32"/>
      <w:szCs w:val="28"/>
      <w:lang w:bidi="ar-SA"/>
    </w:rPr>
  </w:style>
  <w:style w:type="character" w:customStyle="1" w:styleId="Nadpis2Char">
    <w:name w:val="Nadpis 2 Char"/>
    <w:link w:val="Nadpis2"/>
    <w:uiPriority w:val="9"/>
    <w:rsid w:val="004900FF"/>
    <w:rPr>
      <w:rFonts w:ascii="Arial" w:eastAsia="MS Gothic" w:hAnsi="Arial"/>
      <w:b/>
      <w:bCs/>
      <w:color w:val="BC091B"/>
      <w:sz w:val="28"/>
      <w:szCs w:val="26"/>
      <w:lang w:bidi="ar-SA"/>
    </w:rPr>
  </w:style>
  <w:style w:type="character" w:customStyle="1" w:styleId="Nadpis3Char">
    <w:name w:val="Nadpis 3 Char"/>
    <w:link w:val="Nadpis3"/>
    <w:uiPriority w:val="9"/>
    <w:rsid w:val="004900FF"/>
    <w:rPr>
      <w:rFonts w:ascii="Arial" w:eastAsia="MS Gothic" w:hAnsi="Arial"/>
      <w:b/>
      <w:bCs/>
      <w:color w:val="BC091B"/>
      <w:sz w:val="24"/>
      <w:szCs w:val="24"/>
      <w:lang w:bidi="ar-SA"/>
    </w:rPr>
  </w:style>
  <w:style w:type="character" w:customStyle="1" w:styleId="Nadpis4Char">
    <w:name w:val="Nadpis 4 Char"/>
    <w:link w:val="Nadpis4"/>
    <w:uiPriority w:val="9"/>
    <w:rsid w:val="004900FF"/>
    <w:rPr>
      <w:rFonts w:ascii="Arial" w:eastAsia="MS Gothic" w:hAnsi="Arial"/>
      <w:b/>
      <w:bCs/>
      <w:iCs/>
      <w:color w:val="BC091B"/>
      <w:szCs w:val="24"/>
      <w:lang w:bidi="ar-SA"/>
    </w:rPr>
  </w:style>
  <w:style w:type="character" w:customStyle="1" w:styleId="Nadpis9Char">
    <w:name w:val="Nadpis 9 Char"/>
    <w:link w:val="Nadpis9"/>
    <w:uiPriority w:val="9"/>
    <w:semiHidden/>
    <w:rsid w:val="00A30F65"/>
    <w:rPr>
      <w:rFonts w:ascii="Cambria" w:eastAsia="Times New Roman" w:hAnsi="Cambria" w:cs="Times New Roman"/>
      <w:sz w:val="22"/>
      <w:szCs w:val="22"/>
    </w:rPr>
  </w:style>
  <w:style w:type="character" w:styleId="Hypertextovodkaz">
    <w:name w:val="Hyperlink"/>
    <w:uiPriority w:val="99"/>
    <w:rsid w:val="00E71A58"/>
    <w:rPr>
      <w:color w:val="0000FF"/>
      <w:u w:val="single"/>
    </w:rPr>
  </w:style>
  <w:style w:type="paragraph" w:styleId="Zhlav">
    <w:name w:val="header"/>
    <w:link w:val="ZhlavChar"/>
    <w:uiPriority w:val="99"/>
    <w:unhideWhenUsed/>
    <w:qFormat/>
    <w:rsid w:val="00A418BC"/>
    <w:pPr>
      <w:spacing w:line="288" w:lineRule="auto"/>
    </w:pPr>
    <w:rPr>
      <w:rFonts w:ascii="Arial" w:hAnsi="Arial"/>
      <w:sz w:val="16"/>
      <w:szCs w:val="22"/>
      <w:lang w:eastAsia="en-US"/>
    </w:rPr>
  </w:style>
  <w:style w:type="character" w:customStyle="1" w:styleId="ZhlavChar">
    <w:name w:val="Záhlaví Char"/>
    <w:link w:val="Zhlav"/>
    <w:uiPriority w:val="99"/>
    <w:rsid w:val="00A418BC"/>
    <w:rPr>
      <w:rFonts w:ascii="Arial" w:hAnsi="Arial"/>
      <w:sz w:val="16"/>
      <w:szCs w:val="22"/>
      <w:lang w:eastAsia="en-US" w:bidi="ar-SA"/>
    </w:rPr>
  </w:style>
  <w:style w:type="paragraph" w:styleId="Zpat">
    <w:name w:val="footer"/>
    <w:link w:val="ZpatChar"/>
    <w:uiPriority w:val="99"/>
    <w:unhideWhenUsed/>
    <w:qFormat/>
    <w:rsid w:val="00031AE0"/>
    <w:pPr>
      <w:tabs>
        <w:tab w:val="center" w:pos="4820"/>
        <w:tab w:val="right" w:pos="9639"/>
      </w:tabs>
    </w:pPr>
    <w:rPr>
      <w:rFonts w:ascii="Arial" w:hAnsi="Arial"/>
      <w:noProof/>
      <w:sz w:val="16"/>
      <w:lang w:eastAsia="en-US"/>
    </w:rPr>
  </w:style>
  <w:style w:type="character" w:customStyle="1" w:styleId="ZpatChar">
    <w:name w:val="Zápatí Char"/>
    <w:link w:val="Zpat"/>
    <w:uiPriority w:val="99"/>
    <w:rsid w:val="00031AE0"/>
    <w:rPr>
      <w:rFonts w:ascii="Arial" w:hAnsi="Arial"/>
      <w:noProof/>
      <w:sz w:val="16"/>
      <w:lang w:eastAsia="en-US" w:bidi="ar-SA"/>
    </w:rPr>
  </w:style>
  <w:style w:type="paragraph" w:styleId="Textbubliny">
    <w:name w:val="Balloon Text"/>
    <w:basedOn w:val="Normln"/>
    <w:link w:val="TextbublinyChar"/>
    <w:uiPriority w:val="99"/>
    <w:semiHidden/>
    <w:unhideWhenUsed/>
    <w:rsid w:val="00E71A58"/>
    <w:rPr>
      <w:rFonts w:ascii="Tahoma" w:eastAsia="Calibri" w:hAnsi="Tahoma"/>
      <w:sz w:val="16"/>
      <w:szCs w:val="16"/>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link w:val="ZkladnodstavecChar"/>
    <w:uiPriority w:val="99"/>
    <w:rsid w:val="0008263E"/>
    <w:pPr>
      <w:autoSpaceDE w:val="0"/>
      <w:autoSpaceDN w:val="0"/>
      <w:adjustRightInd w:val="0"/>
      <w:spacing w:line="276" w:lineRule="auto"/>
      <w:textAlignment w:val="center"/>
    </w:pPr>
    <w:rPr>
      <w:rFonts w:ascii="Arial" w:hAnsi="Arial"/>
      <w:color w:val="000000"/>
      <w:szCs w:val="24"/>
    </w:rPr>
  </w:style>
  <w:style w:type="character" w:customStyle="1" w:styleId="ZkladnodstavecChar">
    <w:name w:val="[Základní odstavec] Char"/>
    <w:link w:val="Zkladnodstavec"/>
    <w:uiPriority w:val="99"/>
    <w:rsid w:val="0008263E"/>
    <w:rPr>
      <w:rFonts w:ascii="Arial" w:hAnsi="Arial"/>
      <w:color w:val="000000"/>
      <w:szCs w:val="24"/>
      <w:lang w:bidi="ar-SA"/>
    </w:rPr>
  </w:style>
  <w:style w:type="paragraph" w:styleId="Obsah1">
    <w:name w:val="toc 1"/>
    <w:basedOn w:val="Obsahpoloky"/>
    <w:next w:val="Obsahpoloky"/>
    <w:autoRedefine/>
    <w:uiPriority w:val="39"/>
    <w:unhideWhenUsed/>
    <w:rsid w:val="00FC1A95"/>
  </w:style>
  <w:style w:type="paragraph" w:customStyle="1" w:styleId="TLIdentifikace-sted">
    <w:name w:val="TL Identifikace - střed"/>
    <w:qFormat/>
    <w:rsid w:val="009A60D1"/>
    <w:pPr>
      <w:spacing w:after="200" w:line="288" w:lineRule="auto"/>
    </w:pPr>
    <w:rPr>
      <w:rFonts w:ascii="Arial" w:eastAsia="Times New Roman" w:hAnsi="Arial"/>
      <w:sz w:val="24"/>
      <w:szCs w:val="24"/>
    </w:rPr>
  </w:style>
  <w:style w:type="paragraph" w:customStyle="1" w:styleId="Obsah">
    <w:name w:val="Obsah"/>
    <w:next w:val="Normln"/>
    <w:qFormat/>
    <w:rsid w:val="004900FF"/>
    <w:pPr>
      <w:spacing w:after="80" w:line="288" w:lineRule="auto"/>
    </w:pPr>
    <w:rPr>
      <w:rFonts w:ascii="Arial" w:eastAsia="Times New Roman" w:hAnsi="Arial"/>
      <w:b/>
      <w:color w:val="BC091B"/>
      <w:sz w:val="32"/>
      <w:szCs w:val="24"/>
    </w:rPr>
  </w:style>
  <w:style w:type="paragraph" w:customStyle="1" w:styleId="Obsahpoloky">
    <w:name w:val="Obsah položky"/>
    <w:qFormat/>
    <w:rsid w:val="00616E05"/>
    <w:pPr>
      <w:tabs>
        <w:tab w:val="right" w:leader="dot" w:pos="9639"/>
      </w:tabs>
      <w:spacing w:line="288" w:lineRule="auto"/>
    </w:pPr>
    <w:rPr>
      <w:rFonts w:ascii="Arial" w:eastAsia="Times New Roman" w:hAnsi="Arial"/>
      <w:szCs w:val="24"/>
    </w:rPr>
  </w:style>
  <w:style w:type="paragraph" w:customStyle="1" w:styleId="Box1">
    <w:name w:val="Box 1"/>
    <w:next w:val="Normln"/>
    <w:qFormat/>
    <w:rsid w:val="004900FF"/>
    <w:pPr>
      <w:shd w:val="clear" w:color="auto" w:fill="F5DADD"/>
      <w:spacing w:before="240" w:after="240" w:line="288" w:lineRule="auto"/>
      <w:ind w:left="709"/>
      <w:contextualSpacing/>
    </w:pPr>
    <w:rPr>
      <w:rFonts w:ascii="Arial" w:hAnsi="Arial" w:cs="Arial"/>
    </w:rPr>
  </w:style>
  <w:style w:type="paragraph" w:customStyle="1" w:styleId="Box2">
    <w:name w:val="Box 2"/>
    <w:qFormat/>
    <w:rsid w:val="004900FF"/>
    <w:pPr>
      <w:spacing w:before="240" w:after="240" w:line="288" w:lineRule="auto"/>
      <w:ind w:left="709"/>
      <w:contextualSpacing/>
    </w:pPr>
    <w:rPr>
      <w:rFonts w:ascii="Arial" w:hAnsi="Arial" w:cs="Arial"/>
      <w:color w:val="BC091B"/>
    </w:rPr>
  </w:style>
  <w:style w:type="paragraph" w:styleId="Seznam">
    <w:name w:val="List"/>
    <w:basedOn w:val="Normln"/>
    <w:uiPriority w:val="99"/>
    <w:unhideWhenUsed/>
    <w:qFormat/>
    <w:rsid w:val="00481E40"/>
    <w:pPr>
      <w:contextualSpacing/>
    </w:pPr>
  </w:style>
  <w:style w:type="character" w:styleId="Siln">
    <w:name w:val="Strong"/>
    <w:aliases w:val="Tučné"/>
    <w:uiPriority w:val="22"/>
    <w:qFormat/>
    <w:rsid w:val="00EC03D7"/>
    <w:rPr>
      <w:rFonts w:ascii="Arial" w:hAnsi="Arial"/>
      <w:b/>
      <w:bCs/>
      <w:sz w:val="20"/>
    </w:rPr>
  </w:style>
  <w:style w:type="paragraph" w:customStyle="1" w:styleId="TLKontaktyerven">
    <w:name w:val="TL Kontakty červené"/>
    <w:basedOn w:val="Normln"/>
    <w:qFormat/>
    <w:rsid w:val="00104C4C"/>
    <w:pPr>
      <w:spacing w:after="40"/>
      <w:contextualSpacing/>
    </w:pPr>
    <w:rPr>
      <w:b/>
      <w:caps/>
      <w:color w:val="BD1B21"/>
      <w:sz w:val="24"/>
    </w:rPr>
  </w:style>
  <w:style w:type="paragraph" w:customStyle="1" w:styleId="TLKontakty">
    <w:name w:val="TL Kontakty"/>
    <w:qFormat/>
    <w:rsid w:val="008E6F06"/>
    <w:pPr>
      <w:spacing w:after="160" w:line="259" w:lineRule="auto"/>
      <w:contextualSpacing/>
    </w:pPr>
    <w:rPr>
      <w:rFonts w:ascii="Arial" w:eastAsia="Times New Roman" w:hAnsi="Arial"/>
      <w:b/>
      <w:color w:val="0071BC"/>
    </w:rPr>
  </w:style>
  <w:style w:type="paragraph" w:styleId="Nzev">
    <w:name w:val="Title"/>
    <w:link w:val="NzevChar"/>
    <w:uiPriority w:val="10"/>
    <w:qFormat/>
    <w:rsid w:val="004900FF"/>
    <w:pPr>
      <w:spacing w:line="288" w:lineRule="auto"/>
    </w:pPr>
    <w:rPr>
      <w:rFonts w:ascii="Arial" w:eastAsia="Times New Roman" w:hAnsi="Arial"/>
      <w:b/>
      <w:bCs/>
      <w:caps/>
      <w:color w:val="BC091B"/>
      <w:kern w:val="28"/>
      <w:sz w:val="56"/>
      <w:szCs w:val="32"/>
    </w:rPr>
  </w:style>
  <w:style w:type="character" w:customStyle="1" w:styleId="NzevChar">
    <w:name w:val="Název Char"/>
    <w:link w:val="Nzev"/>
    <w:uiPriority w:val="10"/>
    <w:rsid w:val="004900FF"/>
    <w:rPr>
      <w:rFonts w:ascii="Arial" w:eastAsia="Times New Roman" w:hAnsi="Arial"/>
      <w:b/>
      <w:bCs/>
      <w:caps/>
      <w:color w:val="BC091B"/>
      <w:kern w:val="28"/>
      <w:sz w:val="56"/>
      <w:szCs w:val="32"/>
      <w:lang w:bidi="ar-SA"/>
    </w:rPr>
  </w:style>
  <w:style w:type="paragraph" w:styleId="Podtitul">
    <w:name w:val="Subtitle"/>
    <w:link w:val="PodtitulChar"/>
    <w:uiPriority w:val="11"/>
    <w:qFormat/>
    <w:rsid w:val="004900FF"/>
    <w:pPr>
      <w:spacing w:line="288" w:lineRule="auto"/>
    </w:pPr>
    <w:rPr>
      <w:rFonts w:ascii="Arial" w:eastAsia="Times New Roman" w:hAnsi="Arial"/>
      <w:b/>
      <w:color w:val="BC091B"/>
      <w:sz w:val="28"/>
      <w:szCs w:val="24"/>
    </w:rPr>
  </w:style>
  <w:style w:type="character" w:customStyle="1" w:styleId="PodtitulChar">
    <w:name w:val="Podtitul Char"/>
    <w:link w:val="Podtitul"/>
    <w:uiPriority w:val="11"/>
    <w:rsid w:val="004900FF"/>
    <w:rPr>
      <w:rFonts w:ascii="Arial" w:eastAsia="Times New Roman" w:hAnsi="Arial"/>
      <w:b/>
      <w:color w:val="BC091B"/>
      <w:sz w:val="28"/>
      <w:szCs w:val="24"/>
      <w:lang w:bidi="ar-SA"/>
    </w:rPr>
  </w:style>
  <w:style w:type="paragraph" w:styleId="Textpoznpodarou">
    <w:name w:val="footnote text"/>
    <w:basedOn w:val="Normln"/>
    <w:link w:val="TextpoznpodarouChar"/>
    <w:unhideWhenUsed/>
    <w:rsid w:val="00C83D6F"/>
    <w:pPr>
      <w:spacing w:after="0" w:line="240" w:lineRule="auto"/>
    </w:pPr>
    <w:rPr>
      <w:rFonts w:ascii="Calibri" w:eastAsia="Calibri" w:hAnsi="Calibri"/>
      <w:szCs w:val="20"/>
      <w:lang w:eastAsia="en-US"/>
    </w:rPr>
  </w:style>
  <w:style w:type="character" w:customStyle="1" w:styleId="TextpoznpodarouChar">
    <w:name w:val="Text pozn. pod čarou Char"/>
    <w:link w:val="Textpoznpodarou"/>
    <w:rsid w:val="00C83D6F"/>
    <w:rPr>
      <w:rFonts w:ascii="Calibri" w:eastAsia="Calibri" w:hAnsi="Calibri" w:cs="Times New Roman"/>
      <w:lang w:eastAsia="en-US"/>
    </w:rPr>
  </w:style>
  <w:style w:type="paragraph" w:styleId="Obsah2">
    <w:name w:val="toc 2"/>
    <w:basedOn w:val="Obsahpoloky"/>
    <w:next w:val="Obsahpoloky"/>
    <w:autoRedefine/>
    <w:uiPriority w:val="39"/>
    <w:unhideWhenUsed/>
    <w:rsid w:val="00FC1A95"/>
    <w:pPr>
      <w:ind w:left="200"/>
    </w:pPr>
  </w:style>
  <w:style w:type="paragraph" w:styleId="Obsah3">
    <w:name w:val="toc 3"/>
    <w:basedOn w:val="Obsahpoloky"/>
    <w:next w:val="Obsahpoloky"/>
    <w:autoRedefine/>
    <w:uiPriority w:val="39"/>
    <w:unhideWhenUsed/>
    <w:rsid w:val="00FC1A95"/>
    <w:pPr>
      <w:ind w:left="400"/>
    </w:pPr>
  </w:style>
  <w:style w:type="paragraph" w:styleId="Obsah4">
    <w:name w:val="toc 4"/>
    <w:basedOn w:val="Obsahpoloky"/>
    <w:next w:val="Obsahpoloky"/>
    <w:autoRedefine/>
    <w:uiPriority w:val="39"/>
    <w:unhideWhenUsed/>
    <w:rsid w:val="00FC1A95"/>
    <w:pPr>
      <w:ind w:left="600"/>
    </w:pPr>
  </w:style>
  <w:style w:type="paragraph" w:styleId="Obsah5">
    <w:name w:val="toc 5"/>
    <w:basedOn w:val="Obsahpoloky"/>
    <w:next w:val="Obsahpoloky"/>
    <w:autoRedefine/>
    <w:uiPriority w:val="39"/>
    <w:unhideWhenUsed/>
    <w:rsid w:val="00FC1A95"/>
    <w:pPr>
      <w:ind w:left="800"/>
    </w:pPr>
  </w:style>
  <w:style w:type="paragraph" w:styleId="Obsah6">
    <w:name w:val="toc 6"/>
    <w:basedOn w:val="Obsahpoloky"/>
    <w:next w:val="Obsahpoloky"/>
    <w:autoRedefine/>
    <w:uiPriority w:val="39"/>
    <w:unhideWhenUsed/>
    <w:rsid w:val="00FC1A95"/>
    <w:pPr>
      <w:ind w:left="1000"/>
    </w:pPr>
  </w:style>
  <w:style w:type="paragraph" w:styleId="Obsah7">
    <w:name w:val="toc 7"/>
    <w:basedOn w:val="Obsahpoloky"/>
    <w:next w:val="Obsahpoloky"/>
    <w:autoRedefine/>
    <w:uiPriority w:val="39"/>
    <w:unhideWhenUsed/>
    <w:rsid w:val="00FC1A95"/>
    <w:pPr>
      <w:ind w:left="1200"/>
    </w:pPr>
  </w:style>
  <w:style w:type="paragraph" w:styleId="Obsah8">
    <w:name w:val="toc 8"/>
    <w:basedOn w:val="Obsahpoloky"/>
    <w:next w:val="Obsahpoloky"/>
    <w:autoRedefine/>
    <w:uiPriority w:val="39"/>
    <w:unhideWhenUsed/>
    <w:rsid w:val="00FC1A95"/>
    <w:pPr>
      <w:ind w:left="1400"/>
    </w:pPr>
  </w:style>
  <w:style w:type="paragraph" w:styleId="Obsah9">
    <w:name w:val="toc 9"/>
    <w:basedOn w:val="Obsahpoloky"/>
    <w:next w:val="Obsahpoloky"/>
    <w:autoRedefine/>
    <w:uiPriority w:val="39"/>
    <w:unhideWhenUsed/>
    <w:rsid w:val="00924AC8"/>
    <w:pPr>
      <w:ind w:left="1600"/>
    </w:pPr>
  </w:style>
  <w:style w:type="character" w:styleId="Znakapoznpodarou">
    <w:name w:val="footnote reference"/>
    <w:semiHidden/>
    <w:unhideWhenUsed/>
    <w:rsid w:val="00C83D6F"/>
    <w:rPr>
      <w:vertAlign w:val="superscript"/>
    </w:rPr>
  </w:style>
  <w:style w:type="character" w:styleId="Odkaznakoment">
    <w:name w:val="annotation reference"/>
    <w:uiPriority w:val="99"/>
    <w:semiHidden/>
    <w:unhideWhenUsed/>
    <w:rsid w:val="00C83D6F"/>
    <w:rPr>
      <w:sz w:val="16"/>
      <w:szCs w:val="16"/>
    </w:rPr>
  </w:style>
  <w:style w:type="paragraph" w:styleId="Textkomente">
    <w:name w:val="annotation text"/>
    <w:basedOn w:val="Normln"/>
    <w:link w:val="TextkomenteChar"/>
    <w:uiPriority w:val="99"/>
    <w:semiHidden/>
    <w:unhideWhenUsed/>
    <w:rsid w:val="00C83D6F"/>
    <w:pPr>
      <w:spacing w:after="200" w:line="240" w:lineRule="auto"/>
    </w:pPr>
    <w:rPr>
      <w:rFonts w:ascii="Calibri" w:eastAsia="Calibri" w:hAnsi="Calibri"/>
      <w:szCs w:val="20"/>
      <w:lang w:eastAsia="en-US"/>
    </w:rPr>
  </w:style>
  <w:style w:type="character" w:customStyle="1" w:styleId="TextkomenteChar">
    <w:name w:val="Text komentáře Char"/>
    <w:link w:val="Textkomente"/>
    <w:uiPriority w:val="99"/>
    <w:semiHidden/>
    <w:rsid w:val="00C83D6F"/>
    <w:rPr>
      <w:rFonts w:ascii="Calibri" w:eastAsia="Calibri" w:hAnsi="Calibri" w:cs="Times New Roman"/>
      <w:lang w:eastAsia="en-US"/>
    </w:rPr>
  </w:style>
  <w:style w:type="character" w:styleId="Sledovanodkaz">
    <w:name w:val="FollowedHyperlink"/>
    <w:uiPriority w:val="99"/>
    <w:semiHidden/>
    <w:unhideWhenUsed/>
    <w:rsid w:val="00F959EA"/>
    <w:rPr>
      <w:color w:val="800080"/>
      <w:u w:val="single"/>
    </w:rPr>
  </w:style>
  <w:style w:type="paragraph" w:styleId="Pedmtkomente">
    <w:name w:val="annotation subject"/>
    <w:basedOn w:val="Textkomente"/>
    <w:next w:val="Textkomente"/>
    <w:link w:val="PedmtkomenteChar"/>
    <w:uiPriority w:val="99"/>
    <w:semiHidden/>
    <w:unhideWhenUsed/>
    <w:rsid w:val="007D7D0C"/>
    <w:rPr>
      <w:b/>
      <w:bCs/>
    </w:rPr>
  </w:style>
  <w:style w:type="character" w:customStyle="1" w:styleId="PedmtkomenteChar">
    <w:name w:val="Předmět komentáře Char"/>
    <w:link w:val="Pedmtkomente"/>
    <w:uiPriority w:val="99"/>
    <w:semiHidden/>
    <w:rsid w:val="007D7D0C"/>
    <w:rPr>
      <w:rFonts w:ascii="Calibri" w:eastAsia="Calibri" w:hAnsi="Calibri" w:cs="Times New Roman"/>
      <w:b/>
      <w:bCs/>
      <w:lang w:eastAsia="en-US"/>
    </w:rPr>
  </w:style>
  <w:style w:type="paragraph" w:styleId="Odstavecseseznamem">
    <w:name w:val="List Paragraph"/>
    <w:basedOn w:val="Normln"/>
    <w:uiPriority w:val="34"/>
    <w:qFormat/>
    <w:rsid w:val="007D7D0C"/>
    <w:pPr>
      <w:spacing w:after="200" w:line="276" w:lineRule="auto"/>
      <w:ind w:left="720"/>
      <w:contextualSpacing/>
    </w:pPr>
    <w:rPr>
      <w:rFonts w:ascii="Calibri" w:eastAsia="Calibri" w:hAnsi="Calibri"/>
      <w:sz w:val="22"/>
      <w:szCs w:val="22"/>
      <w:lang w:eastAsia="en-US"/>
    </w:rPr>
  </w:style>
  <w:style w:type="paragraph" w:styleId="Normlnweb">
    <w:name w:val="Normal (Web)"/>
    <w:basedOn w:val="Normln"/>
    <w:uiPriority w:val="99"/>
    <w:unhideWhenUsed/>
    <w:rsid w:val="007D7D0C"/>
    <w:pPr>
      <w:spacing w:before="100" w:beforeAutospacing="1" w:after="100" w:afterAutospacing="1" w:line="240" w:lineRule="auto"/>
    </w:pPr>
    <w:rPr>
      <w:rFonts w:ascii="Times New Roman" w:hAnsi="Times New Roman"/>
      <w:sz w:val="24"/>
    </w:rPr>
  </w:style>
  <w:style w:type="character" w:styleId="Zvraznn">
    <w:name w:val="Emphasis"/>
    <w:uiPriority w:val="20"/>
    <w:qFormat/>
    <w:rsid w:val="007D7D0C"/>
    <w:rPr>
      <w:i/>
      <w:iCs/>
    </w:rPr>
  </w:style>
  <w:style w:type="character" w:customStyle="1" w:styleId="bold">
    <w:name w:val="bold"/>
    <w:basedOn w:val="Standardnpsmoodstavce"/>
    <w:rsid w:val="007D7D0C"/>
  </w:style>
  <w:style w:type="paragraph" w:customStyle="1" w:styleId="Default">
    <w:name w:val="Default"/>
    <w:rsid w:val="007D7D0C"/>
    <w:pPr>
      <w:autoSpaceDE w:val="0"/>
      <w:autoSpaceDN w:val="0"/>
      <w:adjustRightInd w:val="0"/>
    </w:pPr>
    <w:rPr>
      <w:rFonts w:ascii="Times New Roman" w:hAnsi="Times New Roman"/>
      <w:color w:val="000000"/>
      <w:sz w:val="24"/>
      <w:szCs w:val="24"/>
      <w:lang w:eastAsia="en-US"/>
    </w:rPr>
  </w:style>
  <w:style w:type="paragraph" w:customStyle="1" w:styleId="part-odstavec">
    <w:name w:val="part-odstavec"/>
    <w:basedOn w:val="Normln"/>
    <w:rsid w:val="007D7D0C"/>
    <w:pPr>
      <w:spacing w:before="100" w:beforeAutospacing="1" w:after="100" w:afterAutospacing="1" w:line="240" w:lineRule="auto"/>
    </w:pPr>
    <w:rPr>
      <w:rFonts w:ascii="Times New Roman" w:hAnsi="Times New Roman"/>
      <w:sz w:val="24"/>
    </w:rPr>
  </w:style>
  <w:style w:type="character" w:styleId="PromnnHTML">
    <w:name w:val="HTML Variable"/>
    <w:uiPriority w:val="99"/>
    <w:semiHidden/>
    <w:unhideWhenUsed/>
    <w:rsid w:val="007D7D0C"/>
    <w:rPr>
      <w:i/>
      <w:iCs/>
    </w:rPr>
  </w:style>
  <w:style w:type="character" w:customStyle="1" w:styleId="mw-headline">
    <w:name w:val="mw-headline"/>
    <w:basedOn w:val="Standardnpsmoodstavce"/>
    <w:rsid w:val="007D7D0C"/>
  </w:style>
  <w:style w:type="paragraph" w:customStyle="1" w:styleId="Zhlav1">
    <w:name w:val="Záhlaví 1"/>
    <w:basedOn w:val="Normln"/>
    <w:next w:val="Zhlav2"/>
    <w:rsid w:val="007D7D0C"/>
    <w:pPr>
      <w:spacing w:after="120" w:line="240" w:lineRule="auto"/>
      <w:jc w:val="center"/>
    </w:pPr>
    <w:rPr>
      <w:rFonts w:ascii="Times New Roman" w:eastAsia="Symbol" w:hAnsi="Times New Roman"/>
      <w:b/>
      <w:sz w:val="22"/>
      <w:szCs w:val="20"/>
    </w:rPr>
  </w:style>
  <w:style w:type="paragraph" w:customStyle="1" w:styleId="Zhlav2">
    <w:name w:val="Záhlaví 2"/>
    <w:basedOn w:val="Zhlav1"/>
    <w:rsid w:val="007D7D0C"/>
    <w:pPr>
      <w:spacing w:after="0"/>
    </w:pPr>
    <w:rPr>
      <w:sz w:val="26"/>
    </w:rPr>
  </w:style>
  <w:style w:type="character" w:customStyle="1" w:styleId="h1a2">
    <w:name w:val="h1a2"/>
    <w:rsid w:val="007D7D0C"/>
    <w:rPr>
      <w:vanish w:val="0"/>
      <w:webHidden w:val="0"/>
      <w:sz w:val="24"/>
      <w:szCs w:val="24"/>
      <w:specVanish w:val="0"/>
    </w:rPr>
  </w:style>
  <w:style w:type="paragraph" w:customStyle="1" w:styleId="para">
    <w:name w:val="para"/>
    <w:basedOn w:val="Normln"/>
    <w:rsid w:val="007D7D0C"/>
    <w:pPr>
      <w:spacing w:before="144" w:after="144" w:line="240" w:lineRule="auto"/>
    </w:pPr>
    <w:rPr>
      <w:rFonts w:ascii="Times New Roman" w:hAnsi="Times New Roman"/>
      <w:sz w:val="24"/>
    </w:rPr>
  </w:style>
  <w:style w:type="paragraph" w:styleId="Nadpisobsahu">
    <w:name w:val="TOC Heading"/>
    <w:basedOn w:val="Nadpis1"/>
    <w:next w:val="Normln"/>
    <w:uiPriority w:val="39"/>
    <w:semiHidden/>
    <w:unhideWhenUsed/>
    <w:qFormat/>
    <w:rsid w:val="004028DB"/>
    <w:pPr>
      <w:spacing w:before="480" w:after="0" w:line="276" w:lineRule="auto"/>
      <w:contextualSpacing w:val="0"/>
      <w:outlineLvl w:val="9"/>
    </w:pPr>
    <w:rPr>
      <w:rFonts w:ascii="Cambria" w:eastAsia="Times New Roman" w:hAnsi="Cambria"/>
      <w:color w:val="365F91"/>
      <w:sz w:val="28"/>
      <w:lang w:eastAsia="en-US"/>
    </w:rPr>
  </w:style>
  <w:style w:type="character" w:customStyle="1" w:styleId="shorttext">
    <w:name w:val="short_text"/>
    <w:basedOn w:val="Standardnpsmoodstavce"/>
    <w:rsid w:val="0073133B"/>
  </w:style>
  <w:style w:type="paragraph" w:styleId="Zkladntextodsazen">
    <w:name w:val="Body Text Indent"/>
    <w:basedOn w:val="Normln"/>
    <w:link w:val="ZkladntextodsazenChar"/>
    <w:uiPriority w:val="99"/>
    <w:semiHidden/>
    <w:unhideWhenUsed/>
    <w:rsid w:val="003A440C"/>
    <w:pPr>
      <w:spacing w:after="120"/>
      <w:ind w:left="283"/>
    </w:pPr>
  </w:style>
  <w:style w:type="character" w:customStyle="1" w:styleId="ZkladntextodsazenChar">
    <w:name w:val="Základní text odsazený Char"/>
    <w:basedOn w:val="Standardnpsmoodstavce"/>
    <w:link w:val="Zkladntextodsazen"/>
    <w:uiPriority w:val="99"/>
    <w:semiHidden/>
    <w:rsid w:val="003A440C"/>
    <w:rPr>
      <w:rFonts w:ascii="Arial" w:eastAsia="Times New Roman" w:hAnsi="Arial"/>
      <w:szCs w:val="24"/>
    </w:rPr>
  </w:style>
  <w:style w:type="paragraph" w:styleId="Titulek">
    <w:name w:val="caption"/>
    <w:basedOn w:val="Normln"/>
    <w:next w:val="Normln"/>
    <w:uiPriority w:val="35"/>
    <w:unhideWhenUsed/>
    <w:qFormat/>
    <w:rsid w:val="00D3033B"/>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footnote reference" w:uiPriority="0"/>
    <w:lsdException w:name="Lis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lsdException w:name="Colorful Grid Accent 1" w:semiHidden="0" w:uiPriority="29" w:unhideWhenUsed="0"/>
    <w:lsdException w:name="Light Shading Accent 2" w:semiHidden="0" w:uiPriority="3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39" w:qFormat="1"/>
  </w:latentStyles>
  <w:style w:type="paragraph" w:default="1" w:styleId="Normln">
    <w:name w:val="Normal"/>
    <w:qFormat/>
    <w:rsid w:val="00DF42FF"/>
    <w:pPr>
      <w:spacing w:after="240" w:line="288" w:lineRule="auto"/>
    </w:pPr>
    <w:rPr>
      <w:rFonts w:ascii="Arial" w:eastAsia="Times New Roman" w:hAnsi="Arial"/>
      <w:szCs w:val="24"/>
    </w:rPr>
  </w:style>
  <w:style w:type="paragraph" w:styleId="Nadpis1">
    <w:name w:val="heading 1"/>
    <w:next w:val="Normln"/>
    <w:link w:val="Nadpis1Char"/>
    <w:uiPriority w:val="9"/>
    <w:qFormat/>
    <w:rsid w:val="004900FF"/>
    <w:pPr>
      <w:keepNext/>
      <w:keepLines/>
      <w:spacing w:after="100" w:line="288" w:lineRule="auto"/>
      <w:contextualSpacing/>
      <w:outlineLvl w:val="0"/>
    </w:pPr>
    <w:rPr>
      <w:rFonts w:ascii="Arial" w:eastAsia="MS Gothic" w:hAnsi="Arial"/>
      <w:b/>
      <w:bCs/>
      <w:color w:val="C00000"/>
      <w:sz w:val="32"/>
      <w:szCs w:val="28"/>
    </w:rPr>
  </w:style>
  <w:style w:type="paragraph" w:styleId="Nadpis2">
    <w:name w:val="heading 2"/>
    <w:next w:val="Normln"/>
    <w:link w:val="Nadpis2Char"/>
    <w:uiPriority w:val="9"/>
    <w:qFormat/>
    <w:rsid w:val="004900FF"/>
    <w:pPr>
      <w:keepNext/>
      <w:keepLines/>
      <w:spacing w:line="288" w:lineRule="auto"/>
      <w:outlineLvl w:val="1"/>
    </w:pPr>
    <w:rPr>
      <w:rFonts w:ascii="Arial" w:eastAsia="MS Gothic" w:hAnsi="Arial"/>
      <w:b/>
      <w:bCs/>
      <w:color w:val="BC091B"/>
      <w:sz w:val="28"/>
      <w:szCs w:val="26"/>
    </w:rPr>
  </w:style>
  <w:style w:type="paragraph" w:styleId="Nadpis3">
    <w:name w:val="heading 3"/>
    <w:next w:val="Normln"/>
    <w:link w:val="Nadpis3Char"/>
    <w:uiPriority w:val="9"/>
    <w:qFormat/>
    <w:rsid w:val="004900FF"/>
    <w:pPr>
      <w:keepNext/>
      <w:keepLines/>
      <w:spacing w:line="288" w:lineRule="auto"/>
      <w:outlineLvl w:val="2"/>
    </w:pPr>
    <w:rPr>
      <w:rFonts w:ascii="Arial" w:eastAsia="MS Gothic" w:hAnsi="Arial"/>
      <w:b/>
      <w:bCs/>
      <w:color w:val="BC091B"/>
      <w:sz w:val="24"/>
      <w:szCs w:val="24"/>
    </w:rPr>
  </w:style>
  <w:style w:type="paragraph" w:styleId="Nadpis4">
    <w:name w:val="heading 4"/>
    <w:next w:val="Normln"/>
    <w:link w:val="Nadpis4Char"/>
    <w:uiPriority w:val="9"/>
    <w:qFormat/>
    <w:rsid w:val="004900FF"/>
    <w:pPr>
      <w:keepNext/>
      <w:keepLines/>
      <w:spacing w:line="288" w:lineRule="auto"/>
      <w:outlineLvl w:val="3"/>
    </w:pPr>
    <w:rPr>
      <w:rFonts w:ascii="Arial" w:eastAsia="MS Gothic" w:hAnsi="Arial"/>
      <w:b/>
      <w:bCs/>
      <w:iCs/>
      <w:color w:val="BC091B"/>
      <w:szCs w:val="24"/>
    </w:rPr>
  </w:style>
  <w:style w:type="paragraph" w:styleId="Nadpis9">
    <w:name w:val="heading 9"/>
    <w:basedOn w:val="Normln"/>
    <w:next w:val="Normln"/>
    <w:link w:val="Nadpis9Char"/>
    <w:uiPriority w:val="9"/>
    <w:semiHidden/>
    <w:unhideWhenUsed/>
    <w:qFormat/>
    <w:rsid w:val="00A30F65"/>
    <w:p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4900FF"/>
    <w:rPr>
      <w:rFonts w:ascii="Arial" w:eastAsia="MS Gothic" w:hAnsi="Arial"/>
      <w:b/>
      <w:bCs/>
      <w:color w:val="C00000"/>
      <w:sz w:val="32"/>
      <w:szCs w:val="28"/>
      <w:lang w:bidi="ar-SA"/>
    </w:rPr>
  </w:style>
  <w:style w:type="character" w:customStyle="1" w:styleId="Nadpis2Char">
    <w:name w:val="Nadpis 2 Char"/>
    <w:link w:val="Nadpis2"/>
    <w:uiPriority w:val="9"/>
    <w:rsid w:val="004900FF"/>
    <w:rPr>
      <w:rFonts w:ascii="Arial" w:eastAsia="MS Gothic" w:hAnsi="Arial"/>
      <w:b/>
      <w:bCs/>
      <w:color w:val="BC091B"/>
      <w:sz w:val="28"/>
      <w:szCs w:val="26"/>
      <w:lang w:bidi="ar-SA"/>
    </w:rPr>
  </w:style>
  <w:style w:type="character" w:customStyle="1" w:styleId="Nadpis3Char">
    <w:name w:val="Nadpis 3 Char"/>
    <w:link w:val="Nadpis3"/>
    <w:uiPriority w:val="9"/>
    <w:rsid w:val="004900FF"/>
    <w:rPr>
      <w:rFonts w:ascii="Arial" w:eastAsia="MS Gothic" w:hAnsi="Arial"/>
      <w:b/>
      <w:bCs/>
      <w:color w:val="BC091B"/>
      <w:sz w:val="24"/>
      <w:szCs w:val="24"/>
      <w:lang w:bidi="ar-SA"/>
    </w:rPr>
  </w:style>
  <w:style w:type="character" w:customStyle="1" w:styleId="Nadpis4Char">
    <w:name w:val="Nadpis 4 Char"/>
    <w:link w:val="Nadpis4"/>
    <w:uiPriority w:val="9"/>
    <w:rsid w:val="004900FF"/>
    <w:rPr>
      <w:rFonts w:ascii="Arial" w:eastAsia="MS Gothic" w:hAnsi="Arial"/>
      <w:b/>
      <w:bCs/>
      <w:iCs/>
      <w:color w:val="BC091B"/>
      <w:szCs w:val="24"/>
      <w:lang w:bidi="ar-SA"/>
    </w:rPr>
  </w:style>
  <w:style w:type="character" w:customStyle="1" w:styleId="Nadpis9Char">
    <w:name w:val="Nadpis 9 Char"/>
    <w:link w:val="Nadpis9"/>
    <w:uiPriority w:val="9"/>
    <w:semiHidden/>
    <w:rsid w:val="00A30F65"/>
    <w:rPr>
      <w:rFonts w:ascii="Cambria" w:eastAsia="Times New Roman" w:hAnsi="Cambria" w:cs="Times New Roman"/>
      <w:sz w:val="22"/>
      <w:szCs w:val="22"/>
    </w:rPr>
  </w:style>
  <w:style w:type="character" w:styleId="Hypertextovodkaz">
    <w:name w:val="Hyperlink"/>
    <w:uiPriority w:val="99"/>
    <w:rsid w:val="00E71A58"/>
    <w:rPr>
      <w:color w:val="0000FF"/>
      <w:u w:val="single"/>
    </w:rPr>
  </w:style>
  <w:style w:type="paragraph" w:styleId="Zhlav">
    <w:name w:val="header"/>
    <w:link w:val="ZhlavChar"/>
    <w:uiPriority w:val="99"/>
    <w:unhideWhenUsed/>
    <w:qFormat/>
    <w:rsid w:val="00A418BC"/>
    <w:pPr>
      <w:spacing w:line="288" w:lineRule="auto"/>
    </w:pPr>
    <w:rPr>
      <w:rFonts w:ascii="Arial" w:hAnsi="Arial"/>
      <w:sz w:val="16"/>
      <w:szCs w:val="22"/>
      <w:lang w:eastAsia="en-US"/>
    </w:rPr>
  </w:style>
  <w:style w:type="character" w:customStyle="1" w:styleId="ZhlavChar">
    <w:name w:val="Záhlaví Char"/>
    <w:link w:val="Zhlav"/>
    <w:uiPriority w:val="99"/>
    <w:rsid w:val="00A418BC"/>
    <w:rPr>
      <w:rFonts w:ascii="Arial" w:hAnsi="Arial"/>
      <w:sz w:val="16"/>
      <w:szCs w:val="22"/>
      <w:lang w:eastAsia="en-US" w:bidi="ar-SA"/>
    </w:rPr>
  </w:style>
  <w:style w:type="paragraph" w:styleId="Zpat">
    <w:name w:val="footer"/>
    <w:link w:val="ZpatChar"/>
    <w:uiPriority w:val="99"/>
    <w:unhideWhenUsed/>
    <w:qFormat/>
    <w:rsid w:val="00031AE0"/>
    <w:pPr>
      <w:tabs>
        <w:tab w:val="center" w:pos="4820"/>
        <w:tab w:val="right" w:pos="9639"/>
      </w:tabs>
    </w:pPr>
    <w:rPr>
      <w:rFonts w:ascii="Arial" w:hAnsi="Arial"/>
      <w:noProof/>
      <w:sz w:val="16"/>
      <w:lang w:eastAsia="en-US"/>
    </w:rPr>
  </w:style>
  <w:style w:type="character" w:customStyle="1" w:styleId="ZpatChar">
    <w:name w:val="Zápatí Char"/>
    <w:link w:val="Zpat"/>
    <w:uiPriority w:val="99"/>
    <w:rsid w:val="00031AE0"/>
    <w:rPr>
      <w:rFonts w:ascii="Arial" w:hAnsi="Arial"/>
      <w:noProof/>
      <w:sz w:val="16"/>
      <w:lang w:eastAsia="en-US" w:bidi="ar-SA"/>
    </w:rPr>
  </w:style>
  <w:style w:type="paragraph" w:styleId="Textbubliny">
    <w:name w:val="Balloon Text"/>
    <w:basedOn w:val="Normln"/>
    <w:link w:val="TextbublinyChar"/>
    <w:uiPriority w:val="99"/>
    <w:semiHidden/>
    <w:unhideWhenUsed/>
    <w:rsid w:val="00E71A58"/>
    <w:rPr>
      <w:rFonts w:ascii="Tahoma" w:eastAsia="Calibri" w:hAnsi="Tahoma"/>
      <w:sz w:val="16"/>
      <w:szCs w:val="16"/>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link w:val="ZkladnodstavecChar"/>
    <w:uiPriority w:val="99"/>
    <w:rsid w:val="0008263E"/>
    <w:pPr>
      <w:autoSpaceDE w:val="0"/>
      <w:autoSpaceDN w:val="0"/>
      <w:adjustRightInd w:val="0"/>
      <w:spacing w:line="276" w:lineRule="auto"/>
      <w:textAlignment w:val="center"/>
    </w:pPr>
    <w:rPr>
      <w:rFonts w:ascii="Arial" w:hAnsi="Arial"/>
      <w:color w:val="000000"/>
      <w:szCs w:val="24"/>
    </w:rPr>
  </w:style>
  <w:style w:type="character" w:customStyle="1" w:styleId="ZkladnodstavecChar">
    <w:name w:val="[Základní odstavec] Char"/>
    <w:link w:val="Zkladnodstavec"/>
    <w:uiPriority w:val="99"/>
    <w:rsid w:val="0008263E"/>
    <w:rPr>
      <w:rFonts w:ascii="Arial" w:hAnsi="Arial"/>
      <w:color w:val="000000"/>
      <w:szCs w:val="24"/>
      <w:lang w:bidi="ar-SA"/>
    </w:rPr>
  </w:style>
  <w:style w:type="paragraph" w:styleId="Obsah1">
    <w:name w:val="toc 1"/>
    <w:basedOn w:val="Obsahpoloky"/>
    <w:next w:val="Obsahpoloky"/>
    <w:autoRedefine/>
    <w:uiPriority w:val="39"/>
    <w:unhideWhenUsed/>
    <w:rsid w:val="00FC1A95"/>
  </w:style>
  <w:style w:type="paragraph" w:customStyle="1" w:styleId="TLIdentifikace-sted">
    <w:name w:val="TL Identifikace - střed"/>
    <w:qFormat/>
    <w:rsid w:val="009A60D1"/>
    <w:pPr>
      <w:spacing w:after="200" w:line="288" w:lineRule="auto"/>
    </w:pPr>
    <w:rPr>
      <w:rFonts w:ascii="Arial" w:eastAsia="Times New Roman" w:hAnsi="Arial"/>
      <w:sz w:val="24"/>
      <w:szCs w:val="24"/>
    </w:rPr>
  </w:style>
  <w:style w:type="paragraph" w:customStyle="1" w:styleId="Obsah">
    <w:name w:val="Obsah"/>
    <w:next w:val="Normln"/>
    <w:qFormat/>
    <w:rsid w:val="004900FF"/>
    <w:pPr>
      <w:spacing w:after="80" w:line="288" w:lineRule="auto"/>
    </w:pPr>
    <w:rPr>
      <w:rFonts w:ascii="Arial" w:eastAsia="Times New Roman" w:hAnsi="Arial"/>
      <w:b/>
      <w:color w:val="BC091B"/>
      <w:sz w:val="32"/>
      <w:szCs w:val="24"/>
    </w:rPr>
  </w:style>
  <w:style w:type="paragraph" w:customStyle="1" w:styleId="Obsahpoloky">
    <w:name w:val="Obsah položky"/>
    <w:qFormat/>
    <w:rsid w:val="00616E05"/>
    <w:pPr>
      <w:tabs>
        <w:tab w:val="right" w:leader="dot" w:pos="9639"/>
      </w:tabs>
      <w:spacing w:line="288" w:lineRule="auto"/>
    </w:pPr>
    <w:rPr>
      <w:rFonts w:ascii="Arial" w:eastAsia="Times New Roman" w:hAnsi="Arial"/>
      <w:szCs w:val="24"/>
    </w:rPr>
  </w:style>
  <w:style w:type="paragraph" w:customStyle="1" w:styleId="Box1">
    <w:name w:val="Box 1"/>
    <w:next w:val="Normln"/>
    <w:qFormat/>
    <w:rsid w:val="004900FF"/>
    <w:pPr>
      <w:shd w:val="clear" w:color="auto" w:fill="F5DADD"/>
      <w:spacing w:before="240" w:after="240" w:line="288" w:lineRule="auto"/>
      <w:ind w:left="709"/>
      <w:contextualSpacing/>
    </w:pPr>
    <w:rPr>
      <w:rFonts w:ascii="Arial" w:hAnsi="Arial" w:cs="Arial"/>
    </w:rPr>
  </w:style>
  <w:style w:type="paragraph" w:customStyle="1" w:styleId="Box2">
    <w:name w:val="Box 2"/>
    <w:qFormat/>
    <w:rsid w:val="004900FF"/>
    <w:pPr>
      <w:spacing w:before="240" w:after="240" w:line="288" w:lineRule="auto"/>
      <w:ind w:left="709"/>
      <w:contextualSpacing/>
    </w:pPr>
    <w:rPr>
      <w:rFonts w:ascii="Arial" w:hAnsi="Arial" w:cs="Arial"/>
      <w:color w:val="BC091B"/>
    </w:rPr>
  </w:style>
  <w:style w:type="paragraph" w:styleId="Seznam">
    <w:name w:val="List"/>
    <w:basedOn w:val="Normln"/>
    <w:uiPriority w:val="99"/>
    <w:unhideWhenUsed/>
    <w:qFormat/>
    <w:rsid w:val="00481E40"/>
    <w:pPr>
      <w:contextualSpacing/>
    </w:pPr>
  </w:style>
  <w:style w:type="character" w:styleId="Siln">
    <w:name w:val="Strong"/>
    <w:aliases w:val="Tučné"/>
    <w:uiPriority w:val="22"/>
    <w:qFormat/>
    <w:rsid w:val="00EC03D7"/>
    <w:rPr>
      <w:rFonts w:ascii="Arial" w:hAnsi="Arial"/>
      <w:b/>
      <w:bCs/>
      <w:sz w:val="20"/>
    </w:rPr>
  </w:style>
  <w:style w:type="paragraph" w:customStyle="1" w:styleId="TLKontaktyerven">
    <w:name w:val="TL Kontakty červené"/>
    <w:basedOn w:val="Normln"/>
    <w:qFormat/>
    <w:rsid w:val="00104C4C"/>
    <w:pPr>
      <w:spacing w:after="40"/>
      <w:contextualSpacing/>
    </w:pPr>
    <w:rPr>
      <w:b/>
      <w:caps/>
      <w:color w:val="BD1B21"/>
      <w:sz w:val="24"/>
    </w:rPr>
  </w:style>
  <w:style w:type="paragraph" w:customStyle="1" w:styleId="TLKontakty">
    <w:name w:val="TL Kontakty"/>
    <w:qFormat/>
    <w:rsid w:val="008E6F06"/>
    <w:pPr>
      <w:spacing w:after="160" w:line="259" w:lineRule="auto"/>
      <w:contextualSpacing/>
    </w:pPr>
    <w:rPr>
      <w:rFonts w:ascii="Arial" w:eastAsia="Times New Roman" w:hAnsi="Arial"/>
      <w:b/>
      <w:color w:val="0071BC"/>
    </w:rPr>
  </w:style>
  <w:style w:type="paragraph" w:styleId="Nzev">
    <w:name w:val="Title"/>
    <w:link w:val="NzevChar"/>
    <w:uiPriority w:val="10"/>
    <w:qFormat/>
    <w:rsid w:val="004900FF"/>
    <w:pPr>
      <w:spacing w:line="288" w:lineRule="auto"/>
    </w:pPr>
    <w:rPr>
      <w:rFonts w:ascii="Arial" w:eastAsia="Times New Roman" w:hAnsi="Arial"/>
      <w:b/>
      <w:bCs/>
      <w:caps/>
      <w:color w:val="BC091B"/>
      <w:kern w:val="28"/>
      <w:sz w:val="56"/>
      <w:szCs w:val="32"/>
    </w:rPr>
  </w:style>
  <w:style w:type="character" w:customStyle="1" w:styleId="NzevChar">
    <w:name w:val="Název Char"/>
    <w:link w:val="Nzev"/>
    <w:uiPriority w:val="10"/>
    <w:rsid w:val="004900FF"/>
    <w:rPr>
      <w:rFonts w:ascii="Arial" w:eastAsia="Times New Roman" w:hAnsi="Arial"/>
      <w:b/>
      <w:bCs/>
      <w:caps/>
      <w:color w:val="BC091B"/>
      <w:kern w:val="28"/>
      <w:sz w:val="56"/>
      <w:szCs w:val="32"/>
      <w:lang w:bidi="ar-SA"/>
    </w:rPr>
  </w:style>
  <w:style w:type="paragraph" w:styleId="Podtitul">
    <w:name w:val="Subtitle"/>
    <w:link w:val="PodtitulChar"/>
    <w:uiPriority w:val="11"/>
    <w:qFormat/>
    <w:rsid w:val="004900FF"/>
    <w:pPr>
      <w:spacing w:line="288" w:lineRule="auto"/>
    </w:pPr>
    <w:rPr>
      <w:rFonts w:ascii="Arial" w:eastAsia="Times New Roman" w:hAnsi="Arial"/>
      <w:b/>
      <w:color w:val="BC091B"/>
      <w:sz w:val="28"/>
      <w:szCs w:val="24"/>
    </w:rPr>
  </w:style>
  <w:style w:type="character" w:customStyle="1" w:styleId="PodtitulChar">
    <w:name w:val="Podtitul Char"/>
    <w:link w:val="Podtitul"/>
    <w:uiPriority w:val="11"/>
    <w:rsid w:val="004900FF"/>
    <w:rPr>
      <w:rFonts w:ascii="Arial" w:eastAsia="Times New Roman" w:hAnsi="Arial"/>
      <w:b/>
      <w:color w:val="BC091B"/>
      <w:sz w:val="28"/>
      <w:szCs w:val="24"/>
      <w:lang w:bidi="ar-SA"/>
    </w:rPr>
  </w:style>
  <w:style w:type="paragraph" w:styleId="Textpoznpodarou">
    <w:name w:val="footnote text"/>
    <w:basedOn w:val="Normln"/>
    <w:link w:val="TextpoznpodarouChar"/>
    <w:unhideWhenUsed/>
    <w:rsid w:val="00C83D6F"/>
    <w:pPr>
      <w:spacing w:after="0" w:line="240" w:lineRule="auto"/>
    </w:pPr>
    <w:rPr>
      <w:rFonts w:ascii="Calibri" w:eastAsia="Calibri" w:hAnsi="Calibri"/>
      <w:szCs w:val="20"/>
      <w:lang w:eastAsia="en-US"/>
    </w:rPr>
  </w:style>
  <w:style w:type="character" w:customStyle="1" w:styleId="TextpoznpodarouChar">
    <w:name w:val="Text pozn. pod čarou Char"/>
    <w:link w:val="Textpoznpodarou"/>
    <w:rsid w:val="00C83D6F"/>
    <w:rPr>
      <w:rFonts w:ascii="Calibri" w:eastAsia="Calibri" w:hAnsi="Calibri" w:cs="Times New Roman"/>
      <w:lang w:eastAsia="en-US"/>
    </w:rPr>
  </w:style>
  <w:style w:type="paragraph" w:styleId="Obsah2">
    <w:name w:val="toc 2"/>
    <w:basedOn w:val="Obsahpoloky"/>
    <w:next w:val="Obsahpoloky"/>
    <w:autoRedefine/>
    <w:uiPriority w:val="39"/>
    <w:unhideWhenUsed/>
    <w:rsid w:val="00FC1A95"/>
    <w:pPr>
      <w:ind w:left="200"/>
    </w:pPr>
  </w:style>
  <w:style w:type="paragraph" w:styleId="Obsah3">
    <w:name w:val="toc 3"/>
    <w:basedOn w:val="Obsahpoloky"/>
    <w:next w:val="Obsahpoloky"/>
    <w:autoRedefine/>
    <w:uiPriority w:val="39"/>
    <w:unhideWhenUsed/>
    <w:rsid w:val="00FC1A95"/>
    <w:pPr>
      <w:ind w:left="400"/>
    </w:pPr>
  </w:style>
  <w:style w:type="paragraph" w:styleId="Obsah4">
    <w:name w:val="toc 4"/>
    <w:basedOn w:val="Obsahpoloky"/>
    <w:next w:val="Obsahpoloky"/>
    <w:autoRedefine/>
    <w:uiPriority w:val="39"/>
    <w:unhideWhenUsed/>
    <w:rsid w:val="00FC1A95"/>
    <w:pPr>
      <w:ind w:left="600"/>
    </w:pPr>
  </w:style>
  <w:style w:type="paragraph" w:styleId="Obsah5">
    <w:name w:val="toc 5"/>
    <w:basedOn w:val="Obsahpoloky"/>
    <w:next w:val="Obsahpoloky"/>
    <w:autoRedefine/>
    <w:uiPriority w:val="39"/>
    <w:unhideWhenUsed/>
    <w:rsid w:val="00FC1A95"/>
    <w:pPr>
      <w:ind w:left="800"/>
    </w:pPr>
  </w:style>
  <w:style w:type="paragraph" w:styleId="Obsah6">
    <w:name w:val="toc 6"/>
    <w:basedOn w:val="Obsahpoloky"/>
    <w:next w:val="Obsahpoloky"/>
    <w:autoRedefine/>
    <w:uiPriority w:val="39"/>
    <w:unhideWhenUsed/>
    <w:rsid w:val="00FC1A95"/>
    <w:pPr>
      <w:ind w:left="1000"/>
    </w:pPr>
  </w:style>
  <w:style w:type="paragraph" w:styleId="Obsah7">
    <w:name w:val="toc 7"/>
    <w:basedOn w:val="Obsahpoloky"/>
    <w:next w:val="Obsahpoloky"/>
    <w:autoRedefine/>
    <w:uiPriority w:val="39"/>
    <w:unhideWhenUsed/>
    <w:rsid w:val="00FC1A95"/>
    <w:pPr>
      <w:ind w:left="1200"/>
    </w:pPr>
  </w:style>
  <w:style w:type="paragraph" w:styleId="Obsah8">
    <w:name w:val="toc 8"/>
    <w:basedOn w:val="Obsahpoloky"/>
    <w:next w:val="Obsahpoloky"/>
    <w:autoRedefine/>
    <w:uiPriority w:val="39"/>
    <w:unhideWhenUsed/>
    <w:rsid w:val="00FC1A95"/>
    <w:pPr>
      <w:ind w:left="1400"/>
    </w:pPr>
  </w:style>
  <w:style w:type="paragraph" w:styleId="Obsah9">
    <w:name w:val="toc 9"/>
    <w:basedOn w:val="Obsahpoloky"/>
    <w:next w:val="Obsahpoloky"/>
    <w:autoRedefine/>
    <w:uiPriority w:val="39"/>
    <w:unhideWhenUsed/>
    <w:rsid w:val="00924AC8"/>
    <w:pPr>
      <w:ind w:left="1600"/>
    </w:pPr>
  </w:style>
  <w:style w:type="character" w:styleId="Znakapoznpodarou">
    <w:name w:val="footnote reference"/>
    <w:semiHidden/>
    <w:unhideWhenUsed/>
    <w:rsid w:val="00C83D6F"/>
    <w:rPr>
      <w:vertAlign w:val="superscript"/>
    </w:rPr>
  </w:style>
  <w:style w:type="character" w:styleId="Odkaznakoment">
    <w:name w:val="annotation reference"/>
    <w:uiPriority w:val="99"/>
    <w:semiHidden/>
    <w:unhideWhenUsed/>
    <w:rsid w:val="00C83D6F"/>
    <w:rPr>
      <w:sz w:val="16"/>
      <w:szCs w:val="16"/>
    </w:rPr>
  </w:style>
  <w:style w:type="paragraph" w:styleId="Textkomente">
    <w:name w:val="annotation text"/>
    <w:basedOn w:val="Normln"/>
    <w:link w:val="TextkomenteChar"/>
    <w:uiPriority w:val="99"/>
    <w:semiHidden/>
    <w:unhideWhenUsed/>
    <w:rsid w:val="00C83D6F"/>
    <w:pPr>
      <w:spacing w:after="200" w:line="240" w:lineRule="auto"/>
    </w:pPr>
    <w:rPr>
      <w:rFonts w:ascii="Calibri" w:eastAsia="Calibri" w:hAnsi="Calibri"/>
      <w:szCs w:val="20"/>
      <w:lang w:eastAsia="en-US"/>
    </w:rPr>
  </w:style>
  <w:style w:type="character" w:customStyle="1" w:styleId="TextkomenteChar">
    <w:name w:val="Text komentáře Char"/>
    <w:link w:val="Textkomente"/>
    <w:uiPriority w:val="99"/>
    <w:semiHidden/>
    <w:rsid w:val="00C83D6F"/>
    <w:rPr>
      <w:rFonts w:ascii="Calibri" w:eastAsia="Calibri" w:hAnsi="Calibri" w:cs="Times New Roman"/>
      <w:lang w:eastAsia="en-US"/>
    </w:rPr>
  </w:style>
  <w:style w:type="character" w:styleId="Sledovanodkaz">
    <w:name w:val="FollowedHyperlink"/>
    <w:uiPriority w:val="99"/>
    <w:semiHidden/>
    <w:unhideWhenUsed/>
    <w:rsid w:val="00F959EA"/>
    <w:rPr>
      <w:color w:val="800080"/>
      <w:u w:val="single"/>
    </w:rPr>
  </w:style>
  <w:style w:type="paragraph" w:styleId="Pedmtkomente">
    <w:name w:val="annotation subject"/>
    <w:basedOn w:val="Textkomente"/>
    <w:next w:val="Textkomente"/>
    <w:link w:val="PedmtkomenteChar"/>
    <w:uiPriority w:val="99"/>
    <w:semiHidden/>
    <w:unhideWhenUsed/>
    <w:rsid w:val="007D7D0C"/>
    <w:rPr>
      <w:b/>
      <w:bCs/>
    </w:rPr>
  </w:style>
  <w:style w:type="character" w:customStyle="1" w:styleId="PedmtkomenteChar">
    <w:name w:val="Předmět komentáře Char"/>
    <w:link w:val="Pedmtkomente"/>
    <w:uiPriority w:val="99"/>
    <w:semiHidden/>
    <w:rsid w:val="007D7D0C"/>
    <w:rPr>
      <w:rFonts w:ascii="Calibri" w:eastAsia="Calibri" w:hAnsi="Calibri" w:cs="Times New Roman"/>
      <w:b/>
      <w:bCs/>
      <w:lang w:eastAsia="en-US"/>
    </w:rPr>
  </w:style>
  <w:style w:type="paragraph" w:styleId="Odstavecseseznamem">
    <w:name w:val="List Paragraph"/>
    <w:basedOn w:val="Normln"/>
    <w:uiPriority w:val="34"/>
    <w:qFormat/>
    <w:rsid w:val="007D7D0C"/>
    <w:pPr>
      <w:spacing w:after="200" w:line="276" w:lineRule="auto"/>
      <w:ind w:left="720"/>
      <w:contextualSpacing/>
    </w:pPr>
    <w:rPr>
      <w:rFonts w:ascii="Calibri" w:eastAsia="Calibri" w:hAnsi="Calibri"/>
      <w:sz w:val="22"/>
      <w:szCs w:val="22"/>
      <w:lang w:eastAsia="en-US"/>
    </w:rPr>
  </w:style>
  <w:style w:type="paragraph" w:styleId="Normlnweb">
    <w:name w:val="Normal (Web)"/>
    <w:basedOn w:val="Normln"/>
    <w:uiPriority w:val="99"/>
    <w:unhideWhenUsed/>
    <w:rsid w:val="007D7D0C"/>
    <w:pPr>
      <w:spacing w:before="100" w:beforeAutospacing="1" w:after="100" w:afterAutospacing="1" w:line="240" w:lineRule="auto"/>
    </w:pPr>
    <w:rPr>
      <w:rFonts w:ascii="Times New Roman" w:hAnsi="Times New Roman"/>
      <w:sz w:val="24"/>
    </w:rPr>
  </w:style>
  <w:style w:type="character" w:styleId="Zvraznn">
    <w:name w:val="Emphasis"/>
    <w:uiPriority w:val="20"/>
    <w:qFormat/>
    <w:rsid w:val="007D7D0C"/>
    <w:rPr>
      <w:i/>
      <w:iCs/>
    </w:rPr>
  </w:style>
  <w:style w:type="character" w:customStyle="1" w:styleId="bold">
    <w:name w:val="bold"/>
    <w:basedOn w:val="Standardnpsmoodstavce"/>
    <w:rsid w:val="007D7D0C"/>
  </w:style>
  <w:style w:type="paragraph" w:customStyle="1" w:styleId="Default">
    <w:name w:val="Default"/>
    <w:rsid w:val="007D7D0C"/>
    <w:pPr>
      <w:autoSpaceDE w:val="0"/>
      <w:autoSpaceDN w:val="0"/>
      <w:adjustRightInd w:val="0"/>
    </w:pPr>
    <w:rPr>
      <w:rFonts w:ascii="Times New Roman" w:hAnsi="Times New Roman"/>
      <w:color w:val="000000"/>
      <w:sz w:val="24"/>
      <w:szCs w:val="24"/>
      <w:lang w:eastAsia="en-US"/>
    </w:rPr>
  </w:style>
  <w:style w:type="paragraph" w:customStyle="1" w:styleId="part-odstavec">
    <w:name w:val="part-odstavec"/>
    <w:basedOn w:val="Normln"/>
    <w:rsid w:val="007D7D0C"/>
    <w:pPr>
      <w:spacing w:before="100" w:beforeAutospacing="1" w:after="100" w:afterAutospacing="1" w:line="240" w:lineRule="auto"/>
    </w:pPr>
    <w:rPr>
      <w:rFonts w:ascii="Times New Roman" w:hAnsi="Times New Roman"/>
      <w:sz w:val="24"/>
    </w:rPr>
  </w:style>
  <w:style w:type="character" w:styleId="PromnnHTML">
    <w:name w:val="HTML Variable"/>
    <w:uiPriority w:val="99"/>
    <w:semiHidden/>
    <w:unhideWhenUsed/>
    <w:rsid w:val="007D7D0C"/>
    <w:rPr>
      <w:i/>
      <w:iCs/>
    </w:rPr>
  </w:style>
  <w:style w:type="character" w:customStyle="1" w:styleId="mw-headline">
    <w:name w:val="mw-headline"/>
    <w:basedOn w:val="Standardnpsmoodstavce"/>
    <w:rsid w:val="007D7D0C"/>
  </w:style>
  <w:style w:type="paragraph" w:customStyle="1" w:styleId="Zhlav1">
    <w:name w:val="Záhlaví 1"/>
    <w:basedOn w:val="Normln"/>
    <w:next w:val="Zhlav2"/>
    <w:rsid w:val="007D7D0C"/>
    <w:pPr>
      <w:spacing w:after="120" w:line="240" w:lineRule="auto"/>
      <w:jc w:val="center"/>
    </w:pPr>
    <w:rPr>
      <w:rFonts w:ascii="Times New Roman" w:eastAsia="Symbol" w:hAnsi="Times New Roman"/>
      <w:b/>
      <w:sz w:val="22"/>
      <w:szCs w:val="20"/>
    </w:rPr>
  </w:style>
  <w:style w:type="paragraph" w:customStyle="1" w:styleId="Zhlav2">
    <w:name w:val="Záhlaví 2"/>
    <w:basedOn w:val="Zhlav1"/>
    <w:rsid w:val="007D7D0C"/>
    <w:pPr>
      <w:spacing w:after="0"/>
    </w:pPr>
    <w:rPr>
      <w:sz w:val="26"/>
    </w:rPr>
  </w:style>
  <w:style w:type="character" w:customStyle="1" w:styleId="h1a2">
    <w:name w:val="h1a2"/>
    <w:rsid w:val="007D7D0C"/>
    <w:rPr>
      <w:vanish w:val="0"/>
      <w:webHidden w:val="0"/>
      <w:sz w:val="24"/>
      <w:szCs w:val="24"/>
      <w:specVanish w:val="0"/>
    </w:rPr>
  </w:style>
  <w:style w:type="paragraph" w:customStyle="1" w:styleId="para">
    <w:name w:val="para"/>
    <w:basedOn w:val="Normln"/>
    <w:rsid w:val="007D7D0C"/>
    <w:pPr>
      <w:spacing w:before="144" w:after="144" w:line="240" w:lineRule="auto"/>
    </w:pPr>
    <w:rPr>
      <w:rFonts w:ascii="Times New Roman" w:hAnsi="Times New Roman"/>
      <w:sz w:val="24"/>
    </w:rPr>
  </w:style>
  <w:style w:type="paragraph" w:styleId="Nadpisobsahu">
    <w:name w:val="TOC Heading"/>
    <w:basedOn w:val="Nadpis1"/>
    <w:next w:val="Normln"/>
    <w:uiPriority w:val="39"/>
    <w:semiHidden/>
    <w:unhideWhenUsed/>
    <w:qFormat/>
    <w:rsid w:val="004028DB"/>
    <w:pPr>
      <w:spacing w:before="480" w:after="0" w:line="276" w:lineRule="auto"/>
      <w:contextualSpacing w:val="0"/>
      <w:outlineLvl w:val="9"/>
    </w:pPr>
    <w:rPr>
      <w:rFonts w:ascii="Cambria" w:eastAsia="Times New Roman" w:hAnsi="Cambria"/>
      <w:color w:val="365F91"/>
      <w:sz w:val="28"/>
      <w:lang w:eastAsia="en-US"/>
    </w:rPr>
  </w:style>
  <w:style w:type="character" w:customStyle="1" w:styleId="shorttext">
    <w:name w:val="short_text"/>
    <w:basedOn w:val="Standardnpsmoodstavce"/>
    <w:rsid w:val="0073133B"/>
  </w:style>
  <w:style w:type="paragraph" w:styleId="Zkladntextodsazen">
    <w:name w:val="Body Text Indent"/>
    <w:basedOn w:val="Normln"/>
    <w:link w:val="ZkladntextodsazenChar"/>
    <w:uiPriority w:val="99"/>
    <w:semiHidden/>
    <w:unhideWhenUsed/>
    <w:rsid w:val="003A440C"/>
    <w:pPr>
      <w:spacing w:after="120"/>
      <w:ind w:left="283"/>
    </w:pPr>
  </w:style>
  <w:style w:type="character" w:customStyle="1" w:styleId="ZkladntextodsazenChar">
    <w:name w:val="Základní text odsazený Char"/>
    <w:basedOn w:val="Standardnpsmoodstavce"/>
    <w:link w:val="Zkladntextodsazen"/>
    <w:uiPriority w:val="99"/>
    <w:semiHidden/>
    <w:rsid w:val="003A440C"/>
    <w:rPr>
      <w:rFonts w:ascii="Arial" w:eastAsia="Times New Roman" w:hAnsi="Arial"/>
      <w:szCs w:val="24"/>
    </w:rPr>
  </w:style>
  <w:style w:type="paragraph" w:styleId="Titulek">
    <w:name w:val="caption"/>
    <w:basedOn w:val="Normln"/>
    <w:next w:val="Normln"/>
    <w:uiPriority w:val="35"/>
    <w:unhideWhenUsed/>
    <w:qFormat/>
    <w:rsid w:val="00D3033B"/>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9916368">
      <w:bodyDiv w:val="1"/>
      <w:marLeft w:val="0"/>
      <w:marRight w:val="0"/>
      <w:marTop w:val="0"/>
      <w:marBottom w:val="0"/>
      <w:divBdr>
        <w:top w:val="none" w:sz="0" w:space="0" w:color="auto"/>
        <w:left w:val="none" w:sz="0" w:space="0" w:color="auto"/>
        <w:bottom w:val="none" w:sz="0" w:space="0" w:color="auto"/>
        <w:right w:val="none" w:sz="0" w:space="0" w:color="auto"/>
      </w:divBdr>
    </w:div>
    <w:div w:id="12004551">
      <w:bodyDiv w:val="1"/>
      <w:marLeft w:val="0"/>
      <w:marRight w:val="0"/>
      <w:marTop w:val="0"/>
      <w:marBottom w:val="0"/>
      <w:divBdr>
        <w:top w:val="none" w:sz="0" w:space="0" w:color="auto"/>
        <w:left w:val="none" w:sz="0" w:space="0" w:color="auto"/>
        <w:bottom w:val="none" w:sz="0" w:space="0" w:color="auto"/>
        <w:right w:val="none" w:sz="0" w:space="0" w:color="auto"/>
      </w:divBdr>
    </w:div>
    <w:div w:id="166755726">
      <w:bodyDiv w:val="1"/>
      <w:marLeft w:val="0"/>
      <w:marRight w:val="0"/>
      <w:marTop w:val="0"/>
      <w:marBottom w:val="0"/>
      <w:divBdr>
        <w:top w:val="none" w:sz="0" w:space="0" w:color="auto"/>
        <w:left w:val="none" w:sz="0" w:space="0" w:color="auto"/>
        <w:bottom w:val="none" w:sz="0" w:space="0" w:color="auto"/>
        <w:right w:val="none" w:sz="0" w:space="0" w:color="auto"/>
      </w:divBdr>
    </w:div>
    <w:div w:id="254822559">
      <w:bodyDiv w:val="1"/>
      <w:marLeft w:val="0"/>
      <w:marRight w:val="0"/>
      <w:marTop w:val="0"/>
      <w:marBottom w:val="0"/>
      <w:divBdr>
        <w:top w:val="none" w:sz="0" w:space="0" w:color="auto"/>
        <w:left w:val="none" w:sz="0" w:space="0" w:color="auto"/>
        <w:bottom w:val="none" w:sz="0" w:space="0" w:color="auto"/>
        <w:right w:val="none" w:sz="0" w:space="0" w:color="auto"/>
      </w:divBdr>
    </w:div>
    <w:div w:id="264115308">
      <w:bodyDiv w:val="1"/>
      <w:marLeft w:val="0"/>
      <w:marRight w:val="0"/>
      <w:marTop w:val="0"/>
      <w:marBottom w:val="0"/>
      <w:divBdr>
        <w:top w:val="none" w:sz="0" w:space="0" w:color="auto"/>
        <w:left w:val="none" w:sz="0" w:space="0" w:color="auto"/>
        <w:bottom w:val="none" w:sz="0" w:space="0" w:color="auto"/>
        <w:right w:val="none" w:sz="0" w:space="0" w:color="auto"/>
      </w:divBdr>
    </w:div>
    <w:div w:id="315963186">
      <w:bodyDiv w:val="1"/>
      <w:marLeft w:val="0"/>
      <w:marRight w:val="0"/>
      <w:marTop w:val="0"/>
      <w:marBottom w:val="0"/>
      <w:divBdr>
        <w:top w:val="none" w:sz="0" w:space="0" w:color="auto"/>
        <w:left w:val="none" w:sz="0" w:space="0" w:color="auto"/>
        <w:bottom w:val="none" w:sz="0" w:space="0" w:color="auto"/>
        <w:right w:val="none" w:sz="0" w:space="0" w:color="auto"/>
      </w:divBdr>
    </w:div>
    <w:div w:id="344553940">
      <w:bodyDiv w:val="1"/>
      <w:marLeft w:val="0"/>
      <w:marRight w:val="0"/>
      <w:marTop w:val="0"/>
      <w:marBottom w:val="0"/>
      <w:divBdr>
        <w:top w:val="none" w:sz="0" w:space="0" w:color="auto"/>
        <w:left w:val="none" w:sz="0" w:space="0" w:color="auto"/>
        <w:bottom w:val="none" w:sz="0" w:space="0" w:color="auto"/>
        <w:right w:val="none" w:sz="0" w:space="0" w:color="auto"/>
      </w:divBdr>
    </w:div>
    <w:div w:id="492987296">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533806547">
      <w:bodyDiv w:val="1"/>
      <w:marLeft w:val="0"/>
      <w:marRight w:val="0"/>
      <w:marTop w:val="0"/>
      <w:marBottom w:val="0"/>
      <w:divBdr>
        <w:top w:val="none" w:sz="0" w:space="0" w:color="auto"/>
        <w:left w:val="none" w:sz="0" w:space="0" w:color="auto"/>
        <w:bottom w:val="none" w:sz="0" w:space="0" w:color="auto"/>
        <w:right w:val="none" w:sz="0" w:space="0" w:color="auto"/>
      </w:divBdr>
    </w:div>
    <w:div w:id="535314289">
      <w:bodyDiv w:val="1"/>
      <w:marLeft w:val="0"/>
      <w:marRight w:val="0"/>
      <w:marTop w:val="0"/>
      <w:marBottom w:val="0"/>
      <w:divBdr>
        <w:top w:val="none" w:sz="0" w:space="0" w:color="auto"/>
        <w:left w:val="none" w:sz="0" w:space="0" w:color="auto"/>
        <w:bottom w:val="none" w:sz="0" w:space="0" w:color="auto"/>
        <w:right w:val="none" w:sz="0" w:space="0" w:color="auto"/>
      </w:divBdr>
    </w:div>
    <w:div w:id="555314991">
      <w:bodyDiv w:val="1"/>
      <w:marLeft w:val="0"/>
      <w:marRight w:val="0"/>
      <w:marTop w:val="0"/>
      <w:marBottom w:val="0"/>
      <w:divBdr>
        <w:top w:val="none" w:sz="0" w:space="0" w:color="auto"/>
        <w:left w:val="none" w:sz="0" w:space="0" w:color="auto"/>
        <w:bottom w:val="none" w:sz="0" w:space="0" w:color="auto"/>
        <w:right w:val="none" w:sz="0" w:space="0" w:color="auto"/>
      </w:divBdr>
    </w:div>
    <w:div w:id="611401507">
      <w:bodyDiv w:val="1"/>
      <w:marLeft w:val="0"/>
      <w:marRight w:val="0"/>
      <w:marTop w:val="0"/>
      <w:marBottom w:val="0"/>
      <w:divBdr>
        <w:top w:val="none" w:sz="0" w:space="0" w:color="auto"/>
        <w:left w:val="none" w:sz="0" w:space="0" w:color="auto"/>
        <w:bottom w:val="none" w:sz="0" w:space="0" w:color="auto"/>
        <w:right w:val="none" w:sz="0" w:space="0" w:color="auto"/>
      </w:divBdr>
    </w:div>
    <w:div w:id="616987796">
      <w:bodyDiv w:val="1"/>
      <w:marLeft w:val="0"/>
      <w:marRight w:val="0"/>
      <w:marTop w:val="0"/>
      <w:marBottom w:val="0"/>
      <w:divBdr>
        <w:top w:val="none" w:sz="0" w:space="0" w:color="auto"/>
        <w:left w:val="none" w:sz="0" w:space="0" w:color="auto"/>
        <w:bottom w:val="none" w:sz="0" w:space="0" w:color="auto"/>
        <w:right w:val="none" w:sz="0" w:space="0" w:color="auto"/>
      </w:divBdr>
    </w:div>
    <w:div w:id="662899877">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696731671">
      <w:bodyDiv w:val="1"/>
      <w:marLeft w:val="0"/>
      <w:marRight w:val="0"/>
      <w:marTop w:val="0"/>
      <w:marBottom w:val="0"/>
      <w:divBdr>
        <w:top w:val="none" w:sz="0" w:space="0" w:color="auto"/>
        <w:left w:val="none" w:sz="0" w:space="0" w:color="auto"/>
        <w:bottom w:val="none" w:sz="0" w:space="0" w:color="auto"/>
        <w:right w:val="none" w:sz="0" w:space="0" w:color="auto"/>
      </w:divBdr>
    </w:div>
    <w:div w:id="773206935">
      <w:bodyDiv w:val="1"/>
      <w:marLeft w:val="0"/>
      <w:marRight w:val="0"/>
      <w:marTop w:val="0"/>
      <w:marBottom w:val="0"/>
      <w:divBdr>
        <w:top w:val="none" w:sz="0" w:space="0" w:color="auto"/>
        <w:left w:val="none" w:sz="0" w:space="0" w:color="auto"/>
        <w:bottom w:val="none" w:sz="0" w:space="0" w:color="auto"/>
        <w:right w:val="none" w:sz="0" w:space="0" w:color="auto"/>
      </w:divBdr>
    </w:div>
    <w:div w:id="807087330">
      <w:bodyDiv w:val="1"/>
      <w:marLeft w:val="0"/>
      <w:marRight w:val="0"/>
      <w:marTop w:val="0"/>
      <w:marBottom w:val="0"/>
      <w:divBdr>
        <w:top w:val="none" w:sz="0" w:space="0" w:color="auto"/>
        <w:left w:val="none" w:sz="0" w:space="0" w:color="auto"/>
        <w:bottom w:val="none" w:sz="0" w:space="0" w:color="auto"/>
        <w:right w:val="none" w:sz="0" w:space="0" w:color="auto"/>
      </w:divBdr>
    </w:div>
    <w:div w:id="879170166">
      <w:bodyDiv w:val="1"/>
      <w:marLeft w:val="0"/>
      <w:marRight w:val="0"/>
      <w:marTop w:val="0"/>
      <w:marBottom w:val="0"/>
      <w:divBdr>
        <w:top w:val="none" w:sz="0" w:space="0" w:color="auto"/>
        <w:left w:val="none" w:sz="0" w:space="0" w:color="auto"/>
        <w:bottom w:val="none" w:sz="0" w:space="0" w:color="auto"/>
        <w:right w:val="none" w:sz="0" w:space="0" w:color="auto"/>
      </w:divBdr>
    </w:div>
    <w:div w:id="936600120">
      <w:bodyDiv w:val="1"/>
      <w:marLeft w:val="0"/>
      <w:marRight w:val="0"/>
      <w:marTop w:val="0"/>
      <w:marBottom w:val="0"/>
      <w:divBdr>
        <w:top w:val="none" w:sz="0" w:space="0" w:color="auto"/>
        <w:left w:val="none" w:sz="0" w:space="0" w:color="auto"/>
        <w:bottom w:val="none" w:sz="0" w:space="0" w:color="auto"/>
        <w:right w:val="none" w:sz="0" w:space="0" w:color="auto"/>
      </w:divBdr>
    </w:div>
    <w:div w:id="959189711">
      <w:bodyDiv w:val="1"/>
      <w:marLeft w:val="0"/>
      <w:marRight w:val="0"/>
      <w:marTop w:val="0"/>
      <w:marBottom w:val="0"/>
      <w:divBdr>
        <w:top w:val="none" w:sz="0" w:space="0" w:color="auto"/>
        <w:left w:val="none" w:sz="0" w:space="0" w:color="auto"/>
        <w:bottom w:val="none" w:sz="0" w:space="0" w:color="auto"/>
        <w:right w:val="none" w:sz="0" w:space="0" w:color="auto"/>
      </w:divBdr>
    </w:div>
    <w:div w:id="1029254837">
      <w:bodyDiv w:val="1"/>
      <w:marLeft w:val="0"/>
      <w:marRight w:val="0"/>
      <w:marTop w:val="0"/>
      <w:marBottom w:val="0"/>
      <w:divBdr>
        <w:top w:val="none" w:sz="0" w:space="0" w:color="auto"/>
        <w:left w:val="none" w:sz="0" w:space="0" w:color="auto"/>
        <w:bottom w:val="none" w:sz="0" w:space="0" w:color="auto"/>
        <w:right w:val="none" w:sz="0" w:space="0" w:color="auto"/>
      </w:divBdr>
    </w:div>
    <w:div w:id="1114472426">
      <w:bodyDiv w:val="1"/>
      <w:marLeft w:val="0"/>
      <w:marRight w:val="0"/>
      <w:marTop w:val="0"/>
      <w:marBottom w:val="0"/>
      <w:divBdr>
        <w:top w:val="none" w:sz="0" w:space="0" w:color="auto"/>
        <w:left w:val="none" w:sz="0" w:space="0" w:color="auto"/>
        <w:bottom w:val="none" w:sz="0" w:space="0" w:color="auto"/>
        <w:right w:val="none" w:sz="0" w:space="0" w:color="auto"/>
      </w:divBdr>
    </w:div>
    <w:div w:id="1115127607">
      <w:bodyDiv w:val="1"/>
      <w:marLeft w:val="0"/>
      <w:marRight w:val="0"/>
      <w:marTop w:val="0"/>
      <w:marBottom w:val="0"/>
      <w:divBdr>
        <w:top w:val="none" w:sz="0" w:space="0" w:color="auto"/>
        <w:left w:val="none" w:sz="0" w:space="0" w:color="auto"/>
        <w:bottom w:val="none" w:sz="0" w:space="0" w:color="auto"/>
        <w:right w:val="none" w:sz="0" w:space="0" w:color="auto"/>
      </w:divBdr>
    </w:div>
    <w:div w:id="1146160896">
      <w:bodyDiv w:val="1"/>
      <w:marLeft w:val="0"/>
      <w:marRight w:val="0"/>
      <w:marTop w:val="0"/>
      <w:marBottom w:val="0"/>
      <w:divBdr>
        <w:top w:val="none" w:sz="0" w:space="0" w:color="auto"/>
        <w:left w:val="none" w:sz="0" w:space="0" w:color="auto"/>
        <w:bottom w:val="none" w:sz="0" w:space="0" w:color="auto"/>
        <w:right w:val="none" w:sz="0" w:space="0" w:color="auto"/>
      </w:divBdr>
    </w:div>
    <w:div w:id="1150712893">
      <w:bodyDiv w:val="1"/>
      <w:marLeft w:val="0"/>
      <w:marRight w:val="0"/>
      <w:marTop w:val="0"/>
      <w:marBottom w:val="0"/>
      <w:divBdr>
        <w:top w:val="none" w:sz="0" w:space="0" w:color="auto"/>
        <w:left w:val="none" w:sz="0" w:space="0" w:color="auto"/>
        <w:bottom w:val="none" w:sz="0" w:space="0" w:color="auto"/>
        <w:right w:val="none" w:sz="0" w:space="0" w:color="auto"/>
      </w:divBdr>
    </w:div>
    <w:div w:id="1198589016">
      <w:bodyDiv w:val="1"/>
      <w:marLeft w:val="0"/>
      <w:marRight w:val="0"/>
      <w:marTop w:val="0"/>
      <w:marBottom w:val="0"/>
      <w:divBdr>
        <w:top w:val="none" w:sz="0" w:space="0" w:color="auto"/>
        <w:left w:val="none" w:sz="0" w:space="0" w:color="auto"/>
        <w:bottom w:val="none" w:sz="0" w:space="0" w:color="auto"/>
        <w:right w:val="none" w:sz="0" w:space="0" w:color="auto"/>
      </w:divBdr>
      <w:divsChild>
        <w:div w:id="272203355">
          <w:marLeft w:val="0"/>
          <w:marRight w:val="0"/>
          <w:marTop w:val="0"/>
          <w:marBottom w:val="0"/>
          <w:divBdr>
            <w:top w:val="none" w:sz="0" w:space="0" w:color="auto"/>
            <w:left w:val="none" w:sz="0" w:space="0" w:color="auto"/>
            <w:bottom w:val="none" w:sz="0" w:space="0" w:color="auto"/>
            <w:right w:val="none" w:sz="0" w:space="0" w:color="auto"/>
          </w:divBdr>
          <w:divsChild>
            <w:div w:id="329526809">
              <w:marLeft w:val="0"/>
              <w:marRight w:val="0"/>
              <w:marTop w:val="0"/>
              <w:marBottom w:val="0"/>
              <w:divBdr>
                <w:top w:val="none" w:sz="0" w:space="0" w:color="auto"/>
                <w:left w:val="none" w:sz="0" w:space="0" w:color="auto"/>
                <w:bottom w:val="none" w:sz="0" w:space="0" w:color="auto"/>
                <w:right w:val="none" w:sz="0" w:space="0" w:color="auto"/>
              </w:divBdr>
              <w:divsChild>
                <w:div w:id="44917577">
                  <w:marLeft w:val="0"/>
                  <w:marRight w:val="0"/>
                  <w:marTop w:val="0"/>
                  <w:marBottom w:val="0"/>
                  <w:divBdr>
                    <w:top w:val="none" w:sz="0" w:space="0" w:color="auto"/>
                    <w:left w:val="none" w:sz="0" w:space="0" w:color="auto"/>
                    <w:bottom w:val="none" w:sz="0" w:space="0" w:color="auto"/>
                    <w:right w:val="none" w:sz="0" w:space="0" w:color="auto"/>
                  </w:divBdr>
                  <w:divsChild>
                    <w:div w:id="513959536">
                      <w:marLeft w:val="0"/>
                      <w:marRight w:val="0"/>
                      <w:marTop w:val="0"/>
                      <w:marBottom w:val="0"/>
                      <w:divBdr>
                        <w:top w:val="none" w:sz="0" w:space="0" w:color="auto"/>
                        <w:left w:val="none" w:sz="0" w:space="0" w:color="auto"/>
                        <w:bottom w:val="none" w:sz="0" w:space="0" w:color="auto"/>
                        <w:right w:val="none" w:sz="0" w:space="0" w:color="auto"/>
                      </w:divBdr>
                      <w:divsChild>
                        <w:div w:id="44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44632">
          <w:marLeft w:val="0"/>
          <w:marRight w:val="0"/>
          <w:marTop w:val="0"/>
          <w:marBottom w:val="0"/>
          <w:divBdr>
            <w:top w:val="none" w:sz="0" w:space="0" w:color="auto"/>
            <w:left w:val="none" w:sz="0" w:space="0" w:color="auto"/>
            <w:bottom w:val="none" w:sz="0" w:space="0" w:color="auto"/>
            <w:right w:val="none" w:sz="0" w:space="0" w:color="auto"/>
          </w:divBdr>
        </w:div>
        <w:div w:id="1669559132">
          <w:marLeft w:val="0"/>
          <w:marRight w:val="0"/>
          <w:marTop w:val="0"/>
          <w:marBottom w:val="0"/>
          <w:divBdr>
            <w:top w:val="none" w:sz="0" w:space="0" w:color="auto"/>
            <w:left w:val="none" w:sz="0" w:space="0" w:color="auto"/>
            <w:bottom w:val="none" w:sz="0" w:space="0" w:color="auto"/>
            <w:right w:val="none" w:sz="0" w:space="0" w:color="auto"/>
          </w:divBdr>
          <w:divsChild>
            <w:div w:id="59450436">
              <w:marLeft w:val="0"/>
              <w:marRight w:val="0"/>
              <w:marTop w:val="0"/>
              <w:marBottom w:val="0"/>
              <w:divBdr>
                <w:top w:val="none" w:sz="0" w:space="0" w:color="auto"/>
                <w:left w:val="none" w:sz="0" w:space="0" w:color="auto"/>
                <w:bottom w:val="none" w:sz="0" w:space="0" w:color="auto"/>
                <w:right w:val="none" w:sz="0" w:space="0" w:color="auto"/>
              </w:divBdr>
              <w:divsChild>
                <w:div w:id="1129054712">
                  <w:marLeft w:val="0"/>
                  <w:marRight w:val="0"/>
                  <w:marTop w:val="0"/>
                  <w:marBottom w:val="0"/>
                  <w:divBdr>
                    <w:top w:val="none" w:sz="0" w:space="0" w:color="auto"/>
                    <w:left w:val="none" w:sz="0" w:space="0" w:color="auto"/>
                    <w:bottom w:val="none" w:sz="0" w:space="0" w:color="auto"/>
                    <w:right w:val="none" w:sz="0" w:space="0" w:color="auto"/>
                  </w:divBdr>
                  <w:divsChild>
                    <w:div w:id="1533229959">
                      <w:marLeft w:val="0"/>
                      <w:marRight w:val="0"/>
                      <w:marTop w:val="0"/>
                      <w:marBottom w:val="0"/>
                      <w:divBdr>
                        <w:top w:val="none" w:sz="0" w:space="0" w:color="auto"/>
                        <w:left w:val="none" w:sz="0" w:space="0" w:color="auto"/>
                        <w:bottom w:val="none" w:sz="0" w:space="0" w:color="auto"/>
                        <w:right w:val="none" w:sz="0" w:space="0" w:color="auto"/>
                      </w:divBdr>
                      <w:divsChild>
                        <w:div w:id="1544556521">
                          <w:marLeft w:val="0"/>
                          <w:marRight w:val="0"/>
                          <w:marTop w:val="0"/>
                          <w:marBottom w:val="0"/>
                          <w:divBdr>
                            <w:top w:val="none" w:sz="0" w:space="0" w:color="auto"/>
                            <w:left w:val="none" w:sz="0" w:space="0" w:color="auto"/>
                            <w:bottom w:val="none" w:sz="0" w:space="0" w:color="auto"/>
                            <w:right w:val="none" w:sz="0" w:space="0" w:color="auto"/>
                          </w:divBdr>
                          <w:divsChild>
                            <w:div w:id="32833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487203">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36098906">
      <w:bodyDiv w:val="1"/>
      <w:marLeft w:val="0"/>
      <w:marRight w:val="0"/>
      <w:marTop w:val="0"/>
      <w:marBottom w:val="0"/>
      <w:divBdr>
        <w:top w:val="none" w:sz="0" w:space="0" w:color="auto"/>
        <w:left w:val="none" w:sz="0" w:space="0" w:color="auto"/>
        <w:bottom w:val="none" w:sz="0" w:space="0" w:color="auto"/>
        <w:right w:val="none" w:sz="0" w:space="0" w:color="auto"/>
      </w:divBdr>
    </w:div>
    <w:div w:id="1438405591">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494419697">
      <w:bodyDiv w:val="1"/>
      <w:marLeft w:val="0"/>
      <w:marRight w:val="0"/>
      <w:marTop w:val="0"/>
      <w:marBottom w:val="0"/>
      <w:divBdr>
        <w:top w:val="none" w:sz="0" w:space="0" w:color="auto"/>
        <w:left w:val="none" w:sz="0" w:space="0" w:color="auto"/>
        <w:bottom w:val="none" w:sz="0" w:space="0" w:color="auto"/>
        <w:right w:val="none" w:sz="0" w:space="0" w:color="auto"/>
      </w:divBdr>
    </w:div>
    <w:div w:id="1508982702">
      <w:bodyDiv w:val="1"/>
      <w:marLeft w:val="0"/>
      <w:marRight w:val="0"/>
      <w:marTop w:val="0"/>
      <w:marBottom w:val="0"/>
      <w:divBdr>
        <w:top w:val="none" w:sz="0" w:space="0" w:color="auto"/>
        <w:left w:val="none" w:sz="0" w:space="0" w:color="auto"/>
        <w:bottom w:val="none" w:sz="0" w:space="0" w:color="auto"/>
        <w:right w:val="none" w:sz="0" w:space="0" w:color="auto"/>
      </w:divBdr>
    </w:div>
    <w:div w:id="1509061286">
      <w:bodyDiv w:val="1"/>
      <w:marLeft w:val="0"/>
      <w:marRight w:val="0"/>
      <w:marTop w:val="0"/>
      <w:marBottom w:val="0"/>
      <w:divBdr>
        <w:top w:val="none" w:sz="0" w:space="0" w:color="auto"/>
        <w:left w:val="none" w:sz="0" w:space="0" w:color="auto"/>
        <w:bottom w:val="none" w:sz="0" w:space="0" w:color="auto"/>
        <w:right w:val="none" w:sz="0" w:space="0" w:color="auto"/>
      </w:divBdr>
    </w:div>
    <w:div w:id="1586576392">
      <w:bodyDiv w:val="1"/>
      <w:marLeft w:val="0"/>
      <w:marRight w:val="0"/>
      <w:marTop w:val="0"/>
      <w:marBottom w:val="0"/>
      <w:divBdr>
        <w:top w:val="none" w:sz="0" w:space="0" w:color="auto"/>
        <w:left w:val="none" w:sz="0" w:space="0" w:color="auto"/>
        <w:bottom w:val="none" w:sz="0" w:space="0" w:color="auto"/>
        <w:right w:val="none" w:sz="0" w:space="0" w:color="auto"/>
      </w:divBdr>
    </w:div>
    <w:div w:id="1653679887">
      <w:bodyDiv w:val="1"/>
      <w:marLeft w:val="0"/>
      <w:marRight w:val="0"/>
      <w:marTop w:val="0"/>
      <w:marBottom w:val="0"/>
      <w:divBdr>
        <w:top w:val="none" w:sz="0" w:space="0" w:color="auto"/>
        <w:left w:val="none" w:sz="0" w:space="0" w:color="auto"/>
        <w:bottom w:val="none" w:sz="0" w:space="0" w:color="auto"/>
        <w:right w:val="none" w:sz="0" w:space="0" w:color="auto"/>
      </w:divBdr>
    </w:div>
    <w:div w:id="1707367122">
      <w:bodyDiv w:val="1"/>
      <w:marLeft w:val="0"/>
      <w:marRight w:val="0"/>
      <w:marTop w:val="0"/>
      <w:marBottom w:val="0"/>
      <w:divBdr>
        <w:top w:val="none" w:sz="0" w:space="0" w:color="auto"/>
        <w:left w:val="none" w:sz="0" w:space="0" w:color="auto"/>
        <w:bottom w:val="none" w:sz="0" w:space="0" w:color="auto"/>
        <w:right w:val="none" w:sz="0" w:space="0" w:color="auto"/>
      </w:divBdr>
    </w:div>
    <w:div w:id="1733693451">
      <w:bodyDiv w:val="1"/>
      <w:marLeft w:val="0"/>
      <w:marRight w:val="0"/>
      <w:marTop w:val="0"/>
      <w:marBottom w:val="0"/>
      <w:divBdr>
        <w:top w:val="none" w:sz="0" w:space="0" w:color="auto"/>
        <w:left w:val="none" w:sz="0" w:space="0" w:color="auto"/>
        <w:bottom w:val="none" w:sz="0" w:space="0" w:color="auto"/>
        <w:right w:val="none" w:sz="0" w:space="0" w:color="auto"/>
      </w:divBdr>
    </w:div>
    <w:div w:id="1742829607">
      <w:bodyDiv w:val="1"/>
      <w:marLeft w:val="0"/>
      <w:marRight w:val="0"/>
      <w:marTop w:val="0"/>
      <w:marBottom w:val="0"/>
      <w:divBdr>
        <w:top w:val="none" w:sz="0" w:space="0" w:color="auto"/>
        <w:left w:val="none" w:sz="0" w:space="0" w:color="auto"/>
        <w:bottom w:val="none" w:sz="0" w:space="0" w:color="auto"/>
        <w:right w:val="none" w:sz="0" w:space="0" w:color="auto"/>
      </w:divBdr>
    </w:div>
    <w:div w:id="1760247003">
      <w:bodyDiv w:val="1"/>
      <w:marLeft w:val="0"/>
      <w:marRight w:val="0"/>
      <w:marTop w:val="0"/>
      <w:marBottom w:val="0"/>
      <w:divBdr>
        <w:top w:val="none" w:sz="0" w:space="0" w:color="auto"/>
        <w:left w:val="none" w:sz="0" w:space="0" w:color="auto"/>
        <w:bottom w:val="none" w:sz="0" w:space="0" w:color="auto"/>
        <w:right w:val="none" w:sz="0" w:space="0" w:color="auto"/>
      </w:divBdr>
    </w:div>
    <w:div w:id="1867476660">
      <w:bodyDiv w:val="1"/>
      <w:marLeft w:val="0"/>
      <w:marRight w:val="0"/>
      <w:marTop w:val="0"/>
      <w:marBottom w:val="0"/>
      <w:divBdr>
        <w:top w:val="none" w:sz="0" w:space="0" w:color="auto"/>
        <w:left w:val="none" w:sz="0" w:space="0" w:color="auto"/>
        <w:bottom w:val="none" w:sz="0" w:space="0" w:color="auto"/>
        <w:right w:val="none" w:sz="0" w:space="0" w:color="auto"/>
      </w:divBdr>
    </w:div>
    <w:div w:id="1869415947">
      <w:bodyDiv w:val="1"/>
      <w:marLeft w:val="0"/>
      <w:marRight w:val="0"/>
      <w:marTop w:val="0"/>
      <w:marBottom w:val="0"/>
      <w:divBdr>
        <w:top w:val="none" w:sz="0" w:space="0" w:color="auto"/>
        <w:left w:val="none" w:sz="0" w:space="0" w:color="auto"/>
        <w:bottom w:val="none" w:sz="0" w:space="0" w:color="auto"/>
        <w:right w:val="none" w:sz="0" w:space="0" w:color="auto"/>
      </w:divBdr>
    </w:div>
    <w:div w:id="1878737316">
      <w:bodyDiv w:val="1"/>
      <w:marLeft w:val="0"/>
      <w:marRight w:val="0"/>
      <w:marTop w:val="0"/>
      <w:marBottom w:val="0"/>
      <w:divBdr>
        <w:top w:val="none" w:sz="0" w:space="0" w:color="auto"/>
        <w:left w:val="none" w:sz="0" w:space="0" w:color="auto"/>
        <w:bottom w:val="none" w:sz="0" w:space="0" w:color="auto"/>
        <w:right w:val="none" w:sz="0" w:space="0" w:color="auto"/>
      </w:divBdr>
    </w:div>
    <w:div w:id="1893350832">
      <w:bodyDiv w:val="1"/>
      <w:marLeft w:val="0"/>
      <w:marRight w:val="0"/>
      <w:marTop w:val="0"/>
      <w:marBottom w:val="0"/>
      <w:divBdr>
        <w:top w:val="none" w:sz="0" w:space="0" w:color="auto"/>
        <w:left w:val="none" w:sz="0" w:space="0" w:color="auto"/>
        <w:bottom w:val="none" w:sz="0" w:space="0" w:color="auto"/>
        <w:right w:val="none" w:sz="0" w:space="0" w:color="auto"/>
      </w:divBdr>
    </w:div>
    <w:div w:id="1893619483">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 w:id="2121148401">
      <w:bodyDiv w:val="1"/>
      <w:marLeft w:val="0"/>
      <w:marRight w:val="0"/>
      <w:marTop w:val="0"/>
      <w:marBottom w:val="0"/>
      <w:divBdr>
        <w:top w:val="none" w:sz="0" w:space="0" w:color="auto"/>
        <w:left w:val="none" w:sz="0" w:space="0" w:color="auto"/>
        <w:bottom w:val="none" w:sz="0" w:space="0" w:color="auto"/>
        <w:right w:val="none" w:sz="0" w:space="0" w:color="auto"/>
      </w:divBdr>
    </w:div>
    <w:div w:id="21219492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diagramLayout" Target="diagrams/layout4.xml"/><Relationship Id="rId47" Type="http://schemas.openxmlformats.org/officeDocument/2006/relationships/image" Target="media/image20.png"/><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image" Target="media/image47.png"/><Relationship Id="rId89" Type="http://schemas.openxmlformats.org/officeDocument/2006/relationships/diagramColors" Target="diagrams/colors7.xml"/><Relationship Id="rId16" Type="http://schemas.openxmlformats.org/officeDocument/2006/relationships/diagramQuickStyle" Target="diagrams/quickStyle2.xml"/><Relationship Id="rId11" Type="http://schemas.openxmlformats.org/officeDocument/2006/relationships/diagramQuickStyle" Target="diagrams/quickStyle1.xml"/><Relationship Id="rId32" Type="http://schemas.openxmlformats.org/officeDocument/2006/relationships/image" Target="media/image15.png"/><Relationship Id="rId37" Type="http://schemas.openxmlformats.org/officeDocument/2006/relationships/diagramLayout" Target="diagrams/layout3.xml"/><Relationship Id="rId53" Type="http://schemas.openxmlformats.org/officeDocument/2006/relationships/image" Target="media/image26.png"/><Relationship Id="rId58" Type="http://schemas.openxmlformats.org/officeDocument/2006/relationships/diagramLayout" Target="diagrams/layout5.xml"/><Relationship Id="rId74" Type="http://schemas.openxmlformats.org/officeDocument/2006/relationships/diagramData" Target="diagrams/data6.xml"/><Relationship Id="rId79" Type="http://schemas.openxmlformats.org/officeDocument/2006/relationships/image" Target="media/image42.png"/><Relationship Id="rId5" Type="http://schemas.openxmlformats.org/officeDocument/2006/relationships/settings" Target="settings.xml"/><Relationship Id="rId90" Type="http://schemas.microsoft.com/office/2007/relationships/diagramDrawing" Target="diagrams/drawing7.xml"/><Relationship Id="rId95" Type="http://schemas.openxmlformats.org/officeDocument/2006/relationships/fontTable" Target="fontTable.xm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diagramQuickStyle" Target="diagrams/quickStyle4.xml"/><Relationship Id="rId48" Type="http://schemas.openxmlformats.org/officeDocument/2006/relationships/image" Target="media/image21.png"/><Relationship Id="rId64" Type="http://schemas.openxmlformats.org/officeDocument/2006/relationships/image" Target="media/image32.png"/><Relationship Id="rId69"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image" Target="media/image24.png"/><Relationship Id="rId72" Type="http://schemas.openxmlformats.org/officeDocument/2006/relationships/image" Target="media/image40.png"/><Relationship Id="rId80" Type="http://schemas.openxmlformats.org/officeDocument/2006/relationships/image" Target="media/image43.png"/><Relationship Id="rId85" Type="http://schemas.openxmlformats.org/officeDocument/2006/relationships/image" Target="media/image48.pn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diagramQuickStyle" Target="diagrams/quickStyle3.xml"/><Relationship Id="rId46" Type="http://schemas.openxmlformats.org/officeDocument/2006/relationships/image" Target="media/image19.png"/><Relationship Id="rId59" Type="http://schemas.openxmlformats.org/officeDocument/2006/relationships/diagramQuickStyle" Target="diagrams/quickStyle5.xml"/><Relationship Id="rId67" Type="http://schemas.openxmlformats.org/officeDocument/2006/relationships/image" Target="media/image35.png"/><Relationship Id="rId20" Type="http://schemas.openxmlformats.org/officeDocument/2006/relationships/image" Target="media/image3.png"/><Relationship Id="rId41" Type="http://schemas.openxmlformats.org/officeDocument/2006/relationships/diagramData" Target="diagrams/data4.xml"/><Relationship Id="rId54" Type="http://schemas.openxmlformats.org/officeDocument/2006/relationships/image" Target="media/image27.pn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diagramLayout" Target="diagrams/layout6.xml"/><Relationship Id="rId83" Type="http://schemas.openxmlformats.org/officeDocument/2006/relationships/image" Target="media/image46.png"/><Relationship Id="rId88" Type="http://schemas.openxmlformats.org/officeDocument/2006/relationships/diagramQuickStyle" Target="diagrams/quickStyle7.xml"/><Relationship Id="rId91" Type="http://schemas.openxmlformats.org/officeDocument/2006/relationships/header" Target="head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diagramData" Target="diagrams/data3.xml"/><Relationship Id="rId49" Type="http://schemas.openxmlformats.org/officeDocument/2006/relationships/image" Target="media/image22.png"/><Relationship Id="rId57" Type="http://schemas.openxmlformats.org/officeDocument/2006/relationships/diagramData" Target="diagrams/data5.xml"/><Relationship Id="rId10" Type="http://schemas.openxmlformats.org/officeDocument/2006/relationships/diagramLayout" Target="diagrams/layout1.xml"/><Relationship Id="rId31" Type="http://schemas.openxmlformats.org/officeDocument/2006/relationships/image" Target="media/image14.png"/><Relationship Id="rId44" Type="http://schemas.openxmlformats.org/officeDocument/2006/relationships/diagramColors" Target="diagrams/colors4.xml"/><Relationship Id="rId52" Type="http://schemas.openxmlformats.org/officeDocument/2006/relationships/image" Target="media/image25.png"/><Relationship Id="rId60" Type="http://schemas.openxmlformats.org/officeDocument/2006/relationships/diagramColors" Target="diagrams/colors5.xml"/><Relationship Id="rId65" Type="http://schemas.openxmlformats.org/officeDocument/2006/relationships/image" Target="media/image33.png"/><Relationship Id="rId73" Type="http://schemas.openxmlformats.org/officeDocument/2006/relationships/image" Target="media/image41.png"/><Relationship Id="rId78" Type="http://schemas.microsoft.com/office/2007/relationships/diagramDrawing" Target="diagrams/drawing6.xml"/><Relationship Id="rId81" Type="http://schemas.openxmlformats.org/officeDocument/2006/relationships/image" Target="media/image44.png"/><Relationship Id="rId86" Type="http://schemas.openxmlformats.org/officeDocument/2006/relationships/diagramData" Target="diagrams/data7.xml"/><Relationship Id="rId9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diagramColors" Target="diagrams/colors3.xml"/><Relationship Id="rId34" Type="http://schemas.openxmlformats.org/officeDocument/2006/relationships/image" Target="media/image17.png"/><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diagramQuickStyle" Target="diagrams/quickStyle6.xml"/><Relationship Id="rId7" Type="http://schemas.openxmlformats.org/officeDocument/2006/relationships/footnotes" Target="footnotes.xml"/><Relationship Id="rId71" Type="http://schemas.openxmlformats.org/officeDocument/2006/relationships/image" Target="media/image39.png"/><Relationship Id="rId9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microsoft.com/office/2007/relationships/diagramDrawing" Target="diagrams/drawing3.xml"/><Relationship Id="rId45" Type="http://schemas.microsoft.com/office/2007/relationships/diagramDrawing" Target="diagrams/drawing4.xml"/><Relationship Id="rId66" Type="http://schemas.openxmlformats.org/officeDocument/2006/relationships/image" Target="media/image34.png"/><Relationship Id="rId87" Type="http://schemas.openxmlformats.org/officeDocument/2006/relationships/diagramLayout" Target="diagrams/layout7.xml"/><Relationship Id="rId61" Type="http://schemas.microsoft.com/office/2007/relationships/diagramDrawing" Target="diagrams/drawing5.xml"/><Relationship Id="rId82" Type="http://schemas.openxmlformats.org/officeDocument/2006/relationships/image" Target="media/image45.png"/><Relationship Id="rId19" Type="http://schemas.openxmlformats.org/officeDocument/2006/relationships/image" Target="media/image2.png"/><Relationship Id="rId14" Type="http://schemas.openxmlformats.org/officeDocument/2006/relationships/diagramData" Target="diagrams/data2.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29.png"/><Relationship Id="rId77" Type="http://schemas.openxmlformats.org/officeDocument/2006/relationships/diagramColors" Target="diagrams/colors6.xml"/></Relationships>
</file>

<file path=word/_rels/footer1.xml.rels><?xml version="1.0" encoding="UTF-8" standalone="yes"?>
<Relationships xmlns="http://schemas.openxmlformats.org/package/2006/relationships"><Relationship Id="rId1" Type="http://schemas.openxmlformats.org/officeDocument/2006/relationships/image" Target="media/image49.png"/></Relationships>
</file>

<file path=word/_rels/footer2.xml.rels><?xml version="1.0" encoding="UTF-8" standalone="yes"?>
<Relationships xmlns="http://schemas.openxmlformats.org/package/2006/relationships"><Relationship Id="rId1" Type="http://schemas.openxmlformats.org/officeDocument/2006/relationships/image" Target="media/image5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ALO~1\AppData\Local\Temp\Publikace%20bar%20CZ_lide%20a%20spolecnost_2016-03-29.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1F9463-D0E2-4B4D-8BAF-A43F9235EDBC}"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cs-CZ"/>
        </a:p>
      </dgm:t>
    </dgm:pt>
    <dgm:pt modelId="{61877C8A-039D-4F44-BB8D-B90FF853EB56}">
      <dgm:prSet phldrT="[Text]" custT="1"/>
      <dgm:spPr>
        <a:solidFill>
          <a:schemeClr val="accent2">
            <a:lumMod val="75000"/>
          </a:schemeClr>
        </a:solidFill>
      </dgm:spPr>
      <dgm:t>
        <a:bodyPr/>
        <a:lstStyle/>
        <a:p>
          <a:r>
            <a:rPr lang="cs-CZ" sz="800">
              <a:solidFill>
                <a:schemeClr val="bg1"/>
              </a:solidFill>
              <a:latin typeface="Arial" panose="020B0604020202020204" pitchFamily="34" charset="0"/>
              <a:cs typeface="Arial" panose="020B0604020202020204" pitchFamily="34" charset="0"/>
            </a:rPr>
            <a:t>MŠMT</a:t>
          </a:r>
        </a:p>
        <a:p>
          <a:r>
            <a:rPr lang="cs-CZ" sz="800">
              <a:solidFill>
                <a:schemeClr val="bg1"/>
              </a:solidFill>
              <a:latin typeface="Arial" panose="020B0604020202020204" pitchFamily="34" charset="0"/>
              <a:cs typeface="Arial" panose="020B0604020202020204" pitchFamily="34" charset="0"/>
            </a:rPr>
            <a:t>8</a:t>
          </a:r>
        </a:p>
      </dgm:t>
    </dgm:pt>
    <dgm:pt modelId="{7B79722C-D455-47D0-B5AB-A7DA0CFCEFBC}" type="parTrans" cxnId="{E0FE5D10-B43F-41E7-9F34-22495DE814CF}">
      <dgm:prSet/>
      <dgm:spPr/>
      <dgm:t>
        <a:bodyPr/>
        <a:lstStyle/>
        <a:p>
          <a:endParaRPr lang="cs-CZ" sz="800">
            <a:latin typeface="Arial" panose="020B0604020202020204" pitchFamily="34" charset="0"/>
            <a:cs typeface="Arial" panose="020B0604020202020204" pitchFamily="34" charset="0"/>
          </a:endParaRPr>
        </a:p>
      </dgm:t>
    </dgm:pt>
    <dgm:pt modelId="{942AE165-A6EB-49C0-BFC9-7EF7BAF8DB9D}" type="sibTrans" cxnId="{E0FE5D10-B43F-41E7-9F34-22495DE814CF}">
      <dgm:prSet/>
      <dgm:spPr/>
      <dgm:t>
        <a:bodyPr/>
        <a:lstStyle/>
        <a:p>
          <a:endParaRPr lang="cs-CZ" sz="800">
            <a:latin typeface="Arial" panose="020B0604020202020204" pitchFamily="34" charset="0"/>
            <a:cs typeface="Arial" panose="020B0604020202020204" pitchFamily="34" charset="0"/>
          </a:endParaRPr>
        </a:p>
      </dgm:t>
    </dgm:pt>
    <dgm:pt modelId="{99D59F09-03E5-4607-AF7C-A30C3637B64E}">
      <dgm:prSet phldrT="[Text]" custT="1"/>
      <dgm:spPr>
        <a:solidFill>
          <a:schemeClr val="accent2">
            <a:lumMod val="75000"/>
          </a:schemeClr>
        </a:solidFill>
      </dgm:spPr>
      <dgm:t>
        <a:bodyPr/>
        <a:lstStyle/>
        <a:p>
          <a:r>
            <a:rPr lang="cs-CZ" sz="800">
              <a:solidFill>
                <a:schemeClr val="bg1"/>
              </a:solidFill>
              <a:latin typeface="Arial" panose="020B0604020202020204" pitchFamily="34" charset="0"/>
              <a:cs typeface="Arial" panose="020B0604020202020204" pitchFamily="34" charset="0"/>
            </a:rPr>
            <a:t>Obec</a:t>
          </a:r>
        </a:p>
        <a:p>
          <a:r>
            <a:rPr lang="cs-CZ" sz="800">
              <a:solidFill>
                <a:schemeClr val="bg1"/>
              </a:solidFill>
              <a:latin typeface="Arial" panose="020B0604020202020204" pitchFamily="34" charset="0"/>
              <a:cs typeface="Arial" panose="020B0604020202020204" pitchFamily="34" charset="0"/>
            </a:rPr>
            <a:t>4 617</a:t>
          </a:r>
        </a:p>
      </dgm:t>
    </dgm:pt>
    <dgm:pt modelId="{4D78D0D4-1D30-469E-9A67-F5D604CC38C8}" type="parTrans" cxnId="{4AAD6370-BD07-4915-8328-C01FEF479B4B}">
      <dgm:prSet/>
      <dgm:spPr/>
      <dgm:t>
        <a:bodyPr/>
        <a:lstStyle/>
        <a:p>
          <a:endParaRPr lang="cs-CZ" sz="800">
            <a:latin typeface="Arial" panose="020B0604020202020204" pitchFamily="34" charset="0"/>
            <a:cs typeface="Arial" panose="020B0604020202020204" pitchFamily="34" charset="0"/>
          </a:endParaRPr>
        </a:p>
      </dgm:t>
    </dgm:pt>
    <dgm:pt modelId="{F55667D9-A6FE-4C87-86C4-DA2DDDA56B73}" type="sibTrans" cxnId="{4AAD6370-BD07-4915-8328-C01FEF479B4B}">
      <dgm:prSet/>
      <dgm:spPr/>
      <dgm:t>
        <a:bodyPr/>
        <a:lstStyle/>
        <a:p>
          <a:endParaRPr lang="cs-CZ" sz="800">
            <a:latin typeface="Arial" panose="020B0604020202020204" pitchFamily="34" charset="0"/>
            <a:cs typeface="Arial" panose="020B0604020202020204" pitchFamily="34" charset="0"/>
          </a:endParaRPr>
        </a:p>
      </dgm:t>
    </dgm:pt>
    <dgm:pt modelId="{AF2286B2-4180-43AD-B8CD-D75E9201D007}">
      <dgm:prSet phldrT="[Text]" custT="1"/>
      <dgm:spPr>
        <a:solidFill>
          <a:schemeClr val="accent2">
            <a:lumMod val="75000"/>
          </a:schemeClr>
        </a:solidFill>
      </dgm:spPr>
      <dgm:t>
        <a:bodyPr/>
        <a:lstStyle/>
        <a:p>
          <a:r>
            <a:rPr lang="cs-CZ" sz="800">
              <a:solidFill>
                <a:schemeClr val="bg1"/>
              </a:solidFill>
              <a:latin typeface="Arial" panose="020B0604020202020204" pitchFamily="34" charset="0"/>
              <a:cs typeface="Arial" panose="020B0604020202020204" pitchFamily="34" charset="0"/>
            </a:rPr>
            <a:t>Kraj</a:t>
          </a:r>
        </a:p>
        <a:p>
          <a:r>
            <a:rPr lang="cs-CZ" sz="800">
              <a:solidFill>
                <a:schemeClr val="bg1"/>
              </a:solidFill>
              <a:latin typeface="Arial" panose="020B0604020202020204" pitchFamily="34" charset="0"/>
              <a:cs typeface="Arial" panose="020B0604020202020204" pitchFamily="34" charset="0"/>
            </a:rPr>
            <a:t>81</a:t>
          </a:r>
        </a:p>
      </dgm:t>
    </dgm:pt>
    <dgm:pt modelId="{FB1F1D7A-FE02-4C68-BB41-FA669BDBF01C}" type="parTrans" cxnId="{D640A7F0-4527-4FB0-9343-67CA6594C931}">
      <dgm:prSet/>
      <dgm:spPr/>
      <dgm:t>
        <a:bodyPr/>
        <a:lstStyle/>
        <a:p>
          <a:endParaRPr lang="cs-CZ" sz="800">
            <a:latin typeface="Arial" panose="020B0604020202020204" pitchFamily="34" charset="0"/>
            <a:cs typeface="Arial" panose="020B0604020202020204" pitchFamily="34" charset="0"/>
          </a:endParaRPr>
        </a:p>
      </dgm:t>
    </dgm:pt>
    <dgm:pt modelId="{4FEE4DD9-8268-4229-91D6-0B6F72F0727B}" type="sibTrans" cxnId="{D640A7F0-4527-4FB0-9343-67CA6594C931}">
      <dgm:prSet/>
      <dgm:spPr/>
      <dgm:t>
        <a:bodyPr/>
        <a:lstStyle/>
        <a:p>
          <a:endParaRPr lang="cs-CZ" sz="800">
            <a:latin typeface="Arial" panose="020B0604020202020204" pitchFamily="34" charset="0"/>
            <a:cs typeface="Arial" panose="020B0604020202020204" pitchFamily="34" charset="0"/>
          </a:endParaRPr>
        </a:p>
      </dgm:t>
    </dgm:pt>
    <dgm:pt modelId="{FCEF160F-56DA-445B-9581-D5BB458479D2}">
      <dgm:prSet phldrT="[Text]" custT="1"/>
      <dgm:spPr>
        <a:solidFill>
          <a:schemeClr val="accent2">
            <a:lumMod val="75000"/>
          </a:schemeClr>
        </a:solidFill>
      </dgm:spPr>
      <dgm:t>
        <a:bodyPr/>
        <a:lstStyle/>
        <a:p>
          <a:r>
            <a:rPr lang="cs-CZ" sz="800">
              <a:solidFill>
                <a:schemeClr val="bg1"/>
              </a:solidFill>
              <a:latin typeface="Arial" panose="020B0604020202020204" pitchFamily="34" charset="0"/>
              <a:cs typeface="Arial" panose="020B0604020202020204" pitchFamily="34" charset="0"/>
            </a:rPr>
            <a:t>Privátní sektor</a:t>
          </a:r>
        </a:p>
        <a:p>
          <a:r>
            <a:rPr lang="cs-CZ" sz="800">
              <a:solidFill>
                <a:schemeClr val="bg1"/>
              </a:solidFill>
              <a:latin typeface="Arial" panose="020B0604020202020204" pitchFamily="34" charset="0"/>
              <a:cs typeface="Arial" panose="020B0604020202020204" pitchFamily="34" charset="0"/>
            </a:rPr>
            <a:t>77</a:t>
          </a:r>
        </a:p>
      </dgm:t>
    </dgm:pt>
    <dgm:pt modelId="{0E64A436-6AB8-4BD3-878B-D4D0E55FE624}" type="parTrans" cxnId="{9E75FF7C-367E-45E3-9B2D-393E33567EAB}">
      <dgm:prSet/>
      <dgm:spPr/>
      <dgm:t>
        <a:bodyPr/>
        <a:lstStyle/>
        <a:p>
          <a:endParaRPr lang="cs-CZ" sz="800">
            <a:latin typeface="Arial" panose="020B0604020202020204" pitchFamily="34" charset="0"/>
            <a:cs typeface="Arial" panose="020B0604020202020204" pitchFamily="34" charset="0"/>
          </a:endParaRPr>
        </a:p>
      </dgm:t>
    </dgm:pt>
    <dgm:pt modelId="{A9290A66-3B71-4AC3-B1B6-705BC307C906}" type="sibTrans" cxnId="{9E75FF7C-367E-45E3-9B2D-393E33567EAB}">
      <dgm:prSet/>
      <dgm:spPr/>
      <dgm:t>
        <a:bodyPr/>
        <a:lstStyle/>
        <a:p>
          <a:endParaRPr lang="cs-CZ" sz="800">
            <a:latin typeface="Arial" panose="020B0604020202020204" pitchFamily="34" charset="0"/>
            <a:cs typeface="Arial" panose="020B0604020202020204" pitchFamily="34" charset="0"/>
          </a:endParaRPr>
        </a:p>
      </dgm:t>
    </dgm:pt>
    <dgm:pt modelId="{93C10C26-D880-4F6E-AC51-2D927035AEA2}">
      <dgm:prSet phldrT="[Text]" custT="1"/>
      <dgm:spPr>
        <a:solidFill>
          <a:schemeClr val="accent2">
            <a:lumMod val="75000"/>
          </a:schemeClr>
        </a:solidFill>
      </dgm:spPr>
      <dgm:t>
        <a:bodyPr/>
        <a:lstStyle/>
        <a:p>
          <a:r>
            <a:rPr lang="cs-CZ" sz="800">
              <a:solidFill>
                <a:schemeClr val="bg1"/>
              </a:solidFill>
              <a:latin typeface="Arial" panose="020B0604020202020204" pitchFamily="34" charset="0"/>
              <a:cs typeface="Arial" panose="020B0604020202020204" pitchFamily="34" charset="0"/>
            </a:rPr>
            <a:t>Církev</a:t>
          </a:r>
        </a:p>
        <a:p>
          <a:r>
            <a:rPr lang="cs-CZ" sz="800">
              <a:solidFill>
                <a:schemeClr val="bg1"/>
              </a:solidFill>
              <a:latin typeface="Arial" panose="020B0604020202020204" pitchFamily="34" charset="0"/>
              <a:cs typeface="Arial" panose="020B0604020202020204" pitchFamily="34" charset="0"/>
            </a:rPr>
            <a:t>25</a:t>
          </a:r>
        </a:p>
      </dgm:t>
    </dgm:pt>
    <dgm:pt modelId="{D9428B2A-B137-4B6B-AFEE-A74E6283D8A3}" type="parTrans" cxnId="{4E59BD22-F8A6-455F-9041-3C50E7DF82AB}">
      <dgm:prSet/>
      <dgm:spPr/>
      <dgm:t>
        <a:bodyPr/>
        <a:lstStyle/>
        <a:p>
          <a:endParaRPr lang="cs-CZ" sz="800">
            <a:latin typeface="Arial" panose="020B0604020202020204" pitchFamily="34" charset="0"/>
            <a:cs typeface="Arial" panose="020B0604020202020204" pitchFamily="34" charset="0"/>
          </a:endParaRPr>
        </a:p>
      </dgm:t>
    </dgm:pt>
    <dgm:pt modelId="{9CD788E3-866D-4A22-823C-E3CDE85AC0F3}" type="sibTrans" cxnId="{4E59BD22-F8A6-455F-9041-3C50E7DF82AB}">
      <dgm:prSet/>
      <dgm:spPr/>
      <dgm:t>
        <a:bodyPr/>
        <a:lstStyle/>
        <a:p>
          <a:endParaRPr lang="cs-CZ" sz="800">
            <a:latin typeface="Arial" panose="020B0604020202020204" pitchFamily="34" charset="0"/>
            <a:cs typeface="Arial" panose="020B0604020202020204" pitchFamily="34" charset="0"/>
          </a:endParaRPr>
        </a:p>
      </dgm:t>
    </dgm:pt>
    <dgm:pt modelId="{FC48F667-758E-4E95-AA81-4D2B090FA1DB}" type="pres">
      <dgm:prSet presAssocID="{571F9463-D0E2-4B4D-8BAF-A43F9235EDBC}" presName="diagram" presStyleCnt="0">
        <dgm:presLayoutVars>
          <dgm:dir/>
          <dgm:resizeHandles val="exact"/>
        </dgm:presLayoutVars>
      </dgm:prSet>
      <dgm:spPr/>
      <dgm:t>
        <a:bodyPr/>
        <a:lstStyle/>
        <a:p>
          <a:endParaRPr lang="cs-CZ"/>
        </a:p>
      </dgm:t>
    </dgm:pt>
    <dgm:pt modelId="{7FF49B1A-EDF6-4CF0-9204-E9D4FC9D414A}" type="pres">
      <dgm:prSet presAssocID="{61877C8A-039D-4F44-BB8D-B90FF853EB56}" presName="node" presStyleLbl="node1" presStyleIdx="0" presStyleCnt="5">
        <dgm:presLayoutVars>
          <dgm:bulletEnabled val="1"/>
        </dgm:presLayoutVars>
      </dgm:prSet>
      <dgm:spPr/>
      <dgm:t>
        <a:bodyPr/>
        <a:lstStyle/>
        <a:p>
          <a:endParaRPr lang="cs-CZ"/>
        </a:p>
      </dgm:t>
    </dgm:pt>
    <dgm:pt modelId="{49F3C08C-FAEE-4D82-B0E4-16E96FC5C5FE}" type="pres">
      <dgm:prSet presAssocID="{942AE165-A6EB-49C0-BFC9-7EF7BAF8DB9D}" presName="sibTrans" presStyleCnt="0"/>
      <dgm:spPr/>
    </dgm:pt>
    <dgm:pt modelId="{9873D35B-FE53-4636-9C72-7ACE5E6F674B}" type="pres">
      <dgm:prSet presAssocID="{99D59F09-03E5-4607-AF7C-A30C3637B64E}" presName="node" presStyleLbl="node1" presStyleIdx="1" presStyleCnt="5">
        <dgm:presLayoutVars>
          <dgm:bulletEnabled val="1"/>
        </dgm:presLayoutVars>
      </dgm:prSet>
      <dgm:spPr/>
      <dgm:t>
        <a:bodyPr/>
        <a:lstStyle/>
        <a:p>
          <a:endParaRPr lang="cs-CZ"/>
        </a:p>
      </dgm:t>
    </dgm:pt>
    <dgm:pt modelId="{B4403A61-A032-4AF0-92FA-EECA2DBC39DC}" type="pres">
      <dgm:prSet presAssocID="{F55667D9-A6FE-4C87-86C4-DA2DDDA56B73}" presName="sibTrans" presStyleCnt="0"/>
      <dgm:spPr/>
    </dgm:pt>
    <dgm:pt modelId="{30E7D7C6-0CB3-47AE-94BF-8EF3792C5313}" type="pres">
      <dgm:prSet presAssocID="{AF2286B2-4180-43AD-B8CD-D75E9201D007}" presName="node" presStyleLbl="node1" presStyleIdx="2" presStyleCnt="5">
        <dgm:presLayoutVars>
          <dgm:bulletEnabled val="1"/>
        </dgm:presLayoutVars>
      </dgm:prSet>
      <dgm:spPr/>
      <dgm:t>
        <a:bodyPr/>
        <a:lstStyle/>
        <a:p>
          <a:endParaRPr lang="cs-CZ"/>
        </a:p>
      </dgm:t>
    </dgm:pt>
    <dgm:pt modelId="{A9548D11-E3B5-4FC1-9E09-31F411DB73C6}" type="pres">
      <dgm:prSet presAssocID="{4FEE4DD9-8268-4229-91D6-0B6F72F0727B}" presName="sibTrans" presStyleCnt="0"/>
      <dgm:spPr/>
    </dgm:pt>
    <dgm:pt modelId="{5694E1F8-D2D1-4E26-9C52-D6B9C6B2E1B6}" type="pres">
      <dgm:prSet presAssocID="{FCEF160F-56DA-445B-9581-D5BB458479D2}" presName="node" presStyleLbl="node1" presStyleIdx="3" presStyleCnt="5">
        <dgm:presLayoutVars>
          <dgm:bulletEnabled val="1"/>
        </dgm:presLayoutVars>
      </dgm:prSet>
      <dgm:spPr/>
      <dgm:t>
        <a:bodyPr/>
        <a:lstStyle/>
        <a:p>
          <a:endParaRPr lang="cs-CZ"/>
        </a:p>
      </dgm:t>
    </dgm:pt>
    <dgm:pt modelId="{B3529C87-B7C5-4600-9BA9-D6B00EB9ED98}" type="pres">
      <dgm:prSet presAssocID="{A9290A66-3B71-4AC3-B1B6-705BC307C906}" presName="sibTrans" presStyleCnt="0"/>
      <dgm:spPr/>
    </dgm:pt>
    <dgm:pt modelId="{2119474D-9FC7-4651-9D02-20D219A7D555}" type="pres">
      <dgm:prSet presAssocID="{93C10C26-D880-4F6E-AC51-2D927035AEA2}" presName="node" presStyleLbl="node1" presStyleIdx="4" presStyleCnt="5">
        <dgm:presLayoutVars>
          <dgm:bulletEnabled val="1"/>
        </dgm:presLayoutVars>
      </dgm:prSet>
      <dgm:spPr/>
      <dgm:t>
        <a:bodyPr/>
        <a:lstStyle/>
        <a:p>
          <a:endParaRPr lang="cs-CZ"/>
        </a:p>
      </dgm:t>
    </dgm:pt>
  </dgm:ptLst>
  <dgm:cxnLst>
    <dgm:cxn modelId="{E0FE5D10-B43F-41E7-9F34-22495DE814CF}" srcId="{571F9463-D0E2-4B4D-8BAF-A43F9235EDBC}" destId="{61877C8A-039D-4F44-BB8D-B90FF853EB56}" srcOrd="0" destOrd="0" parTransId="{7B79722C-D455-47D0-B5AB-A7DA0CFCEFBC}" sibTransId="{942AE165-A6EB-49C0-BFC9-7EF7BAF8DB9D}"/>
    <dgm:cxn modelId="{5633D540-5DA5-40BA-BD6F-EAD8111B83BF}" type="presOf" srcId="{571F9463-D0E2-4B4D-8BAF-A43F9235EDBC}" destId="{FC48F667-758E-4E95-AA81-4D2B090FA1DB}" srcOrd="0" destOrd="0" presId="urn:microsoft.com/office/officeart/2005/8/layout/default#1"/>
    <dgm:cxn modelId="{4AAD6370-BD07-4915-8328-C01FEF479B4B}" srcId="{571F9463-D0E2-4B4D-8BAF-A43F9235EDBC}" destId="{99D59F09-03E5-4607-AF7C-A30C3637B64E}" srcOrd="1" destOrd="0" parTransId="{4D78D0D4-1D30-469E-9A67-F5D604CC38C8}" sibTransId="{F55667D9-A6FE-4C87-86C4-DA2DDDA56B73}"/>
    <dgm:cxn modelId="{46F7BDE1-490E-4A32-ACB6-213F663F7E65}" type="presOf" srcId="{FCEF160F-56DA-445B-9581-D5BB458479D2}" destId="{5694E1F8-D2D1-4E26-9C52-D6B9C6B2E1B6}" srcOrd="0" destOrd="0" presId="urn:microsoft.com/office/officeart/2005/8/layout/default#1"/>
    <dgm:cxn modelId="{671C567F-6E8F-46B3-83A7-9E0DFCE6E03B}" type="presOf" srcId="{99D59F09-03E5-4607-AF7C-A30C3637B64E}" destId="{9873D35B-FE53-4636-9C72-7ACE5E6F674B}" srcOrd="0" destOrd="0" presId="urn:microsoft.com/office/officeart/2005/8/layout/default#1"/>
    <dgm:cxn modelId="{2C2FFF07-74E2-4A1C-B153-7B0F89B75510}" type="presOf" srcId="{AF2286B2-4180-43AD-B8CD-D75E9201D007}" destId="{30E7D7C6-0CB3-47AE-94BF-8EF3792C5313}" srcOrd="0" destOrd="0" presId="urn:microsoft.com/office/officeart/2005/8/layout/default#1"/>
    <dgm:cxn modelId="{9E75FF7C-367E-45E3-9B2D-393E33567EAB}" srcId="{571F9463-D0E2-4B4D-8BAF-A43F9235EDBC}" destId="{FCEF160F-56DA-445B-9581-D5BB458479D2}" srcOrd="3" destOrd="0" parTransId="{0E64A436-6AB8-4BD3-878B-D4D0E55FE624}" sibTransId="{A9290A66-3B71-4AC3-B1B6-705BC307C906}"/>
    <dgm:cxn modelId="{7E768A44-DFDF-44CA-B229-700C82870A1E}" type="presOf" srcId="{61877C8A-039D-4F44-BB8D-B90FF853EB56}" destId="{7FF49B1A-EDF6-4CF0-9204-E9D4FC9D414A}" srcOrd="0" destOrd="0" presId="urn:microsoft.com/office/officeart/2005/8/layout/default#1"/>
    <dgm:cxn modelId="{4E59BD22-F8A6-455F-9041-3C50E7DF82AB}" srcId="{571F9463-D0E2-4B4D-8BAF-A43F9235EDBC}" destId="{93C10C26-D880-4F6E-AC51-2D927035AEA2}" srcOrd="4" destOrd="0" parTransId="{D9428B2A-B137-4B6B-AFEE-A74E6283D8A3}" sibTransId="{9CD788E3-866D-4A22-823C-E3CDE85AC0F3}"/>
    <dgm:cxn modelId="{493EAC72-EB44-4293-82A3-C59F35AB21A3}" type="presOf" srcId="{93C10C26-D880-4F6E-AC51-2D927035AEA2}" destId="{2119474D-9FC7-4651-9D02-20D219A7D555}" srcOrd="0" destOrd="0" presId="urn:microsoft.com/office/officeart/2005/8/layout/default#1"/>
    <dgm:cxn modelId="{D640A7F0-4527-4FB0-9343-67CA6594C931}" srcId="{571F9463-D0E2-4B4D-8BAF-A43F9235EDBC}" destId="{AF2286B2-4180-43AD-B8CD-D75E9201D007}" srcOrd="2" destOrd="0" parTransId="{FB1F1D7A-FE02-4C68-BB41-FA669BDBF01C}" sibTransId="{4FEE4DD9-8268-4229-91D6-0B6F72F0727B}"/>
    <dgm:cxn modelId="{1C79870F-752C-42BF-9DFA-58B00A45A34F}" type="presParOf" srcId="{FC48F667-758E-4E95-AA81-4D2B090FA1DB}" destId="{7FF49B1A-EDF6-4CF0-9204-E9D4FC9D414A}" srcOrd="0" destOrd="0" presId="urn:microsoft.com/office/officeart/2005/8/layout/default#1"/>
    <dgm:cxn modelId="{C870E655-2555-46E5-8149-87E5AF0EC54D}" type="presParOf" srcId="{FC48F667-758E-4E95-AA81-4D2B090FA1DB}" destId="{49F3C08C-FAEE-4D82-B0E4-16E96FC5C5FE}" srcOrd="1" destOrd="0" presId="urn:microsoft.com/office/officeart/2005/8/layout/default#1"/>
    <dgm:cxn modelId="{EE80AC0F-30C9-4FEB-9C4A-4D158C980F4F}" type="presParOf" srcId="{FC48F667-758E-4E95-AA81-4D2B090FA1DB}" destId="{9873D35B-FE53-4636-9C72-7ACE5E6F674B}" srcOrd="2" destOrd="0" presId="urn:microsoft.com/office/officeart/2005/8/layout/default#1"/>
    <dgm:cxn modelId="{B64A55DC-D028-4436-BD44-F6432484DDED}" type="presParOf" srcId="{FC48F667-758E-4E95-AA81-4D2B090FA1DB}" destId="{B4403A61-A032-4AF0-92FA-EECA2DBC39DC}" srcOrd="3" destOrd="0" presId="urn:microsoft.com/office/officeart/2005/8/layout/default#1"/>
    <dgm:cxn modelId="{8FBFC3CA-1C33-4FB2-BCF8-77805B6AE4CB}" type="presParOf" srcId="{FC48F667-758E-4E95-AA81-4D2B090FA1DB}" destId="{30E7D7C6-0CB3-47AE-94BF-8EF3792C5313}" srcOrd="4" destOrd="0" presId="urn:microsoft.com/office/officeart/2005/8/layout/default#1"/>
    <dgm:cxn modelId="{7D174F23-15D5-453E-B96A-9DF017612D74}" type="presParOf" srcId="{FC48F667-758E-4E95-AA81-4D2B090FA1DB}" destId="{A9548D11-E3B5-4FC1-9E09-31F411DB73C6}" srcOrd="5" destOrd="0" presId="urn:microsoft.com/office/officeart/2005/8/layout/default#1"/>
    <dgm:cxn modelId="{D3CB18F5-B2BF-490D-AC3F-74B998D32A94}" type="presParOf" srcId="{FC48F667-758E-4E95-AA81-4D2B090FA1DB}" destId="{5694E1F8-D2D1-4E26-9C52-D6B9C6B2E1B6}" srcOrd="6" destOrd="0" presId="urn:microsoft.com/office/officeart/2005/8/layout/default#1"/>
    <dgm:cxn modelId="{E8B7F7D3-2FA4-4631-9C31-D6BCAE090463}" type="presParOf" srcId="{FC48F667-758E-4E95-AA81-4D2B090FA1DB}" destId="{B3529C87-B7C5-4600-9BA9-D6B00EB9ED98}" srcOrd="7" destOrd="0" presId="urn:microsoft.com/office/officeart/2005/8/layout/default#1"/>
    <dgm:cxn modelId="{B62CF0C4-7C5F-4E2D-AC9E-45DB7093DBCB}" type="presParOf" srcId="{FC48F667-758E-4E95-AA81-4D2B090FA1DB}" destId="{2119474D-9FC7-4651-9D02-20D219A7D555}" srcOrd="8" destOrd="0" presId="urn:microsoft.com/office/officeart/2005/8/layout/defaul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1F9463-D0E2-4B4D-8BAF-A43F9235EDBC}"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cs-CZ"/>
        </a:p>
      </dgm:t>
    </dgm:pt>
    <dgm:pt modelId="{61877C8A-039D-4F44-BB8D-B90FF853EB56}">
      <dgm:prSet phldrT="[Text]" custT="1"/>
      <dgm:spPr>
        <a:solidFill>
          <a:schemeClr val="accent2">
            <a:lumMod val="75000"/>
          </a:schemeClr>
        </a:solidFill>
      </dgm:spPr>
      <dgm:t>
        <a:bodyPr/>
        <a:lstStyle/>
        <a:p>
          <a:r>
            <a:rPr lang="cs-CZ" sz="800">
              <a:solidFill>
                <a:schemeClr val="bg1"/>
              </a:solidFill>
              <a:latin typeface="Arial" panose="020B0604020202020204" pitchFamily="34" charset="0"/>
              <a:cs typeface="Arial" panose="020B0604020202020204" pitchFamily="34" charset="0"/>
            </a:rPr>
            <a:t>MŠMT</a:t>
          </a:r>
        </a:p>
        <a:p>
          <a:r>
            <a:rPr lang="cs-CZ" sz="800">
              <a:solidFill>
                <a:schemeClr val="bg1"/>
              </a:solidFill>
              <a:latin typeface="Arial" panose="020B0604020202020204" pitchFamily="34" charset="0"/>
              <a:cs typeface="Arial" panose="020B0604020202020204" pitchFamily="34" charset="0"/>
            </a:rPr>
            <a:t>7</a:t>
          </a:r>
        </a:p>
      </dgm:t>
    </dgm:pt>
    <dgm:pt modelId="{7B79722C-D455-47D0-B5AB-A7DA0CFCEFBC}" type="parTrans" cxnId="{E0FE5D10-B43F-41E7-9F34-22495DE814CF}">
      <dgm:prSet/>
      <dgm:spPr/>
      <dgm:t>
        <a:bodyPr/>
        <a:lstStyle/>
        <a:p>
          <a:endParaRPr lang="cs-CZ" sz="800">
            <a:latin typeface="Arial" panose="020B0604020202020204" pitchFamily="34" charset="0"/>
            <a:cs typeface="Arial" panose="020B0604020202020204" pitchFamily="34" charset="0"/>
          </a:endParaRPr>
        </a:p>
      </dgm:t>
    </dgm:pt>
    <dgm:pt modelId="{942AE165-A6EB-49C0-BFC9-7EF7BAF8DB9D}" type="sibTrans" cxnId="{E0FE5D10-B43F-41E7-9F34-22495DE814CF}">
      <dgm:prSet/>
      <dgm:spPr/>
      <dgm:t>
        <a:bodyPr/>
        <a:lstStyle/>
        <a:p>
          <a:endParaRPr lang="cs-CZ" sz="800">
            <a:latin typeface="Arial" panose="020B0604020202020204" pitchFamily="34" charset="0"/>
            <a:cs typeface="Arial" panose="020B0604020202020204" pitchFamily="34" charset="0"/>
          </a:endParaRPr>
        </a:p>
      </dgm:t>
    </dgm:pt>
    <dgm:pt modelId="{99D59F09-03E5-4607-AF7C-A30C3637B64E}">
      <dgm:prSet phldrT="[Text]" custT="1"/>
      <dgm:spPr>
        <a:solidFill>
          <a:schemeClr val="accent2">
            <a:lumMod val="75000"/>
          </a:schemeClr>
        </a:solidFill>
      </dgm:spPr>
      <dgm:t>
        <a:bodyPr/>
        <a:lstStyle/>
        <a:p>
          <a:r>
            <a:rPr lang="cs-CZ" sz="800">
              <a:solidFill>
                <a:schemeClr val="bg1"/>
              </a:solidFill>
              <a:latin typeface="Arial" panose="020B0604020202020204" pitchFamily="34" charset="0"/>
              <a:cs typeface="Arial" panose="020B0604020202020204" pitchFamily="34" charset="0"/>
            </a:rPr>
            <a:t>Obec</a:t>
          </a:r>
        </a:p>
        <a:p>
          <a:r>
            <a:rPr lang="cs-CZ" sz="800">
              <a:solidFill>
                <a:schemeClr val="bg1"/>
              </a:solidFill>
              <a:latin typeface="Arial" panose="020B0604020202020204" pitchFamily="34" charset="0"/>
              <a:cs typeface="Arial" panose="020B0604020202020204" pitchFamily="34" charset="0"/>
            </a:rPr>
            <a:t>4 743</a:t>
          </a:r>
        </a:p>
      </dgm:t>
    </dgm:pt>
    <dgm:pt modelId="{4D78D0D4-1D30-469E-9A67-F5D604CC38C8}" type="parTrans" cxnId="{4AAD6370-BD07-4915-8328-C01FEF479B4B}">
      <dgm:prSet/>
      <dgm:spPr/>
      <dgm:t>
        <a:bodyPr/>
        <a:lstStyle/>
        <a:p>
          <a:endParaRPr lang="cs-CZ" sz="800">
            <a:latin typeface="Arial" panose="020B0604020202020204" pitchFamily="34" charset="0"/>
            <a:cs typeface="Arial" panose="020B0604020202020204" pitchFamily="34" charset="0"/>
          </a:endParaRPr>
        </a:p>
      </dgm:t>
    </dgm:pt>
    <dgm:pt modelId="{F55667D9-A6FE-4C87-86C4-DA2DDDA56B73}" type="sibTrans" cxnId="{4AAD6370-BD07-4915-8328-C01FEF479B4B}">
      <dgm:prSet/>
      <dgm:spPr/>
      <dgm:t>
        <a:bodyPr/>
        <a:lstStyle/>
        <a:p>
          <a:endParaRPr lang="cs-CZ" sz="800">
            <a:latin typeface="Arial" panose="020B0604020202020204" pitchFamily="34" charset="0"/>
            <a:cs typeface="Arial" panose="020B0604020202020204" pitchFamily="34" charset="0"/>
          </a:endParaRPr>
        </a:p>
      </dgm:t>
    </dgm:pt>
    <dgm:pt modelId="{AF2286B2-4180-43AD-B8CD-D75E9201D007}">
      <dgm:prSet phldrT="[Text]" custT="1"/>
      <dgm:spPr>
        <a:solidFill>
          <a:schemeClr val="accent2">
            <a:lumMod val="75000"/>
          </a:schemeClr>
        </a:solidFill>
      </dgm:spPr>
      <dgm:t>
        <a:bodyPr/>
        <a:lstStyle/>
        <a:p>
          <a:r>
            <a:rPr lang="cs-CZ" sz="800">
              <a:solidFill>
                <a:schemeClr val="bg1"/>
              </a:solidFill>
              <a:latin typeface="Arial" panose="020B0604020202020204" pitchFamily="34" charset="0"/>
              <a:cs typeface="Arial" panose="020B0604020202020204" pitchFamily="34" charset="0"/>
            </a:rPr>
            <a:t>Kraj</a:t>
          </a:r>
        </a:p>
        <a:p>
          <a:r>
            <a:rPr lang="cs-CZ" sz="800">
              <a:solidFill>
                <a:schemeClr val="bg1"/>
              </a:solidFill>
              <a:latin typeface="Arial" panose="020B0604020202020204" pitchFamily="34" charset="0"/>
              <a:cs typeface="Arial" panose="020B0604020202020204" pitchFamily="34" charset="0"/>
            </a:rPr>
            <a:t>82</a:t>
          </a:r>
        </a:p>
      </dgm:t>
    </dgm:pt>
    <dgm:pt modelId="{FB1F1D7A-FE02-4C68-BB41-FA669BDBF01C}" type="parTrans" cxnId="{D640A7F0-4527-4FB0-9343-67CA6594C931}">
      <dgm:prSet/>
      <dgm:spPr/>
      <dgm:t>
        <a:bodyPr/>
        <a:lstStyle/>
        <a:p>
          <a:endParaRPr lang="cs-CZ" sz="800">
            <a:latin typeface="Arial" panose="020B0604020202020204" pitchFamily="34" charset="0"/>
            <a:cs typeface="Arial" panose="020B0604020202020204" pitchFamily="34" charset="0"/>
          </a:endParaRPr>
        </a:p>
      </dgm:t>
    </dgm:pt>
    <dgm:pt modelId="{4FEE4DD9-8268-4229-91D6-0B6F72F0727B}" type="sibTrans" cxnId="{D640A7F0-4527-4FB0-9343-67CA6594C931}">
      <dgm:prSet/>
      <dgm:spPr/>
      <dgm:t>
        <a:bodyPr/>
        <a:lstStyle/>
        <a:p>
          <a:endParaRPr lang="cs-CZ" sz="800">
            <a:latin typeface="Arial" panose="020B0604020202020204" pitchFamily="34" charset="0"/>
            <a:cs typeface="Arial" panose="020B0604020202020204" pitchFamily="34" charset="0"/>
          </a:endParaRPr>
        </a:p>
      </dgm:t>
    </dgm:pt>
    <dgm:pt modelId="{FCEF160F-56DA-445B-9581-D5BB458479D2}">
      <dgm:prSet phldrT="[Text]" custT="1"/>
      <dgm:spPr>
        <a:solidFill>
          <a:schemeClr val="accent2">
            <a:lumMod val="75000"/>
          </a:schemeClr>
        </a:solidFill>
      </dgm:spPr>
      <dgm:t>
        <a:bodyPr/>
        <a:lstStyle/>
        <a:p>
          <a:r>
            <a:rPr lang="cs-CZ" sz="800">
              <a:solidFill>
                <a:schemeClr val="bg1"/>
              </a:solidFill>
              <a:latin typeface="Arial" panose="020B0604020202020204" pitchFamily="34" charset="0"/>
              <a:cs typeface="Arial" panose="020B0604020202020204" pitchFamily="34" charset="0"/>
            </a:rPr>
            <a:t>Privátní sektor</a:t>
          </a:r>
        </a:p>
        <a:p>
          <a:r>
            <a:rPr lang="cs-CZ" sz="800">
              <a:solidFill>
                <a:schemeClr val="bg1"/>
              </a:solidFill>
              <a:latin typeface="Arial" panose="020B0604020202020204" pitchFamily="34" charset="0"/>
              <a:cs typeface="Arial" panose="020B0604020202020204" pitchFamily="34" charset="0"/>
            </a:rPr>
            <a:t>386</a:t>
          </a:r>
        </a:p>
      </dgm:t>
    </dgm:pt>
    <dgm:pt modelId="{0E64A436-6AB8-4BD3-878B-D4D0E55FE624}" type="parTrans" cxnId="{9E75FF7C-367E-45E3-9B2D-393E33567EAB}">
      <dgm:prSet/>
      <dgm:spPr/>
      <dgm:t>
        <a:bodyPr/>
        <a:lstStyle/>
        <a:p>
          <a:endParaRPr lang="cs-CZ" sz="800">
            <a:latin typeface="Arial" panose="020B0604020202020204" pitchFamily="34" charset="0"/>
            <a:cs typeface="Arial" panose="020B0604020202020204" pitchFamily="34" charset="0"/>
          </a:endParaRPr>
        </a:p>
      </dgm:t>
    </dgm:pt>
    <dgm:pt modelId="{A9290A66-3B71-4AC3-B1B6-705BC307C906}" type="sibTrans" cxnId="{9E75FF7C-367E-45E3-9B2D-393E33567EAB}">
      <dgm:prSet/>
      <dgm:spPr/>
      <dgm:t>
        <a:bodyPr/>
        <a:lstStyle/>
        <a:p>
          <a:endParaRPr lang="cs-CZ" sz="800">
            <a:latin typeface="Arial" panose="020B0604020202020204" pitchFamily="34" charset="0"/>
            <a:cs typeface="Arial" panose="020B0604020202020204" pitchFamily="34" charset="0"/>
          </a:endParaRPr>
        </a:p>
      </dgm:t>
    </dgm:pt>
    <dgm:pt modelId="{93C10C26-D880-4F6E-AC51-2D927035AEA2}">
      <dgm:prSet phldrT="[Text]" custT="1"/>
      <dgm:spPr>
        <a:solidFill>
          <a:schemeClr val="accent2">
            <a:lumMod val="75000"/>
          </a:schemeClr>
        </a:solidFill>
      </dgm:spPr>
      <dgm:t>
        <a:bodyPr/>
        <a:lstStyle/>
        <a:p>
          <a:r>
            <a:rPr lang="cs-CZ" sz="800">
              <a:solidFill>
                <a:schemeClr val="bg1"/>
              </a:solidFill>
              <a:latin typeface="Arial" panose="020B0604020202020204" pitchFamily="34" charset="0"/>
              <a:cs typeface="Arial" panose="020B0604020202020204" pitchFamily="34" charset="0"/>
            </a:rPr>
            <a:t>Církev</a:t>
          </a:r>
        </a:p>
        <a:p>
          <a:r>
            <a:rPr lang="cs-CZ" sz="800">
              <a:solidFill>
                <a:schemeClr val="bg1"/>
              </a:solidFill>
              <a:latin typeface="Arial" panose="020B0604020202020204" pitchFamily="34" charset="0"/>
              <a:cs typeface="Arial" panose="020B0604020202020204" pitchFamily="34" charset="0"/>
            </a:rPr>
            <a:t>50</a:t>
          </a:r>
        </a:p>
      </dgm:t>
    </dgm:pt>
    <dgm:pt modelId="{D9428B2A-B137-4B6B-AFEE-A74E6283D8A3}" type="parTrans" cxnId="{4E59BD22-F8A6-455F-9041-3C50E7DF82AB}">
      <dgm:prSet/>
      <dgm:spPr/>
      <dgm:t>
        <a:bodyPr/>
        <a:lstStyle/>
        <a:p>
          <a:endParaRPr lang="cs-CZ" sz="800">
            <a:latin typeface="Arial" panose="020B0604020202020204" pitchFamily="34" charset="0"/>
            <a:cs typeface="Arial" panose="020B0604020202020204" pitchFamily="34" charset="0"/>
          </a:endParaRPr>
        </a:p>
      </dgm:t>
    </dgm:pt>
    <dgm:pt modelId="{9CD788E3-866D-4A22-823C-E3CDE85AC0F3}" type="sibTrans" cxnId="{4E59BD22-F8A6-455F-9041-3C50E7DF82AB}">
      <dgm:prSet/>
      <dgm:spPr/>
      <dgm:t>
        <a:bodyPr/>
        <a:lstStyle/>
        <a:p>
          <a:endParaRPr lang="cs-CZ" sz="800">
            <a:latin typeface="Arial" panose="020B0604020202020204" pitchFamily="34" charset="0"/>
            <a:cs typeface="Arial" panose="020B0604020202020204" pitchFamily="34" charset="0"/>
          </a:endParaRPr>
        </a:p>
      </dgm:t>
    </dgm:pt>
    <dgm:pt modelId="{FC48F667-758E-4E95-AA81-4D2B090FA1DB}" type="pres">
      <dgm:prSet presAssocID="{571F9463-D0E2-4B4D-8BAF-A43F9235EDBC}" presName="diagram" presStyleCnt="0">
        <dgm:presLayoutVars>
          <dgm:dir/>
          <dgm:resizeHandles val="exact"/>
        </dgm:presLayoutVars>
      </dgm:prSet>
      <dgm:spPr/>
      <dgm:t>
        <a:bodyPr/>
        <a:lstStyle/>
        <a:p>
          <a:endParaRPr lang="cs-CZ"/>
        </a:p>
      </dgm:t>
    </dgm:pt>
    <dgm:pt modelId="{7FF49B1A-EDF6-4CF0-9204-E9D4FC9D414A}" type="pres">
      <dgm:prSet presAssocID="{61877C8A-039D-4F44-BB8D-B90FF853EB56}" presName="node" presStyleLbl="node1" presStyleIdx="0" presStyleCnt="5">
        <dgm:presLayoutVars>
          <dgm:bulletEnabled val="1"/>
        </dgm:presLayoutVars>
      </dgm:prSet>
      <dgm:spPr/>
      <dgm:t>
        <a:bodyPr/>
        <a:lstStyle/>
        <a:p>
          <a:endParaRPr lang="cs-CZ"/>
        </a:p>
      </dgm:t>
    </dgm:pt>
    <dgm:pt modelId="{49F3C08C-FAEE-4D82-B0E4-16E96FC5C5FE}" type="pres">
      <dgm:prSet presAssocID="{942AE165-A6EB-49C0-BFC9-7EF7BAF8DB9D}" presName="sibTrans" presStyleCnt="0"/>
      <dgm:spPr/>
    </dgm:pt>
    <dgm:pt modelId="{9873D35B-FE53-4636-9C72-7ACE5E6F674B}" type="pres">
      <dgm:prSet presAssocID="{99D59F09-03E5-4607-AF7C-A30C3637B64E}" presName="node" presStyleLbl="node1" presStyleIdx="1" presStyleCnt="5">
        <dgm:presLayoutVars>
          <dgm:bulletEnabled val="1"/>
        </dgm:presLayoutVars>
      </dgm:prSet>
      <dgm:spPr/>
      <dgm:t>
        <a:bodyPr/>
        <a:lstStyle/>
        <a:p>
          <a:endParaRPr lang="cs-CZ"/>
        </a:p>
      </dgm:t>
    </dgm:pt>
    <dgm:pt modelId="{B4403A61-A032-4AF0-92FA-EECA2DBC39DC}" type="pres">
      <dgm:prSet presAssocID="{F55667D9-A6FE-4C87-86C4-DA2DDDA56B73}" presName="sibTrans" presStyleCnt="0"/>
      <dgm:spPr/>
    </dgm:pt>
    <dgm:pt modelId="{30E7D7C6-0CB3-47AE-94BF-8EF3792C5313}" type="pres">
      <dgm:prSet presAssocID="{AF2286B2-4180-43AD-B8CD-D75E9201D007}" presName="node" presStyleLbl="node1" presStyleIdx="2" presStyleCnt="5">
        <dgm:presLayoutVars>
          <dgm:bulletEnabled val="1"/>
        </dgm:presLayoutVars>
      </dgm:prSet>
      <dgm:spPr/>
      <dgm:t>
        <a:bodyPr/>
        <a:lstStyle/>
        <a:p>
          <a:endParaRPr lang="cs-CZ"/>
        </a:p>
      </dgm:t>
    </dgm:pt>
    <dgm:pt modelId="{A9548D11-E3B5-4FC1-9E09-31F411DB73C6}" type="pres">
      <dgm:prSet presAssocID="{4FEE4DD9-8268-4229-91D6-0B6F72F0727B}" presName="sibTrans" presStyleCnt="0"/>
      <dgm:spPr/>
    </dgm:pt>
    <dgm:pt modelId="{5694E1F8-D2D1-4E26-9C52-D6B9C6B2E1B6}" type="pres">
      <dgm:prSet presAssocID="{FCEF160F-56DA-445B-9581-D5BB458479D2}" presName="node" presStyleLbl="node1" presStyleIdx="3" presStyleCnt="5">
        <dgm:presLayoutVars>
          <dgm:bulletEnabled val="1"/>
        </dgm:presLayoutVars>
      </dgm:prSet>
      <dgm:spPr/>
      <dgm:t>
        <a:bodyPr/>
        <a:lstStyle/>
        <a:p>
          <a:endParaRPr lang="cs-CZ"/>
        </a:p>
      </dgm:t>
    </dgm:pt>
    <dgm:pt modelId="{B3529C87-B7C5-4600-9BA9-D6B00EB9ED98}" type="pres">
      <dgm:prSet presAssocID="{A9290A66-3B71-4AC3-B1B6-705BC307C906}" presName="sibTrans" presStyleCnt="0"/>
      <dgm:spPr/>
    </dgm:pt>
    <dgm:pt modelId="{2119474D-9FC7-4651-9D02-20D219A7D555}" type="pres">
      <dgm:prSet presAssocID="{93C10C26-D880-4F6E-AC51-2D927035AEA2}" presName="node" presStyleLbl="node1" presStyleIdx="4" presStyleCnt="5">
        <dgm:presLayoutVars>
          <dgm:bulletEnabled val="1"/>
        </dgm:presLayoutVars>
      </dgm:prSet>
      <dgm:spPr/>
      <dgm:t>
        <a:bodyPr/>
        <a:lstStyle/>
        <a:p>
          <a:endParaRPr lang="cs-CZ"/>
        </a:p>
      </dgm:t>
    </dgm:pt>
  </dgm:ptLst>
  <dgm:cxnLst>
    <dgm:cxn modelId="{E0FE5D10-B43F-41E7-9F34-22495DE814CF}" srcId="{571F9463-D0E2-4B4D-8BAF-A43F9235EDBC}" destId="{61877C8A-039D-4F44-BB8D-B90FF853EB56}" srcOrd="0" destOrd="0" parTransId="{7B79722C-D455-47D0-B5AB-A7DA0CFCEFBC}" sibTransId="{942AE165-A6EB-49C0-BFC9-7EF7BAF8DB9D}"/>
    <dgm:cxn modelId="{8F74761B-E184-4046-833A-678587916FE6}" type="presOf" srcId="{571F9463-D0E2-4B4D-8BAF-A43F9235EDBC}" destId="{FC48F667-758E-4E95-AA81-4D2B090FA1DB}" srcOrd="0" destOrd="0" presId="urn:microsoft.com/office/officeart/2005/8/layout/default#1"/>
    <dgm:cxn modelId="{4AAD6370-BD07-4915-8328-C01FEF479B4B}" srcId="{571F9463-D0E2-4B4D-8BAF-A43F9235EDBC}" destId="{99D59F09-03E5-4607-AF7C-A30C3637B64E}" srcOrd="1" destOrd="0" parTransId="{4D78D0D4-1D30-469E-9A67-F5D604CC38C8}" sibTransId="{F55667D9-A6FE-4C87-86C4-DA2DDDA56B73}"/>
    <dgm:cxn modelId="{6DDFD4F6-5437-4918-882A-148C2FD43A83}" type="presOf" srcId="{61877C8A-039D-4F44-BB8D-B90FF853EB56}" destId="{7FF49B1A-EDF6-4CF0-9204-E9D4FC9D414A}" srcOrd="0" destOrd="0" presId="urn:microsoft.com/office/officeart/2005/8/layout/default#1"/>
    <dgm:cxn modelId="{9E75FF7C-367E-45E3-9B2D-393E33567EAB}" srcId="{571F9463-D0E2-4B4D-8BAF-A43F9235EDBC}" destId="{FCEF160F-56DA-445B-9581-D5BB458479D2}" srcOrd="3" destOrd="0" parTransId="{0E64A436-6AB8-4BD3-878B-D4D0E55FE624}" sibTransId="{A9290A66-3B71-4AC3-B1B6-705BC307C906}"/>
    <dgm:cxn modelId="{43C2AE0B-2C45-4FAF-BB7F-51A84117E2B3}" type="presOf" srcId="{93C10C26-D880-4F6E-AC51-2D927035AEA2}" destId="{2119474D-9FC7-4651-9D02-20D219A7D555}" srcOrd="0" destOrd="0" presId="urn:microsoft.com/office/officeart/2005/8/layout/default#1"/>
    <dgm:cxn modelId="{4E59BD22-F8A6-455F-9041-3C50E7DF82AB}" srcId="{571F9463-D0E2-4B4D-8BAF-A43F9235EDBC}" destId="{93C10C26-D880-4F6E-AC51-2D927035AEA2}" srcOrd="4" destOrd="0" parTransId="{D9428B2A-B137-4B6B-AFEE-A74E6283D8A3}" sibTransId="{9CD788E3-866D-4A22-823C-E3CDE85AC0F3}"/>
    <dgm:cxn modelId="{31322EBD-DA39-4791-9ED3-4023B2E4117C}" type="presOf" srcId="{AF2286B2-4180-43AD-B8CD-D75E9201D007}" destId="{30E7D7C6-0CB3-47AE-94BF-8EF3792C5313}" srcOrd="0" destOrd="0" presId="urn:microsoft.com/office/officeart/2005/8/layout/default#1"/>
    <dgm:cxn modelId="{7D126CEB-0DDD-4FAD-9BFD-E79A75024EF8}" type="presOf" srcId="{FCEF160F-56DA-445B-9581-D5BB458479D2}" destId="{5694E1F8-D2D1-4E26-9C52-D6B9C6B2E1B6}" srcOrd="0" destOrd="0" presId="urn:microsoft.com/office/officeart/2005/8/layout/default#1"/>
    <dgm:cxn modelId="{445F1F5C-C956-4A41-B900-77258912795A}" type="presOf" srcId="{99D59F09-03E5-4607-AF7C-A30C3637B64E}" destId="{9873D35B-FE53-4636-9C72-7ACE5E6F674B}" srcOrd="0" destOrd="0" presId="urn:microsoft.com/office/officeart/2005/8/layout/default#1"/>
    <dgm:cxn modelId="{D640A7F0-4527-4FB0-9343-67CA6594C931}" srcId="{571F9463-D0E2-4B4D-8BAF-A43F9235EDBC}" destId="{AF2286B2-4180-43AD-B8CD-D75E9201D007}" srcOrd="2" destOrd="0" parTransId="{FB1F1D7A-FE02-4C68-BB41-FA669BDBF01C}" sibTransId="{4FEE4DD9-8268-4229-91D6-0B6F72F0727B}"/>
    <dgm:cxn modelId="{AF312F5A-7D17-4E5D-B61C-221E674446BF}" type="presParOf" srcId="{FC48F667-758E-4E95-AA81-4D2B090FA1DB}" destId="{7FF49B1A-EDF6-4CF0-9204-E9D4FC9D414A}" srcOrd="0" destOrd="0" presId="urn:microsoft.com/office/officeart/2005/8/layout/default#1"/>
    <dgm:cxn modelId="{CA1E6CB4-D45B-4057-A7FB-E8C1D10D95EB}" type="presParOf" srcId="{FC48F667-758E-4E95-AA81-4D2B090FA1DB}" destId="{49F3C08C-FAEE-4D82-B0E4-16E96FC5C5FE}" srcOrd="1" destOrd="0" presId="urn:microsoft.com/office/officeart/2005/8/layout/default#1"/>
    <dgm:cxn modelId="{7FD40DAA-6A9B-4408-BFFE-36508AF8ABC0}" type="presParOf" srcId="{FC48F667-758E-4E95-AA81-4D2B090FA1DB}" destId="{9873D35B-FE53-4636-9C72-7ACE5E6F674B}" srcOrd="2" destOrd="0" presId="urn:microsoft.com/office/officeart/2005/8/layout/default#1"/>
    <dgm:cxn modelId="{D879D8B6-D484-4554-9983-911C125C5242}" type="presParOf" srcId="{FC48F667-758E-4E95-AA81-4D2B090FA1DB}" destId="{B4403A61-A032-4AF0-92FA-EECA2DBC39DC}" srcOrd="3" destOrd="0" presId="urn:microsoft.com/office/officeart/2005/8/layout/default#1"/>
    <dgm:cxn modelId="{A4837759-3C8E-4625-B30F-1B33FCC90491}" type="presParOf" srcId="{FC48F667-758E-4E95-AA81-4D2B090FA1DB}" destId="{30E7D7C6-0CB3-47AE-94BF-8EF3792C5313}" srcOrd="4" destOrd="0" presId="urn:microsoft.com/office/officeart/2005/8/layout/default#1"/>
    <dgm:cxn modelId="{975CC5AE-07B6-4CA6-AA47-79223B9F9599}" type="presParOf" srcId="{FC48F667-758E-4E95-AA81-4D2B090FA1DB}" destId="{A9548D11-E3B5-4FC1-9E09-31F411DB73C6}" srcOrd="5" destOrd="0" presId="urn:microsoft.com/office/officeart/2005/8/layout/default#1"/>
    <dgm:cxn modelId="{C21ACF35-980E-47DE-B59A-A73632EC098F}" type="presParOf" srcId="{FC48F667-758E-4E95-AA81-4D2B090FA1DB}" destId="{5694E1F8-D2D1-4E26-9C52-D6B9C6B2E1B6}" srcOrd="6" destOrd="0" presId="urn:microsoft.com/office/officeart/2005/8/layout/default#1"/>
    <dgm:cxn modelId="{EEB15A5E-F180-4DA7-A5F1-2D7D57FEF254}" type="presParOf" srcId="{FC48F667-758E-4E95-AA81-4D2B090FA1DB}" destId="{B3529C87-B7C5-4600-9BA9-D6B00EB9ED98}" srcOrd="7" destOrd="0" presId="urn:microsoft.com/office/officeart/2005/8/layout/default#1"/>
    <dgm:cxn modelId="{63410789-6362-4FBB-964D-61F641784C28}" type="presParOf" srcId="{FC48F667-758E-4E95-AA81-4D2B090FA1DB}" destId="{2119474D-9FC7-4651-9D02-20D219A7D555}" srcOrd="8" destOrd="0" presId="urn:microsoft.com/office/officeart/2005/8/layout/defaul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71F9463-D0E2-4B4D-8BAF-A43F9235EDBC}"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cs-CZ"/>
        </a:p>
      </dgm:t>
    </dgm:pt>
    <dgm:pt modelId="{61877C8A-039D-4F44-BB8D-B90FF853EB56}">
      <dgm:prSet phldrT="[Text]" custT="1"/>
      <dgm:spPr>
        <a:solidFill>
          <a:schemeClr val="accent2">
            <a:lumMod val="75000"/>
          </a:schemeClr>
        </a:solidFill>
      </dgm:spPr>
      <dgm:t>
        <a:bodyPr/>
        <a:lstStyle/>
        <a:p>
          <a:r>
            <a:rPr lang="cs-CZ" sz="800">
              <a:solidFill>
                <a:schemeClr val="bg1"/>
              </a:solidFill>
              <a:latin typeface="Arial" panose="020B0604020202020204" pitchFamily="34" charset="0"/>
              <a:cs typeface="Arial" panose="020B0604020202020204" pitchFamily="34" charset="0"/>
            </a:rPr>
            <a:t>MŠMT</a:t>
          </a:r>
        </a:p>
        <a:p>
          <a:r>
            <a:rPr lang="cs-CZ" sz="800">
              <a:solidFill>
                <a:schemeClr val="bg1"/>
              </a:solidFill>
              <a:latin typeface="Arial" panose="020B0604020202020204" pitchFamily="34" charset="0"/>
              <a:cs typeface="Arial" panose="020B0604020202020204" pitchFamily="34" charset="0"/>
            </a:rPr>
            <a:t>48</a:t>
          </a:r>
        </a:p>
      </dgm:t>
    </dgm:pt>
    <dgm:pt modelId="{7B79722C-D455-47D0-B5AB-A7DA0CFCEFBC}" type="parTrans" cxnId="{E0FE5D10-B43F-41E7-9F34-22495DE814CF}">
      <dgm:prSet/>
      <dgm:spPr/>
      <dgm:t>
        <a:bodyPr/>
        <a:lstStyle/>
        <a:p>
          <a:endParaRPr lang="cs-CZ" sz="800">
            <a:latin typeface="Arial" panose="020B0604020202020204" pitchFamily="34" charset="0"/>
            <a:cs typeface="Arial" panose="020B0604020202020204" pitchFamily="34" charset="0"/>
          </a:endParaRPr>
        </a:p>
      </dgm:t>
    </dgm:pt>
    <dgm:pt modelId="{942AE165-A6EB-49C0-BFC9-7EF7BAF8DB9D}" type="sibTrans" cxnId="{E0FE5D10-B43F-41E7-9F34-22495DE814CF}">
      <dgm:prSet/>
      <dgm:spPr/>
      <dgm:t>
        <a:bodyPr/>
        <a:lstStyle/>
        <a:p>
          <a:endParaRPr lang="cs-CZ" sz="800">
            <a:latin typeface="Arial" panose="020B0604020202020204" pitchFamily="34" charset="0"/>
            <a:cs typeface="Arial" panose="020B0604020202020204" pitchFamily="34" charset="0"/>
          </a:endParaRPr>
        </a:p>
      </dgm:t>
    </dgm:pt>
    <dgm:pt modelId="{99D59F09-03E5-4607-AF7C-A30C3637B64E}">
      <dgm:prSet phldrT="[Text]" custT="1"/>
      <dgm:spPr>
        <a:solidFill>
          <a:schemeClr val="accent2">
            <a:lumMod val="75000"/>
          </a:schemeClr>
        </a:solidFill>
      </dgm:spPr>
      <dgm:t>
        <a:bodyPr/>
        <a:lstStyle/>
        <a:p>
          <a:r>
            <a:rPr lang="cs-CZ" sz="800">
              <a:solidFill>
                <a:schemeClr val="bg1"/>
              </a:solidFill>
              <a:latin typeface="Arial" panose="020B0604020202020204" pitchFamily="34" charset="0"/>
              <a:cs typeface="Arial" panose="020B0604020202020204" pitchFamily="34" charset="0"/>
            </a:rPr>
            <a:t>Obec</a:t>
          </a:r>
        </a:p>
        <a:p>
          <a:r>
            <a:rPr lang="cs-CZ" sz="800">
              <a:solidFill>
                <a:schemeClr val="bg1"/>
              </a:solidFill>
              <a:latin typeface="Arial" panose="020B0604020202020204" pitchFamily="34" charset="0"/>
              <a:cs typeface="Arial" panose="020B0604020202020204" pitchFamily="34" charset="0"/>
            </a:rPr>
            <a:t>3 700</a:t>
          </a:r>
        </a:p>
      </dgm:t>
    </dgm:pt>
    <dgm:pt modelId="{4D78D0D4-1D30-469E-9A67-F5D604CC38C8}" type="parTrans" cxnId="{4AAD6370-BD07-4915-8328-C01FEF479B4B}">
      <dgm:prSet/>
      <dgm:spPr/>
      <dgm:t>
        <a:bodyPr/>
        <a:lstStyle/>
        <a:p>
          <a:endParaRPr lang="cs-CZ" sz="800">
            <a:latin typeface="Arial" panose="020B0604020202020204" pitchFamily="34" charset="0"/>
            <a:cs typeface="Arial" panose="020B0604020202020204" pitchFamily="34" charset="0"/>
          </a:endParaRPr>
        </a:p>
      </dgm:t>
    </dgm:pt>
    <dgm:pt modelId="{F55667D9-A6FE-4C87-86C4-DA2DDDA56B73}" type="sibTrans" cxnId="{4AAD6370-BD07-4915-8328-C01FEF479B4B}">
      <dgm:prSet/>
      <dgm:spPr/>
      <dgm:t>
        <a:bodyPr/>
        <a:lstStyle/>
        <a:p>
          <a:endParaRPr lang="cs-CZ" sz="800">
            <a:latin typeface="Arial" panose="020B0604020202020204" pitchFamily="34" charset="0"/>
            <a:cs typeface="Arial" panose="020B0604020202020204" pitchFamily="34" charset="0"/>
          </a:endParaRPr>
        </a:p>
      </dgm:t>
    </dgm:pt>
    <dgm:pt modelId="{AF2286B2-4180-43AD-B8CD-D75E9201D007}">
      <dgm:prSet phldrT="[Text]" custT="1"/>
      <dgm:spPr>
        <a:solidFill>
          <a:schemeClr val="accent2">
            <a:lumMod val="75000"/>
          </a:schemeClr>
        </a:solidFill>
      </dgm:spPr>
      <dgm:t>
        <a:bodyPr/>
        <a:lstStyle/>
        <a:p>
          <a:r>
            <a:rPr lang="cs-CZ" sz="800">
              <a:solidFill>
                <a:schemeClr val="bg1"/>
              </a:solidFill>
              <a:latin typeface="Arial" panose="020B0604020202020204" pitchFamily="34" charset="0"/>
              <a:cs typeface="Arial" panose="020B0604020202020204" pitchFamily="34" charset="0"/>
            </a:rPr>
            <a:t>Kraj</a:t>
          </a:r>
        </a:p>
        <a:p>
          <a:r>
            <a:rPr lang="cs-CZ" sz="800">
              <a:solidFill>
                <a:schemeClr val="bg1"/>
              </a:solidFill>
              <a:latin typeface="Arial" panose="020B0604020202020204" pitchFamily="34" charset="0"/>
              <a:cs typeface="Arial" panose="020B0604020202020204" pitchFamily="34" charset="0"/>
            </a:rPr>
            <a:t>309</a:t>
          </a:r>
        </a:p>
      </dgm:t>
    </dgm:pt>
    <dgm:pt modelId="{FB1F1D7A-FE02-4C68-BB41-FA669BDBF01C}" type="parTrans" cxnId="{D640A7F0-4527-4FB0-9343-67CA6594C931}">
      <dgm:prSet/>
      <dgm:spPr/>
      <dgm:t>
        <a:bodyPr/>
        <a:lstStyle/>
        <a:p>
          <a:endParaRPr lang="cs-CZ" sz="800">
            <a:latin typeface="Arial" panose="020B0604020202020204" pitchFamily="34" charset="0"/>
            <a:cs typeface="Arial" panose="020B0604020202020204" pitchFamily="34" charset="0"/>
          </a:endParaRPr>
        </a:p>
      </dgm:t>
    </dgm:pt>
    <dgm:pt modelId="{4FEE4DD9-8268-4229-91D6-0B6F72F0727B}" type="sibTrans" cxnId="{D640A7F0-4527-4FB0-9343-67CA6594C931}">
      <dgm:prSet/>
      <dgm:spPr/>
      <dgm:t>
        <a:bodyPr/>
        <a:lstStyle/>
        <a:p>
          <a:endParaRPr lang="cs-CZ" sz="800">
            <a:latin typeface="Arial" panose="020B0604020202020204" pitchFamily="34" charset="0"/>
            <a:cs typeface="Arial" panose="020B0604020202020204" pitchFamily="34" charset="0"/>
          </a:endParaRPr>
        </a:p>
      </dgm:t>
    </dgm:pt>
    <dgm:pt modelId="{FCEF160F-56DA-445B-9581-D5BB458479D2}">
      <dgm:prSet phldrT="[Text]" custT="1"/>
      <dgm:spPr>
        <a:solidFill>
          <a:schemeClr val="accent2">
            <a:lumMod val="75000"/>
          </a:schemeClr>
        </a:solidFill>
      </dgm:spPr>
      <dgm:t>
        <a:bodyPr/>
        <a:lstStyle/>
        <a:p>
          <a:r>
            <a:rPr lang="cs-CZ" sz="800">
              <a:solidFill>
                <a:schemeClr val="bg1"/>
              </a:solidFill>
              <a:latin typeface="Arial" panose="020B0604020202020204" pitchFamily="34" charset="0"/>
              <a:cs typeface="Arial" panose="020B0604020202020204" pitchFamily="34" charset="0"/>
            </a:rPr>
            <a:t>Privátní sektor</a:t>
          </a:r>
        </a:p>
        <a:p>
          <a:r>
            <a:rPr lang="cs-CZ" sz="800">
              <a:solidFill>
                <a:schemeClr val="bg1"/>
              </a:solidFill>
              <a:latin typeface="Arial" panose="020B0604020202020204" pitchFamily="34" charset="0"/>
              <a:cs typeface="Arial" panose="020B0604020202020204" pitchFamily="34" charset="0"/>
            </a:rPr>
            <a:t>62</a:t>
          </a:r>
        </a:p>
      </dgm:t>
    </dgm:pt>
    <dgm:pt modelId="{0E64A436-6AB8-4BD3-878B-D4D0E55FE624}" type="parTrans" cxnId="{9E75FF7C-367E-45E3-9B2D-393E33567EAB}">
      <dgm:prSet/>
      <dgm:spPr/>
      <dgm:t>
        <a:bodyPr/>
        <a:lstStyle/>
        <a:p>
          <a:endParaRPr lang="cs-CZ" sz="800">
            <a:latin typeface="Arial" panose="020B0604020202020204" pitchFamily="34" charset="0"/>
            <a:cs typeface="Arial" panose="020B0604020202020204" pitchFamily="34" charset="0"/>
          </a:endParaRPr>
        </a:p>
      </dgm:t>
    </dgm:pt>
    <dgm:pt modelId="{A9290A66-3B71-4AC3-B1B6-705BC307C906}" type="sibTrans" cxnId="{9E75FF7C-367E-45E3-9B2D-393E33567EAB}">
      <dgm:prSet/>
      <dgm:spPr/>
      <dgm:t>
        <a:bodyPr/>
        <a:lstStyle/>
        <a:p>
          <a:endParaRPr lang="cs-CZ" sz="800">
            <a:latin typeface="Arial" panose="020B0604020202020204" pitchFamily="34" charset="0"/>
            <a:cs typeface="Arial" panose="020B0604020202020204" pitchFamily="34" charset="0"/>
          </a:endParaRPr>
        </a:p>
      </dgm:t>
    </dgm:pt>
    <dgm:pt modelId="{93C10C26-D880-4F6E-AC51-2D927035AEA2}">
      <dgm:prSet phldrT="[Text]" custT="1"/>
      <dgm:spPr>
        <a:solidFill>
          <a:schemeClr val="accent2">
            <a:lumMod val="75000"/>
          </a:schemeClr>
        </a:solidFill>
      </dgm:spPr>
      <dgm:t>
        <a:bodyPr/>
        <a:lstStyle/>
        <a:p>
          <a:r>
            <a:rPr lang="cs-CZ" sz="800">
              <a:solidFill>
                <a:schemeClr val="bg1"/>
              </a:solidFill>
              <a:latin typeface="Arial" panose="020B0604020202020204" pitchFamily="34" charset="0"/>
              <a:cs typeface="Arial" panose="020B0604020202020204" pitchFamily="34" charset="0"/>
            </a:rPr>
            <a:t>Církev</a:t>
          </a:r>
        </a:p>
        <a:p>
          <a:r>
            <a:rPr lang="cs-CZ" sz="800">
              <a:solidFill>
                <a:schemeClr val="bg1"/>
              </a:solidFill>
              <a:latin typeface="Arial" panose="020B0604020202020204" pitchFamily="34" charset="0"/>
              <a:cs typeface="Arial" panose="020B0604020202020204" pitchFamily="34" charset="0"/>
            </a:rPr>
            <a:t>36</a:t>
          </a:r>
        </a:p>
      </dgm:t>
    </dgm:pt>
    <dgm:pt modelId="{D9428B2A-B137-4B6B-AFEE-A74E6283D8A3}" type="parTrans" cxnId="{4E59BD22-F8A6-455F-9041-3C50E7DF82AB}">
      <dgm:prSet/>
      <dgm:spPr/>
      <dgm:t>
        <a:bodyPr/>
        <a:lstStyle/>
        <a:p>
          <a:endParaRPr lang="cs-CZ" sz="800">
            <a:latin typeface="Arial" panose="020B0604020202020204" pitchFamily="34" charset="0"/>
            <a:cs typeface="Arial" panose="020B0604020202020204" pitchFamily="34" charset="0"/>
          </a:endParaRPr>
        </a:p>
      </dgm:t>
    </dgm:pt>
    <dgm:pt modelId="{9CD788E3-866D-4A22-823C-E3CDE85AC0F3}" type="sibTrans" cxnId="{4E59BD22-F8A6-455F-9041-3C50E7DF82AB}">
      <dgm:prSet/>
      <dgm:spPr/>
      <dgm:t>
        <a:bodyPr/>
        <a:lstStyle/>
        <a:p>
          <a:endParaRPr lang="cs-CZ" sz="800">
            <a:latin typeface="Arial" panose="020B0604020202020204" pitchFamily="34" charset="0"/>
            <a:cs typeface="Arial" panose="020B0604020202020204" pitchFamily="34" charset="0"/>
          </a:endParaRPr>
        </a:p>
      </dgm:t>
    </dgm:pt>
    <dgm:pt modelId="{FC48F667-758E-4E95-AA81-4D2B090FA1DB}" type="pres">
      <dgm:prSet presAssocID="{571F9463-D0E2-4B4D-8BAF-A43F9235EDBC}" presName="diagram" presStyleCnt="0">
        <dgm:presLayoutVars>
          <dgm:dir/>
          <dgm:resizeHandles val="exact"/>
        </dgm:presLayoutVars>
      </dgm:prSet>
      <dgm:spPr/>
      <dgm:t>
        <a:bodyPr/>
        <a:lstStyle/>
        <a:p>
          <a:endParaRPr lang="cs-CZ"/>
        </a:p>
      </dgm:t>
    </dgm:pt>
    <dgm:pt modelId="{7FF49B1A-EDF6-4CF0-9204-E9D4FC9D414A}" type="pres">
      <dgm:prSet presAssocID="{61877C8A-039D-4F44-BB8D-B90FF853EB56}" presName="node" presStyleLbl="node1" presStyleIdx="0" presStyleCnt="5">
        <dgm:presLayoutVars>
          <dgm:bulletEnabled val="1"/>
        </dgm:presLayoutVars>
      </dgm:prSet>
      <dgm:spPr/>
      <dgm:t>
        <a:bodyPr/>
        <a:lstStyle/>
        <a:p>
          <a:endParaRPr lang="cs-CZ"/>
        </a:p>
      </dgm:t>
    </dgm:pt>
    <dgm:pt modelId="{49F3C08C-FAEE-4D82-B0E4-16E96FC5C5FE}" type="pres">
      <dgm:prSet presAssocID="{942AE165-A6EB-49C0-BFC9-7EF7BAF8DB9D}" presName="sibTrans" presStyleCnt="0"/>
      <dgm:spPr/>
    </dgm:pt>
    <dgm:pt modelId="{9873D35B-FE53-4636-9C72-7ACE5E6F674B}" type="pres">
      <dgm:prSet presAssocID="{99D59F09-03E5-4607-AF7C-A30C3637B64E}" presName="node" presStyleLbl="node1" presStyleIdx="1" presStyleCnt="5">
        <dgm:presLayoutVars>
          <dgm:bulletEnabled val="1"/>
        </dgm:presLayoutVars>
      </dgm:prSet>
      <dgm:spPr/>
      <dgm:t>
        <a:bodyPr/>
        <a:lstStyle/>
        <a:p>
          <a:endParaRPr lang="cs-CZ"/>
        </a:p>
      </dgm:t>
    </dgm:pt>
    <dgm:pt modelId="{B4403A61-A032-4AF0-92FA-EECA2DBC39DC}" type="pres">
      <dgm:prSet presAssocID="{F55667D9-A6FE-4C87-86C4-DA2DDDA56B73}" presName="sibTrans" presStyleCnt="0"/>
      <dgm:spPr/>
    </dgm:pt>
    <dgm:pt modelId="{30E7D7C6-0CB3-47AE-94BF-8EF3792C5313}" type="pres">
      <dgm:prSet presAssocID="{AF2286B2-4180-43AD-B8CD-D75E9201D007}" presName="node" presStyleLbl="node1" presStyleIdx="2" presStyleCnt="5">
        <dgm:presLayoutVars>
          <dgm:bulletEnabled val="1"/>
        </dgm:presLayoutVars>
      </dgm:prSet>
      <dgm:spPr/>
      <dgm:t>
        <a:bodyPr/>
        <a:lstStyle/>
        <a:p>
          <a:endParaRPr lang="cs-CZ"/>
        </a:p>
      </dgm:t>
    </dgm:pt>
    <dgm:pt modelId="{A9548D11-E3B5-4FC1-9E09-31F411DB73C6}" type="pres">
      <dgm:prSet presAssocID="{4FEE4DD9-8268-4229-91D6-0B6F72F0727B}" presName="sibTrans" presStyleCnt="0"/>
      <dgm:spPr/>
    </dgm:pt>
    <dgm:pt modelId="{5694E1F8-D2D1-4E26-9C52-D6B9C6B2E1B6}" type="pres">
      <dgm:prSet presAssocID="{FCEF160F-56DA-445B-9581-D5BB458479D2}" presName="node" presStyleLbl="node1" presStyleIdx="3" presStyleCnt="5">
        <dgm:presLayoutVars>
          <dgm:bulletEnabled val="1"/>
        </dgm:presLayoutVars>
      </dgm:prSet>
      <dgm:spPr/>
      <dgm:t>
        <a:bodyPr/>
        <a:lstStyle/>
        <a:p>
          <a:endParaRPr lang="cs-CZ"/>
        </a:p>
      </dgm:t>
    </dgm:pt>
    <dgm:pt modelId="{B3529C87-B7C5-4600-9BA9-D6B00EB9ED98}" type="pres">
      <dgm:prSet presAssocID="{A9290A66-3B71-4AC3-B1B6-705BC307C906}" presName="sibTrans" presStyleCnt="0"/>
      <dgm:spPr/>
    </dgm:pt>
    <dgm:pt modelId="{2119474D-9FC7-4651-9D02-20D219A7D555}" type="pres">
      <dgm:prSet presAssocID="{93C10C26-D880-4F6E-AC51-2D927035AEA2}" presName="node" presStyleLbl="node1" presStyleIdx="4" presStyleCnt="5">
        <dgm:presLayoutVars>
          <dgm:bulletEnabled val="1"/>
        </dgm:presLayoutVars>
      </dgm:prSet>
      <dgm:spPr/>
      <dgm:t>
        <a:bodyPr/>
        <a:lstStyle/>
        <a:p>
          <a:endParaRPr lang="cs-CZ"/>
        </a:p>
      </dgm:t>
    </dgm:pt>
  </dgm:ptLst>
  <dgm:cxnLst>
    <dgm:cxn modelId="{E0FE5D10-B43F-41E7-9F34-22495DE814CF}" srcId="{571F9463-D0E2-4B4D-8BAF-A43F9235EDBC}" destId="{61877C8A-039D-4F44-BB8D-B90FF853EB56}" srcOrd="0" destOrd="0" parTransId="{7B79722C-D455-47D0-B5AB-A7DA0CFCEFBC}" sibTransId="{942AE165-A6EB-49C0-BFC9-7EF7BAF8DB9D}"/>
    <dgm:cxn modelId="{66A15686-1233-451B-BA76-1BA1656BD355}" type="presOf" srcId="{99D59F09-03E5-4607-AF7C-A30C3637B64E}" destId="{9873D35B-FE53-4636-9C72-7ACE5E6F674B}" srcOrd="0" destOrd="0" presId="urn:microsoft.com/office/officeart/2005/8/layout/default#1"/>
    <dgm:cxn modelId="{DA96E035-EAAF-44A2-B3F1-2B65F6CDE76A}" type="presOf" srcId="{571F9463-D0E2-4B4D-8BAF-A43F9235EDBC}" destId="{FC48F667-758E-4E95-AA81-4D2B090FA1DB}" srcOrd="0" destOrd="0" presId="urn:microsoft.com/office/officeart/2005/8/layout/default#1"/>
    <dgm:cxn modelId="{FB146827-2F7F-4AFB-9FAB-043CE16F592F}" type="presOf" srcId="{FCEF160F-56DA-445B-9581-D5BB458479D2}" destId="{5694E1F8-D2D1-4E26-9C52-D6B9C6B2E1B6}" srcOrd="0" destOrd="0" presId="urn:microsoft.com/office/officeart/2005/8/layout/default#1"/>
    <dgm:cxn modelId="{4AAD6370-BD07-4915-8328-C01FEF479B4B}" srcId="{571F9463-D0E2-4B4D-8BAF-A43F9235EDBC}" destId="{99D59F09-03E5-4607-AF7C-A30C3637B64E}" srcOrd="1" destOrd="0" parTransId="{4D78D0D4-1D30-469E-9A67-F5D604CC38C8}" sibTransId="{F55667D9-A6FE-4C87-86C4-DA2DDDA56B73}"/>
    <dgm:cxn modelId="{186BE5C1-897C-4E66-9255-CE2B6565F021}" type="presOf" srcId="{93C10C26-D880-4F6E-AC51-2D927035AEA2}" destId="{2119474D-9FC7-4651-9D02-20D219A7D555}" srcOrd="0" destOrd="0" presId="urn:microsoft.com/office/officeart/2005/8/layout/default#1"/>
    <dgm:cxn modelId="{963896DE-DB0A-43DD-B213-D4B322B0540F}" type="presOf" srcId="{AF2286B2-4180-43AD-B8CD-D75E9201D007}" destId="{30E7D7C6-0CB3-47AE-94BF-8EF3792C5313}" srcOrd="0" destOrd="0" presId="urn:microsoft.com/office/officeart/2005/8/layout/default#1"/>
    <dgm:cxn modelId="{9E75FF7C-367E-45E3-9B2D-393E33567EAB}" srcId="{571F9463-D0E2-4B4D-8BAF-A43F9235EDBC}" destId="{FCEF160F-56DA-445B-9581-D5BB458479D2}" srcOrd="3" destOrd="0" parTransId="{0E64A436-6AB8-4BD3-878B-D4D0E55FE624}" sibTransId="{A9290A66-3B71-4AC3-B1B6-705BC307C906}"/>
    <dgm:cxn modelId="{4E59BD22-F8A6-455F-9041-3C50E7DF82AB}" srcId="{571F9463-D0E2-4B4D-8BAF-A43F9235EDBC}" destId="{93C10C26-D880-4F6E-AC51-2D927035AEA2}" srcOrd="4" destOrd="0" parTransId="{D9428B2A-B137-4B6B-AFEE-A74E6283D8A3}" sibTransId="{9CD788E3-866D-4A22-823C-E3CDE85AC0F3}"/>
    <dgm:cxn modelId="{1422B4A3-046F-4C9D-B613-704F58FBFF22}" type="presOf" srcId="{61877C8A-039D-4F44-BB8D-B90FF853EB56}" destId="{7FF49B1A-EDF6-4CF0-9204-E9D4FC9D414A}" srcOrd="0" destOrd="0" presId="urn:microsoft.com/office/officeart/2005/8/layout/default#1"/>
    <dgm:cxn modelId="{D640A7F0-4527-4FB0-9343-67CA6594C931}" srcId="{571F9463-D0E2-4B4D-8BAF-A43F9235EDBC}" destId="{AF2286B2-4180-43AD-B8CD-D75E9201D007}" srcOrd="2" destOrd="0" parTransId="{FB1F1D7A-FE02-4C68-BB41-FA669BDBF01C}" sibTransId="{4FEE4DD9-8268-4229-91D6-0B6F72F0727B}"/>
    <dgm:cxn modelId="{3D298BB8-7A4B-4004-8AE1-EA8F4807FA2C}" type="presParOf" srcId="{FC48F667-758E-4E95-AA81-4D2B090FA1DB}" destId="{7FF49B1A-EDF6-4CF0-9204-E9D4FC9D414A}" srcOrd="0" destOrd="0" presId="urn:microsoft.com/office/officeart/2005/8/layout/default#1"/>
    <dgm:cxn modelId="{8CA25CDB-A132-4853-BD05-9914DE66A4BE}" type="presParOf" srcId="{FC48F667-758E-4E95-AA81-4D2B090FA1DB}" destId="{49F3C08C-FAEE-4D82-B0E4-16E96FC5C5FE}" srcOrd="1" destOrd="0" presId="urn:microsoft.com/office/officeart/2005/8/layout/default#1"/>
    <dgm:cxn modelId="{B959EC4C-188E-4729-864F-B8CE1028971F}" type="presParOf" srcId="{FC48F667-758E-4E95-AA81-4D2B090FA1DB}" destId="{9873D35B-FE53-4636-9C72-7ACE5E6F674B}" srcOrd="2" destOrd="0" presId="urn:microsoft.com/office/officeart/2005/8/layout/default#1"/>
    <dgm:cxn modelId="{95A07128-640C-4EF2-8854-3F2D4B3C3ADD}" type="presParOf" srcId="{FC48F667-758E-4E95-AA81-4D2B090FA1DB}" destId="{B4403A61-A032-4AF0-92FA-EECA2DBC39DC}" srcOrd="3" destOrd="0" presId="urn:microsoft.com/office/officeart/2005/8/layout/default#1"/>
    <dgm:cxn modelId="{6D4907B5-CA06-4B26-A051-7E18827565E8}" type="presParOf" srcId="{FC48F667-758E-4E95-AA81-4D2B090FA1DB}" destId="{30E7D7C6-0CB3-47AE-94BF-8EF3792C5313}" srcOrd="4" destOrd="0" presId="urn:microsoft.com/office/officeart/2005/8/layout/default#1"/>
    <dgm:cxn modelId="{2DEA6874-5FC9-4CB5-BAA5-A1ADFD173D99}" type="presParOf" srcId="{FC48F667-758E-4E95-AA81-4D2B090FA1DB}" destId="{A9548D11-E3B5-4FC1-9E09-31F411DB73C6}" srcOrd="5" destOrd="0" presId="urn:microsoft.com/office/officeart/2005/8/layout/default#1"/>
    <dgm:cxn modelId="{9F85D020-0F65-40B6-A8C5-6FA04CF641DD}" type="presParOf" srcId="{FC48F667-758E-4E95-AA81-4D2B090FA1DB}" destId="{5694E1F8-D2D1-4E26-9C52-D6B9C6B2E1B6}" srcOrd="6" destOrd="0" presId="urn:microsoft.com/office/officeart/2005/8/layout/default#1"/>
    <dgm:cxn modelId="{40E9436D-EE92-473A-8910-1418426E1D7C}" type="presParOf" srcId="{FC48F667-758E-4E95-AA81-4D2B090FA1DB}" destId="{B3529C87-B7C5-4600-9BA9-D6B00EB9ED98}" srcOrd="7" destOrd="0" presId="urn:microsoft.com/office/officeart/2005/8/layout/default#1"/>
    <dgm:cxn modelId="{92B93171-23D0-4E19-B638-F24D97B903F4}" type="presParOf" srcId="{FC48F667-758E-4E95-AA81-4D2B090FA1DB}" destId="{2119474D-9FC7-4651-9D02-20D219A7D555}" srcOrd="8" destOrd="0" presId="urn:microsoft.com/office/officeart/2005/8/layout/defaul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71F9463-D0E2-4B4D-8BAF-A43F9235EDBC}"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cs-CZ"/>
        </a:p>
      </dgm:t>
    </dgm:pt>
    <dgm:pt modelId="{61877C8A-039D-4F44-BB8D-B90FF853EB56}">
      <dgm:prSet phldrT="[Text]" custT="1"/>
      <dgm:spPr>
        <a:solidFill>
          <a:schemeClr val="accent2">
            <a:lumMod val="75000"/>
          </a:schemeClr>
        </a:solidFill>
      </dgm:spPr>
      <dgm:t>
        <a:bodyPr/>
        <a:lstStyle/>
        <a:p>
          <a:r>
            <a:rPr lang="cs-CZ" sz="800">
              <a:solidFill>
                <a:schemeClr val="bg1"/>
              </a:solidFill>
              <a:latin typeface="Arial" panose="020B0604020202020204" pitchFamily="34" charset="0"/>
              <a:cs typeface="Arial" panose="020B0604020202020204" pitchFamily="34" charset="0"/>
            </a:rPr>
            <a:t>MŠMT</a:t>
          </a:r>
        </a:p>
        <a:p>
          <a:r>
            <a:rPr lang="cs-CZ" sz="800">
              <a:solidFill>
                <a:schemeClr val="bg1"/>
              </a:solidFill>
              <a:latin typeface="Arial" panose="020B0604020202020204" pitchFamily="34" charset="0"/>
              <a:cs typeface="Arial" panose="020B0604020202020204" pitchFamily="34" charset="0"/>
            </a:rPr>
            <a:t>44</a:t>
          </a:r>
        </a:p>
      </dgm:t>
    </dgm:pt>
    <dgm:pt modelId="{7B79722C-D455-47D0-B5AB-A7DA0CFCEFBC}" type="parTrans" cxnId="{E0FE5D10-B43F-41E7-9F34-22495DE814CF}">
      <dgm:prSet/>
      <dgm:spPr/>
      <dgm:t>
        <a:bodyPr/>
        <a:lstStyle/>
        <a:p>
          <a:endParaRPr lang="cs-CZ" sz="800">
            <a:latin typeface="Arial" panose="020B0604020202020204" pitchFamily="34" charset="0"/>
            <a:cs typeface="Arial" panose="020B0604020202020204" pitchFamily="34" charset="0"/>
          </a:endParaRPr>
        </a:p>
      </dgm:t>
    </dgm:pt>
    <dgm:pt modelId="{942AE165-A6EB-49C0-BFC9-7EF7BAF8DB9D}" type="sibTrans" cxnId="{E0FE5D10-B43F-41E7-9F34-22495DE814CF}">
      <dgm:prSet/>
      <dgm:spPr/>
      <dgm:t>
        <a:bodyPr/>
        <a:lstStyle/>
        <a:p>
          <a:endParaRPr lang="cs-CZ" sz="800">
            <a:latin typeface="Arial" panose="020B0604020202020204" pitchFamily="34" charset="0"/>
            <a:cs typeface="Arial" panose="020B0604020202020204" pitchFamily="34" charset="0"/>
          </a:endParaRPr>
        </a:p>
      </dgm:t>
    </dgm:pt>
    <dgm:pt modelId="{99D59F09-03E5-4607-AF7C-A30C3637B64E}">
      <dgm:prSet phldrT="[Text]" custT="1"/>
      <dgm:spPr>
        <a:solidFill>
          <a:schemeClr val="accent2">
            <a:lumMod val="75000"/>
          </a:schemeClr>
        </a:solidFill>
      </dgm:spPr>
      <dgm:t>
        <a:bodyPr/>
        <a:lstStyle/>
        <a:p>
          <a:r>
            <a:rPr lang="cs-CZ" sz="800">
              <a:solidFill>
                <a:schemeClr val="bg1"/>
              </a:solidFill>
              <a:latin typeface="Arial" panose="020B0604020202020204" pitchFamily="34" charset="0"/>
              <a:cs typeface="Arial" panose="020B0604020202020204" pitchFamily="34" charset="0"/>
            </a:rPr>
            <a:t>Obec</a:t>
          </a:r>
        </a:p>
        <a:p>
          <a:r>
            <a:rPr lang="cs-CZ" sz="800">
              <a:solidFill>
                <a:schemeClr val="bg1"/>
              </a:solidFill>
              <a:latin typeface="Arial" panose="020B0604020202020204" pitchFamily="34" charset="0"/>
              <a:cs typeface="Arial" panose="020B0604020202020204" pitchFamily="34" charset="0"/>
            </a:rPr>
            <a:t>3 619</a:t>
          </a:r>
        </a:p>
      </dgm:t>
    </dgm:pt>
    <dgm:pt modelId="{4D78D0D4-1D30-469E-9A67-F5D604CC38C8}" type="parTrans" cxnId="{4AAD6370-BD07-4915-8328-C01FEF479B4B}">
      <dgm:prSet/>
      <dgm:spPr/>
      <dgm:t>
        <a:bodyPr/>
        <a:lstStyle/>
        <a:p>
          <a:endParaRPr lang="cs-CZ" sz="800">
            <a:latin typeface="Arial" panose="020B0604020202020204" pitchFamily="34" charset="0"/>
            <a:cs typeface="Arial" panose="020B0604020202020204" pitchFamily="34" charset="0"/>
          </a:endParaRPr>
        </a:p>
      </dgm:t>
    </dgm:pt>
    <dgm:pt modelId="{F55667D9-A6FE-4C87-86C4-DA2DDDA56B73}" type="sibTrans" cxnId="{4AAD6370-BD07-4915-8328-C01FEF479B4B}">
      <dgm:prSet/>
      <dgm:spPr/>
      <dgm:t>
        <a:bodyPr/>
        <a:lstStyle/>
        <a:p>
          <a:endParaRPr lang="cs-CZ" sz="800">
            <a:latin typeface="Arial" panose="020B0604020202020204" pitchFamily="34" charset="0"/>
            <a:cs typeface="Arial" panose="020B0604020202020204" pitchFamily="34" charset="0"/>
          </a:endParaRPr>
        </a:p>
      </dgm:t>
    </dgm:pt>
    <dgm:pt modelId="{AF2286B2-4180-43AD-B8CD-D75E9201D007}">
      <dgm:prSet phldrT="[Text]" custT="1"/>
      <dgm:spPr>
        <a:solidFill>
          <a:schemeClr val="accent2">
            <a:lumMod val="75000"/>
          </a:schemeClr>
        </a:solidFill>
      </dgm:spPr>
      <dgm:t>
        <a:bodyPr/>
        <a:lstStyle/>
        <a:p>
          <a:r>
            <a:rPr lang="cs-CZ" sz="800">
              <a:solidFill>
                <a:schemeClr val="bg1"/>
              </a:solidFill>
              <a:latin typeface="Arial" panose="020B0604020202020204" pitchFamily="34" charset="0"/>
              <a:cs typeface="Arial" panose="020B0604020202020204" pitchFamily="34" charset="0"/>
            </a:rPr>
            <a:t>Kraj</a:t>
          </a:r>
        </a:p>
        <a:p>
          <a:r>
            <a:rPr lang="cs-CZ" sz="800">
              <a:solidFill>
                <a:schemeClr val="bg1"/>
              </a:solidFill>
              <a:latin typeface="Arial" panose="020B0604020202020204" pitchFamily="34" charset="0"/>
              <a:cs typeface="Arial" panose="020B0604020202020204" pitchFamily="34" charset="0"/>
            </a:rPr>
            <a:t>251</a:t>
          </a:r>
        </a:p>
      </dgm:t>
    </dgm:pt>
    <dgm:pt modelId="{FB1F1D7A-FE02-4C68-BB41-FA669BDBF01C}" type="parTrans" cxnId="{D640A7F0-4527-4FB0-9343-67CA6594C931}">
      <dgm:prSet/>
      <dgm:spPr/>
      <dgm:t>
        <a:bodyPr/>
        <a:lstStyle/>
        <a:p>
          <a:endParaRPr lang="cs-CZ" sz="800">
            <a:latin typeface="Arial" panose="020B0604020202020204" pitchFamily="34" charset="0"/>
            <a:cs typeface="Arial" panose="020B0604020202020204" pitchFamily="34" charset="0"/>
          </a:endParaRPr>
        </a:p>
      </dgm:t>
    </dgm:pt>
    <dgm:pt modelId="{4FEE4DD9-8268-4229-91D6-0B6F72F0727B}" type="sibTrans" cxnId="{D640A7F0-4527-4FB0-9343-67CA6594C931}">
      <dgm:prSet/>
      <dgm:spPr/>
      <dgm:t>
        <a:bodyPr/>
        <a:lstStyle/>
        <a:p>
          <a:endParaRPr lang="cs-CZ" sz="800">
            <a:latin typeface="Arial" panose="020B0604020202020204" pitchFamily="34" charset="0"/>
            <a:cs typeface="Arial" panose="020B0604020202020204" pitchFamily="34" charset="0"/>
          </a:endParaRPr>
        </a:p>
      </dgm:t>
    </dgm:pt>
    <dgm:pt modelId="{FCEF160F-56DA-445B-9581-D5BB458479D2}">
      <dgm:prSet phldrT="[Text]" custT="1"/>
      <dgm:spPr>
        <a:solidFill>
          <a:schemeClr val="accent2">
            <a:lumMod val="75000"/>
          </a:schemeClr>
        </a:solidFill>
      </dgm:spPr>
      <dgm:t>
        <a:bodyPr/>
        <a:lstStyle/>
        <a:p>
          <a:r>
            <a:rPr lang="cs-CZ" sz="800">
              <a:solidFill>
                <a:schemeClr val="bg1"/>
              </a:solidFill>
              <a:latin typeface="Arial" panose="020B0604020202020204" pitchFamily="34" charset="0"/>
              <a:cs typeface="Arial" panose="020B0604020202020204" pitchFamily="34" charset="0"/>
            </a:rPr>
            <a:t>Privátní sektor</a:t>
          </a:r>
        </a:p>
        <a:p>
          <a:r>
            <a:rPr lang="cs-CZ" sz="800">
              <a:solidFill>
                <a:schemeClr val="bg1"/>
              </a:solidFill>
              <a:latin typeface="Arial" panose="020B0604020202020204" pitchFamily="34" charset="0"/>
              <a:cs typeface="Arial" panose="020B0604020202020204" pitchFamily="34" charset="0"/>
            </a:rPr>
            <a:t>196</a:t>
          </a:r>
        </a:p>
      </dgm:t>
    </dgm:pt>
    <dgm:pt modelId="{0E64A436-6AB8-4BD3-878B-D4D0E55FE624}" type="parTrans" cxnId="{9E75FF7C-367E-45E3-9B2D-393E33567EAB}">
      <dgm:prSet/>
      <dgm:spPr/>
      <dgm:t>
        <a:bodyPr/>
        <a:lstStyle/>
        <a:p>
          <a:endParaRPr lang="cs-CZ" sz="800">
            <a:latin typeface="Arial" panose="020B0604020202020204" pitchFamily="34" charset="0"/>
            <a:cs typeface="Arial" panose="020B0604020202020204" pitchFamily="34" charset="0"/>
          </a:endParaRPr>
        </a:p>
      </dgm:t>
    </dgm:pt>
    <dgm:pt modelId="{A9290A66-3B71-4AC3-B1B6-705BC307C906}" type="sibTrans" cxnId="{9E75FF7C-367E-45E3-9B2D-393E33567EAB}">
      <dgm:prSet/>
      <dgm:spPr/>
      <dgm:t>
        <a:bodyPr/>
        <a:lstStyle/>
        <a:p>
          <a:endParaRPr lang="cs-CZ" sz="800">
            <a:latin typeface="Arial" panose="020B0604020202020204" pitchFamily="34" charset="0"/>
            <a:cs typeface="Arial" panose="020B0604020202020204" pitchFamily="34" charset="0"/>
          </a:endParaRPr>
        </a:p>
      </dgm:t>
    </dgm:pt>
    <dgm:pt modelId="{93C10C26-D880-4F6E-AC51-2D927035AEA2}">
      <dgm:prSet phldrT="[Text]" custT="1"/>
      <dgm:spPr>
        <a:solidFill>
          <a:schemeClr val="accent2">
            <a:lumMod val="75000"/>
          </a:schemeClr>
        </a:solidFill>
      </dgm:spPr>
      <dgm:t>
        <a:bodyPr/>
        <a:lstStyle/>
        <a:p>
          <a:r>
            <a:rPr lang="cs-CZ" sz="800">
              <a:solidFill>
                <a:schemeClr val="bg1"/>
              </a:solidFill>
              <a:latin typeface="Arial" panose="020B0604020202020204" pitchFamily="34" charset="0"/>
              <a:cs typeface="Arial" panose="020B0604020202020204" pitchFamily="34" charset="0"/>
            </a:rPr>
            <a:t>Církev</a:t>
          </a:r>
        </a:p>
        <a:p>
          <a:r>
            <a:rPr lang="cs-CZ" sz="800">
              <a:solidFill>
                <a:schemeClr val="bg1"/>
              </a:solidFill>
              <a:latin typeface="Arial" panose="020B0604020202020204" pitchFamily="34" charset="0"/>
              <a:cs typeface="Arial" panose="020B0604020202020204" pitchFamily="34" charset="0"/>
            </a:rPr>
            <a:t>45</a:t>
          </a:r>
        </a:p>
      </dgm:t>
    </dgm:pt>
    <dgm:pt modelId="{D9428B2A-B137-4B6B-AFEE-A74E6283D8A3}" type="parTrans" cxnId="{4E59BD22-F8A6-455F-9041-3C50E7DF82AB}">
      <dgm:prSet/>
      <dgm:spPr/>
      <dgm:t>
        <a:bodyPr/>
        <a:lstStyle/>
        <a:p>
          <a:endParaRPr lang="cs-CZ" sz="800">
            <a:latin typeface="Arial" panose="020B0604020202020204" pitchFamily="34" charset="0"/>
            <a:cs typeface="Arial" panose="020B0604020202020204" pitchFamily="34" charset="0"/>
          </a:endParaRPr>
        </a:p>
      </dgm:t>
    </dgm:pt>
    <dgm:pt modelId="{9CD788E3-866D-4A22-823C-E3CDE85AC0F3}" type="sibTrans" cxnId="{4E59BD22-F8A6-455F-9041-3C50E7DF82AB}">
      <dgm:prSet/>
      <dgm:spPr/>
      <dgm:t>
        <a:bodyPr/>
        <a:lstStyle/>
        <a:p>
          <a:endParaRPr lang="cs-CZ" sz="800">
            <a:latin typeface="Arial" panose="020B0604020202020204" pitchFamily="34" charset="0"/>
            <a:cs typeface="Arial" panose="020B0604020202020204" pitchFamily="34" charset="0"/>
          </a:endParaRPr>
        </a:p>
      </dgm:t>
    </dgm:pt>
    <dgm:pt modelId="{FC48F667-758E-4E95-AA81-4D2B090FA1DB}" type="pres">
      <dgm:prSet presAssocID="{571F9463-D0E2-4B4D-8BAF-A43F9235EDBC}" presName="diagram" presStyleCnt="0">
        <dgm:presLayoutVars>
          <dgm:dir/>
          <dgm:resizeHandles val="exact"/>
        </dgm:presLayoutVars>
      </dgm:prSet>
      <dgm:spPr/>
      <dgm:t>
        <a:bodyPr/>
        <a:lstStyle/>
        <a:p>
          <a:endParaRPr lang="cs-CZ"/>
        </a:p>
      </dgm:t>
    </dgm:pt>
    <dgm:pt modelId="{7FF49B1A-EDF6-4CF0-9204-E9D4FC9D414A}" type="pres">
      <dgm:prSet presAssocID="{61877C8A-039D-4F44-BB8D-B90FF853EB56}" presName="node" presStyleLbl="node1" presStyleIdx="0" presStyleCnt="5">
        <dgm:presLayoutVars>
          <dgm:bulletEnabled val="1"/>
        </dgm:presLayoutVars>
      </dgm:prSet>
      <dgm:spPr/>
      <dgm:t>
        <a:bodyPr/>
        <a:lstStyle/>
        <a:p>
          <a:endParaRPr lang="cs-CZ"/>
        </a:p>
      </dgm:t>
    </dgm:pt>
    <dgm:pt modelId="{49F3C08C-FAEE-4D82-B0E4-16E96FC5C5FE}" type="pres">
      <dgm:prSet presAssocID="{942AE165-A6EB-49C0-BFC9-7EF7BAF8DB9D}" presName="sibTrans" presStyleCnt="0"/>
      <dgm:spPr/>
    </dgm:pt>
    <dgm:pt modelId="{9873D35B-FE53-4636-9C72-7ACE5E6F674B}" type="pres">
      <dgm:prSet presAssocID="{99D59F09-03E5-4607-AF7C-A30C3637B64E}" presName="node" presStyleLbl="node1" presStyleIdx="1" presStyleCnt="5">
        <dgm:presLayoutVars>
          <dgm:bulletEnabled val="1"/>
        </dgm:presLayoutVars>
      </dgm:prSet>
      <dgm:spPr/>
      <dgm:t>
        <a:bodyPr/>
        <a:lstStyle/>
        <a:p>
          <a:endParaRPr lang="cs-CZ"/>
        </a:p>
      </dgm:t>
    </dgm:pt>
    <dgm:pt modelId="{B4403A61-A032-4AF0-92FA-EECA2DBC39DC}" type="pres">
      <dgm:prSet presAssocID="{F55667D9-A6FE-4C87-86C4-DA2DDDA56B73}" presName="sibTrans" presStyleCnt="0"/>
      <dgm:spPr/>
    </dgm:pt>
    <dgm:pt modelId="{30E7D7C6-0CB3-47AE-94BF-8EF3792C5313}" type="pres">
      <dgm:prSet presAssocID="{AF2286B2-4180-43AD-B8CD-D75E9201D007}" presName="node" presStyleLbl="node1" presStyleIdx="2" presStyleCnt="5">
        <dgm:presLayoutVars>
          <dgm:bulletEnabled val="1"/>
        </dgm:presLayoutVars>
      </dgm:prSet>
      <dgm:spPr/>
      <dgm:t>
        <a:bodyPr/>
        <a:lstStyle/>
        <a:p>
          <a:endParaRPr lang="cs-CZ"/>
        </a:p>
      </dgm:t>
    </dgm:pt>
    <dgm:pt modelId="{A9548D11-E3B5-4FC1-9E09-31F411DB73C6}" type="pres">
      <dgm:prSet presAssocID="{4FEE4DD9-8268-4229-91D6-0B6F72F0727B}" presName="sibTrans" presStyleCnt="0"/>
      <dgm:spPr/>
    </dgm:pt>
    <dgm:pt modelId="{5694E1F8-D2D1-4E26-9C52-D6B9C6B2E1B6}" type="pres">
      <dgm:prSet presAssocID="{FCEF160F-56DA-445B-9581-D5BB458479D2}" presName="node" presStyleLbl="node1" presStyleIdx="3" presStyleCnt="5">
        <dgm:presLayoutVars>
          <dgm:bulletEnabled val="1"/>
        </dgm:presLayoutVars>
      </dgm:prSet>
      <dgm:spPr/>
      <dgm:t>
        <a:bodyPr/>
        <a:lstStyle/>
        <a:p>
          <a:endParaRPr lang="cs-CZ"/>
        </a:p>
      </dgm:t>
    </dgm:pt>
    <dgm:pt modelId="{B3529C87-B7C5-4600-9BA9-D6B00EB9ED98}" type="pres">
      <dgm:prSet presAssocID="{A9290A66-3B71-4AC3-B1B6-705BC307C906}" presName="sibTrans" presStyleCnt="0"/>
      <dgm:spPr/>
    </dgm:pt>
    <dgm:pt modelId="{2119474D-9FC7-4651-9D02-20D219A7D555}" type="pres">
      <dgm:prSet presAssocID="{93C10C26-D880-4F6E-AC51-2D927035AEA2}" presName="node" presStyleLbl="node1" presStyleIdx="4" presStyleCnt="5">
        <dgm:presLayoutVars>
          <dgm:bulletEnabled val="1"/>
        </dgm:presLayoutVars>
      </dgm:prSet>
      <dgm:spPr/>
      <dgm:t>
        <a:bodyPr/>
        <a:lstStyle/>
        <a:p>
          <a:endParaRPr lang="cs-CZ"/>
        </a:p>
      </dgm:t>
    </dgm:pt>
  </dgm:ptLst>
  <dgm:cxnLst>
    <dgm:cxn modelId="{E0FE5D10-B43F-41E7-9F34-22495DE814CF}" srcId="{571F9463-D0E2-4B4D-8BAF-A43F9235EDBC}" destId="{61877C8A-039D-4F44-BB8D-B90FF853EB56}" srcOrd="0" destOrd="0" parTransId="{7B79722C-D455-47D0-B5AB-A7DA0CFCEFBC}" sibTransId="{942AE165-A6EB-49C0-BFC9-7EF7BAF8DB9D}"/>
    <dgm:cxn modelId="{DD6C282B-CD75-4FAA-B52A-7E2DC42E85D2}" type="presOf" srcId="{93C10C26-D880-4F6E-AC51-2D927035AEA2}" destId="{2119474D-9FC7-4651-9D02-20D219A7D555}" srcOrd="0" destOrd="0" presId="urn:microsoft.com/office/officeart/2005/8/layout/default#1"/>
    <dgm:cxn modelId="{19DF8307-C941-4F44-B8E8-E1C465F67D54}" type="presOf" srcId="{FCEF160F-56DA-445B-9581-D5BB458479D2}" destId="{5694E1F8-D2D1-4E26-9C52-D6B9C6B2E1B6}" srcOrd="0" destOrd="0" presId="urn:microsoft.com/office/officeart/2005/8/layout/default#1"/>
    <dgm:cxn modelId="{35BE0094-6A72-4C0E-93E3-395E1AE8C034}" type="presOf" srcId="{571F9463-D0E2-4B4D-8BAF-A43F9235EDBC}" destId="{FC48F667-758E-4E95-AA81-4D2B090FA1DB}" srcOrd="0" destOrd="0" presId="urn:microsoft.com/office/officeart/2005/8/layout/default#1"/>
    <dgm:cxn modelId="{4AAD6370-BD07-4915-8328-C01FEF479B4B}" srcId="{571F9463-D0E2-4B4D-8BAF-A43F9235EDBC}" destId="{99D59F09-03E5-4607-AF7C-A30C3637B64E}" srcOrd="1" destOrd="0" parTransId="{4D78D0D4-1D30-469E-9A67-F5D604CC38C8}" sibTransId="{F55667D9-A6FE-4C87-86C4-DA2DDDA56B73}"/>
    <dgm:cxn modelId="{9E75FF7C-367E-45E3-9B2D-393E33567EAB}" srcId="{571F9463-D0E2-4B4D-8BAF-A43F9235EDBC}" destId="{FCEF160F-56DA-445B-9581-D5BB458479D2}" srcOrd="3" destOrd="0" parTransId="{0E64A436-6AB8-4BD3-878B-D4D0E55FE624}" sibTransId="{A9290A66-3B71-4AC3-B1B6-705BC307C906}"/>
    <dgm:cxn modelId="{4E59BD22-F8A6-455F-9041-3C50E7DF82AB}" srcId="{571F9463-D0E2-4B4D-8BAF-A43F9235EDBC}" destId="{93C10C26-D880-4F6E-AC51-2D927035AEA2}" srcOrd="4" destOrd="0" parTransId="{D9428B2A-B137-4B6B-AFEE-A74E6283D8A3}" sibTransId="{9CD788E3-866D-4A22-823C-E3CDE85AC0F3}"/>
    <dgm:cxn modelId="{36DD3BD9-6D8B-44BA-9DB2-41516BDBF9FB}" type="presOf" srcId="{AF2286B2-4180-43AD-B8CD-D75E9201D007}" destId="{30E7D7C6-0CB3-47AE-94BF-8EF3792C5313}" srcOrd="0" destOrd="0" presId="urn:microsoft.com/office/officeart/2005/8/layout/default#1"/>
    <dgm:cxn modelId="{7F41EA0C-5AFF-4192-9DE8-D6CB60D0D399}" type="presOf" srcId="{99D59F09-03E5-4607-AF7C-A30C3637B64E}" destId="{9873D35B-FE53-4636-9C72-7ACE5E6F674B}" srcOrd="0" destOrd="0" presId="urn:microsoft.com/office/officeart/2005/8/layout/default#1"/>
    <dgm:cxn modelId="{85FB5FC8-EC0F-4D04-8ED1-90CF8AA90C44}" type="presOf" srcId="{61877C8A-039D-4F44-BB8D-B90FF853EB56}" destId="{7FF49B1A-EDF6-4CF0-9204-E9D4FC9D414A}" srcOrd="0" destOrd="0" presId="urn:microsoft.com/office/officeart/2005/8/layout/default#1"/>
    <dgm:cxn modelId="{D640A7F0-4527-4FB0-9343-67CA6594C931}" srcId="{571F9463-D0E2-4B4D-8BAF-A43F9235EDBC}" destId="{AF2286B2-4180-43AD-B8CD-D75E9201D007}" srcOrd="2" destOrd="0" parTransId="{FB1F1D7A-FE02-4C68-BB41-FA669BDBF01C}" sibTransId="{4FEE4DD9-8268-4229-91D6-0B6F72F0727B}"/>
    <dgm:cxn modelId="{48B9A3CC-6CAA-40AC-B835-F31306A88E37}" type="presParOf" srcId="{FC48F667-758E-4E95-AA81-4D2B090FA1DB}" destId="{7FF49B1A-EDF6-4CF0-9204-E9D4FC9D414A}" srcOrd="0" destOrd="0" presId="urn:microsoft.com/office/officeart/2005/8/layout/default#1"/>
    <dgm:cxn modelId="{A538954D-C085-412A-8621-94D022164370}" type="presParOf" srcId="{FC48F667-758E-4E95-AA81-4D2B090FA1DB}" destId="{49F3C08C-FAEE-4D82-B0E4-16E96FC5C5FE}" srcOrd="1" destOrd="0" presId="urn:microsoft.com/office/officeart/2005/8/layout/default#1"/>
    <dgm:cxn modelId="{02FA75D9-E6B1-45FE-A2B6-552BDAFF4314}" type="presParOf" srcId="{FC48F667-758E-4E95-AA81-4D2B090FA1DB}" destId="{9873D35B-FE53-4636-9C72-7ACE5E6F674B}" srcOrd="2" destOrd="0" presId="urn:microsoft.com/office/officeart/2005/8/layout/default#1"/>
    <dgm:cxn modelId="{222510BE-7274-41DA-A609-19E3B10EBA32}" type="presParOf" srcId="{FC48F667-758E-4E95-AA81-4D2B090FA1DB}" destId="{B4403A61-A032-4AF0-92FA-EECA2DBC39DC}" srcOrd="3" destOrd="0" presId="urn:microsoft.com/office/officeart/2005/8/layout/default#1"/>
    <dgm:cxn modelId="{31A8E6C4-3CB1-4A7C-99A3-2C4A37F4AD84}" type="presParOf" srcId="{FC48F667-758E-4E95-AA81-4D2B090FA1DB}" destId="{30E7D7C6-0CB3-47AE-94BF-8EF3792C5313}" srcOrd="4" destOrd="0" presId="urn:microsoft.com/office/officeart/2005/8/layout/default#1"/>
    <dgm:cxn modelId="{5D209B67-F3EA-4441-A04E-F22984C6F309}" type="presParOf" srcId="{FC48F667-758E-4E95-AA81-4D2B090FA1DB}" destId="{A9548D11-E3B5-4FC1-9E09-31F411DB73C6}" srcOrd="5" destOrd="0" presId="urn:microsoft.com/office/officeart/2005/8/layout/default#1"/>
    <dgm:cxn modelId="{5EE39AC2-D37C-4AFD-AF2E-E2EB865A9F8C}" type="presParOf" srcId="{FC48F667-758E-4E95-AA81-4D2B090FA1DB}" destId="{5694E1F8-D2D1-4E26-9C52-D6B9C6B2E1B6}" srcOrd="6" destOrd="0" presId="urn:microsoft.com/office/officeart/2005/8/layout/default#1"/>
    <dgm:cxn modelId="{A03D02AE-06AA-4766-AA49-27792861567F}" type="presParOf" srcId="{FC48F667-758E-4E95-AA81-4D2B090FA1DB}" destId="{B3529C87-B7C5-4600-9BA9-D6B00EB9ED98}" srcOrd="7" destOrd="0" presId="urn:microsoft.com/office/officeart/2005/8/layout/default#1"/>
    <dgm:cxn modelId="{A0306B7C-74A4-4D80-B025-AE34655D9FAF}" type="presParOf" srcId="{FC48F667-758E-4E95-AA81-4D2B090FA1DB}" destId="{2119474D-9FC7-4651-9D02-20D219A7D555}" srcOrd="8" destOrd="0" presId="urn:microsoft.com/office/officeart/2005/8/layout/defaul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8697484-10D5-40C1-99C7-FB46071C19D5}" type="doc">
      <dgm:prSet loTypeId="urn:microsoft.com/office/officeart/2005/8/layout/hierarchy4" loCatId="hierarchy" qsTypeId="urn:microsoft.com/office/officeart/2005/8/quickstyle/simple1" qsCatId="simple" csTypeId="urn:microsoft.com/office/officeart/2005/8/colors/accent2_4" csCatId="accent2" phldr="1"/>
      <dgm:spPr/>
      <dgm:t>
        <a:bodyPr/>
        <a:lstStyle/>
        <a:p>
          <a:endParaRPr lang="cs-CZ"/>
        </a:p>
      </dgm:t>
    </dgm:pt>
    <dgm:pt modelId="{D1FCC6C8-5A26-4116-A3C0-43746DDE7ACB}">
      <dgm:prSet phldrT="[Text]"/>
      <dgm:spPr/>
      <dgm:t>
        <a:bodyPr/>
        <a:lstStyle/>
        <a:p>
          <a:r>
            <a:rPr lang="cs-CZ"/>
            <a:t>Anglický jazyk 99,4 %</a:t>
          </a:r>
        </a:p>
      </dgm:t>
    </dgm:pt>
    <dgm:pt modelId="{D2AF5277-C471-4EC0-B933-FB718B52E675}" type="parTrans" cxnId="{8DAE73C0-9579-4AA3-9F8F-2F5255EAEEAF}">
      <dgm:prSet/>
      <dgm:spPr/>
      <dgm:t>
        <a:bodyPr/>
        <a:lstStyle/>
        <a:p>
          <a:endParaRPr lang="cs-CZ"/>
        </a:p>
      </dgm:t>
    </dgm:pt>
    <dgm:pt modelId="{9B724969-C571-4BC7-A338-CDAEE3327C43}" type="sibTrans" cxnId="{8DAE73C0-9579-4AA3-9F8F-2F5255EAEEAF}">
      <dgm:prSet/>
      <dgm:spPr/>
      <dgm:t>
        <a:bodyPr/>
        <a:lstStyle/>
        <a:p>
          <a:endParaRPr lang="cs-CZ"/>
        </a:p>
      </dgm:t>
    </dgm:pt>
    <dgm:pt modelId="{4B932871-E663-4840-AC33-0A7B8C6512A7}">
      <dgm:prSet phldrT="[Text]"/>
      <dgm:spPr/>
      <dgm:t>
        <a:bodyPr/>
        <a:lstStyle/>
        <a:p>
          <a:r>
            <a:rPr lang="cs-CZ" b="1"/>
            <a:t>Německý jazyk 22,3 %</a:t>
          </a:r>
        </a:p>
      </dgm:t>
    </dgm:pt>
    <dgm:pt modelId="{FB23DA7F-9E22-4B38-93C9-64DB6D4811D9}" type="parTrans" cxnId="{F4DE2D62-D6A6-4538-A66F-37E8B8153CAC}">
      <dgm:prSet/>
      <dgm:spPr/>
      <dgm:t>
        <a:bodyPr/>
        <a:lstStyle/>
        <a:p>
          <a:endParaRPr lang="cs-CZ"/>
        </a:p>
      </dgm:t>
    </dgm:pt>
    <dgm:pt modelId="{FAB2BF7B-8AB8-45DE-AD72-84DBE09EA70B}" type="sibTrans" cxnId="{F4DE2D62-D6A6-4538-A66F-37E8B8153CAC}">
      <dgm:prSet/>
      <dgm:spPr/>
      <dgm:t>
        <a:bodyPr/>
        <a:lstStyle/>
        <a:p>
          <a:endParaRPr lang="cs-CZ"/>
        </a:p>
      </dgm:t>
    </dgm:pt>
    <dgm:pt modelId="{B26139D7-BCBA-47C9-AAD5-F25AAB903B2D}">
      <dgm:prSet phldrT="[Text]"/>
      <dgm:spPr/>
      <dgm:t>
        <a:bodyPr/>
        <a:lstStyle/>
        <a:p>
          <a:r>
            <a:rPr lang="cs-CZ" b="1"/>
            <a:t>Španělský jazyk 0,8 %</a:t>
          </a:r>
        </a:p>
      </dgm:t>
    </dgm:pt>
    <dgm:pt modelId="{5DF861A9-FB7F-4DAC-B5BB-D78BC2D78D02}" type="parTrans" cxnId="{75F0B6CE-5734-4DDC-BAAD-F589D1E6BFBA}">
      <dgm:prSet/>
      <dgm:spPr/>
      <dgm:t>
        <a:bodyPr/>
        <a:lstStyle/>
        <a:p>
          <a:endParaRPr lang="cs-CZ"/>
        </a:p>
      </dgm:t>
    </dgm:pt>
    <dgm:pt modelId="{4D7133F3-BA91-4D44-8D2B-C9660FD7C809}" type="sibTrans" cxnId="{75F0B6CE-5734-4DDC-BAAD-F589D1E6BFBA}">
      <dgm:prSet/>
      <dgm:spPr/>
      <dgm:t>
        <a:bodyPr/>
        <a:lstStyle/>
        <a:p>
          <a:endParaRPr lang="cs-CZ"/>
        </a:p>
      </dgm:t>
    </dgm:pt>
    <dgm:pt modelId="{9A3B001A-2B7E-44BE-A597-4DE3A5CE8CE1}">
      <dgm:prSet phldrT="[Text]"/>
      <dgm:spPr/>
      <dgm:t>
        <a:bodyPr/>
        <a:lstStyle/>
        <a:p>
          <a:r>
            <a:rPr lang="cs-CZ" b="1"/>
            <a:t>Francouzský jazyk 0,8 %</a:t>
          </a:r>
        </a:p>
      </dgm:t>
    </dgm:pt>
    <dgm:pt modelId="{E3064A83-4B16-4D91-A741-0F6D452E2D0A}" type="parTrans" cxnId="{A9495D8E-D028-47F9-962A-C44EF56D3CBD}">
      <dgm:prSet/>
      <dgm:spPr/>
      <dgm:t>
        <a:bodyPr/>
        <a:lstStyle/>
        <a:p>
          <a:endParaRPr lang="cs-CZ"/>
        </a:p>
      </dgm:t>
    </dgm:pt>
    <dgm:pt modelId="{3D9DFA44-489E-4B90-8668-DA5AAF1C321E}" type="sibTrans" cxnId="{A9495D8E-D028-47F9-962A-C44EF56D3CBD}">
      <dgm:prSet/>
      <dgm:spPr/>
      <dgm:t>
        <a:bodyPr/>
        <a:lstStyle/>
        <a:p>
          <a:endParaRPr lang="cs-CZ"/>
        </a:p>
      </dgm:t>
    </dgm:pt>
    <dgm:pt modelId="{147FAE3D-CD05-40F2-B61B-1310D4931A08}">
      <dgm:prSet phldrT="[Text]"/>
      <dgm:spPr/>
      <dgm:t>
        <a:bodyPr/>
        <a:lstStyle/>
        <a:p>
          <a:r>
            <a:rPr lang="cs-CZ" b="1"/>
            <a:t>Ruský jazyk 6,6 %</a:t>
          </a:r>
        </a:p>
      </dgm:t>
    </dgm:pt>
    <dgm:pt modelId="{2E7D74C7-F382-4BEE-A42E-CB5CE7AABC2C}" type="parTrans" cxnId="{D14FF3D1-CE5A-4F6E-BED7-15009C45CF0C}">
      <dgm:prSet/>
      <dgm:spPr/>
      <dgm:t>
        <a:bodyPr/>
        <a:lstStyle/>
        <a:p>
          <a:endParaRPr lang="cs-CZ"/>
        </a:p>
      </dgm:t>
    </dgm:pt>
    <dgm:pt modelId="{898BF990-F44E-4456-9BA7-54EC7AF92B3C}" type="sibTrans" cxnId="{D14FF3D1-CE5A-4F6E-BED7-15009C45CF0C}">
      <dgm:prSet/>
      <dgm:spPr/>
      <dgm:t>
        <a:bodyPr/>
        <a:lstStyle/>
        <a:p>
          <a:endParaRPr lang="cs-CZ"/>
        </a:p>
      </dgm:t>
    </dgm:pt>
    <dgm:pt modelId="{1C118B55-654F-4385-87C8-C3B157ED6FBA}">
      <dgm:prSet phldrT="[Text]"/>
      <dgm:spPr/>
      <dgm:t>
        <a:bodyPr/>
        <a:lstStyle/>
        <a:p>
          <a:r>
            <a:rPr lang="cs-CZ" b="1"/>
            <a:t>Italský jazyk 0,04 %</a:t>
          </a:r>
        </a:p>
      </dgm:t>
    </dgm:pt>
    <dgm:pt modelId="{A7AFCCC3-CB0C-4308-9817-9F446F071632}" type="parTrans" cxnId="{806F4368-72E7-409E-8737-B6648E0BFFA2}">
      <dgm:prSet/>
      <dgm:spPr/>
      <dgm:t>
        <a:bodyPr/>
        <a:lstStyle/>
        <a:p>
          <a:endParaRPr lang="cs-CZ"/>
        </a:p>
      </dgm:t>
    </dgm:pt>
    <dgm:pt modelId="{9B9C759B-AE5C-41F0-AEC5-AE4FDDFE7E5A}" type="sibTrans" cxnId="{806F4368-72E7-409E-8737-B6648E0BFFA2}">
      <dgm:prSet/>
      <dgm:spPr/>
      <dgm:t>
        <a:bodyPr/>
        <a:lstStyle/>
        <a:p>
          <a:endParaRPr lang="cs-CZ"/>
        </a:p>
      </dgm:t>
    </dgm:pt>
    <dgm:pt modelId="{AEA5FAC0-1326-478F-A823-798FFED7DF86}" type="pres">
      <dgm:prSet presAssocID="{08697484-10D5-40C1-99C7-FB46071C19D5}" presName="Name0" presStyleCnt="0">
        <dgm:presLayoutVars>
          <dgm:chPref val="1"/>
          <dgm:dir/>
          <dgm:animOne val="branch"/>
          <dgm:animLvl val="lvl"/>
          <dgm:resizeHandles/>
        </dgm:presLayoutVars>
      </dgm:prSet>
      <dgm:spPr/>
      <dgm:t>
        <a:bodyPr/>
        <a:lstStyle/>
        <a:p>
          <a:endParaRPr lang="cs-CZ"/>
        </a:p>
      </dgm:t>
    </dgm:pt>
    <dgm:pt modelId="{BAEACB0C-E238-45A9-B668-11E4C83C26B8}" type="pres">
      <dgm:prSet presAssocID="{D1FCC6C8-5A26-4116-A3C0-43746DDE7ACB}" presName="vertOne" presStyleCnt="0"/>
      <dgm:spPr/>
    </dgm:pt>
    <dgm:pt modelId="{81E6D22F-0404-42C8-98C7-BD863A5D0BA0}" type="pres">
      <dgm:prSet presAssocID="{D1FCC6C8-5A26-4116-A3C0-43746DDE7ACB}" presName="txOne" presStyleLbl="node0" presStyleIdx="0" presStyleCnt="1">
        <dgm:presLayoutVars>
          <dgm:chPref val="3"/>
        </dgm:presLayoutVars>
      </dgm:prSet>
      <dgm:spPr/>
      <dgm:t>
        <a:bodyPr/>
        <a:lstStyle/>
        <a:p>
          <a:endParaRPr lang="cs-CZ"/>
        </a:p>
      </dgm:t>
    </dgm:pt>
    <dgm:pt modelId="{9715E76C-02DF-42EC-B919-669B4FFFAC52}" type="pres">
      <dgm:prSet presAssocID="{D1FCC6C8-5A26-4116-A3C0-43746DDE7ACB}" presName="parTransOne" presStyleCnt="0"/>
      <dgm:spPr/>
    </dgm:pt>
    <dgm:pt modelId="{A93C0B30-20AB-4CF9-9AA5-8A65CBCD1C3C}" type="pres">
      <dgm:prSet presAssocID="{D1FCC6C8-5A26-4116-A3C0-43746DDE7ACB}" presName="horzOne" presStyleCnt="0"/>
      <dgm:spPr/>
    </dgm:pt>
    <dgm:pt modelId="{EF0A7652-B156-4A41-BABF-13FAD6C9E7D1}" type="pres">
      <dgm:prSet presAssocID="{4B932871-E663-4840-AC33-0A7B8C6512A7}" presName="vertTwo" presStyleCnt="0"/>
      <dgm:spPr/>
    </dgm:pt>
    <dgm:pt modelId="{AC44E078-C564-4640-B935-E527D3DA08F0}" type="pres">
      <dgm:prSet presAssocID="{4B932871-E663-4840-AC33-0A7B8C6512A7}" presName="txTwo" presStyleLbl="node2" presStyleIdx="0" presStyleCnt="2" custLinFactNeighborX="-1566">
        <dgm:presLayoutVars>
          <dgm:chPref val="3"/>
        </dgm:presLayoutVars>
      </dgm:prSet>
      <dgm:spPr/>
      <dgm:t>
        <a:bodyPr/>
        <a:lstStyle/>
        <a:p>
          <a:endParaRPr lang="cs-CZ"/>
        </a:p>
      </dgm:t>
    </dgm:pt>
    <dgm:pt modelId="{1630A57D-96F8-4E0A-BF89-066A84544C98}" type="pres">
      <dgm:prSet presAssocID="{4B932871-E663-4840-AC33-0A7B8C6512A7}" presName="parTransTwo" presStyleCnt="0"/>
      <dgm:spPr/>
    </dgm:pt>
    <dgm:pt modelId="{98F16E94-31FE-471F-9581-344CDC0DE36B}" type="pres">
      <dgm:prSet presAssocID="{4B932871-E663-4840-AC33-0A7B8C6512A7}" presName="horzTwo" presStyleCnt="0"/>
      <dgm:spPr/>
    </dgm:pt>
    <dgm:pt modelId="{E689D59C-62F4-4785-9F15-F1F33AB51818}" type="pres">
      <dgm:prSet presAssocID="{B26139D7-BCBA-47C9-AAD5-F25AAB903B2D}" presName="vertThree" presStyleCnt="0"/>
      <dgm:spPr/>
    </dgm:pt>
    <dgm:pt modelId="{44307085-A875-454F-B612-E4E48999FFCB}" type="pres">
      <dgm:prSet presAssocID="{B26139D7-BCBA-47C9-AAD5-F25AAB903B2D}" presName="txThree" presStyleLbl="node3" presStyleIdx="0" presStyleCnt="3">
        <dgm:presLayoutVars>
          <dgm:chPref val="3"/>
        </dgm:presLayoutVars>
      </dgm:prSet>
      <dgm:spPr/>
      <dgm:t>
        <a:bodyPr/>
        <a:lstStyle/>
        <a:p>
          <a:endParaRPr lang="cs-CZ"/>
        </a:p>
      </dgm:t>
    </dgm:pt>
    <dgm:pt modelId="{CE78B86D-2C48-4872-B227-811E69A6FB4D}" type="pres">
      <dgm:prSet presAssocID="{B26139D7-BCBA-47C9-AAD5-F25AAB903B2D}" presName="horzThree" presStyleCnt="0"/>
      <dgm:spPr/>
    </dgm:pt>
    <dgm:pt modelId="{BCBE4EA3-9BAC-428B-A743-28B40D2976E2}" type="pres">
      <dgm:prSet presAssocID="{4D7133F3-BA91-4D44-8D2B-C9660FD7C809}" presName="sibSpaceThree" presStyleCnt="0"/>
      <dgm:spPr/>
    </dgm:pt>
    <dgm:pt modelId="{C91262B2-2651-4E8F-B80D-62F26698125B}" type="pres">
      <dgm:prSet presAssocID="{9A3B001A-2B7E-44BE-A597-4DE3A5CE8CE1}" presName="vertThree" presStyleCnt="0"/>
      <dgm:spPr/>
    </dgm:pt>
    <dgm:pt modelId="{EB602B53-12CF-4E6D-A910-0D7E23F4554D}" type="pres">
      <dgm:prSet presAssocID="{9A3B001A-2B7E-44BE-A597-4DE3A5CE8CE1}" presName="txThree" presStyleLbl="node3" presStyleIdx="1" presStyleCnt="3">
        <dgm:presLayoutVars>
          <dgm:chPref val="3"/>
        </dgm:presLayoutVars>
      </dgm:prSet>
      <dgm:spPr/>
      <dgm:t>
        <a:bodyPr/>
        <a:lstStyle/>
        <a:p>
          <a:endParaRPr lang="cs-CZ"/>
        </a:p>
      </dgm:t>
    </dgm:pt>
    <dgm:pt modelId="{EE9225A8-6460-4F7D-97DE-D6787365E636}" type="pres">
      <dgm:prSet presAssocID="{9A3B001A-2B7E-44BE-A597-4DE3A5CE8CE1}" presName="horzThree" presStyleCnt="0"/>
      <dgm:spPr/>
    </dgm:pt>
    <dgm:pt modelId="{1840AF25-09B5-475F-B444-60E546A75277}" type="pres">
      <dgm:prSet presAssocID="{FAB2BF7B-8AB8-45DE-AD72-84DBE09EA70B}" presName="sibSpaceTwo" presStyleCnt="0"/>
      <dgm:spPr/>
    </dgm:pt>
    <dgm:pt modelId="{A83D4565-9CAC-42EB-A45F-8EC121929664}" type="pres">
      <dgm:prSet presAssocID="{147FAE3D-CD05-40F2-B61B-1310D4931A08}" presName="vertTwo" presStyleCnt="0"/>
      <dgm:spPr/>
    </dgm:pt>
    <dgm:pt modelId="{28779A61-1645-4DB5-9FD0-1DF29F999A9E}" type="pres">
      <dgm:prSet presAssocID="{147FAE3D-CD05-40F2-B61B-1310D4931A08}" presName="txTwo" presStyleLbl="node2" presStyleIdx="1" presStyleCnt="2">
        <dgm:presLayoutVars>
          <dgm:chPref val="3"/>
        </dgm:presLayoutVars>
      </dgm:prSet>
      <dgm:spPr/>
      <dgm:t>
        <a:bodyPr/>
        <a:lstStyle/>
        <a:p>
          <a:endParaRPr lang="cs-CZ"/>
        </a:p>
      </dgm:t>
    </dgm:pt>
    <dgm:pt modelId="{BAB0980F-3520-49EC-A430-65786046B059}" type="pres">
      <dgm:prSet presAssocID="{147FAE3D-CD05-40F2-B61B-1310D4931A08}" presName="parTransTwo" presStyleCnt="0"/>
      <dgm:spPr/>
    </dgm:pt>
    <dgm:pt modelId="{06FDE2CE-0882-4455-BAAE-FF7C1EDFD334}" type="pres">
      <dgm:prSet presAssocID="{147FAE3D-CD05-40F2-B61B-1310D4931A08}" presName="horzTwo" presStyleCnt="0"/>
      <dgm:spPr/>
    </dgm:pt>
    <dgm:pt modelId="{DD3436FD-3E90-4100-BD99-61A7EF7FF721}" type="pres">
      <dgm:prSet presAssocID="{1C118B55-654F-4385-87C8-C3B157ED6FBA}" presName="vertThree" presStyleCnt="0"/>
      <dgm:spPr/>
    </dgm:pt>
    <dgm:pt modelId="{1B8AC3CC-4772-4644-AEBE-F71E8E4A5C25}" type="pres">
      <dgm:prSet presAssocID="{1C118B55-654F-4385-87C8-C3B157ED6FBA}" presName="txThree" presStyleLbl="node3" presStyleIdx="2" presStyleCnt="3">
        <dgm:presLayoutVars>
          <dgm:chPref val="3"/>
        </dgm:presLayoutVars>
      </dgm:prSet>
      <dgm:spPr/>
      <dgm:t>
        <a:bodyPr/>
        <a:lstStyle/>
        <a:p>
          <a:endParaRPr lang="cs-CZ"/>
        </a:p>
      </dgm:t>
    </dgm:pt>
    <dgm:pt modelId="{90204590-9DB4-4D21-8A59-B82615C04D19}" type="pres">
      <dgm:prSet presAssocID="{1C118B55-654F-4385-87C8-C3B157ED6FBA}" presName="horzThree" presStyleCnt="0"/>
      <dgm:spPr/>
    </dgm:pt>
  </dgm:ptLst>
  <dgm:cxnLst>
    <dgm:cxn modelId="{915CA4AF-8ECD-4EED-8C68-F32E20B8D057}" type="presOf" srcId="{147FAE3D-CD05-40F2-B61B-1310D4931A08}" destId="{28779A61-1645-4DB5-9FD0-1DF29F999A9E}" srcOrd="0" destOrd="0" presId="urn:microsoft.com/office/officeart/2005/8/layout/hierarchy4"/>
    <dgm:cxn modelId="{D14FF3D1-CE5A-4F6E-BED7-15009C45CF0C}" srcId="{D1FCC6C8-5A26-4116-A3C0-43746DDE7ACB}" destId="{147FAE3D-CD05-40F2-B61B-1310D4931A08}" srcOrd="1" destOrd="0" parTransId="{2E7D74C7-F382-4BEE-A42E-CB5CE7AABC2C}" sibTransId="{898BF990-F44E-4456-9BA7-54EC7AF92B3C}"/>
    <dgm:cxn modelId="{8DAE73C0-9579-4AA3-9F8F-2F5255EAEEAF}" srcId="{08697484-10D5-40C1-99C7-FB46071C19D5}" destId="{D1FCC6C8-5A26-4116-A3C0-43746DDE7ACB}" srcOrd="0" destOrd="0" parTransId="{D2AF5277-C471-4EC0-B933-FB718B52E675}" sibTransId="{9B724969-C571-4BC7-A338-CDAEE3327C43}"/>
    <dgm:cxn modelId="{FC8CCA3E-6883-4E6C-9F49-492B4F1FC585}" type="presOf" srcId="{9A3B001A-2B7E-44BE-A597-4DE3A5CE8CE1}" destId="{EB602B53-12CF-4E6D-A910-0D7E23F4554D}" srcOrd="0" destOrd="0" presId="urn:microsoft.com/office/officeart/2005/8/layout/hierarchy4"/>
    <dgm:cxn modelId="{C1513AE4-89E3-4A0C-ACED-8B3427DC8F03}" type="presOf" srcId="{B26139D7-BCBA-47C9-AAD5-F25AAB903B2D}" destId="{44307085-A875-454F-B612-E4E48999FFCB}" srcOrd="0" destOrd="0" presId="urn:microsoft.com/office/officeart/2005/8/layout/hierarchy4"/>
    <dgm:cxn modelId="{E765EFD6-92DB-409F-90A8-3A658BB5C188}" type="presOf" srcId="{08697484-10D5-40C1-99C7-FB46071C19D5}" destId="{AEA5FAC0-1326-478F-A823-798FFED7DF86}" srcOrd="0" destOrd="0" presId="urn:microsoft.com/office/officeart/2005/8/layout/hierarchy4"/>
    <dgm:cxn modelId="{A9495D8E-D028-47F9-962A-C44EF56D3CBD}" srcId="{4B932871-E663-4840-AC33-0A7B8C6512A7}" destId="{9A3B001A-2B7E-44BE-A597-4DE3A5CE8CE1}" srcOrd="1" destOrd="0" parTransId="{E3064A83-4B16-4D91-A741-0F6D452E2D0A}" sibTransId="{3D9DFA44-489E-4B90-8668-DA5AAF1C321E}"/>
    <dgm:cxn modelId="{E9850F2D-00C7-48BF-911B-2E8D15921779}" type="presOf" srcId="{4B932871-E663-4840-AC33-0A7B8C6512A7}" destId="{AC44E078-C564-4640-B935-E527D3DA08F0}" srcOrd="0" destOrd="0" presId="urn:microsoft.com/office/officeart/2005/8/layout/hierarchy4"/>
    <dgm:cxn modelId="{F4DE2D62-D6A6-4538-A66F-37E8B8153CAC}" srcId="{D1FCC6C8-5A26-4116-A3C0-43746DDE7ACB}" destId="{4B932871-E663-4840-AC33-0A7B8C6512A7}" srcOrd="0" destOrd="0" parTransId="{FB23DA7F-9E22-4B38-93C9-64DB6D4811D9}" sibTransId="{FAB2BF7B-8AB8-45DE-AD72-84DBE09EA70B}"/>
    <dgm:cxn modelId="{294B8AC3-4213-4CB0-95C1-696B62C5BE2F}" type="presOf" srcId="{1C118B55-654F-4385-87C8-C3B157ED6FBA}" destId="{1B8AC3CC-4772-4644-AEBE-F71E8E4A5C25}" srcOrd="0" destOrd="0" presId="urn:microsoft.com/office/officeart/2005/8/layout/hierarchy4"/>
    <dgm:cxn modelId="{9163F26E-20F7-432D-A4E0-18095D8F73DE}" type="presOf" srcId="{D1FCC6C8-5A26-4116-A3C0-43746DDE7ACB}" destId="{81E6D22F-0404-42C8-98C7-BD863A5D0BA0}" srcOrd="0" destOrd="0" presId="urn:microsoft.com/office/officeart/2005/8/layout/hierarchy4"/>
    <dgm:cxn modelId="{806F4368-72E7-409E-8737-B6648E0BFFA2}" srcId="{147FAE3D-CD05-40F2-B61B-1310D4931A08}" destId="{1C118B55-654F-4385-87C8-C3B157ED6FBA}" srcOrd="0" destOrd="0" parTransId="{A7AFCCC3-CB0C-4308-9817-9F446F071632}" sibTransId="{9B9C759B-AE5C-41F0-AEC5-AE4FDDFE7E5A}"/>
    <dgm:cxn modelId="{75F0B6CE-5734-4DDC-BAAD-F589D1E6BFBA}" srcId="{4B932871-E663-4840-AC33-0A7B8C6512A7}" destId="{B26139D7-BCBA-47C9-AAD5-F25AAB903B2D}" srcOrd="0" destOrd="0" parTransId="{5DF861A9-FB7F-4DAC-B5BB-D78BC2D78D02}" sibTransId="{4D7133F3-BA91-4D44-8D2B-C9660FD7C809}"/>
    <dgm:cxn modelId="{18986573-680B-42BE-A59B-475D77B5AB48}" type="presParOf" srcId="{AEA5FAC0-1326-478F-A823-798FFED7DF86}" destId="{BAEACB0C-E238-45A9-B668-11E4C83C26B8}" srcOrd="0" destOrd="0" presId="urn:microsoft.com/office/officeart/2005/8/layout/hierarchy4"/>
    <dgm:cxn modelId="{D0CBD62E-19A3-4B35-ADE9-1FDC34326A2E}" type="presParOf" srcId="{BAEACB0C-E238-45A9-B668-11E4C83C26B8}" destId="{81E6D22F-0404-42C8-98C7-BD863A5D0BA0}" srcOrd="0" destOrd="0" presId="urn:microsoft.com/office/officeart/2005/8/layout/hierarchy4"/>
    <dgm:cxn modelId="{DF477023-6C3E-4C51-9223-831AD2F9CF3B}" type="presParOf" srcId="{BAEACB0C-E238-45A9-B668-11E4C83C26B8}" destId="{9715E76C-02DF-42EC-B919-669B4FFFAC52}" srcOrd="1" destOrd="0" presId="urn:microsoft.com/office/officeart/2005/8/layout/hierarchy4"/>
    <dgm:cxn modelId="{7BA2C63F-74DE-4B43-84B0-D66147B43C78}" type="presParOf" srcId="{BAEACB0C-E238-45A9-B668-11E4C83C26B8}" destId="{A93C0B30-20AB-4CF9-9AA5-8A65CBCD1C3C}" srcOrd="2" destOrd="0" presId="urn:microsoft.com/office/officeart/2005/8/layout/hierarchy4"/>
    <dgm:cxn modelId="{4AAB04B8-D916-445F-BD06-EDBC38ADFAAE}" type="presParOf" srcId="{A93C0B30-20AB-4CF9-9AA5-8A65CBCD1C3C}" destId="{EF0A7652-B156-4A41-BABF-13FAD6C9E7D1}" srcOrd="0" destOrd="0" presId="urn:microsoft.com/office/officeart/2005/8/layout/hierarchy4"/>
    <dgm:cxn modelId="{244B0948-6B25-4EB5-B008-64BE2709E328}" type="presParOf" srcId="{EF0A7652-B156-4A41-BABF-13FAD6C9E7D1}" destId="{AC44E078-C564-4640-B935-E527D3DA08F0}" srcOrd="0" destOrd="0" presId="urn:microsoft.com/office/officeart/2005/8/layout/hierarchy4"/>
    <dgm:cxn modelId="{9ED87A86-B276-4D24-8E42-FD942DFE0929}" type="presParOf" srcId="{EF0A7652-B156-4A41-BABF-13FAD6C9E7D1}" destId="{1630A57D-96F8-4E0A-BF89-066A84544C98}" srcOrd="1" destOrd="0" presId="urn:microsoft.com/office/officeart/2005/8/layout/hierarchy4"/>
    <dgm:cxn modelId="{E2129245-62AA-48FF-8596-63439ACB884B}" type="presParOf" srcId="{EF0A7652-B156-4A41-BABF-13FAD6C9E7D1}" destId="{98F16E94-31FE-471F-9581-344CDC0DE36B}" srcOrd="2" destOrd="0" presId="urn:microsoft.com/office/officeart/2005/8/layout/hierarchy4"/>
    <dgm:cxn modelId="{0E6D86C2-5F5A-4712-9C8B-EA2019AC426F}" type="presParOf" srcId="{98F16E94-31FE-471F-9581-344CDC0DE36B}" destId="{E689D59C-62F4-4785-9F15-F1F33AB51818}" srcOrd="0" destOrd="0" presId="urn:microsoft.com/office/officeart/2005/8/layout/hierarchy4"/>
    <dgm:cxn modelId="{9DD9C192-427D-498D-8451-D40E0944892C}" type="presParOf" srcId="{E689D59C-62F4-4785-9F15-F1F33AB51818}" destId="{44307085-A875-454F-B612-E4E48999FFCB}" srcOrd="0" destOrd="0" presId="urn:microsoft.com/office/officeart/2005/8/layout/hierarchy4"/>
    <dgm:cxn modelId="{1714399B-C068-451D-9808-3652F08FB6AF}" type="presParOf" srcId="{E689D59C-62F4-4785-9F15-F1F33AB51818}" destId="{CE78B86D-2C48-4872-B227-811E69A6FB4D}" srcOrd="1" destOrd="0" presId="urn:microsoft.com/office/officeart/2005/8/layout/hierarchy4"/>
    <dgm:cxn modelId="{7AD7296F-6002-4121-9C81-21E28E43A353}" type="presParOf" srcId="{98F16E94-31FE-471F-9581-344CDC0DE36B}" destId="{BCBE4EA3-9BAC-428B-A743-28B40D2976E2}" srcOrd="1" destOrd="0" presId="urn:microsoft.com/office/officeart/2005/8/layout/hierarchy4"/>
    <dgm:cxn modelId="{BD359322-722B-44F7-9C76-9911E91C0550}" type="presParOf" srcId="{98F16E94-31FE-471F-9581-344CDC0DE36B}" destId="{C91262B2-2651-4E8F-B80D-62F26698125B}" srcOrd="2" destOrd="0" presId="urn:microsoft.com/office/officeart/2005/8/layout/hierarchy4"/>
    <dgm:cxn modelId="{4616FBA5-A191-41A5-96C6-8C4DBC4FA922}" type="presParOf" srcId="{C91262B2-2651-4E8F-B80D-62F26698125B}" destId="{EB602B53-12CF-4E6D-A910-0D7E23F4554D}" srcOrd="0" destOrd="0" presId="urn:microsoft.com/office/officeart/2005/8/layout/hierarchy4"/>
    <dgm:cxn modelId="{537C9EF8-6820-4B2B-B3C8-3AAC39A33531}" type="presParOf" srcId="{C91262B2-2651-4E8F-B80D-62F26698125B}" destId="{EE9225A8-6460-4F7D-97DE-D6787365E636}" srcOrd="1" destOrd="0" presId="urn:microsoft.com/office/officeart/2005/8/layout/hierarchy4"/>
    <dgm:cxn modelId="{05AC641D-59A0-463D-AA4F-3F1AE49617BA}" type="presParOf" srcId="{A93C0B30-20AB-4CF9-9AA5-8A65CBCD1C3C}" destId="{1840AF25-09B5-475F-B444-60E546A75277}" srcOrd="1" destOrd="0" presId="urn:microsoft.com/office/officeart/2005/8/layout/hierarchy4"/>
    <dgm:cxn modelId="{FE934268-9815-413A-AF8A-E1F0ACC725E8}" type="presParOf" srcId="{A93C0B30-20AB-4CF9-9AA5-8A65CBCD1C3C}" destId="{A83D4565-9CAC-42EB-A45F-8EC121929664}" srcOrd="2" destOrd="0" presId="urn:microsoft.com/office/officeart/2005/8/layout/hierarchy4"/>
    <dgm:cxn modelId="{6735B972-1DE6-47A7-878B-F83C26FC0B2C}" type="presParOf" srcId="{A83D4565-9CAC-42EB-A45F-8EC121929664}" destId="{28779A61-1645-4DB5-9FD0-1DF29F999A9E}" srcOrd="0" destOrd="0" presId="urn:microsoft.com/office/officeart/2005/8/layout/hierarchy4"/>
    <dgm:cxn modelId="{606C7F92-1380-4772-AA13-645D421DC01E}" type="presParOf" srcId="{A83D4565-9CAC-42EB-A45F-8EC121929664}" destId="{BAB0980F-3520-49EC-A430-65786046B059}" srcOrd="1" destOrd="0" presId="urn:microsoft.com/office/officeart/2005/8/layout/hierarchy4"/>
    <dgm:cxn modelId="{F0A2A854-CBD8-4ACF-B98F-7DA18AE7D967}" type="presParOf" srcId="{A83D4565-9CAC-42EB-A45F-8EC121929664}" destId="{06FDE2CE-0882-4455-BAAE-FF7C1EDFD334}" srcOrd="2" destOrd="0" presId="urn:microsoft.com/office/officeart/2005/8/layout/hierarchy4"/>
    <dgm:cxn modelId="{AC2D4CE8-01D9-4949-B1F7-98443448FFEA}" type="presParOf" srcId="{06FDE2CE-0882-4455-BAAE-FF7C1EDFD334}" destId="{DD3436FD-3E90-4100-BD99-61A7EF7FF721}" srcOrd="0" destOrd="0" presId="urn:microsoft.com/office/officeart/2005/8/layout/hierarchy4"/>
    <dgm:cxn modelId="{69FB02C0-B62C-45A0-A9E7-F568EE7B8E50}" type="presParOf" srcId="{DD3436FD-3E90-4100-BD99-61A7EF7FF721}" destId="{1B8AC3CC-4772-4644-AEBE-F71E8E4A5C25}" srcOrd="0" destOrd="0" presId="urn:microsoft.com/office/officeart/2005/8/layout/hierarchy4"/>
    <dgm:cxn modelId="{6D863C6F-BA95-4A32-965D-9915F325A975}" type="presParOf" srcId="{DD3436FD-3E90-4100-BD99-61A7EF7FF721}" destId="{90204590-9DB4-4D21-8A59-B82615C04D19}" srcOrd="1" destOrd="0" presId="urn:microsoft.com/office/officeart/2005/8/layout/hierarchy4"/>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73412C3-8A66-4945-81D4-A384B20791D3}" type="doc">
      <dgm:prSet loTypeId="urn:microsoft.com/office/officeart/2005/8/layout/vList5" loCatId="list" qsTypeId="urn:microsoft.com/office/officeart/2005/8/quickstyle/simple1" qsCatId="simple" csTypeId="urn:microsoft.com/office/officeart/2005/8/colors/accent2_2" csCatId="accent2" phldr="1"/>
      <dgm:spPr/>
      <dgm:t>
        <a:bodyPr/>
        <a:lstStyle/>
        <a:p>
          <a:endParaRPr lang="cs-CZ"/>
        </a:p>
      </dgm:t>
    </dgm:pt>
    <dgm:pt modelId="{4E6B12A1-01DF-4938-B055-34BA1F954236}">
      <dgm:prSet phldrT="[Text]"/>
      <dgm:spPr/>
      <dgm:t>
        <a:bodyPr/>
        <a:lstStyle/>
        <a:p>
          <a:r>
            <a:rPr lang="cs-CZ" b="1">
              <a:latin typeface="Arial" pitchFamily="34" charset="0"/>
              <a:cs typeface="Arial" pitchFamily="34" charset="0"/>
            </a:rPr>
            <a:t>Střední odborné vzdělání s výučním listem</a:t>
          </a:r>
          <a:endParaRPr lang="cs-CZ"/>
        </a:p>
      </dgm:t>
    </dgm:pt>
    <dgm:pt modelId="{A2AA3249-7E67-4EEF-B2B9-156057F9B3FB}" type="parTrans" cxnId="{59E97ED6-4928-4F6D-A7FA-8FFB70AE019B}">
      <dgm:prSet/>
      <dgm:spPr/>
      <dgm:t>
        <a:bodyPr/>
        <a:lstStyle/>
        <a:p>
          <a:endParaRPr lang="cs-CZ"/>
        </a:p>
      </dgm:t>
    </dgm:pt>
    <dgm:pt modelId="{12699BE2-0CC2-4AC7-B473-8E40BCBBE508}" type="sibTrans" cxnId="{59E97ED6-4928-4F6D-A7FA-8FFB70AE019B}">
      <dgm:prSet/>
      <dgm:spPr/>
      <dgm:t>
        <a:bodyPr/>
        <a:lstStyle/>
        <a:p>
          <a:endParaRPr lang="cs-CZ"/>
        </a:p>
      </dgm:t>
    </dgm:pt>
    <dgm:pt modelId="{432348EE-91CB-4746-AB92-2AFFBC7A14A6}">
      <dgm:prSet phldrT="[Text]" custT="1"/>
      <dgm:spPr/>
      <dgm:t>
        <a:bodyPr/>
        <a:lstStyle/>
        <a:p>
          <a:r>
            <a:rPr lang="cs-CZ" sz="900">
              <a:latin typeface="Arial" pitchFamily="34" charset="0"/>
              <a:cs typeface="Arial" pitchFamily="34" charset="0"/>
            </a:rPr>
            <a:t> Jedná se o profesní přípravu v tradičních učebních oborech středních odborných učilišť. Absolventi získají výuční list a mohou pokračovat v nástavbovém studiu k získání maturity. </a:t>
          </a:r>
          <a:endParaRPr lang="cs-CZ" sz="900"/>
        </a:p>
      </dgm:t>
    </dgm:pt>
    <dgm:pt modelId="{386C3636-630B-4972-89A3-81300266EC23}" type="parTrans" cxnId="{01C39642-B0F1-40D3-B91B-44CAFA9762A1}">
      <dgm:prSet/>
      <dgm:spPr/>
      <dgm:t>
        <a:bodyPr/>
        <a:lstStyle/>
        <a:p>
          <a:endParaRPr lang="cs-CZ"/>
        </a:p>
      </dgm:t>
    </dgm:pt>
    <dgm:pt modelId="{3BB27444-680F-4D26-9636-8DFC7288AAA6}" type="sibTrans" cxnId="{01C39642-B0F1-40D3-B91B-44CAFA9762A1}">
      <dgm:prSet/>
      <dgm:spPr/>
      <dgm:t>
        <a:bodyPr/>
        <a:lstStyle/>
        <a:p>
          <a:endParaRPr lang="cs-CZ"/>
        </a:p>
      </dgm:t>
    </dgm:pt>
    <dgm:pt modelId="{AFCC0EF4-78E7-4DA7-84B3-80842B4B9AAB}">
      <dgm:prSet phldrT="[Text]"/>
      <dgm:spPr/>
      <dgm:t>
        <a:bodyPr/>
        <a:lstStyle/>
        <a:p>
          <a:r>
            <a:rPr lang="cs-CZ" b="1">
              <a:latin typeface="Arial" pitchFamily="34" charset="0"/>
              <a:cs typeface="Arial" pitchFamily="34" charset="0"/>
            </a:rPr>
            <a:t>Střední odborné vzdělání s maturitou</a:t>
          </a:r>
          <a:endParaRPr lang="cs-CZ"/>
        </a:p>
      </dgm:t>
    </dgm:pt>
    <dgm:pt modelId="{7ECBCCC5-7DD3-428D-A578-840D39EC0BB7}" type="parTrans" cxnId="{678BF2BE-47DE-4FFB-AD65-A443245DEF8E}">
      <dgm:prSet/>
      <dgm:spPr/>
      <dgm:t>
        <a:bodyPr/>
        <a:lstStyle/>
        <a:p>
          <a:endParaRPr lang="cs-CZ"/>
        </a:p>
      </dgm:t>
    </dgm:pt>
    <dgm:pt modelId="{FF27B102-97B3-4FBB-B2B5-3DAEDFD211C1}" type="sibTrans" cxnId="{678BF2BE-47DE-4FFB-AD65-A443245DEF8E}">
      <dgm:prSet/>
      <dgm:spPr/>
      <dgm:t>
        <a:bodyPr/>
        <a:lstStyle/>
        <a:p>
          <a:endParaRPr lang="cs-CZ"/>
        </a:p>
      </dgm:t>
    </dgm:pt>
    <dgm:pt modelId="{48391E27-D354-43FC-B6E9-D27AFA968D73}">
      <dgm:prSet phldrT="[Text]" custT="1"/>
      <dgm:spPr/>
      <dgm:t>
        <a:bodyPr/>
        <a:lstStyle/>
        <a:p>
          <a:r>
            <a:rPr lang="cs-CZ" sz="900">
              <a:latin typeface="Arial" pitchFamily="34" charset="0"/>
              <a:cs typeface="Arial" pitchFamily="34" charset="0"/>
            </a:rPr>
            <a:t> Jedná se o vzdělávání s profesním charakterem, které připravuje žáky pro střední odborné činnosti a nižší řídicí funkce. Absolventi získají maturitní vysvědčení a mohou pokračovat ve vysokoškolském nebo vyšším odborném vzdělávání. </a:t>
          </a:r>
          <a:endParaRPr lang="cs-CZ" sz="900"/>
        </a:p>
      </dgm:t>
    </dgm:pt>
    <dgm:pt modelId="{AC65CF88-8972-4A24-BEE6-2B6E1C364318}" type="parTrans" cxnId="{D919630D-CBE0-4303-9388-9B2AE8412450}">
      <dgm:prSet/>
      <dgm:spPr/>
      <dgm:t>
        <a:bodyPr/>
        <a:lstStyle/>
        <a:p>
          <a:endParaRPr lang="cs-CZ"/>
        </a:p>
      </dgm:t>
    </dgm:pt>
    <dgm:pt modelId="{A90B61C4-F649-4503-8491-CD7A41F1D665}" type="sibTrans" cxnId="{D919630D-CBE0-4303-9388-9B2AE8412450}">
      <dgm:prSet/>
      <dgm:spPr/>
      <dgm:t>
        <a:bodyPr/>
        <a:lstStyle/>
        <a:p>
          <a:endParaRPr lang="cs-CZ"/>
        </a:p>
      </dgm:t>
    </dgm:pt>
    <dgm:pt modelId="{ACEA59BB-C758-4770-AB77-8B96E8BE6AAD}">
      <dgm:prSet phldrT="[Text]"/>
      <dgm:spPr/>
      <dgm:t>
        <a:bodyPr/>
        <a:lstStyle/>
        <a:p>
          <a:r>
            <a:rPr lang="cs-CZ" b="1">
              <a:latin typeface="Arial" pitchFamily="34" charset="0"/>
              <a:cs typeface="Arial" pitchFamily="34" charset="0"/>
            </a:rPr>
            <a:t>Střední všeobecné vzdělání</a:t>
          </a:r>
          <a:endParaRPr lang="cs-CZ"/>
        </a:p>
      </dgm:t>
    </dgm:pt>
    <dgm:pt modelId="{93E411EF-D12D-4CA6-BC45-68BF54D3490F}" type="parTrans" cxnId="{F4190E68-5496-4FCB-A5C0-E2631FB63526}">
      <dgm:prSet/>
      <dgm:spPr/>
      <dgm:t>
        <a:bodyPr/>
        <a:lstStyle/>
        <a:p>
          <a:endParaRPr lang="cs-CZ"/>
        </a:p>
      </dgm:t>
    </dgm:pt>
    <dgm:pt modelId="{5604D493-9B28-475F-8976-6E10FEA02A34}" type="sibTrans" cxnId="{F4190E68-5496-4FCB-A5C0-E2631FB63526}">
      <dgm:prSet/>
      <dgm:spPr/>
      <dgm:t>
        <a:bodyPr/>
        <a:lstStyle/>
        <a:p>
          <a:endParaRPr lang="cs-CZ"/>
        </a:p>
      </dgm:t>
    </dgm:pt>
    <dgm:pt modelId="{1894C531-4C57-4740-92B4-3ECE6E95AB78}">
      <dgm:prSet phldrT="[Text]" custT="1"/>
      <dgm:spPr/>
      <dgm:t>
        <a:bodyPr/>
        <a:lstStyle/>
        <a:p>
          <a:r>
            <a:rPr lang="cs-CZ" sz="900">
              <a:latin typeface="Arial" pitchFamily="34" charset="0"/>
              <a:cs typeface="Arial" pitchFamily="34" charset="0"/>
            </a:rPr>
            <a:t> Příprava má všeobecný neprofesní charakter. Absolventi získají maturitu a jsou připraveni pro vysokoškolské nebo vyšší odborné vzdělávání. </a:t>
          </a:r>
          <a:endParaRPr lang="cs-CZ" sz="900"/>
        </a:p>
      </dgm:t>
    </dgm:pt>
    <dgm:pt modelId="{43D71E9A-83B0-4E43-8CFF-19DDC7DC668A}" type="parTrans" cxnId="{17B2EA86-5ED4-4644-95BF-C92D832F3537}">
      <dgm:prSet/>
      <dgm:spPr/>
      <dgm:t>
        <a:bodyPr/>
        <a:lstStyle/>
        <a:p>
          <a:endParaRPr lang="cs-CZ"/>
        </a:p>
      </dgm:t>
    </dgm:pt>
    <dgm:pt modelId="{B4FF3840-4C33-4449-8ED4-A40CC9106E95}" type="sibTrans" cxnId="{17B2EA86-5ED4-4644-95BF-C92D832F3537}">
      <dgm:prSet/>
      <dgm:spPr/>
      <dgm:t>
        <a:bodyPr/>
        <a:lstStyle/>
        <a:p>
          <a:endParaRPr lang="cs-CZ"/>
        </a:p>
      </dgm:t>
    </dgm:pt>
    <dgm:pt modelId="{A12333AB-BAA2-47D3-ACEC-D1F6FB748C98}">
      <dgm:prSet/>
      <dgm:spPr/>
      <dgm:t>
        <a:bodyPr/>
        <a:lstStyle/>
        <a:p>
          <a:r>
            <a:rPr lang="cs-CZ" b="1">
              <a:latin typeface="Arial" pitchFamily="34" charset="0"/>
              <a:cs typeface="Arial" pitchFamily="34" charset="0"/>
            </a:rPr>
            <a:t>Nástavbové</a:t>
          </a:r>
          <a:endParaRPr lang="cs-CZ"/>
        </a:p>
      </dgm:t>
    </dgm:pt>
    <dgm:pt modelId="{32177468-4DF8-4828-9126-50C061198ED5}" type="parTrans" cxnId="{3B5C56AD-E2E3-458D-AC2F-7FC4790B0356}">
      <dgm:prSet/>
      <dgm:spPr/>
      <dgm:t>
        <a:bodyPr/>
        <a:lstStyle/>
        <a:p>
          <a:endParaRPr lang="cs-CZ"/>
        </a:p>
      </dgm:t>
    </dgm:pt>
    <dgm:pt modelId="{8A17A863-C76C-41DF-9361-22DE6D4AECE8}" type="sibTrans" cxnId="{3B5C56AD-E2E3-458D-AC2F-7FC4790B0356}">
      <dgm:prSet/>
      <dgm:spPr/>
      <dgm:t>
        <a:bodyPr/>
        <a:lstStyle/>
        <a:p>
          <a:endParaRPr lang="cs-CZ"/>
        </a:p>
      </dgm:t>
    </dgm:pt>
    <dgm:pt modelId="{8DFAEE8E-5DB2-431B-9828-356E58BC8681}">
      <dgm:prSet custT="1"/>
      <dgm:spPr/>
      <dgm:t>
        <a:bodyPr/>
        <a:lstStyle/>
        <a:p>
          <a:r>
            <a:rPr lang="cs-CZ" sz="900">
              <a:latin typeface="Arial" pitchFamily="34" charset="0"/>
              <a:cs typeface="Arial" pitchFamily="34" charset="0"/>
            </a:rPr>
            <a:t> Jedná o střední vzdělání s maturitní zkouškou, které je určeno výhradně pro vyučené ve tříletých učebních oborech. Návaznost oborů (tj. jaký nástavbový obor navazuje na jaký obor vyučení) přitom stanovuje vládní nařízení. Absolventi získají maturitní vysvědčení a mohou pokračovat ve vysokoškolském nebo vyšším odborném vzdělávání. </a:t>
          </a:r>
          <a:endParaRPr lang="cs-CZ" sz="900"/>
        </a:p>
      </dgm:t>
    </dgm:pt>
    <dgm:pt modelId="{1480B3BB-00D7-446F-B3DB-BFDFC8D80C1B}" type="parTrans" cxnId="{03CA84D9-6CFC-4B58-B2A8-22F3AC309770}">
      <dgm:prSet/>
      <dgm:spPr/>
      <dgm:t>
        <a:bodyPr/>
        <a:lstStyle/>
        <a:p>
          <a:endParaRPr lang="cs-CZ"/>
        </a:p>
      </dgm:t>
    </dgm:pt>
    <dgm:pt modelId="{38E637B3-3BB1-4948-9A2F-D5C9BBBA3A64}" type="sibTrans" cxnId="{03CA84D9-6CFC-4B58-B2A8-22F3AC309770}">
      <dgm:prSet/>
      <dgm:spPr/>
      <dgm:t>
        <a:bodyPr/>
        <a:lstStyle/>
        <a:p>
          <a:endParaRPr lang="cs-CZ"/>
        </a:p>
      </dgm:t>
    </dgm:pt>
    <dgm:pt modelId="{A47987B3-4D90-4B12-9987-79938A31BCB0}">
      <dgm:prSet custT="1"/>
      <dgm:spPr/>
      <dgm:t>
        <a:bodyPr/>
        <a:lstStyle/>
        <a:p>
          <a:r>
            <a:rPr lang="cs-CZ" sz="900">
              <a:latin typeface="Arial" pitchFamily="34" charset="0"/>
              <a:cs typeface="Arial" pitchFamily="34" charset="0"/>
            </a:rPr>
            <a:t> Délka vzdělání je 3 roky.</a:t>
          </a:r>
          <a:endParaRPr lang="cs-CZ" sz="900"/>
        </a:p>
      </dgm:t>
    </dgm:pt>
    <dgm:pt modelId="{C798102C-B82A-45ED-A73B-637127C525A1}" type="parTrans" cxnId="{638E5DE3-15B3-4D99-91EB-AC83A0034758}">
      <dgm:prSet/>
      <dgm:spPr/>
      <dgm:t>
        <a:bodyPr/>
        <a:lstStyle/>
        <a:p>
          <a:endParaRPr lang="cs-CZ"/>
        </a:p>
      </dgm:t>
    </dgm:pt>
    <dgm:pt modelId="{D7A2BFF7-A56D-4B3E-923B-70C2461726F2}" type="sibTrans" cxnId="{638E5DE3-15B3-4D99-91EB-AC83A0034758}">
      <dgm:prSet/>
      <dgm:spPr/>
      <dgm:t>
        <a:bodyPr/>
        <a:lstStyle/>
        <a:p>
          <a:endParaRPr lang="cs-CZ"/>
        </a:p>
      </dgm:t>
    </dgm:pt>
    <dgm:pt modelId="{F3166739-7512-4E1E-A1F8-7B98ADEC7981}">
      <dgm:prSet custT="1"/>
      <dgm:spPr/>
      <dgm:t>
        <a:bodyPr/>
        <a:lstStyle/>
        <a:p>
          <a:r>
            <a:rPr lang="cs-CZ" sz="900">
              <a:latin typeface="Arial" pitchFamily="34" charset="0"/>
              <a:cs typeface="Arial" pitchFamily="34" charset="0"/>
            </a:rPr>
            <a:t> Délka studia je 4 roky.</a:t>
          </a:r>
          <a:endParaRPr lang="cs-CZ" sz="900"/>
        </a:p>
      </dgm:t>
    </dgm:pt>
    <dgm:pt modelId="{6FC95342-279D-4DE1-AAAA-B5D3954B3E4B}" type="parTrans" cxnId="{A7561258-A6E3-4EDC-BC09-0D1C785A025C}">
      <dgm:prSet/>
      <dgm:spPr/>
      <dgm:t>
        <a:bodyPr/>
        <a:lstStyle/>
        <a:p>
          <a:endParaRPr lang="cs-CZ"/>
        </a:p>
      </dgm:t>
    </dgm:pt>
    <dgm:pt modelId="{4B86DE67-0110-4D9F-AE80-C2C9C849065A}" type="sibTrans" cxnId="{A7561258-A6E3-4EDC-BC09-0D1C785A025C}">
      <dgm:prSet/>
      <dgm:spPr/>
      <dgm:t>
        <a:bodyPr/>
        <a:lstStyle/>
        <a:p>
          <a:endParaRPr lang="cs-CZ"/>
        </a:p>
      </dgm:t>
    </dgm:pt>
    <dgm:pt modelId="{A5D34504-EE72-4DF2-B19B-A5BBF432D7D1}">
      <dgm:prSet custT="1"/>
      <dgm:spPr/>
      <dgm:t>
        <a:bodyPr/>
        <a:lstStyle/>
        <a:p>
          <a:r>
            <a:rPr lang="cs-CZ" sz="900">
              <a:latin typeface="Arial" pitchFamily="34" charset="0"/>
              <a:cs typeface="Arial" pitchFamily="34" charset="0"/>
            </a:rPr>
            <a:t> Existují tři varianty studia: 4leté, 6leté a 8leté.</a:t>
          </a:r>
          <a:endParaRPr lang="cs-CZ" sz="900"/>
        </a:p>
      </dgm:t>
    </dgm:pt>
    <dgm:pt modelId="{0B56F812-7594-4BCB-9C2C-494CA81CB6F1}" type="parTrans" cxnId="{5D2C7EF7-900E-4256-9A27-A9227A648E9D}">
      <dgm:prSet/>
      <dgm:spPr/>
      <dgm:t>
        <a:bodyPr/>
        <a:lstStyle/>
        <a:p>
          <a:endParaRPr lang="cs-CZ"/>
        </a:p>
      </dgm:t>
    </dgm:pt>
    <dgm:pt modelId="{65AA0420-6931-43F0-AEC0-0105F73EFF49}" type="sibTrans" cxnId="{5D2C7EF7-900E-4256-9A27-A9227A648E9D}">
      <dgm:prSet/>
      <dgm:spPr/>
      <dgm:t>
        <a:bodyPr/>
        <a:lstStyle/>
        <a:p>
          <a:endParaRPr lang="cs-CZ"/>
        </a:p>
      </dgm:t>
    </dgm:pt>
    <dgm:pt modelId="{21532C36-037F-4232-ABC8-329B6E789F88}">
      <dgm:prSet/>
      <dgm:spPr/>
      <dgm:t>
        <a:bodyPr/>
        <a:lstStyle/>
        <a:p>
          <a:r>
            <a:rPr lang="cs-CZ" b="1">
              <a:latin typeface="Arial" panose="020B0604020202020204" pitchFamily="34" charset="0"/>
              <a:cs typeface="Arial" panose="020B0604020202020204" pitchFamily="34" charset="0"/>
            </a:rPr>
            <a:t>Konzervatoře</a:t>
          </a:r>
        </a:p>
      </dgm:t>
    </dgm:pt>
    <dgm:pt modelId="{B09337F8-9012-493C-BB85-491B3EAAFDC0}" type="parTrans" cxnId="{05B800D7-A098-4986-A61A-F9D9664C959C}">
      <dgm:prSet/>
      <dgm:spPr/>
      <dgm:t>
        <a:bodyPr/>
        <a:lstStyle/>
        <a:p>
          <a:endParaRPr lang="cs-CZ"/>
        </a:p>
      </dgm:t>
    </dgm:pt>
    <dgm:pt modelId="{23F4695E-08EC-4D8E-9604-C43C4336D7B9}" type="sibTrans" cxnId="{05B800D7-A098-4986-A61A-F9D9664C959C}">
      <dgm:prSet/>
      <dgm:spPr/>
      <dgm:t>
        <a:bodyPr/>
        <a:lstStyle/>
        <a:p>
          <a:endParaRPr lang="cs-CZ"/>
        </a:p>
      </dgm:t>
    </dgm:pt>
    <dgm:pt modelId="{1AA82984-7D80-4437-908F-CEE13A587930}">
      <dgm:prSet custT="1"/>
      <dgm:spPr/>
      <dgm:t>
        <a:bodyPr/>
        <a:lstStyle/>
        <a:p>
          <a:r>
            <a:rPr lang="cs-CZ" sz="900">
              <a:latin typeface="Arial" pitchFamily="34" charset="0"/>
              <a:cs typeface="Arial" pitchFamily="34" charset="0"/>
            </a:rPr>
            <a:t> Jedná se o studium v uměleckých oborech. Absolventi získají vysvědčení o absolutoriu v konzervatoři a diplom absolventa konzervatoře. Za jménem pak mohou uvádět titul DiS. (diplomovaný specialista). Vzdělání lze ukončit i maturitní zkouškou. </a:t>
          </a:r>
          <a:endParaRPr lang="cs-CZ" sz="900"/>
        </a:p>
      </dgm:t>
    </dgm:pt>
    <dgm:pt modelId="{DA336D47-AD7D-4250-8446-BA44ED6F9DFD}" type="parTrans" cxnId="{3DA058DC-42A4-4A4F-B60F-97DD946FC393}">
      <dgm:prSet/>
      <dgm:spPr/>
      <dgm:t>
        <a:bodyPr/>
        <a:lstStyle/>
        <a:p>
          <a:endParaRPr lang="cs-CZ"/>
        </a:p>
      </dgm:t>
    </dgm:pt>
    <dgm:pt modelId="{E4E3364D-3B89-46E5-96B1-EDC84A2EBB7D}" type="sibTrans" cxnId="{3DA058DC-42A4-4A4F-B60F-97DD946FC393}">
      <dgm:prSet/>
      <dgm:spPr/>
      <dgm:t>
        <a:bodyPr/>
        <a:lstStyle/>
        <a:p>
          <a:endParaRPr lang="cs-CZ"/>
        </a:p>
      </dgm:t>
    </dgm:pt>
    <dgm:pt modelId="{3851100C-6818-4431-A1A3-25E0C7AF891E}">
      <dgm:prSet custT="1"/>
      <dgm:spPr/>
      <dgm:t>
        <a:bodyPr/>
        <a:lstStyle/>
        <a:p>
          <a:r>
            <a:rPr lang="cs-CZ" sz="900">
              <a:latin typeface="Arial" pitchFamily="34" charset="0"/>
              <a:cs typeface="Arial" pitchFamily="34" charset="0"/>
            </a:rPr>
            <a:t> Délka většiny oborů trvá 6 let a je určena uchazečům po splnění povinné školní docházky. Výjimku tvoří obor Tanec, který trvá 8 let a je určen uchazečům po 5. ročníku základní školy.  </a:t>
          </a:r>
        </a:p>
      </dgm:t>
    </dgm:pt>
    <dgm:pt modelId="{799A2E89-0D18-4FB2-8F92-3BA172FC3E97}" type="parTrans" cxnId="{CFF0FADA-1F91-4E49-ACC9-51001E688542}">
      <dgm:prSet/>
      <dgm:spPr/>
      <dgm:t>
        <a:bodyPr/>
        <a:lstStyle/>
        <a:p>
          <a:endParaRPr lang="cs-CZ"/>
        </a:p>
      </dgm:t>
    </dgm:pt>
    <dgm:pt modelId="{48F67305-2F81-4733-B538-790B437D72B4}" type="sibTrans" cxnId="{CFF0FADA-1F91-4E49-ACC9-51001E688542}">
      <dgm:prSet/>
      <dgm:spPr/>
      <dgm:t>
        <a:bodyPr/>
        <a:lstStyle/>
        <a:p>
          <a:endParaRPr lang="cs-CZ"/>
        </a:p>
      </dgm:t>
    </dgm:pt>
    <dgm:pt modelId="{7F39317D-F96C-4710-99C9-89AFDFC1D59E}">
      <dgm:prSet custT="1"/>
      <dgm:spPr/>
      <dgm:t>
        <a:bodyPr/>
        <a:lstStyle/>
        <a:p>
          <a:r>
            <a:rPr lang="cs-CZ" sz="900">
              <a:latin typeface="Arial" pitchFamily="34" charset="0"/>
              <a:cs typeface="Arial" pitchFamily="34" charset="0"/>
            </a:rPr>
            <a:t> Studium trvá v denní formě 2 roky.</a:t>
          </a:r>
        </a:p>
      </dgm:t>
    </dgm:pt>
    <dgm:pt modelId="{E412DBB5-C180-4D84-BBEF-49E876D496DD}" type="parTrans" cxnId="{63D4AF52-A524-4758-B21D-E020A742BE75}">
      <dgm:prSet/>
      <dgm:spPr/>
      <dgm:t>
        <a:bodyPr/>
        <a:lstStyle/>
        <a:p>
          <a:endParaRPr lang="cs-CZ"/>
        </a:p>
      </dgm:t>
    </dgm:pt>
    <dgm:pt modelId="{62E4C4B7-AE42-4D3F-BDCB-E41B042BD79D}" type="sibTrans" cxnId="{63D4AF52-A524-4758-B21D-E020A742BE75}">
      <dgm:prSet/>
      <dgm:spPr/>
      <dgm:t>
        <a:bodyPr/>
        <a:lstStyle/>
        <a:p>
          <a:endParaRPr lang="cs-CZ"/>
        </a:p>
      </dgm:t>
    </dgm:pt>
    <dgm:pt modelId="{72939F63-CA11-4E81-ACA0-C4A20FAD547D}">
      <dgm:prSet custT="1"/>
      <dgm:spPr/>
      <dgm:t>
        <a:bodyPr/>
        <a:lstStyle/>
        <a:p>
          <a:r>
            <a:rPr lang="cs-CZ" sz="900" b="1">
              <a:latin typeface="Arial" panose="020B0604020202020204" pitchFamily="34" charset="0"/>
              <a:cs typeface="Arial" panose="020B0604020202020204" pitchFamily="34" charset="0"/>
            </a:rPr>
            <a:t>Střední školy</a:t>
          </a:r>
        </a:p>
      </dgm:t>
    </dgm:pt>
    <dgm:pt modelId="{3C50758D-DAE5-431F-ACF9-8C6CC6B72F1D}" type="parTrans" cxnId="{DB9E54D0-45F6-4E87-88F4-7044F7539B44}">
      <dgm:prSet/>
      <dgm:spPr/>
      <dgm:t>
        <a:bodyPr/>
        <a:lstStyle/>
        <a:p>
          <a:endParaRPr lang="cs-CZ"/>
        </a:p>
      </dgm:t>
    </dgm:pt>
    <dgm:pt modelId="{815776C6-DEE8-473F-9075-7632D0E1C94C}" type="sibTrans" cxnId="{DB9E54D0-45F6-4E87-88F4-7044F7539B44}">
      <dgm:prSet/>
      <dgm:spPr/>
      <dgm:t>
        <a:bodyPr/>
        <a:lstStyle/>
        <a:p>
          <a:endParaRPr lang="cs-CZ"/>
        </a:p>
      </dgm:t>
    </dgm:pt>
    <dgm:pt modelId="{DDC12BB7-5945-4B3F-9215-F3CAF0F31C0B}">
      <dgm:prSet custT="1"/>
      <dgm:spPr/>
      <dgm:t>
        <a:bodyPr/>
        <a:lstStyle/>
        <a:p>
          <a:endParaRPr lang="cs-CZ" sz="900">
            <a:latin typeface="Arial" panose="020B0604020202020204" pitchFamily="34" charset="0"/>
            <a:cs typeface="Arial" panose="020B0604020202020204" pitchFamily="34" charset="0"/>
          </a:endParaRPr>
        </a:p>
      </dgm:t>
    </dgm:pt>
    <dgm:pt modelId="{303BA16A-72E5-4201-BA0B-08CFA094F0DC}" type="parTrans" cxnId="{76602754-55A5-48B1-85B6-97023C9E89B5}">
      <dgm:prSet/>
      <dgm:spPr/>
      <dgm:t>
        <a:bodyPr/>
        <a:lstStyle/>
        <a:p>
          <a:endParaRPr lang="cs-CZ"/>
        </a:p>
      </dgm:t>
    </dgm:pt>
    <dgm:pt modelId="{A3704435-01C1-4618-8F59-F7D87B4872D5}" type="sibTrans" cxnId="{76602754-55A5-48B1-85B6-97023C9E89B5}">
      <dgm:prSet/>
      <dgm:spPr/>
      <dgm:t>
        <a:bodyPr/>
        <a:lstStyle/>
        <a:p>
          <a:endParaRPr lang="cs-CZ"/>
        </a:p>
      </dgm:t>
    </dgm:pt>
    <dgm:pt modelId="{BDAFAACA-90BC-4FB2-83A0-41DFF791937B}">
      <dgm:prSet custT="1"/>
      <dgm:spPr/>
      <dgm:t>
        <a:bodyPr/>
        <a:lstStyle/>
        <a:p>
          <a:r>
            <a:rPr lang="cs-CZ" sz="900">
              <a:latin typeface="Arial" pitchFamily="34" charset="0"/>
              <a:ea typeface="+mn-ea"/>
              <a:cs typeface="Arial" pitchFamily="34" charset="0"/>
            </a:rPr>
            <a:t> Střední vzdělání je ukončeno závěrečnou zkouškou a absolventi získají vysvědčení (nikoli však výuční list nebo maturitu). </a:t>
          </a:r>
        </a:p>
      </dgm:t>
    </dgm:pt>
    <dgm:pt modelId="{F9CF428E-8EC0-49AB-B70A-0B9197FDA7A0}" type="parTrans" cxnId="{9F82807D-1B4A-40B8-8169-9ACB6AFC3554}">
      <dgm:prSet/>
      <dgm:spPr/>
      <dgm:t>
        <a:bodyPr/>
        <a:lstStyle/>
        <a:p>
          <a:endParaRPr lang="cs-CZ"/>
        </a:p>
      </dgm:t>
    </dgm:pt>
    <dgm:pt modelId="{EACF7E06-FCF0-4698-B5B7-6167B03F4B4F}" type="sibTrans" cxnId="{9F82807D-1B4A-40B8-8169-9ACB6AFC3554}">
      <dgm:prSet/>
      <dgm:spPr/>
      <dgm:t>
        <a:bodyPr/>
        <a:lstStyle/>
        <a:p>
          <a:endParaRPr lang="cs-CZ"/>
        </a:p>
      </dgm:t>
    </dgm:pt>
    <dgm:pt modelId="{E4F99685-2307-4638-BB1D-839606E2013D}">
      <dgm:prSet/>
      <dgm:spPr/>
      <dgm:t>
        <a:bodyPr/>
        <a:lstStyle/>
        <a:p>
          <a:endParaRPr lang="cs-CZ" sz="800">
            <a:solidFill>
              <a:sysClr val="windowText" lastClr="000000">
                <a:hueOff val="0"/>
                <a:satOff val="0"/>
                <a:lumOff val="0"/>
                <a:alphaOff val="0"/>
              </a:sysClr>
            </a:solidFill>
            <a:latin typeface="Arial" pitchFamily="34" charset="0"/>
            <a:ea typeface="+mn-ea"/>
            <a:cs typeface="Arial" pitchFamily="34" charset="0"/>
          </a:endParaRPr>
        </a:p>
      </dgm:t>
    </dgm:pt>
    <dgm:pt modelId="{E640DDCE-2673-4F07-BEB7-89BD0293ABC2}" type="parTrans" cxnId="{6CFB0CF2-60C2-4D1C-93AE-A19BDD132A23}">
      <dgm:prSet/>
      <dgm:spPr/>
      <dgm:t>
        <a:bodyPr/>
        <a:lstStyle/>
        <a:p>
          <a:endParaRPr lang="cs-CZ"/>
        </a:p>
      </dgm:t>
    </dgm:pt>
    <dgm:pt modelId="{AEA2FF82-87CA-49F1-AEDB-692A045C87A4}" type="sibTrans" cxnId="{6CFB0CF2-60C2-4D1C-93AE-A19BDD132A23}">
      <dgm:prSet/>
      <dgm:spPr/>
      <dgm:t>
        <a:bodyPr/>
        <a:lstStyle/>
        <a:p>
          <a:endParaRPr lang="cs-CZ"/>
        </a:p>
      </dgm:t>
    </dgm:pt>
    <dgm:pt modelId="{491C4234-2825-4F27-B989-0A827BC2FF85}">
      <dgm:prSet custT="1"/>
      <dgm:spPr/>
      <dgm:t>
        <a:bodyPr/>
        <a:lstStyle/>
        <a:p>
          <a:r>
            <a:rPr lang="cs-CZ" sz="900">
              <a:latin typeface="Arial" pitchFamily="34" charset="0"/>
              <a:ea typeface="+mn-ea"/>
              <a:cs typeface="Arial" pitchFamily="34" charset="0"/>
            </a:rPr>
            <a:t> Délka vzdělání je 2 roky.</a:t>
          </a:r>
        </a:p>
      </dgm:t>
    </dgm:pt>
    <dgm:pt modelId="{2D4CAD77-2487-43D5-BB58-2C4344885E6E}" type="parTrans" cxnId="{063DB79F-895E-4452-9B00-1CE2074C4620}">
      <dgm:prSet/>
      <dgm:spPr/>
      <dgm:t>
        <a:bodyPr/>
        <a:lstStyle/>
        <a:p>
          <a:endParaRPr lang="cs-CZ"/>
        </a:p>
      </dgm:t>
    </dgm:pt>
    <dgm:pt modelId="{152FFB6F-FF2D-4AFF-9B1D-529F6E20CFF5}" type="sibTrans" cxnId="{063DB79F-895E-4452-9B00-1CE2074C4620}">
      <dgm:prSet/>
      <dgm:spPr/>
      <dgm:t>
        <a:bodyPr/>
        <a:lstStyle/>
        <a:p>
          <a:endParaRPr lang="cs-CZ"/>
        </a:p>
      </dgm:t>
    </dgm:pt>
    <dgm:pt modelId="{A755A567-E828-42F6-8AA0-79AE04463A79}" type="pres">
      <dgm:prSet presAssocID="{973412C3-8A66-4945-81D4-A384B20791D3}" presName="Name0" presStyleCnt="0">
        <dgm:presLayoutVars>
          <dgm:dir/>
          <dgm:animLvl val="lvl"/>
          <dgm:resizeHandles val="exact"/>
        </dgm:presLayoutVars>
      </dgm:prSet>
      <dgm:spPr/>
      <dgm:t>
        <a:bodyPr/>
        <a:lstStyle/>
        <a:p>
          <a:endParaRPr lang="cs-CZ"/>
        </a:p>
      </dgm:t>
    </dgm:pt>
    <dgm:pt modelId="{B4032CA3-84CC-4021-B089-A4F42E445362}" type="pres">
      <dgm:prSet presAssocID="{72939F63-CA11-4E81-ACA0-C4A20FAD547D}" presName="linNode" presStyleCnt="0"/>
      <dgm:spPr/>
    </dgm:pt>
    <dgm:pt modelId="{BB169B78-F9EF-48F4-8BEB-F4ABDA590894}" type="pres">
      <dgm:prSet presAssocID="{72939F63-CA11-4E81-ACA0-C4A20FAD547D}" presName="parentText" presStyleLbl="node1" presStyleIdx="0" presStyleCnt="6" custScaleX="56448" custScaleY="82525">
        <dgm:presLayoutVars>
          <dgm:chMax val="1"/>
          <dgm:bulletEnabled val="1"/>
        </dgm:presLayoutVars>
      </dgm:prSet>
      <dgm:spPr/>
      <dgm:t>
        <a:bodyPr/>
        <a:lstStyle/>
        <a:p>
          <a:endParaRPr lang="cs-CZ"/>
        </a:p>
      </dgm:t>
    </dgm:pt>
    <dgm:pt modelId="{D66F1611-346E-4914-BA8A-94EAE9FD0BE9}" type="pres">
      <dgm:prSet presAssocID="{72939F63-CA11-4E81-ACA0-C4A20FAD547D}" presName="descendantText" presStyleLbl="alignAccFollowNode1" presStyleIdx="0" presStyleCnt="6" custScaleX="133100" custScaleY="201539">
        <dgm:presLayoutVars>
          <dgm:bulletEnabled val="1"/>
        </dgm:presLayoutVars>
      </dgm:prSet>
      <dgm:spPr/>
      <dgm:t>
        <a:bodyPr/>
        <a:lstStyle/>
        <a:p>
          <a:endParaRPr lang="cs-CZ"/>
        </a:p>
      </dgm:t>
    </dgm:pt>
    <dgm:pt modelId="{7DAA8FB1-39A4-49F5-9591-72211ADF1164}" type="pres">
      <dgm:prSet presAssocID="{815776C6-DEE8-473F-9075-7632D0E1C94C}" presName="sp" presStyleCnt="0"/>
      <dgm:spPr/>
    </dgm:pt>
    <dgm:pt modelId="{738F5D92-5EB2-4799-B1EA-BC1D90B32161}" type="pres">
      <dgm:prSet presAssocID="{4E6B12A1-01DF-4938-B055-34BA1F954236}" presName="linNode" presStyleCnt="0"/>
      <dgm:spPr/>
    </dgm:pt>
    <dgm:pt modelId="{B229AC6E-9D34-4955-86D6-1B63C3679598}" type="pres">
      <dgm:prSet presAssocID="{4E6B12A1-01DF-4938-B055-34BA1F954236}" presName="parentText" presStyleLbl="node1" presStyleIdx="1" presStyleCnt="6" custScaleX="82645" custScaleY="82645">
        <dgm:presLayoutVars>
          <dgm:chMax val="1"/>
          <dgm:bulletEnabled val="1"/>
        </dgm:presLayoutVars>
      </dgm:prSet>
      <dgm:spPr/>
      <dgm:t>
        <a:bodyPr/>
        <a:lstStyle/>
        <a:p>
          <a:endParaRPr lang="cs-CZ"/>
        </a:p>
      </dgm:t>
    </dgm:pt>
    <dgm:pt modelId="{E87858D3-A585-4423-B5D2-BDD588E5E41F}" type="pres">
      <dgm:prSet presAssocID="{4E6B12A1-01DF-4938-B055-34BA1F954236}" presName="descendantText" presStyleLbl="alignAccFollowNode1" presStyleIdx="1" presStyleCnt="6" custScaleX="194872" custScaleY="194872">
        <dgm:presLayoutVars>
          <dgm:bulletEnabled val="1"/>
        </dgm:presLayoutVars>
      </dgm:prSet>
      <dgm:spPr/>
      <dgm:t>
        <a:bodyPr/>
        <a:lstStyle/>
        <a:p>
          <a:endParaRPr lang="cs-CZ"/>
        </a:p>
      </dgm:t>
    </dgm:pt>
    <dgm:pt modelId="{33D18C13-46F7-4FC3-A670-8FB6864D955C}" type="pres">
      <dgm:prSet presAssocID="{12699BE2-0CC2-4AC7-B473-8E40BCBBE508}" presName="sp" presStyleCnt="0"/>
      <dgm:spPr/>
    </dgm:pt>
    <dgm:pt modelId="{A4ABBC9B-0D30-4EDA-8E99-8344D48773F7}" type="pres">
      <dgm:prSet presAssocID="{AFCC0EF4-78E7-4DA7-84B3-80842B4B9AAB}" presName="linNode" presStyleCnt="0"/>
      <dgm:spPr/>
    </dgm:pt>
    <dgm:pt modelId="{9AE6AC81-840A-4E28-93F5-72EF2432A860}" type="pres">
      <dgm:prSet presAssocID="{AFCC0EF4-78E7-4DA7-84B3-80842B4B9AAB}" presName="parentText" presStyleLbl="node1" presStyleIdx="2" presStyleCnt="6" custScaleX="82645" custScaleY="82645">
        <dgm:presLayoutVars>
          <dgm:chMax val="1"/>
          <dgm:bulletEnabled val="1"/>
        </dgm:presLayoutVars>
      </dgm:prSet>
      <dgm:spPr/>
      <dgm:t>
        <a:bodyPr/>
        <a:lstStyle/>
        <a:p>
          <a:endParaRPr lang="cs-CZ"/>
        </a:p>
      </dgm:t>
    </dgm:pt>
    <dgm:pt modelId="{2B0B4939-064C-4121-A745-7CFAB4E3BE0C}" type="pres">
      <dgm:prSet presAssocID="{AFCC0EF4-78E7-4DA7-84B3-80842B4B9AAB}" presName="descendantText" presStyleLbl="alignAccFollowNode1" presStyleIdx="2" presStyleCnt="6" custScaleX="194872" custScaleY="194872">
        <dgm:presLayoutVars>
          <dgm:bulletEnabled val="1"/>
        </dgm:presLayoutVars>
      </dgm:prSet>
      <dgm:spPr/>
      <dgm:t>
        <a:bodyPr/>
        <a:lstStyle/>
        <a:p>
          <a:endParaRPr lang="cs-CZ"/>
        </a:p>
      </dgm:t>
    </dgm:pt>
    <dgm:pt modelId="{EDFCC187-0986-4C63-B813-BE0523911792}" type="pres">
      <dgm:prSet presAssocID="{FF27B102-97B3-4FBB-B2B5-3DAEDFD211C1}" presName="sp" presStyleCnt="0"/>
      <dgm:spPr/>
    </dgm:pt>
    <dgm:pt modelId="{E6535A6B-241B-4BAA-94E1-4A6FD95F8EC7}" type="pres">
      <dgm:prSet presAssocID="{ACEA59BB-C758-4770-AB77-8B96E8BE6AAD}" presName="linNode" presStyleCnt="0"/>
      <dgm:spPr/>
    </dgm:pt>
    <dgm:pt modelId="{DF862275-78E5-4BF2-9252-FCC3CC83BDD7}" type="pres">
      <dgm:prSet presAssocID="{ACEA59BB-C758-4770-AB77-8B96E8BE6AAD}" presName="parentText" presStyleLbl="node1" presStyleIdx="3" presStyleCnt="6" custScaleX="82645" custScaleY="82645">
        <dgm:presLayoutVars>
          <dgm:chMax val="1"/>
          <dgm:bulletEnabled val="1"/>
        </dgm:presLayoutVars>
      </dgm:prSet>
      <dgm:spPr/>
      <dgm:t>
        <a:bodyPr/>
        <a:lstStyle/>
        <a:p>
          <a:endParaRPr lang="cs-CZ"/>
        </a:p>
      </dgm:t>
    </dgm:pt>
    <dgm:pt modelId="{0D7856A5-2BDC-4212-AC61-1873BEAEE7D5}" type="pres">
      <dgm:prSet presAssocID="{ACEA59BB-C758-4770-AB77-8B96E8BE6AAD}" presName="descendantText" presStyleLbl="alignAccFollowNode1" presStyleIdx="3" presStyleCnt="6" custScaleX="194872" custScaleY="194872">
        <dgm:presLayoutVars>
          <dgm:bulletEnabled val="1"/>
        </dgm:presLayoutVars>
      </dgm:prSet>
      <dgm:spPr/>
      <dgm:t>
        <a:bodyPr/>
        <a:lstStyle/>
        <a:p>
          <a:endParaRPr lang="cs-CZ"/>
        </a:p>
      </dgm:t>
    </dgm:pt>
    <dgm:pt modelId="{34752093-5DBA-4F1B-B1F8-B331F4A29418}" type="pres">
      <dgm:prSet presAssocID="{5604D493-9B28-475F-8976-6E10FEA02A34}" presName="sp" presStyleCnt="0"/>
      <dgm:spPr/>
    </dgm:pt>
    <dgm:pt modelId="{FCD1D8D0-C680-4557-B837-D5C8FC347250}" type="pres">
      <dgm:prSet presAssocID="{21532C36-037F-4232-ABC8-329B6E789F88}" presName="linNode" presStyleCnt="0"/>
      <dgm:spPr/>
    </dgm:pt>
    <dgm:pt modelId="{8C7BC215-D9E2-4B48-9004-75F6EB1C69FA}" type="pres">
      <dgm:prSet presAssocID="{21532C36-037F-4232-ABC8-329B6E789F88}" presName="parentText" presStyleLbl="node1" presStyleIdx="4" presStyleCnt="6" custScaleX="82645" custScaleY="82645">
        <dgm:presLayoutVars>
          <dgm:chMax val="1"/>
          <dgm:bulletEnabled val="1"/>
        </dgm:presLayoutVars>
      </dgm:prSet>
      <dgm:spPr/>
      <dgm:t>
        <a:bodyPr/>
        <a:lstStyle/>
        <a:p>
          <a:endParaRPr lang="cs-CZ"/>
        </a:p>
      </dgm:t>
    </dgm:pt>
    <dgm:pt modelId="{81ABEF8D-C762-4270-8081-D2D149B89BAB}" type="pres">
      <dgm:prSet presAssocID="{21532C36-037F-4232-ABC8-329B6E789F88}" presName="descendantText" presStyleLbl="alignAccFollowNode1" presStyleIdx="4" presStyleCnt="6" custScaleX="194872" custScaleY="194872">
        <dgm:presLayoutVars>
          <dgm:bulletEnabled val="1"/>
        </dgm:presLayoutVars>
      </dgm:prSet>
      <dgm:spPr/>
      <dgm:t>
        <a:bodyPr/>
        <a:lstStyle/>
        <a:p>
          <a:endParaRPr lang="cs-CZ"/>
        </a:p>
      </dgm:t>
    </dgm:pt>
    <dgm:pt modelId="{7F79356D-48C8-4BAB-95D4-ECA2F17D97C4}" type="pres">
      <dgm:prSet presAssocID="{23F4695E-08EC-4D8E-9604-C43C4336D7B9}" presName="sp" presStyleCnt="0"/>
      <dgm:spPr/>
    </dgm:pt>
    <dgm:pt modelId="{0217DCF0-4F8A-4940-9635-C9DF95F1F591}" type="pres">
      <dgm:prSet presAssocID="{A12333AB-BAA2-47D3-ACEC-D1F6FB748C98}" presName="linNode" presStyleCnt="0"/>
      <dgm:spPr/>
    </dgm:pt>
    <dgm:pt modelId="{2B3EB4F7-6FFC-4543-9C9D-D55FF5EF8550}" type="pres">
      <dgm:prSet presAssocID="{A12333AB-BAA2-47D3-ACEC-D1F6FB748C98}" presName="parentText" presStyleLbl="node1" presStyleIdx="5" presStyleCnt="6" custScaleX="82645" custScaleY="82645">
        <dgm:presLayoutVars>
          <dgm:chMax val="1"/>
          <dgm:bulletEnabled val="1"/>
        </dgm:presLayoutVars>
      </dgm:prSet>
      <dgm:spPr/>
      <dgm:t>
        <a:bodyPr/>
        <a:lstStyle/>
        <a:p>
          <a:endParaRPr lang="cs-CZ"/>
        </a:p>
      </dgm:t>
    </dgm:pt>
    <dgm:pt modelId="{F0DF1BA7-5BDD-42DE-922D-6A4393B724F3}" type="pres">
      <dgm:prSet presAssocID="{A12333AB-BAA2-47D3-ACEC-D1F6FB748C98}" presName="descendantText" presStyleLbl="alignAccFollowNode1" presStyleIdx="5" presStyleCnt="6" custScaleX="194872" custScaleY="194872">
        <dgm:presLayoutVars>
          <dgm:bulletEnabled val="1"/>
        </dgm:presLayoutVars>
      </dgm:prSet>
      <dgm:spPr/>
      <dgm:t>
        <a:bodyPr/>
        <a:lstStyle/>
        <a:p>
          <a:endParaRPr lang="cs-CZ"/>
        </a:p>
      </dgm:t>
    </dgm:pt>
  </dgm:ptLst>
  <dgm:cxnLst>
    <dgm:cxn modelId="{5D2C7EF7-900E-4256-9A27-A9227A648E9D}" srcId="{ACEA59BB-C758-4770-AB77-8B96E8BE6AAD}" destId="{A5D34504-EE72-4DF2-B19B-A5BBF432D7D1}" srcOrd="1" destOrd="0" parTransId="{0B56F812-7594-4BCB-9C2C-494CA81CB6F1}" sibTransId="{65AA0420-6931-43F0-AEC0-0105F73EFF49}"/>
    <dgm:cxn modelId="{AB3B1899-8F14-4CBC-8DB7-A1EF8830D5FC}" type="presOf" srcId="{A47987B3-4D90-4B12-9987-79938A31BCB0}" destId="{E87858D3-A585-4423-B5D2-BDD588E5E41F}" srcOrd="0" destOrd="1" presId="urn:microsoft.com/office/officeart/2005/8/layout/vList5"/>
    <dgm:cxn modelId="{03CA84D9-6CFC-4B58-B2A8-22F3AC309770}" srcId="{A12333AB-BAA2-47D3-ACEC-D1F6FB748C98}" destId="{8DFAEE8E-5DB2-431B-9828-356E58BC8681}" srcOrd="0" destOrd="0" parTransId="{1480B3BB-00D7-446F-B3DB-BFDFC8D80C1B}" sibTransId="{38E637B3-3BB1-4948-9A2F-D5C9BBBA3A64}"/>
    <dgm:cxn modelId="{DB9E54D0-45F6-4E87-88F4-7044F7539B44}" srcId="{973412C3-8A66-4945-81D4-A384B20791D3}" destId="{72939F63-CA11-4E81-ACA0-C4A20FAD547D}" srcOrd="0" destOrd="0" parTransId="{3C50758D-DAE5-431F-ACF9-8C6CC6B72F1D}" sibTransId="{815776C6-DEE8-473F-9075-7632D0E1C94C}"/>
    <dgm:cxn modelId="{F2D5DC86-67E0-49D9-ACA9-C0B662FBA051}" type="presOf" srcId="{A5D34504-EE72-4DF2-B19B-A5BBF432D7D1}" destId="{0D7856A5-2BDC-4212-AC61-1873BEAEE7D5}" srcOrd="0" destOrd="1" presId="urn:microsoft.com/office/officeart/2005/8/layout/vList5"/>
    <dgm:cxn modelId="{99039DDC-7B57-4D7E-AA01-818EE83B2E0C}" type="presOf" srcId="{DDC12BB7-5945-4B3F-9215-F3CAF0F31C0B}" destId="{D66F1611-346E-4914-BA8A-94EAE9FD0BE9}" srcOrd="0" destOrd="0" presId="urn:microsoft.com/office/officeart/2005/8/layout/vList5"/>
    <dgm:cxn modelId="{641E0897-D2C8-4ECC-B056-ACC470A25570}" type="presOf" srcId="{973412C3-8A66-4945-81D4-A384B20791D3}" destId="{A755A567-E828-42F6-8AA0-79AE04463A79}" srcOrd="0" destOrd="0" presId="urn:microsoft.com/office/officeart/2005/8/layout/vList5"/>
    <dgm:cxn modelId="{76602754-55A5-48B1-85B6-97023C9E89B5}" srcId="{72939F63-CA11-4E81-ACA0-C4A20FAD547D}" destId="{DDC12BB7-5945-4B3F-9215-F3CAF0F31C0B}" srcOrd="0" destOrd="0" parTransId="{303BA16A-72E5-4201-BA0B-08CFA094F0DC}" sibTransId="{A3704435-01C1-4618-8F59-F7D87B4872D5}"/>
    <dgm:cxn modelId="{7EAF5F02-9347-45F7-92B1-E8F5ED292B2B}" type="presOf" srcId="{4E6B12A1-01DF-4938-B055-34BA1F954236}" destId="{B229AC6E-9D34-4955-86D6-1B63C3679598}" srcOrd="0" destOrd="0" presId="urn:microsoft.com/office/officeart/2005/8/layout/vList5"/>
    <dgm:cxn modelId="{0B6FAF44-26AF-43B3-83B5-76215046022A}" type="presOf" srcId="{3851100C-6818-4431-A1A3-25E0C7AF891E}" destId="{81ABEF8D-C762-4270-8081-D2D149B89BAB}" srcOrd="0" destOrd="1" presId="urn:microsoft.com/office/officeart/2005/8/layout/vList5"/>
    <dgm:cxn modelId="{CD2B60EC-5CDB-4CCA-A4F6-9962FA603C22}" type="presOf" srcId="{7F39317D-F96C-4710-99C9-89AFDFC1D59E}" destId="{F0DF1BA7-5BDD-42DE-922D-6A4393B724F3}" srcOrd="0" destOrd="1" presId="urn:microsoft.com/office/officeart/2005/8/layout/vList5"/>
    <dgm:cxn modelId="{9F82807D-1B4A-40B8-8169-9ACB6AFC3554}" srcId="{72939F63-CA11-4E81-ACA0-C4A20FAD547D}" destId="{BDAFAACA-90BC-4FB2-83A0-41DFF791937B}" srcOrd="1" destOrd="0" parTransId="{F9CF428E-8EC0-49AB-B70A-0B9197FDA7A0}" sibTransId="{EACF7E06-FCF0-4698-B5B7-6167B03F4B4F}"/>
    <dgm:cxn modelId="{056FF287-4665-4D93-BB46-57E8B09DEBA6}" type="presOf" srcId="{21532C36-037F-4232-ABC8-329B6E789F88}" destId="{8C7BC215-D9E2-4B48-9004-75F6EB1C69FA}" srcOrd="0" destOrd="0" presId="urn:microsoft.com/office/officeart/2005/8/layout/vList5"/>
    <dgm:cxn modelId="{B1B01DBE-11C3-43DD-BDF1-381BD2FCC991}" type="presOf" srcId="{1AA82984-7D80-4437-908F-CEE13A587930}" destId="{81ABEF8D-C762-4270-8081-D2D149B89BAB}" srcOrd="0" destOrd="0" presId="urn:microsoft.com/office/officeart/2005/8/layout/vList5"/>
    <dgm:cxn modelId="{3DA058DC-42A4-4A4F-B60F-97DD946FC393}" srcId="{21532C36-037F-4232-ABC8-329B6E789F88}" destId="{1AA82984-7D80-4437-908F-CEE13A587930}" srcOrd="0" destOrd="0" parTransId="{DA336D47-AD7D-4250-8446-BA44ED6F9DFD}" sibTransId="{E4E3364D-3B89-46E5-96B1-EDC84A2EBB7D}"/>
    <dgm:cxn modelId="{17B2EA86-5ED4-4644-95BF-C92D832F3537}" srcId="{ACEA59BB-C758-4770-AB77-8B96E8BE6AAD}" destId="{1894C531-4C57-4740-92B4-3ECE6E95AB78}" srcOrd="0" destOrd="0" parTransId="{43D71E9A-83B0-4E43-8CFF-19DDC7DC668A}" sibTransId="{B4FF3840-4C33-4449-8ED4-A40CC9106E95}"/>
    <dgm:cxn modelId="{35A909B3-CB9E-4300-9D7A-BA8228C83D14}" type="presOf" srcId="{1894C531-4C57-4740-92B4-3ECE6E95AB78}" destId="{0D7856A5-2BDC-4212-AC61-1873BEAEE7D5}" srcOrd="0" destOrd="0" presId="urn:microsoft.com/office/officeart/2005/8/layout/vList5"/>
    <dgm:cxn modelId="{63D4AF52-A524-4758-B21D-E020A742BE75}" srcId="{A12333AB-BAA2-47D3-ACEC-D1F6FB748C98}" destId="{7F39317D-F96C-4710-99C9-89AFDFC1D59E}" srcOrd="1" destOrd="0" parTransId="{E412DBB5-C180-4D84-BBEF-49E876D496DD}" sibTransId="{62E4C4B7-AE42-4D3F-BDCB-E41B042BD79D}"/>
    <dgm:cxn modelId="{04C9C916-D9E6-4E20-B8F8-968392BF3FB6}" type="presOf" srcId="{F3166739-7512-4E1E-A1F8-7B98ADEC7981}" destId="{2B0B4939-064C-4121-A745-7CFAB4E3BE0C}" srcOrd="0" destOrd="1" presId="urn:microsoft.com/office/officeart/2005/8/layout/vList5"/>
    <dgm:cxn modelId="{7B43E375-53BB-4A61-BFB3-1FBEF69161C1}" type="presOf" srcId="{48391E27-D354-43FC-B6E9-D27AFA968D73}" destId="{2B0B4939-064C-4121-A745-7CFAB4E3BE0C}" srcOrd="0" destOrd="0" presId="urn:microsoft.com/office/officeart/2005/8/layout/vList5"/>
    <dgm:cxn modelId="{993FD3E9-F281-4EEB-A1A5-1201F938154C}" type="presOf" srcId="{BDAFAACA-90BC-4FB2-83A0-41DFF791937B}" destId="{D66F1611-346E-4914-BA8A-94EAE9FD0BE9}" srcOrd="0" destOrd="1" presId="urn:microsoft.com/office/officeart/2005/8/layout/vList5"/>
    <dgm:cxn modelId="{678BF2BE-47DE-4FFB-AD65-A443245DEF8E}" srcId="{973412C3-8A66-4945-81D4-A384B20791D3}" destId="{AFCC0EF4-78E7-4DA7-84B3-80842B4B9AAB}" srcOrd="2" destOrd="0" parTransId="{7ECBCCC5-7DD3-428D-A578-840D39EC0BB7}" sibTransId="{FF27B102-97B3-4FBB-B2B5-3DAEDFD211C1}"/>
    <dgm:cxn modelId="{DAEF2A4B-D231-4221-9F05-A04A60E5A5AB}" type="presOf" srcId="{432348EE-91CB-4746-AB92-2AFFBC7A14A6}" destId="{E87858D3-A585-4423-B5D2-BDD588E5E41F}" srcOrd="0" destOrd="0" presId="urn:microsoft.com/office/officeart/2005/8/layout/vList5"/>
    <dgm:cxn modelId="{638E5DE3-15B3-4D99-91EB-AC83A0034758}" srcId="{4E6B12A1-01DF-4938-B055-34BA1F954236}" destId="{A47987B3-4D90-4B12-9987-79938A31BCB0}" srcOrd="1" destOrd="0" parTransId="{C798102C-B82A-45ED-A73B-637127C525A1}" sibTransId="{D7A2BFF7-A56D-4B3E-923B-70C2461726F2}"/>
    <dgm:cxn modelId="{05B800D7-A098-4986-A61A-F9D9664C959C}" srcId="{973412C3-8A66-4945-81D4-A384B20791D3}" destId="{21532C36-037F-4232-ABC8-329B6E789F88}" srcOrd="4" destOrd="0" parTransId="{B09337F8-9012-493C-BB85-491B3EAAFDC0}" sibTransId="{23F4695E-08EC-4D8E-9604-C43C4336D7B9}"/>
    <dgm:cxn modelId="{F677C067-769C-4A8D-A3B7-CDD466E01CE4}" type="presOf" srcId="{A12333AB-BAA2-47D3-ACEC-D1F6FB748C98}" destId="{2B3EB4F7-6FFC-4543-9C9D-D55FF5EF8550}" srcOrd="0" destOrd="0" presId="urn:microsoft.com/office/officeart/2005/8/layout/vList5"/>
    <dgm:cxn modelId="{F4190E68-5496-4FCB-A5C0-E2631FB63526}" srcId="{973412C3-8A66-4945-81D4-A384B20791D3}" destId="{ACEA59BB-C758-4770-AB77-8B96E8BE6AAD}" srcOrd="3" destOrd="0" parTransId="{93E411EF-D12D-4CA6-BC45-68BF54D3490F}" sibTransId="{5604D493-9B28-475F-8976-6E10FEA02A34}"/>
    <dgm:cxn modelId="{1E017519-26B5-4568-9A41-A7B3B67DB4BA}" type="presOf" srcId="{ACEA59BB-C758-4770-AB77-8B96E8BE6AAD}" destId="{DF862275-78E5-4BF2-9252-FCC3CC83BDD7}" srcOrd="0" destOrd="0" presId="urn:microsoft.com/office/officeart/2005/8/layout/vList5"/>
    <dgm:cxn modelId="{063DB79F-895E-4452-9B00-1CE2074C4620}" srcId="{72939F63-CA11-4E81-ACA0-C4A20FAD547D}" destId="{491C4234-2825-4F27-B989-0A827BC2FF85}" srcOrd="2" destOrd="0" parTransId="{2D4CAD77-2487-43D5-BB58-2C4344885E6E}" sibTransId="{152FFB6F-FF2D-4AFF-9B1D-529F6E20CFF5}"/>
    <dgm:cxn modelId="{D919630D-CBE0-4303-9388-9B2AE8412450}" srcId="{AFCC0EF4-78E7-4DA7-84B3-80842B4B9AAB}" destId="{48391E27-D354-43FC-B6E9-D27AFA968D73}" srcOrd="0" destOrd="0" parTransId="{AC65CF88-8972-4A24-BEE6-2B6E1C364318}" sibTransId="{A90B61C4-F649-4503-8491-CD7A41F1D665}"/>
    <dgm:cxn modelId="{B2E6CC12-92F1-4C69-913E-4F77E114C36D}" type="presOf" srcId="{8DFAEE8E-5DB2-431B-9828-356E58BC8681}" destId="{F0DF1BA7-5BDD-42DE-922D-6A4393B724F3}" srcOrd="0" destOrd="0" presId="urn:microsoft.com/office/officeart/2005/8/layout/vList5"/>
    <dgm:cxn modelId="{6CFB0CF2-60C2-4D1C-93AE-A19BDD132A23}" srcId="{72939F63-CA11-4E81-ACA0-C4A20FAD547D}" destId="{E4F99685-2307-4638-BB1D-839606E2013D}" srcOrd="3" destOrd="0" parTransId="{E640DDCE-2673-4F07-BEB7-89BD0293ABC2}" sibTransId="{AEA2FF82-87CA-49F1-AEDB-692A045C87A4}"/>
    <dgm:cxn modelId="{01C39642-B0F1-40D3-B91B-44CAFA9762A1}" srcId="{4E6B12A1-01DF-4938-B055-34BA1F954236}" destId="{432348EE-91CB-4746-AB92-2AFFBC7A14A6}" srcOrd="0" destOrd="0" parTransId="{386C3636-630B-4972-89A3-81300266EC23}" sibTransId="{3BB27444-680F-4D26-9636-8DFC7288AAA6}"/>
    <dgm:cxn modelId="{34DAB568-1F23-4B3B-BC0F-0FA04D874560}" type="presOf" srcId="{AFCC0EF4-78E7-4DA7-84B3-80842B4B9AAB}" destId="{9AE6AC81-840A-4E28-93F5-72EF2432A860}" srcOrd="0" destOrd="0" presId="urn:microsoft.com/office/officeart/2005/8/layout/vList5"/>
    <dgm:cxn modelId="{3B5C56AD-E2E3-458D-AC2F-7FC4790B0356}" srcId="{973412C3-8A66-4945-81D4-A384B20791D3}" destId="{A12333AB-BAA2-47D3-ACEC-D1F6FB748C98}" srcOrd="5" destOrd="0" parTransId="{32177468-4DF8-4828-9126-50C061198ED5}" sibTransId="{8A17A863-C76C-41DF-9361-22DE6D4AECE8}"/>
    <dgm:cxn modelId="{A7561258-A6E3-4EDC-BC09-0D1C785A025C}" srcId="{AFCC0EF4-78E7-4DA7-84B3-80842B4B9AAB}" destId="{F3166739-7512-4E1E-A1F8-7B98ADEC7981}" srcOrd="1" destOrd="0" parTransId="{6FC95342-279D-4DE1-AAAA-B5D3954B3E4B}" sibTransId="{4B86DE67-0110-4D9F-AE80-C2C9C849065A}"/>
    <dgm:cxn modelId="{D52C8DD0-474D-423E-BFCE-86FA09F7C8A6}" type="presOf" srcId="{491C4234-2825-4F27-B989-0A827BC2FF85}" destId="{D66F1611-346E-4914-BA8A-94EAE9FD0BE9}" srcOrd="0" destOrd="2" presId="urn:microsoft.com/office/officeart/2005/8/layout/vList5"/>
    <dgm:cxn modelId="{CFF0FADA-1F91-4E49-ACC9-51001E688542}" srcId="{21532C36-037F-4232-ABC8-329B6E789F88}" destId="{3851100C-6818-4431-A1A3-25E0C7AF891E}" srcOrd="1" destOrd="0" parTransId="{799A2E89-0D18-4FB2-8F92-3BA172FC3E97}" sibTransId="{48F67305-2F81-4733-B538-790B437D72B4}"/>
    <dgm:cxn modelId="{46A7DDF3-A3B0-4EAB-9856-F9AD6D984542}" type="presOf" srcId="{E4F99685-2307-4638-BB1D-839606E2013D}" destId="{D66F1611-346E-4914-BA8A-94EAE9FD0BE9}" srcOrd="0" destOrd="3" presId="urn:microsoft.com/office/officeart/2005/8/layout/vList5"/>
    <dgm:cxn modelId="{59E97ED6-4928-4F6D-A7FA-8FFB70AE019B}" srcId="{973412C3-8A66-4945-81D4-A384B20791D3}" destId="{4E6B12A1-01DF-4938-B055-34BA1F954236}" srcOrd="1" destOrd="0" parTransId="{A2AA3249-7E67-4EEF-B2B9-156057F9B3FB}" sibTransId="{12699BE2-0CC2-4AC7-B473-8E40BCBBE508}"/>
    <dgm:cxn modelId="{FB9464A5-C85B-44A5-8EA2-26B82EFFB6DA}" type="presOf" srcId="{72939F63-CA11-4E81-ACA0-C4A20FAD547D}" destId="{BB169B78-F9EF-48F4-8BEB-F4ABDA590894}" srcOrd="0" destOrd="0" presId="urn:microsoft.com/office/officeart/2005/8/layout/vList5"/>
    <dgm:cxn modelId="{7BFA9F87-E4AC-4636-BB4A-1A50896F3B1C}" type="presParOf" srcId="{A755A567-E828-42F6-8AA0-79AE04463A79}" destId="{B4032CA3-84CC-4021-B089-A4F42E445362}" srcOrd="0" destOrd="0" presId="urn:microsoft.com/office/officeart/2005/8/layout/vList5"/>
    <dgm:cxn modelId="{BCA40DDB-116B-400E-8738-F48395510A2F}" type="presParOf" srcId="{B4032CA3-84CC-4021-B089-A4F42E445362}" destId="{BB169B78-F9EF-48F4-8BEB-F4ABDA590894}" srcOrd="0" destOrd="0" presId="urn:microsoft.com/office/officeart/2005/8/layout/vList5"/>
    <dgm:cxn modelId="{7A7D8779-D8A8-490B-AB9A-0C558CD75E5C}" type="presParOf" srcId="{B4032CA3-84CC-4021-B089-A4F42E445362}" destId="{D66F1611-346E-4914-BA8A-94EAE9FD0BE9}" srcOrd="1" destOrd="0" presId="urn:microsoft.com/office/officeart/2005/8/layout/vList5"/>
    <dgm:cxn modelId="{1AC6A184-8407-451B-914B-A48F83E14126}" type="presParOf" srcId="{A755A567-E828-42F6-8AA0-79AE04463A79}" destId="{7DAA8FB1-39A4-49F5-9591-72211ADF1164}" srcOrd="1" destOrd="0" presId="urn:microsoft.com/office/officeart/2005/8/layout/vList5"/>
    <dgm:cxn modelId="{F4F735A1-4F83-467F-B10E-2C9B390E8690}" type="presParOf" srcId="{A755A567-E828-42F6-8AA0-79AE04463A79}" destId="{738F5D92-5EB2-4799-B1EA-BC1D90B32161}" srcOrd="2" destOrd="0" presId="urn:microsoft.com/office/officeart/2005/8/layout/vList5"/>
    <dgm:cxn modelId="{25B47511-7399-452C-BC25-12A9AF9714C6}" type="presParOf" srcId="{738F5D92-5EB2-4799-B1EA-BC1D90B32161}" destId="{B229AC6E-9D34-4955-86D6-1B63C3679598}" srcOrd="0" destOrd="0" presId="urn:microsoft.com/office/officeart/2005/8/layout/vList5"/>
    <dgm:cxn modelId="{0DACBE4D-7D35-4D1E-A446-8FCF79198CE3}" type="presParOf" srcId="{738F5D92-5EB2-4799-B1EA-BC1D90B32161}" destId="{E87858D3-A585-4423-B5D2-BDD588E5E41F}" srcOrd="1" destOrd="0" presId="urn:microsoft.com/office/officeart/2005/8/layout/vList5"/>
    <dgm:cxn modelId="{C84DBDCC-AA08-460B-8297-A28C55BECEB6}" type="presParOf" srcId="{A755A567-E828-42F6-8AA0-79AE04463A79}" destId="{33D18C13-46F7-4FC3-A670-8FB6864D955C}" srcOrd="3" destOrd="0" presId="urn:microsoft.com/office/officeart/2005/8/layout/vList5"/>
    <dgm:cxn modelId="{1838408C-35BC-4A35-9891-17537025E046}" type="presParOf" srcId="{A755A567-E828-42F6-8AA0-79AE04463A79}" destId="{A4ABBC9B-0D30-4EDA-8E99-8344D48773F7}" srcOrd="4" destOrd="0" presId="urn:microsoft.com/office/officeart/2005/8/layout/vList5"/>
    <dgm:cxn modelId="{9208C6A9-9BF8-45AC-8B81-792220C16BE9}" type="presParOf" srcId="{A4ABBC9B-0D30-4EDA-8E99-8344D48773F7}" destId="{9AE6AC81-840A-4E28-93F5-72EF2432A860}" srcOrd="0" destOrd="0" presId="urn:microsoft.com/office/officeart/2005/8/layout/vList5"/>
    <dgm:cxn modelId="{637FA232-1022-4DA4-BC0B-A86D853322AB}" type="presParOf" srcId="{A4ABBC9B-0D30-4EDA-8E99-8344D48773F7}" destId="{2B0B4939-064C-4121-A745-7CFAB4E3BE0C}" srcOrd="1" destOrd="0" presId="urn:microsoft.com/office/officeart/2005/8/layout/vList5"/>
    <dgm:cxn modelId="{CB5425CD-A4B0-4D4A-98D8-FAB7E21533D8}" type="presParOf" srcId="{A755A567-E828-42F6-8AA0-79AE04463A79}" destId="{EDFCC187-0986-4C63-B813-BE0523911792}" srcOrd="5" destOrd="0" presId="urn:microsoft.com/office/officeart/2005/8/layout/vList5"/>
    <dgm:cxn modelId="{0306B59A-0FDE-4874-941A-2D473F28949E}" type="presParOf" srcId="{A755A567-E828-42F6-8AA0-79AE04463A79}" destId="{E6535A6B-241B-4BAA-94E1-4A6FD95F8EC7}" srcOrd="6" destOrd="0" presId="urn:microsoft.com/office/officeart/2005/8/layout/vList5"/>
    <dgm:cxn modelId="{55C66ABD-5D9F-407C-B948-942CD6FF67AC}" type="presParOf" srcId="{E6535A6B-241B-4BAA-94E1-4A6FD95F8EC7}" destId="{DF862275-78E5-4BF2-9252-FCC3CC83BDD7}" srcOrd="0" destOrd="0" presId="urn:microsoft.com/office/officeart/2005/8/layout/vList5"/>
    <dgm:cxn modelId="{3AFFC2A8-0D29-4F3E-BC0D-5D561A3F5A24}" type="presParOf" srcId="{E6535A6B-241B-4BAA-94E1-4A6FD95F8EC7}" destId="{0D7856A5-2BDC-4212-AC61-1873BEAEE7D5}" srcOrd="1" destOrd="0" presId="urn:microsoft.com/office/officeart/2005/8/layout/vList5"/>
    <dgm:cxn modelId="{EFCE142B-AC1F-4529-B37C-ED19A685CDE8}" type="presParOf" srcId="{A755A567-E828-42F6-8AA0-79AE04463A79}" destId="{34752093-5DBA-4F1B-B1F8-B331F4A29418}" srcOrd="7" destOrd="0" presId="urn:microsoft.com/office/officeart/2005/8/layout/vList5"/>
    <dgm:cxn modelId="{DAEF247B-9282-4A6F-85F3-B1BD8954047A}" type="presParOf" srcId="{A755A567-E828-42F6-8AA0-79AE04463A79}" destId="{FCD1D8D0-C680-4557-B837-D5C8FC347250}" srcOrd="8" destOrd="0" presId="urn:microsoft.com/office/officeart/2005/8/layout/vList5"/>
    <dgm:cxn modelId="{40FDB8EC-0345-4FC3-BFD2-FC93A594AF45}" type="presParOf" srcId="{FCD1D8D0-C680-4557-B837-D5C8FC347250}" destId="{8C7BC215-D9E2-4B48-9004-75F6EB1C69FA}" srcOrd="0" destOrd="0" presId="urn:microsoft.com/office/officeart/2005/8/layout/vList5"/>
    <dgm:cxn modelId="{8C9A240D-8461-445D-99E5-B2073E2172A4}" type="presParOf" srcId="{FCD1D8D0-C680-4557-B837-D5C8FC347250}" destId="{81ABEF8D-C762-4270-8081-D2D149B89BAB}" srcOrd="1" destOrd="0" presId="urn:microsoft.com/office/officeart/2005/8/layout/vList5"/>
    <dgm:cxn modelId="{C3675625-3754-432F-9161-85BB3F17CA0A}" type="presParOf" srcId="{A755A567-E828-42F6-8AA0-79AE04463A79}" destId="{7F79356D-48C8-4BAB-95D4-ECA2F17D97C4}" srcOrd="9" destOrd="0" presId="urn:microsoft.com/office/officeart/2005/8/layout/vList5"/>
    <dgm:cxn modelId="{88750347-A3EC-4507-93BC-069F0DACF009}" type="presParOf" srcId="{A755A567-E828-42F6-8AA0-79AE04463A79}" destId="{0217DCF0-4F8A-4940-9635-C9DF95F1F591}" srcOrd="10" destOrd="0" presId="urn:microsoft.com/office/officeart/2005/8/layout/vList5"/>
    <dgm:cxn modelId="{8A45022C-6415-49CD-BA4F-928D195C4A39}" type="presParOf" srcId="{0217DCF0-4F8A-4940-9635-C9DF95F1F591}" destId="{2B3EB4F7-6FFC-4543-9C9D-D55FF5EF8550}" srcOrd="0" destOrd="0" presId="urn:microsoft.com/office/officeart/2005/8/layout/vList5"/>
    <dgm:cxn modelId="{70B54842-E5F1-40B4-9776-2D847EDA620B}" type="presParOf" srcId="{0217DCF0-4F8A-4940-9635-C9DF95F1F591}" destId="{F0DF1BA7-5BDD-42DE-922D-6A4393B724F3}" srcOrd="1" destOrd="0" presId="urn:microsoft.com/office/officeart/2005/8/layout/vList5"/>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E19FFE7-2AF8-41CD-B166-201D40DD4D36}" type="doc">
      <dgm:prSet loTypeId="urn:microsoft.com/office/officeart/2005/8/layout/list1" loCatId="list" qsTypeId="urn:microsoft.com/office/officeart/2005/8/quickstyle/simple1" qsCatId="simple" csTypeId="urn:microsoft.com/office/officeart/2005/8/colors/accent2_2" csCatId="accent2" phldr="1"/>
      <dgm:spPr/>
      <dgm:t>
        <a:bodyPr/>
        <a:lstStyle/>
        <a:p>
          <a:endParaRPr lang="cs-CZ"/>
        </a:p>
      </dgm:t>
    </dgm:pt>
    <dgm:pt modelId="{6D1AA29F-F7BE-4941-ABBB-B6B095A014B0}">
      <dgm:prSet custT="1"/>
      <dgm:spPr/>
      <dgm:t>
        <a:bodyPr/>
        <a:lstStyle/>
        <a:p>
          <a:pPr algn="l"/>
          <a:r>
            <a:rPr lang="cs-CZ" sz="1000" b="1">
              <a:latin typeface="Arial" pitchFamily="34" charset="0"/>
              <a:cs typeface="Arial" pitchFamily="34" charset="0"/>
            </a:rPr>
            <a:t>23,8 %</a:t>
          </a:r>
          <a:r>
            <a:rPr lang="cs-CZ" sz="1000">
              <a:latin typeface="Arial" pitchFamily="34" charset="0"/>
              <a:cs typeface="Arial" pitchFamily="34" charset="0"/>
            </a:rPr>
            <a:t> všech studentů doktorského studia studuje obor Technika výroba a stavebnictví, nejméně Služby, </a:t>
          </a:r>
          <a:r>
            <a:rPr lang="cs-CZ" sz="1000" b="1">
              <a:latin typeface="Arial" pitchFamily="34" charset="0"/>
              <a:cs typeface="Arial" pitchFamily="34" charset="0"/>
            </a:rPr>
            <a:t>2,7 %.</a:t>
          </a:r>
          <a:endParaRPr lang="cs-CZ" sz="1000">
            <a:latin typeface="Arial" pitchFamily="34" charset="0"/>
            <a:cs typeface="Arial" pitchFamily="34" charset="0"/>
          </a:endParaRPr>
        </a:p>
      </dgm:t>
    </dgm:pt>
    <dgm:pt modelId="{DE3D22B5-6B1C-4857-B580-C367C270A8C9}" type="parTrans" cxnId="{2075BCF8-CBD3-4E2B-8D4F-9312C3875C4D}">
      <dgm:prSet/>
      <dgm:spPr/>
      <dgm:t>
        <a:bodyPr/>
        <a:lstStyle/>
        <a:p>
          <a:pPr algn="l"/>
          <a:endParaRPr lang="cs-CZ"/>
        </a:p>
      </dgm:t>
    </dgm:pt>
    <dgm:pt modelId="{404CA725-B688-45F1-91F9-C34D6A1C5DE8}" type="sibTrans" cxnId="{2075BCF8-CBD3-4E2B-8D4F-9312C3875C4D}">
      <dgm:prSet/>
      <dgm:spPr/>
      <dgm:t>
        <a:bodyPr/>
        <a:lstStyle/>
        <a:p>
          <a:pPr algn="l"/>
          <a:endParaRPr lang="cs-CZ"/>
        </a:p>
      </dgm:t>
    </dgm:pt>
    <dgm:pt modelId="{FE164690-2362-4A19-B6B4-B5C581D57C18}">
      <dgm:prSet custT="1"/>
      <dgm:spPr/>
      <dgm:t>
        <a:bodyPr/>
        <a:lstStyle/>
        <a:p>
          <a:pPr algn="l"/>
          <a:r>
            <a:rPr lang="cs-CZ" sz="1000" b="1">
              <a:latin typeface="Arial" pitchFamily="34" charset="0"/>
              <a:cs typeface="Arial" pitchFamily="34" charset="0"/>
            </a:rPr>
            <a:t>9,9 %</a:t>
          </a:r>
          <a:r>
            <a:rPr lang="cs-CZ" sz="1000">
              <a:latin typeface="Arial" pitchFamily="34" charset="0"/>
              <a:cs typeface="Arial" pitchFamily="34" charset="0"/>
            </a:rPr>
            <a:t> doktorandek studuje Přírodní vědy, matematiku a statistiku a jenom </a:t>
          </a:r>
          <a:r>
            <a:rPr lang="cs-CZ" sz="1000" b="1">
              <a:latin typeface="Arial" pitchFamily="34" charset="0"/>
              <a:cs typeface="Arial" pitchFamily="34" charset="0"/>
            </a:rPr>
            <a:t>0,5 %</a:t>
          </a:r>
          <a:r>
            <a:rPr lang="cs-CZ" sz="1000">
              <a:latin typeface="Arial" pitchFamily="34" charset="0"/>
              <a:cs typeface="Arial" pitchFamily="34" charset="0"/>
            </a:rPr>
            <a:t> ICT.</a:t>
          </a:r>
        </a:p>
      </dgm:t>
    </dgm:pt>
    <dgm:pt modelId="{79ED9665-0397-4F30-BDD4-8C8B8FF6F144}" type="parTrans" cxnId="{D9A76F1D-4F05-40B7-A54A-E640715BAD43}">
      <dgm:prSet/>
      <dgm:spPr/>
      <dgm:t>
        <a:bodyPr/>
        <a:lstStyle/>
        <a:p>
          <a:pPr algn="l"/>
          <a:endParaRPr lang="cs-CZ"/>
        </a:p>
      </dgm:t>
    </dgm:pt>
    <dgm:pt modelId="{64164F1F-4D3A-40A5-85E6-ECAA1409BCD0}" type="sibTrans" cxnId="{D9A76F1D-4F05-40B7-A54A-E640715BAD43}">
      <dgm:prSet/>
      <dgm:spPr/>
      <dgm:t>
        <a:bodyPr/>
        <a:lstStyle/>
        <a:p>
          <a:pPr algn="l"/>
          <a:endParaRPr lang="cs-CZ"/>
        </a:p>
      </dgm:t>
    </dgm:pt>
    <dgm:pt modelId="{8354E95B-8C97-468C-9630-2012D9337D58}">
      <dgm:prSet custT="1"/>
      <dgm:spPr/>
      <dgm:t>
        <a:bodyPr/>
        <a:lstStyle/>
        <a:p>
          <a:pPr algn="l"/>
          <a:r>
            <a:rPr lang="cs-CZ" sz="1000" b="1">
              <a:latin typeface="Arial" pitchFamily="34" charset="0"/>
              <a:cs typeface="Arial" pitchFamily="34" charset="0"/>
            </a:rPr>
            <a:t>17,1 %</a:t>
          </a:r>
          <a:r>
            <a:rPr lang="cs-CZ" sz="1000">
              <a:latin typeface="Arial" pitchFamily="34" charset="0"/>
              <a:cs typeface="Arial" pitchFamily="34" charset="0"/>
            </a:rPr>
            <a:t> doktorandů – mužů studuje Techniku, výrobu a stavebnictví a jen </a:t>
          </a:r>
          <a:r>
            <a:rPr lang="cs-CZ" sz="1000" b="1">
              <a:latin typeface="Arial" pitchFamily="34" charset="0"/>
              <a:cs typeface="Arial" pitchFamily="34" charset="0"/>
            </a:rPr>
            <a:t>1,2 %</a:t>
          </a:r>
          <a:r>
            <a:rPr lang="cs-CZ" sz="1000">
              <a:latin typeface="Arial" pitchFamily="34" charset="0"/>
              <a:cs typeface="Arial" pitchFamily="34" charset="0"/>
            </a:rPr>
            <a:t> studuje Vzdělávání a výchovu</a:t>
          </a:r>
          <a:r>
            <a:rPr lang="cs-CZ" sz="500"/>
            <a:t>.</a:t>
          </a:r>
        </a:p>
      </dgm:t>
    </dgm:pt>
    <dgm:pt modelId="{1C1BB660-1594-4F4B-B076-DBFF65DE93F2}" type="parTrans" cxnId="{A8098EBB-54F6-43AC-BF84-275FF3CC59AE}">
      <dgm:prSet/>
      <dgm:spPr/>
      <dgm:t>
        <a:bodyPr/>
        <a:lstStyle/>
        <a:p>
          <a:pPr algn="l"/>
          <a:endParaRPr lang="cs-CZ"/>
        </a:p>
      </dgm:t>
    </dgm:pt>
    <dgm:pt modelId="{D2C6D982-8AFA-493E-831F-D90B40F2264A}" type="sibTrans" cxnId="{A8098EBB-54F6-43AC-BF84-275FF3CC59AE}">
      <dgm:prSet/>
      <dgm:spPr/>
      <dgm:t>
        <a:bodyPr/>
        <a:lstStyle/>
        <a:p>
          <a:pPr algn="l"/>
          <a:endParaRPr lang="cs-CZ"/>
        </a:p>
      </dgm:t>
    </dgm:pt>
    <dgm:pt modelId="{97BBFC5E-9AE1-431C-A148-1869C0E7BBC4}" type="pres">
      <dgm:prSet presAssocID="{FE19FFE7-2AF8-41CD-B166-201D40DD4D36}" presName="linear" presStyleCnt="0">
        <dgm:presLayoutVars>
          <dgm:dir/>
          <dgm:animLvl val="lvl"/>
          <dgm:resizeHandles val="exact"/>
        </dgm:presLayoutVars>
      </dgm:prSet>
      <dgm:spPr/>
      <dgm:t>
        <a:bodyPr/>
        <a:lstStyle/>
        <a:p>
          <a:endParaRPr lang="cs-CZ"/>
        </a:p>
      </dgm:t>
    </dgm:pt>
    <dgm:pt modelId="{C6AACBA5-4152-48DE-A85B-9D01229F5D01}" type="pres">
      <dgm:prSet presAssocID="{6D1AA29F-F7BE-4941-ABBB-B6B095A014B0}" presName="parentLin" presStyleCnt="0"/>
      <dgm:spPr/>
      <dgm:t>
        <a:bodyPr/>
        <a:lstStyle/>
        <a:p>
          <a:endParaRPr lang="cs-CZ"/>
        </a:p>
      </dgm:t>
    </dgm:pt>
    <dgm:pt modelId="{2158CF2E-D37E-4196-A8E5-03525C1E87FA}" type="pres">
      <dgm:prSet presAssocID="{6D1AA29F-F7BE-4941-ABBB-B6B095A014B0}" presName="parentLeftMargin" presStyleLbl="node1" presStyleIdx="0" presStyleCnt="3"/>
      <dgm:spPr/>
      <dgm:t>
        <a:bodyPr/>
        <a:lstStyle/>
        <a:p>
          <a:endParaRPr lang="cs-CZ"/>
        </a:p>
      </dgm:t>
    </dgm:pt>
    <dgm:pt modelId="{D453FE16-1D14-48B3-8F47-2B98FEAD5F46}" type="pres">
      <dgm:prSet presAssocID="{6D1AA29F-F7BE-4941-ABBB-B6B095A014B0}" presName="parentText" presStyleLbl="node1" presStyleIdx="0" presStyleCnt="3" custScaleY="123958">
        <dgm:presLayoutVars>
          <dgm:chMax val="0"/>
          <dgm:bulletEnabled val="1"/>
        </dgm:presLayoutVars>
      </dgm:prSet>
      <dgm:spPr/>
      <dgm:t>
        <a:bodyPr/>
        <a:lstStyle/>
        <a:p>
          <a:endParaRPr lang="cs-CZ"/>
        </a:p>
      </dgm:t>
    </dgm:pt>
    <dgm:pt modelId="{323D2143-9FF2-490B-B655-15C727D900D1}" type="pres">
      <dgm:prSet presAssocID="{6D1AA29F-F7BE-4941-ABBB-B6B095A014B0}" presName="negativeSpace" presStyleCnt="0"/>
      <dgm:spPr/>
      <dgm:t>
        <a:bodyPr/>
        <a:lstStyle/>
        <a:p>
          <a:endParaRPr lang="cs-CZ"/>
        </a:p>
      </dgm:t>
    </dgm:pt>
    <dgm:pt modelId="{1FFE0923-3F28-426F-B9B9-527FD5C290C9}" type="pres">
      <dgm:prSet presAssocID="{6D1AA29F-F7BE-4941-ABBB-B6B095A014B0}" presName="childText" presStyleLbl="conFgAcc1" presStyleIdx="0" presStyleCnt="3">
        <dgm:presLayoutVars>
          <dgm:bulletEnabled val="1"/>
        </dgm:presLayoutVars>
      </dgm:prSet>
      <dgm:spPr/>
      <dgm:t>
        <a:bodyPr/>
        <a:lstStyle/>
        <a:p>
          <a:endParaRPr lang="cs-CZ"/>
        </a:p>
      </dgm:t>
    </dgm:pt>
    <dgm:pt modelId="{9EF9B0D0-BB0C-4675-9BE7-C2E7FEE1B211}" type="pres">
      <dgm:prSet presAssocID="{404CA725-B688-45F1-91F9-C34D6A1C5DE8}" presName="spaceBetweenRectangles" presStyleCnt="0"/>
      <dgm:spPr/>
      <dgm:t>
        <a:bodyPr/>
        <a:lstStyle/>
        <a:p>
          <a:endParaRPr lang="cs-CZ"/>
        </a:p>
      </dgm:t>
    </dgm:pt>
    <dgm:pt modelId="{BC7032D0-7C26-48B3-AF20-D0493FEA4495}" type="pres">
      <dgm:prSet presAssocID="{FE164690-2362-4A19-B6B4-B5C581D57C18}" presName="parentLin" presStyleCnt="0"/>
      <dgm:spPr/>
      <dgm:t>
        <a:bodyPr/>
        <a:lstStyle/>
        <a:p>
          <a:endParaRPr lang="cs-CZ"/>
        </a:p>
      </dgm:t>
    </dgm:pt>
    <dgm:pt modelId="{A5592CB9-3282-44E2-BA39-D71390AA19B4}" type="pres">
      <dgm:prSet presAssocID="{FE164690-2362-4A19-B6B4-B5C581D57C18}" presName="parentLeftMargin" presStyleLbl="node1" presStyleIdx="0" presStyleCnt="3"/>
      <dgm:spPr/>
      <dgm:t>
        <a:bodyPr/>
        <a:lstStyle/>
        <a:p>
          <a:endParaRPr lang="cs-CZ"/>
        </a:p>
      </dgm:t>
    </dgm:pt>
    <dgm:pt modelId="{98B53429-7C54-4398-927D-92A5F2CC881A}" type="pres">
      <dgm:prSet presAssocID="{FE164690-2362-4A19-B6B4-B5C581D57C18}" presName="parentText" presStyleLbl="node1" presStyleIdx="1" presStyleCnt="3" custScaleY="124446" custLinFactNeighborX="-8704" custLinFactNeighborY="-17957">
        <dgm:presLayoutVars>
          <dgm:chMax val="0"/>
          <dgm:bulletEnabled val="1"/>
        </dgm:presLayoutVars>
      </dgm:prSet>
      <dgm:spPr/>
      <dgm:t>
        <a:bodyPr/>
        <a:lstStyle/>
        <a:p>
          <a:endParaRPr lang="cs-CZ"/>
        </a:p>
      </dgm:t>
    </dgm:pt>
    <dgm:pt modelId="{EE3C5165-F0D7-4414-976B-8C03E5136768}" type="pres">
      <dgm:prSet presAssocID="{FE164690-2362-4A19-B6B4-B5C581D57C18}" presName="negativeSpace" presStyleCnt="0"/>
      <dgm:spPr/>
      <dgm:t>
        <a:bodyPr/>
        <a:lstStyle/>
        <a:p>
          <a:endParaRPr lang="cs-CZ"/>
        </a:p>
      </dgm:t>
    </dgm:pt>
    <dgm:pt modelId="{2285831A-CA07-4917-9DBE-2BE4E4EEDFD9}" type="pres">
      <dgm:prSet presAssocID="{FE164690-2362-4A19-B6B4-B5C581D57C18}" presName="childText" presStyleLbl="conFgAcc1" presStyleIdx="1" presStyleCnt="3">
        <dgm:presLayoutVars>
          <dgm:bulletEnabled val="1"/>
        </dgm:presLayoutVars>
      </dgm:prSet>
      <dgm:spPr/>
      <dgm:t>
        <a:bodyPr/>
        <a:lstStyle/>
        <a:p>
          <a:endParaRPr lang="cs-CZ"/>
        </a:p>
      </dgm:t>
    </dgm:pt>
    <dgm:pt modelId="{9929AE7B-C6A9-42C4-B62A-C63E76183DE3}" type="pres">
      <dgm:prSet presAssocID="{64164F1F-4D3A-40A5-85E6-ECAA1409BCD0}" presName="spaceBetweenRectangles" presStyleCnt="0"/>
      <dgm:spPr/>
      <dgm:t>
        <a:bodyPr/>
        <a:lstStyle/>
        <a:p>
          <a:endParaRPr lang="cs-CZ"/>
        </a:p>
      </dgm:t>
    </dgm:pt>
    <dgm:pt modelId="{2846FD25-C3D6-4FCF-A586-A4429BDC3FDA}" type="pres">
      <dgm:prSet presAssocID="{8354E95B-8C97-468C-9630-2012D9337D58}" presName="parentLin" presStyleCnt="0"/>
      <dgm:spPr/>
      <dgm:t>
        <a:bodyPr/>
        <a:lstStyle/>
        <a:p>
          <a:endParaRPr lang="cs-CZ"/>
        </a:p>
      </dgm:t>
    </dgm:pt>
    <dgm:pt modelId="{BC1E2BFF-E653-4E63-B8C8-FFC0289B0C0A}" type="pres">
      <dgm:prSet presAssocID="{8354E95B-8C97-468C-9630-2012D9337D58}" presName="parentLeftMargin" presStyleLbl="node1" presStyleIdx="1" presStyleCnt="3"/>
      <dgm:spPr/>
      <dgm:t>
        <a:bodyPr/>
        <a:lstStyle/>
        <a:p>
          <a:endParaRPr lang="cs-CZ"/>
        </a:p>
      </dgm:t>
    </dgm:pt>
    <dgm:pt modelId="{0D2992C3-B901-4963-9C3E-CF7082E177E6}" type="pres">
      <dgm:prSet presAssocID="{8354E95B-8C97-468C-9630-2012D9337D58}" presName="parentText" presStyleLbl="node1" presStyleIdx="2" presStyleCnt="3" custScaleY="112397">
        <dgm:presLayoutVars>
          <dgm:chMax val="0"/>
          <dgm:bulletEnabled val="1"/>
        </dgm:presLayoutVars>
      </dgm:prSet>
      <dgm:spPr/>
      <dgm:t>
        <a:bodyPr/>
        <a:lstStyle/>
        <a:p>
          <a:endParaRPr lang="cs-CZ"/>
        </a:p>
      </dgm:t>
    </dgm:pt>
    <dgm:pt modelId="{F8DE7652-8F46-441B-BDE7-79F528991DA2}" type="pres">
      <dgm:prSet presAssocID="{8354E95B-8C97-468C-9630-2012D9337D58}" presName="negativeSpace" presStyleCnt="0"/>
      <dgm:spPr/>
      <dgm:t>
        <a:bodyPr/>
        <a:lstStyle/>
        <a:p>
          <a:endParaRPr lang="cs-CZ"/>
        </a:p>
      </dgm:t>
    </dgm:pt>
    <dgm:pt modelId="{39EB9023-B000-49B7-B9FB-099CB29DB097}" type="pres">
      <dgm:prSet presAssocID="{8354E95B-8C97-468C-9630-2012D9337D58}" presName="childText" presStyleLbl="conFgAcc1" presStyleIdx="2" presStyleCnt="3">
        <dgm:presLayoutVars>
          <dgm:bulletEnabled val="1"/>
        </dgm:presLayoutVars>
      </dgm:prSet>
      <dgm:spPr/>
      <dgm:t>
        <a:bodyPr/>
        <a:lstStyle/>
        <a:p>
          <a:endParaRPr lang="cs-CZ"/>
        </a:p>
      </dgm:t>
    </dgm:pt>
  </dgm:ptLst>
  <dgm:cxnLst>
    <dgm:cxn modelId="{EBC919B6-9BD1-4D89-AD67-B01A9F264957}" type="presOf" srcId="{8354E95B-8C97-468C-9630-2012D9337D58}" destId="{0D2992C3-B901-4963-9C3E-CF7082E177E6}" srcOrd="1" destOrd="0" presId="urn:microsoft.com/office/officeart/2005/8/layout/list1"/>
    <dgm:cxn modelId="{84A01C82-FA6E-4826-8BA2-321C614C4220}" type="presOf" srcId="{FE164690-2362-4A19-B6B4-B5C581D57C18}" destId="{98B53429-7C54-4398-927D-92A5F2CC881A}" srcOrd="1" destOrd="0" presId="urn:microsoft.com/office/officeart/2005/8/layout/list1"/>
    <dgm:cxn modelId="{A8098EBB-54F6-43AC-BF84-275FF3CC59AE}" srcId="{FE19FFE7-2AF8-41CD-B166-201D40DD4D36}" destId="{8354E95B-8C97-468C-9630-2012D9337D58}" srcOrd="2" destOrd="0" parTransId="{1C1BB660-1594-4F4B-B076-DBFF65DE93F2}" sibTransId="{D2C6D982-8AFA-493E-831F-D90B40F2264A}"/>
    <dgm:cxn modelId="{85BE4720-83D1-45BE-AACE-F9CA8D5A2E34}" type="presOf" srcId="{6D1AA29F-F7BE-4941-ABBB-B6B095A014B0}" destId="{D453FE16-1D14-48B3-8F47-2B98FEAD5F46}" srcOrd="1" destOrd="0" presId="urn:microsoft.com/office/officeart/2005/8/layout/list1"/>
    <dgm:cxn modelId="{88AB8027-A894-47D4-AE2A-CF02F727F4F9}" type="presOf" srcId="{6D1AA29F-F7BE-4941-ABBB-B6B095A014B0}" destId="{2158CF2E-D37E-4196-A8E5-03525C1E87FA}" srcOrd="0" destOrd="0" presId="urn:microsoft.com/office/officeart/2005/8/layout/list1"/>
    <dgm:cxn modelId="{99DA4FEB-0186-4957-9F3E-354EA2D88B58}" type="presOf" srcId="{FE19FFE7-2AF8-41CD-B166-201D40DD4D36}" destId="{97BBFC5E-9AE1-431C-A148-1869C0E7BBC4}" srcOrd="0" destOrd="0" presId="urn:microsoft.com/office/officeart/2005/8/layout/list1"/>
    <dgm:cxn modelId="{D9A76F1D-4F05-40B7-A54A-E640715BAD43}" srcId="{FE19FFE7-2AF8-41CD-B166-201D40DD4D36}" destId="{FE164690-2362-4A19-B6B4-B5C581D57C18}" srcOrd="1" destOrd="0" parTransId="{79ED9665-0397-4F30-BDD4-8C8B8FF6F144}" sibTransId="{64164F1F-4D3A-40A5-85E6-ECAA1409BCD0}"/>
    <dgm:cxn modelId="{C9C4868B-60B9-46C6-9216-297E920ECBA4}" type="presOf" srcId="{8354E95B-8C97-468C-9630-2012D9337D58}" destId="{BC1E2BFF-E653-4E63-B8C8-FFC0289B0C0A}" srcOrd="0" destOrd="0" presId="urn:microsoft.com/office/officeart/2005/8/layout/list1"/>
    <dgm:cxn modelId="{2709F449-EE8C-438B-8220-25109FC49D37}" type="presOf" srcId="{FE164690-2362-4A19-B6B4-B5C581D57C18}" destId="{A5592CB9-3282-44E2-BA39-D71390AA19B4}" srcOrd="0" destOrd="0" presId="urn:microsoft.com/office/officeart/2005/8/layout/list1"/>
    <dgm:cxn modelId="{2075BCF8-CBD3-4E2B-8D4F-9312C3875C4D}" srcId="{FE19FFE7-2AF8-41CD-B166-201D40DD4D36}" destId="{6D1AA29F-F7BE-4941-ABBB-B6B095A014B0}" srcOrd="0" destOrd="0" parTransId="{DE3D22B5-6B1C-4857-B580-C367C270A8C9}" sibTransId="{404CA725-B688-45F1-91F9-C34D6A1C5DE8}"/>
    <dgm:cxn modelId="{7C83D10B-23F8-4166-843B-4C07EA4527AC}" type="presParOf" srcId="{97BBFC5E-9AE1-431C-A148-1869C0E7BBC4}" destId="{C6AACBA5-4152-48DE-A85B-9D01229F5D01}" srcOrd="0" destOrd="0" presId="urn:microsoft.com/office/officeart/2005/8/layout/list1"/>
    <dgm:cxn modelId="{5431C343-2BEC-41B1-911B-3276311B7C0F}" type="presParOf" srcId="{C6AACBA5-4152-48DE-A85B-9D01229F5D01}" destId="{2158CF2E-D37E-4196-A8E5-03525C1E87FA}" srcOrd="0" destOrd="0" presId="urn:microsoft.com/office/officeart/2005/8/layout/list1"/>
    <dgm:cxn modelId="{F5B92550-0348-4929-BE6A-4C382C1B6743}" type="presParOf" srcId="{C6AACBA5-4152-48DE-A85B-9D01229F5D01}" destId="{D453FE16-1D14-48B3-8F47-2B98FEAD5F46}" srcOrd="1" destOrd="0" presId="urn:microsoft.com/office/officeart/2005/8/layout/list1"/>
    <dgm:cxn modelId="{B5723866-1240-4D49-B9F5-33462B1478B9}" type="presParOf" srcId="{97BBFC5E-9AE1-431C-A148-1869C0E7BBC4}" destId="{323D2143-9FF2-490B-B655-15C727D900D1}" srcOrd="1" destOrd="0" presId="urn:microsoft.com/office/officeart/2005/8/layout/list1"/>
    <dgm:cxn modelId="{CB9DF6AB-D8A8-4B7B-A303-B0D113063685}" type="presParOf" srcId="{97BBFC5E-9AE1-431C-A148-1869C0E7BBC4}" destId="{1FFE0923-3F28-426F-B9B9-527FD5C290C9}" srcOrd="2" destOrd="0" presId="urn:microsoft.com/office/officeart/2005/8/layout/list1"/>
    <dgm:cxn modelId="{AB06F65F-E5BF-49FD-9960-E382B639C556}" type="presParOf" srcId="{97BBFC5E-9AE1-431C-A148-1869C0E7BBC4}" destId="{9EF9B0D0-BB0C-4675-9BE7-C2E7FEE1B211}" srcOrd="3" destOrd="0" presId="urn:microsoft.com/office/officeart/2005/8/layout/list1"/>
    <dgm:cxn modelId="{FDE10BBD-53DE-43B8-BC56-99BE66308E3D}" type="presParOf" srcId="{97BBFC5E-9AE1-431C-A148-1869C0E7BBC4}" destId="{BC7032D0-7C26-48B3-AF20-D0493FEA4495}" srcOrd="4" destOrd="0" presId="urn:microsoft.com/office/officeart/2005/8/layout/list1"/>
    <dgm:cxn modelId="{F20CD33C-1AB3-4891-A2AF-7DBA68DA163D}" type="presParOf" srcId="{BC7032D0-7C26-48B3-AF20-D0493FEA4495}" destId="{A5592CB9-3282-44E2-BA39-D71390AA19B4}" srcOrd="0" destOrd="0" presId="urn:microsoft.com/office/officeart/2005/8/layout/list1"/>
    <dgm:cxn modelId="{940FA394-7281-4F4C-AB06-0045D28968FB}" type="presParOf" srcId="{BC7032D0-7C26-48B3-AF20-D0493FEA4495}" destId="{98B53429-7C54-4398-927D-92A5F2CC881A}" srcOrd="1" destOrd="0" presId="urn:microsoft.com/office/officeart/2005/8/layout/list1"/>
    <dgm:cxn modelId="{0DDD634F-E18F-4CD9-9BBF-95CC88AB4455}" type="presParOf" srcId="{97BBFC5E-9AE1-431C-A148-1869C0E7BBC4}" destId="{EE3C5165-F0D7-4414-976B-8C03E5136768}" srcOrd="5" destOrd="0" presId="urn:microsoft.com/office/officeart/2005/8/layout/list1"/>
    <dgm:cxn modelId="{5E41E102-5FC5-4DC1-8E67-3C67255A8797}" type="presParOf" srcId="{97BBFC5E-9AE1-431C-A148-1869C0E7BBC4}" destId="{2285831A-CA07-4917-9DBE-2BE4E4EEDFD9}" srcOrd="6" destOrd="0" presId="urn:microsoft.com/office/officeart/2005/8/layout/list1"/>
    <dgm:cxn modelId="{21B41937-B91F-45C1-9A9B-E12253CC0CFD}" type="presParOf" srcId="{97BBFC5E-9AE1-431C-A148-1869C0E7BBC4}" destId="{9929AE7B-C6A9-42C4-B62A-C63E76183DE3}" srcOrd="7" destOrd="0" presId="urn:microsoft.com/office/officeart/2005/8/layout/list1"/>
    <dgm:cxn modelId="{13C4EB36-637C-4C61-9576-C31554BB0C29}" type="presParOf" srcId="{97BBFC5E-9AE1-431C-A148-1869C0E7BBC4}" destId="{2846FD25-C3D6-4FCF-A586-A4429BDC3FDA}" srcOrd="8" destOrd="0" presId="urn:microsoft.com/office/officeart/2005/8/layout/list1"/>
    <dgm:cxn modelId="{13B655BB-C4AD-466E-8380-AEFDA1741110}" type="presParOf" srcId="{2846FD25-C3D6-4FCF-A586-A4429BDC3FDA}" destId="{BC1E2BFF-E653-4E63-B8C8-FFC0289B0C0A}" srcOrd="0" destOrd="0" presId="urn:microsoft.com/office/officeart/2005/8/layout/list1"/>
    <dgm:cxn modelId="{3EF505F1-C43C-4873-B19E-8235FA84487E}" type="presParOf" srcId="{2846FD25-C3D6-4FCF-A586-A4429BDC3FDA}" destId="{0D2992C3-B901-4963-9C3E-CF7082E177E6}" srcOrd="1" destOrd="0" presId="urn:microsoft.com/office/officeart/2005/8/layout/list1"/>
    <dgm:cxn modelId="{AA7CDF6D-6155-49BB-AEAE-8F49153853CB}" type="presParOf" srcId="{97BBFC5E-9AE1-431C-A148-1869C0E7BBC4}" destId="{F8DE7652-8F46-441B-BDE7-79F528991DA2}" srcOrd="9" destOrd="0" presId="urn:microsoft.com/office/officeart/2005/8/layout/list1"/>
    <dgm:cxn modelId="{2E20079B-E68B-4246-9FC1-658FBA984A22}" type="presParOf" srcId="{97BBFC5E-9AE1-431C-A148-1869C0E7BBC4}" destId="{39EB9023-B000-49B7-B9FB-099CB29DB097}" srcOrd="10" destOrd="0" presId="urn:microsoft.com/office/officeart/2005/8/layout/list1"/>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F49B1A-EDF6-4CF0-9204-E9D4FC9D414A}">
      <dsp:nvSpPr>
        <dsp:cNvPr id="0" name=""/>
        <dsp:cNvSpPr/>
      </dsp:nvSpPr>
      <dsp:spPr>
        <a:xfrm>
          <a:off x="495667" y="298"/>
          <a:ext cx="807387" cy="484432"/>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solidFill>
                <a:schemeClr val="bg1"/>
              </a:solidFill>
              <a:latin typeface="Arial" panose="020B0604020202020204" pitchFamily="34" charset="0"/>
              <a:cs typeface="Arial" panose="020B0604020202020204" pitchFamily="34" charset="0"/>
            </a:rPr>
            <a:t>MŠMT</a:t>
          </a:r>
        </a:p>
        <a:p>
          <a:pPr lvl="0" algn="ctr" defTabSz="355600">
            <a:lnSpc>
              <a:spcPct val="90000"/>
            </a:lnSpc>
            <a:spcBef>
              <a:spcPct val="0"/>
            </a:spcBef>
            <a:spcAft>
              <a:spcPct val="35000"/>
            </a:spcAft>
          </a:pPr>
          <a:r>
            <a:rPr lang="cs-CZ" sz="800" kern="1200">
              <a:solidFill>
                <a:schemeClr val="bg1"/>
              </a:solidFill>
              <a:latin typeface="Arial" panose="020B0604020202020204" pitchFamily="34" charset="0"/>
              <a:cs typeface="Arial" panose="020B0604020202020204" pitchFamily="34" charset="0"/>
            </a:rPr>
            <a:t>8</a:t>
          </a:r>
        </a:p>
      </dsp:txBody>
      <dsp:txXfrm>
        <a:off x="495667" y="298"/>
        <a:ext cx="807387" cy="484432"/>
      </dsp:txXfrm>
    </dsp:sp>
    <dsp:sp modelId="{9873D35B-FE53-4636-9C72-7ACE5E6F674B}">
      <dsp:nvSpPr>
        <dsp:cNvPr id="0" name=""/>
        <dsp:cNvSpPr/>
      </dsp:nvSpPr>
      <dsp:spPr>
        <a:xfrm>
          <a:off x="1383794" y="298"/>
          <a:ext cx="807387" cy="484432"/>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solidFill>
                <a:schemeClr val="bg1"/>
              </a:solidFill>
              <a:latin typeface="Arial" panose="020B0604020202020204" pitchFamily="34" charset="0"/>
              <a:cs typeface="Arial" panose="020B0604020202020204" pitchFamily="34" charset="0"/>
            </a:rPr>
            <a:t>Obec</a:t>
          </a:r>
        </a:p>
        <a:p>
          <a:pPr lvl="0" algn="ctr" defTabSz="355600">
            <a:lnSpc>
              <a:spcPct val="90000"/>
            </a:lnSpc>
            <a:spcBef>
              <a:spcPct val="0"/>
            </a:spcBef>
            <a:spcAft>
              <a:spcPct val="35000"/>
            </a:spcAft>
          </a:pPr>
          <a:r>
            <a:rPr lang="cs-CZ" sz="800" kern="1200">
              <a:solidFill>
                <a:schemeClr val="bg1"/>
              </a:solidFill>
              <a:latin typeface="Arial" panose="020B0604020202020204" pitchFamily="34" charset="0"/>
              <a:cs typeface="Arial" panose="020B0604020202020204" pitchFamily="34" charset="0"/>
            </a:rPr>
            <a:t>4 617</a:t>
          </a:r>
        </a:p>
      </dsp:txBody>
      <dsp:txXfrm>
        <a:off x="1383794" y="298"/>
        <a:ext cx="807387" cy="484432"/>
      </dsp:txXfrm>
    </dsp:sp>
    <dsp:sp modelId="{30E7D7C6-0CB3-47AE-94BF-8EF3792C5313}">
      <dsp:nvSpPr>
        <dsp:cNvPr id="0" name=""/>
        <dsp:cNvSpPr/>
      </dsp:nvSpPr>
      <dsp:spPr>
        <a:xfrm>
          <a:off x="2271920" y="298"/>
          <a:ext cx="807387" cy="484432"/>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solidFill>
                <a:schemeClr val="bg1"/>
              </a:solidFill>
              <a:latin typeface="Arial" panose="020B0604020202020204" pitchFamily="34" charset="0"/>
              <a:cs typeface="Arial" panose="020B0604020202020204" pitchFamily="34" charset="0"/>
            </a:rPr>
            <a:t>Kraj</a:t>
          </a:r>
        </a:p>
        <a:p>
          <a:pPr lvl="0" algn="ctr" defTabSz="355600">
            <a:lnSpc>
              <a:spcPct val="90000"/>
            </a:lnSpc>
            <a:spcBef>
              <a:spcPct val="0"/>
            </a:spcBef>
            <a:spcAft>
              <a:spcPct val="35000"/>
            </a:spcAft>
          </a:pPr>
          <a:r>
            <a:rPr lang="cs-CZ" sz="800" kern="1200">
              <a:solidFill>
                <a:schemeClr val="bg1"/>
              </a:solidFill>
              <a:latin typeface="Arial" panose="020B0604020202020204" pitchFamily="34" charset="0"/>
              <a:cs typeface="Arial" panose="020B0604020202020204" pitchFamily="34" charset="0"/>
            </a:rPr>
            <a:t>81</a:t>
          </a:r>
        </a:p>
      </dsp:txBody>
      <dsp:txXfrm>
        <a:off x="2271920" y="298"/>
        <a:ext cx="807387" cy="484432"/>
      </dsp:txXfrm>
    </dsp:sp>
    <dsp:sp modelId="{5694E1F8-D2D1-4E26-9C52-D6B9C6B2E1B6}">
      <dsp:nvSpPr>
        <dsp:cNvPr id="0" name=""/>
        <dsp:cNvSpPr/>
      </dsp:nvSpPr>
      <dsp:spPr>
        <a:xfrm>
          <a:off x="3160046" y="298"/>
          <a:ext cx="807387" cy="484432"/>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solidFill>
                <a:schemeClr val="bg1"/>
              </a:solidFill>
              <a:latin typeface="Arial" panose="020B0604020202020204" pitchFamily="34" charset="0"/>
              <a:cs typeface="Arial" panose="020B0604020202020204" pitchFamily="34" charset="0"/>
            </a:rPr>
            <a:t>Privátní sektor</a:t>
          </a:r>
        </a:p>
        <a:p>
          <a:pPr lvl="0" algn="ctr" defTabSz="355600">
            <a:lnSpc>
              <a:spcPct val="90000"/>
            </a:lnSpc>
            <a:spcBef>
              <a:spcPct val="0"/>
            </a:spcBef>
            <a:spcAft>
              <a:spcPct val="35000"/>
            </a:spcAft>
          </a:pPr>
          <a:r>
            <a:rPr lang="cs-CZ" sz="800" kern="1200">
              <a:solidFill>
                <a:schemeClr val="bg1"/>
              </a:solidFill>
              <a:latin typeface="Arial" panose="020B0604020202020204" pitchFamily="34" charset="0"/>
              <a:cs typeface="Arial" panose="020B0604020202020204" pitchFamily="34" charset="0"/>
            </a:rPr>
            <a:t>77</a:t>
          </a:r>
        </a:p>
      </dsp:txBody>
      <dsp:txXfrm>
        <a:off x="3160046" y="298"/>
        <a:ext cx="807387" cy="484432"/>
      </dsp:txXfrm>
    </dsp:sp>
    <dsp:sp modelId="{2119474D-9FC7-4651-9D02-20D219A7D555}">
      <dsp:nvSpPr>
        <dsp:cNvPr id="0" name=""/>
        <dsp:cNvSpPr/>
      </dsp:nvSpPr>
      <dsp:spPr>
        <a:xfrm>
          <a:off x="4048172" y="298"/>
          <a:ext cx="807387" cy="484432"/>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solidFill>
                <a:schemeClr val="bg1"/>
              </a:solidFill>
              <a:latin typeface="Arial" panose="020B0604020202020204" pitchFamily="34" charset="0"/>
              <a:cs typeface="Arial" panose="020B0604020202020204" pitchFamily="34" charset="0"/>
            </a:rPr>
            <a:t>Církev</a:t>
          </a:r>
        </a:p>
        <a:p>
          <a:pPr lvl="0" algn="ctr" defTabSz="355600">
            <a:lnSpc>
              <a:spcPct val="90000"/>
            </a:lnSpc>
            <a:spcBef>
              <a:spcPct val="0"/>
            </a:spcBef>
            <a:spcAft>
              <a:spcPct val="35000"/>
            </a:spcAft>
          </a:pPr>
          <a:r>
            <a:rPr lang="cs-CZ" sz="800" kern="1200">
              <a:solidFill>
                <a:schemeClr val="bg1"/>
              </a:solidFill>
              <a:latin typeface="Arial" panose="020B0604020202020204" pitchFamily="34" charset="0"/>
              <a:cs typeface="Arial" panose="020B0604020202020204" pitchFamily="34" charset="0"/>
            </a:rPr>
            <a:t>25</a:t>
          </a:r>
        </a:p>
      </dsp:txBody>
      <dsp:txXfrm>
        <a:off x="4048172" y="298"/>
        <a:ext cx="807387" cy="4844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F49B1A-EDF6-4CF0-9204-E9D4FC9D414A}">
      <dsp:nvSpPr>
        <dsp:cNvPr id="0" name=""/>
        <dsp:cNvSpPr/>
      </dsp:nvSpPr>
      <dsp:spPr>
        <a:xfrm>
          <a:off x="495667" y="298"/>
          <a:ext cx="807387" cy="484432"/>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solidFill>
                <a:schemeClr val="bg1"/>
              </a:solidFill>
              <a:latin typeface="Arial" panose="020B0604020202020204" pitchFamily="34" charset="0"/>
              <a:cs typeface="Arial" panose="020B0604020202020204" pitchFamily="34" charset="0"/>
            </a:rPr>
            <a:t>MŠMT</a:t>
          </a:r>
        </a:p>
        <a:p>
          <a:pPr lvl="0" algn="ctr" defTabSz="355600">
            <a:lnSpc>
              <a:spcPct val="90000"/>
            </a:lnSpc>
            <a:spcBef>
              <a:spcPct val="0"/>
            </a:spcBef>
            <a:spcAft>
              <a:spcPct val="35000"/>
            </a:spcAft>
          </a:pPr>
          <a:r>
            <a:rPr lang="cs-CZ" sz="800" kern="1200">
              <a:solidFill>
                <a:schemeClr val="bg1"/>
              </a:solidFill>
              <a:latin typeface="Arial" panose="020B0604020202020204" pitchFamily="34" charset="0"/>
              <a:cs typeface="Arial" panose="020B0604020202020204" pitchFamily="34" charset="0"/>
            </a:rPr>
            <a:t>7</a:t>
          </a:r>
        </a:p>
      </dsp:txBody>
      <dsp:txXfrm>
        <a:off x="495667" y="298"/>
        <a:ext cx="807387" cy="484432"/>
      </dsp:txXfrm>
    </dsp:sp>
    <dsp:sp modelId="{9873D35B-FE53-4636-9C72-7ACE5E6F674B}">
      <dsp:nvSpPr>
        <dsp:cNvPr id="0" name=""/>
        <dsp:cNvSpPr/>
      </dsp:nvSpPr>
      <dsp:spPr>
        <a:xfrm>
          <a:off x="1383794" y="298"/>
          <a:ext cx="807387" cy="484432"/>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solidFill>
                <a:schemeClr val="bg1"/>
              </a:solidFill>
              <a:latin typeface="Arial" panose="020B0604020202020204" pitchFamily="34" charset="0"/>
              <a:cs typeface="Arial" panose="020B0604020202020204" pitchFamily="34" charset="0"/>
            </a:rPr>
            <a:t>Obec</a:t>
          </a:r>
        </a:p>
        <a:p>
          <a:pPr lvl="0" algn="ctr" defTabSz="355600">
            <a:lnSpc>
              <a:spcPct val="90000"/>
            </a:lnSpc>
            <a:spcBef>
              <a:spcPct val="0"/>
            </a:spcBef>
            <a:spcAft>
              <a:spcPct val="35000"/>
            </a:spcAft>
          </a:pPr>
          <a:r>
            <a:rPr lang="cs-CZ" sz="800" kern="1200">
              <a:solidFill>
                <a:schemeClr val="bg1"/>
              </a:solidFill>
              <a:latin typeface="Arial" panose="020B0604020202020204" pitchFamily="34" charset="0"/>
              <a:cs typeface="Arial" panose="020B0604020202020204" pitchFamily="34" charset="0"/>
            </a:rPr>
            <a:t>4 743</a:t>
          </a:r>
        </a:p>
      </dsp:txBody>
      <dsp:txXfrm>
        <a:off x="1383794" y="298"/>
        <a:ext cx="807387" cy="484432"/>
      </dsp:txXfrm>
    </dsp:sp>
    <dsp:sp modelId="{30E7D7C6-0CB3-47AE-94BF-8EF3792C5313}">
      <dsp:nvSpPr>
        <dsp:cNvPr id="0" name=""/>
        <dsp:cNvSpPr/>
      </dsp:nvSpPr>
      <dsp:spPr>
        <a:xfrm>
          <a:off x="2271920" y="298"/>
          <a:ext cx="807387" cy="484432"/>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solidFill>
                <a:schemeClr val="bg1"/>
              </a:solidFill>
              <a:latin typeface="Arial" panose="020B0604020202020204" pitchFamily="34" charset="0"/>
              <a:cs typeface="Arial" panose="020B0604020202020204" pitchFamily="34" charset="0"/>
            </a:rPr>
            <a:t>Kraj</a:t>
          </a:r>
        </a:p>
        <a:p>
          <a:pPr lvl="0" algn="ctr" defTabSz="355600">
            <a:lnSpc>
              <a:spcPct val="90000"/>
            </a:lnSpc>
            <a:spcBef>
              <a:spcPct val="0"/>
            </a:spcBef>
            <a:spcAft>
              <a:spcPct val="35000"/>
            </a:spcAft>
          </a:pPr>
          <a:r>
            <a:rPr lang="cs-CZ" sz="800" kern="1200">
              <a:solidFill>
                <a:schemeClr val="bg1"/>
              </a:solidFill>
              <a:latin typeface="Arial" panose="020B0604020202020204" pitchFamily="34" charset="0"/>
              <a:cs typeface="Arial" panose="020B0604020202020204" pitchFamily="34" charset="0"/>
            </a:rPr>
            <a:t>82</a:t>
          </a:r>
        </a:p>
      </dsp:txBody>
      <dsp:txXfrm>
        <a:off x="2271920" y="298"/>
        <a:ext cx="807387" cy="484432"/>
      </dsp:txXfrm>
    </dsp:sp>
    <dsp:sp modelId="{5694E1F8-D2D1-4E26-9C52-D6B9C6B2E1B6}">
      <dsp:nvSpPr>
        <dsp:cNvPr id="0" name=""/>
        <dsp:cNvSpPr/>
      </dsp:nvSpPr>
      <dsp:spPr>
        <a:xfrm>
          <a:off x="3160046" y="298"/>
          <a:ext cx="807387" cy="484432"/>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solidFill>
                <a:schemeClr val="bg1"/>
              </a:solidFill>
              <a:latin typeface="Arial" panose="020B0604020202020204" pitchFamily="34" charset="0"/>
              <a:cs typeface="Arial" panose="020B0604020202020204" pitchFamily="34" charset="0"/>
            </a:rPr>
            <a:t>Privátní sektor</a:t>
          </a:r>
        </a:p>
        <a:p>
          <a:pPr lvl="0" algn="ctr" defTabSz="355600">
            <a:lnSpc>
              <a:spcPct val="90000"/>
            </a:lnSpc>
            <a:spcBef>
              <a:spcPct val="0"/>
            </a:spcBef>
            <a:spcAft>
              <a:spcPct val="35000"/>
            </a:spcAft>
          </a:pPr>
          <a:r>
            <a:rPr lang="cs-CZ" sz="800" kern="1200">
              <a:solidFill>
                <a:schemeClr val="bg1"/>
              </a:solidFill>
              <a:latin typeface="Arial" panose="020B0604020202020204" pitchFamily="34" charset="0"/>
              <a:cs typeface="Arial" panose="020B0604020202020204" pitchFamily="34" charset="0"/>
            </a:rPr>
            <a:t>386</a:t>
          </a:r>
        </a:p>
      </dsp:txBody>
      <dsp:txXfrm>
        <a:off x="3160046" y="298"/>
        <a:ext cx="807387" cy="484432"/>
      </dsp:txXfrm>
    </dsp:sp>
    <dsp:sp modelId="{2119474D-9FC7-4651-9D02-20D219A7D555}">
      <dsp:nvSpPr>
        <dsp:cNvPr id="0" name=""/>
        <dsp:cNvSpPr/>
      </dsp:nvSpPr>
      <dsp:spPr>
        <a:xfrm>
          <a:off x="4048172" y="298"/>
          <a:ext cx="807387" cy="484432"/>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solidFill>
                <a:schemeClr val="bg1"/>
              </a:solidFill>
              <a:latin typeface="Arial" panose="020B0604020202020204" pitchFamily="34" charset="0"/>
              <a:cs typeface="Arial" panose="020B0604020202020204" pitchFamily="34" charset="0"/>
            </a:rPr>
            <a:t>Církev</a:t>
          </a:r>
        </a:p>
        <a:p>
          <a:pPr lvl="0" algn="ctr" defTabSz="355600">
            <a:lnSpc>
              <a:spcPct val="90000"/>
            </a:lnSpc>
            <a:spcBef>
              <a:spcPct val="0"/>
            </a:spcBef>
            <a:spcAft>
              <a:spcPct val="35000"/>
            </a:spcAft>
          </a:pPr>
          <a:r>
            <a:rPr lang="cs-CZ" sz="800" kern="1200">
              <a:solidFill>
                <a:schemeClr val="bg1"/>
              </a:solidFill>
              <a:latin typeface="Arial" panose="020B0604020202020204" pitchFamily="34" charset="0"/>
              <a:cs typeface="Arial" panose="020B0604020202020204" pitchFamily="34" charset="0"/>
            </a:rPr>
            <a:t>50</a:t>
          </a:r>
        </a:p>
      </dsp:txBody>
      <dsp:txXfrm>
        <a:off x="4048172" y="298"/>
        <a:ext cx="807387" cy="48443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F49B1A-EDF6-4CF0-9204-E9D4FC9D414A}">
      <dsp:nvSpPr>
        <dsp:cNvPr id="0" name=""/>
        <dsp:cNvSpPr/>
      </dsp:nvSpPr>
      <dsp:spPr>
        <a:xfrm>
          <a:off x="1676" y="41709"/>
          <a:ext cx="907889" cy="544733"/>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solidFill>
                <a:schemeClr val="bg1"/>
              </a:solidFill>
              <a:latin typeface="Arial" panose="020B0604020202020204" pitchFamily="34" charset="0"/>
              <a:cs typeface="Arial" panose="020B0604020202020204" pitchFamily="34" charset="0"/>
            </a:rPr>
            <a:t>MŠMT</a:t>
          </a:r>
        </a:p>
        <a:p>
          <a:pPr lvl="0" algn="ctr" defTabSz="355600">
            <a:lnSpc>
              <a:spcPct val="90000"/>
            </a:lnSpc>
            <a:spcBef>
              <a:spcPct val="0"/>
            </a:spcBef>
            <a:spcAft>
              <a:spcPct val="35000"/>
            </a:spcAft>
          </a:pPr>
          <a:r>
            <a:rPr lang="cs-CZ" sz="800" kern="1200">
              <a:solidFill>
                <a:schemeClr val="bg1"/>
              </a:solidFill>
              <a:latin typeface="Arial" panose="020B0604020202020204" pitchFamily="34" charset="0"/>
              <a:cs typeface="Arial" panose="020B0604020202020204" pitchFamily="34" charset="0"/>
            </a:rPr>
            <a:t>48</a:t>
          </a:r>
        </a:p>
      </dsp:txBody>
      <dsp:txXfrm>
        <a:off x="1676" y="41709"/>
        <a:ext cx="907889" cy="544733"/>
      </dsp:txXfrm>
    </dsp:sp>
    <dsp:sp modelId="{9873D35B-FE53-4636-9C72-7ACE5E6F674B}">
      <dsp:nvSpPr>
        <dsp:cNvPr id="0" name=""/>
        <dsp:cNvSpPr/>
      </dsp:nvSpPr>
      <dsp:spPr>
        <a:xfrm>
          <a:off x="1000354" y="41709"/>
          <a:ext cx="907889" cy="544733"/>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solidFill>
                <a:schemeClr val="bg1"/>
              </a:solidFill>
              <a:latin typeface="Arial" panose="020B0604020202020204" pitchFamily="34" charset="0"/>
              <a:cs typeface="Arial" panose="020B0604020202020204" pitchFamily="34" charset="0"/>
            </a:rPr>
            <a:t>Obec</a:t>
          </a:r>
        </a:p>
        <a:p>
          <a:pPr lvl="0" algn="ctr" defTabSz="355600">
            <a:lnSpc>
              <a:spcPct val="90000"/>
            </a:lnSpc>
            <a:spcBef>
              <a:spcPct val="0"/>
            </a:spcBef>
            <a:spcAft>
              <a:spcPct val="35000"/>
            </a:spcAft>
          </a:pPr>
          <a:r>
            <a:rPr lang="cs-CZ" sz="800" kern="1200">
              <a:solidFill>
                <a:schemeClr val="bg1"/>
              </a:solidFill>
              <a:latin typeface="Arial" panose="020B0604020202020204" pitchFamily="34" charset="0"/>
              <a:cs typeface="Arial" panose="020B0604020202020204" pitchFamily="34" charset="0"/>
            </a:rPr>
            <a:t>3 700</a:t>
          </a:r>
        </a:p>
      </dsp:txBody>
      <dsp:txXfrm>
        <a:off x="1000354" y="41709"/>
        <a:ext cx="907889" cy="544733"/>
      </dsp:txXfrm>
    </dsp:sp>
    <dsp:sp modelId="{30E7D7C6-0CB3-47AE-94BF-8EF3792C5313}">
      <dsp:nvSpPr>
        <dsp:cNvPr id="0" name=""/>
        <dsp:cNvSpPr/>
      </dsp:nvSpPr>
      <dsp:spPr>
        <a:xfrm>
          <a:off x="1999032" y="41709"/>
          <a:ext cx="907889" cy="544733"/>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solidFill>
                <a:schemeClr val="bg1"/>
              </a:solidFill>
              <a:latin typeface="Arial" panose="020B0604020202020204" pitchFamily="34" charset="0"/>
              <a:cs typeface="Arial" panose="020B0604020202020204" pitchFamily="34" charset="0"/>
            </a:rPr>
            <a:t>Kraj</a:t>
          </a:r>
        </a:p>
        <a:p>
          <a:pPr lvl="0" algn="ctr" defTabSz="355600">
            <a:lnSpc>
              <a:spcPct val="90000"/>
            </a:lnSpc>
            <a:spcBef>
              <a:spcPct val="0"/>
            </a:spcBef>
            <a:spcAft>
              <a:spcPct val="35000"/>
            </a:spcAft>
          </a:pPr>
          <a:r>
            <a:rPr lang="cs-CZ" sz="800" kern="1200">
              <a:solidFill>
                <a:schemeClr val="bg1"/>
              </a:solidFill>
              <a:latin typeface="Arial" panose="020B0604020202020204" pitchFamily="34" charset="0"/>
              <a:cs typeface="Arial" panose="020B0604020202020204" pitchFamily="34" charset="0"/>
            </a:rPr>
            <a:t>309</a:t>
          </a:r>
        </a:p>
      </dsp:txBody>
      <dsp:txXfrm>
        <a:off x="1999032" y="41709"/>
        <a:ext cx="907889" cy="544733"/>
      </dsp:txXfrm>
    </dsp:sp>
    <dsp:sp modelId="{5694E1F8-D2D1-4E26-9C52-D6B9C6B2E1B6}">
      <dsp:nvSpPr>
        <dsp:cNvPr id="0" name=""/>
        <dsp:cNvSpPr/>
      </dsp:nvSpPr>
      <dsp:spPr>
        <a:xfrm>
          <a:off x="2997710" y="41709"/>
          <a:ext cx="907889" cy="544733"/>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solidFill>
                <a:schemeClr val="bg1"/>
              </a:solidFill>
              <a:latin typeface="Arial" panose="020B0604020202020204" pitchFamily="34" charset="0"/>
              <a:cs typeface="Arial" panose="020B0604020202020204" pitchFamily="34" charset="0"/>
            </a:rPr>
            <a:t>Privátní sektor</a:t>
          </a:r>
        </a:p>
        <a:p>
          <a:pPr lvl="0" algn="ctr" defTabSz="355600">
            <a:lnSpc>
              <a:spcPct val="90000"/>
            </a:lnSpc>
            <a:spcBef>
              <a:spcPct val="0"/>
            </a:spcBef>
            <a:spcAft>
              <a:spcPct val="35000"/>
            </a:spcAft>
          </a:pPr>
          <a:r>
            <a:rPr lang="cs-CZ" sz="800" kern="1200">
              <a:solidFill>
                <a:schemeClr val="bg1"/>
              </a:solidFill>
              <a:latin typeface="Arial" panose="020B0604020202020204" pitchFamily="34" charset="0"/>
              <a:cs typeface="Arial" panose="020B0604020202020204" pitchFamily="34" charset="0"/>
            </a:rPr>
            <a:t>62</a:t>
          </a:r>
        </a:p>
      </dsp:txBody>
      <dsp:txXfrm>
        <a:off x="2997710" y="41709"/>
        <a:ext cx="907889" cy="544733"/>
      </dsp:txXfrm>
    </dsp:sp>
    <dsp:sp modelId="{2119474D-9FC7-4651-9D02-20D219A7D555}">
      <dsp:nvSpPr>
        <dsp:cNvPr id="0" name=""/>
        <dsp:cNvSpPr/>
      </dsp:nvSpPr>
      <dsp:spPr>
        <a:xfrm>
          <a:off x="3996389" y="41709"/>
          <a:ext cx="907889" cy="544733"/>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solidFill>
                <a:schemeClr val="bg1"/>
              </a:solidFill>
              <a:latin typeface="Arial" panose="020B0604020202020204" pitchFamily="34" charset="0"/>
              <a:cs typeface="Arial" panose="020B0604020202020204" pitchFamily="34" charset="0"/>
            </a:rPr>
            <a:t>Církev</a:t>
          </a:r>
        </a:p>
        <a:p>
          <a:pPr lvl="0" algn="ctr" defTabSz="355600">
            <a:lnSpc>
              <a:spcPct val="90000"/>
            </a:lnSpc>
            <a:spcBef>
              <a:spcPct val="0"/>
            </a:spcBef>
            <a:spcAft>
              <a:spcPct val="35000"/>
            </a:spcAft>
          </a:pPr>
          <a:r>
            <a:rPr lang="cs-CZ" sz="800" kern="1200">
              <a:solidFill>
                <a:schemeClr val="bg1"/>
              </a:solidFill>
              <a:latin typeface="Arial" panose="020B0604020202020204" pitchFamily="34" charset="0"/>
              <a:cs typeface="Arial" panose="020B0604020202020204" pitchFamily="34" charset="0"/>
            </a:rPr>
            <a:t>36</a:t>
          </a:r>
        </a:p>
      </dsp:txBody>
      <dsp:txXfrm>
        <a:off x="3996389" y="41709"/>
        <a:ext cx="907889" cy="54473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F49B1A-EDF6-4CF0-9204-E9D4FC9D414A}">
      <dsp:nvSpPr>
        <dsp:cNvPr id="0" name=""/>
        <dsp:cNvSpPr/>
      </dsp:nvSpPr>
      <dsp:spPr>
        <a:xfrm>
          <a:off x="58306" y="294"/>
          <a:ext cx="913419" cy="548051"/>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solidFill>
                <a:schemeClr val="bg1"/>
              </a:solidFill>
              <a:latin typeface="Arial" panose="020B0604020202020204" pitchFamily="34" charset="0"/>
              <a:cs typeface="Arial" panose="020B0604020202020204" pitchFamily="34" charset="0"/>
            </a:rPr>
            <a:t>MŠMT</a:t>
          </a:r>
        </a:p>
        <a:p>
          <a:pPr lvl="0" algn="ctr" defTabSz="355600">
            <a:lnSpc>
              <a:spcPct val="90000"/>
            </a:lnSpc>
            <a:spcBef>
              <a:spcPct val="0"/>
            </a:spcBef>
            <a:spcAft>
              <a:spcPct val="35000"/>
            </a:spcAft>
          </a:pPr>
          <a:r>
            <a:rPr lang="cs-CZ" sz="800" kern="1200">
              <a:solidFill>
                <a:schemeClr val="bg1"/>
              </a:solidFill>
              <a:latin typeface="Arial" panose="020B0604020202020204" pitchFamily="34" charset="0"/>
              <a:cs typeface="Arial" panose="020B0604020202020204" pitchFamily="34" charset="0"/>
            </a:rPr>
            <a:t>44</a:t>
          </a:r>
        </a:p>
      </dsp:txBody>
      <dsp:txXfrm>
        <a:off x="58306" y="294"/>
        <a:ext cx="913419" cy="548051"/>
      </dsp:txXfrm>
    </dsp:sp>
    <dsp:sp modelId="{9873D35B-FE53-4636-9C72-7ACE5E6F674B}">
      <dsp:nvSpPr>
        <dsp:cNvPr id="0" name=""/>
        <dsp:cNvSpPr/>
      </dsp:nvSpPr>
      <dsp:spPr>
        <a:xfrm>
          <a:off x="1063067" y="294"/>
          <a:ext cx="913419" cy="548051"/>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solidFill>
                <a:schemeClr val="bg1"/>
              </a:solidFill>
              <a:latin typeface="Arial" panose="020B0604020202020204" pitchFamily="34" charset="0"/>
              <a:cs typeface="Arial" panose="020B0604020202020204" pitchFamily="34" charset="0"/>
            </a:rPr>
            <a:t>Obec</a:t>
          </a:r>
        </a:p>
        <a:p>
          <a:pPr lvl="0" algn="ctr" defTabSz="355600">
            <a:lnSpc>
              <a:spcPct val="90000"/>
            </a:lnSpc>
            <a:spcBef>
              <a:spcPct val="0"/>
            </a:spcBef>
            <a:spcAft>
              <a:spcPct val="35000"/>
            </a:spcAft>
          </a:pPr>
          <a:r>
            <a:rPr lang="cs-CZ" sz="800" kern="1200">
              <a:solidFill>
                <a:schemeClr val="bg1"/>
              </a:solidFill>
              <a:latin typeface="Arial" panose="020B0604020202020204" pitchFamily="34" charset="0"/>
              <a:cs typeface="Arial" panose="020B0604020202020204" pitchFamily="34" charset="0"/>
            </a:rPr>
            <a:t>3 619</a:t>
          </a:r>
        </a:p>
      </dsp:txBody>
      <dsp:txXfrm>
        <a:off x="1063067" y="294"/>
        <a:ext cx="913419" cy="548051"/>
      </dsp:txXfrm>
    </dsp:sp>
    <dsp:sp modelId="{30E7D7C6-0CB3-47AE-94BF-8EF3792C5313}">
      <dsp:nvSpPr>
        <dsp:cNvPr id="0" name=""/>
        <dsp:cNvSpPr/>
      </dsp:nvSpPr>
      <dsp:spPr>
        <a:xfrm>
          <a:off x="2067829" y="294"/>
          <a:ext cx="913419" cy="548051"/>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solidFill>
                <a:schemeClr val="bg1"/>
              </a:solidFill>
              <a:latin typeface="Arial" panose="020B0604020202020204" pitchFamily="34" charset="0"/>
              <a:cs typeface="Arial" panose="020B0604020202020204" pitchFamily="34" charset="0"/>
            </a:rPr>
            <a:t>Kraj</a:t>
          </a:r>
        </a:p>
        <a:p>
          <a:pPr lvl="0" algn="ctr" defTabSz="355600">
            <a:lnSpc>
              <a:spcPct val="90000"/>
            </a:lnSpc>
            <a:spcBef>
              <a:spcPct val="0"/>
            </a:spcBef>
            <a:spcAft>
              <a:spcPct val="35000"/>
            </a:spcAft>
          </a:pPr>
          <a:r>
            <a:rPr lang="cs-CZ" sz="800" kern="1200">
              <a:solidFill>
                <a:schemeClr val="bg1"/>
              </a:solidFill>
              <a:latin typeface="Arial" panose="020B0604020202020204" pitchFamily="34" charset="0"/>
              <a:cs typeface="Arial" panose="020B0604020202020204" pitchFamily="34" charset="0"/>
            </a:rPr>
            <a:t>251</a:t>
          </a:r>
        </a:p>
      </dsp:txBody>
      <dsp:txXfrm>
        <a:off x="2067829" y="294"/>
        <a:ext cx="913419" cy="548051"/>
      </dsp:txXfrm>
    </dsp:sp>
    <dsp:sp modelId="{5694E1F8-D2D1-4E26-9C52-D6B9C6B2E1B6}">
      <dsp:nvSpPr>
        <dsp:cNvPr id="0" name=""/>
        <dsp:cNvSpPr/>
      </dsp:nvSpPr>
      <dsp:spPr>
        <a:xfrm>
          <a:off x="3072590" y="294"/>
          <a:ext cx="913419" cy="548051"/>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solidFill>
                <a:schemeClr val="bg1"/>
              </a:solidFill>
              <a:latin typeface="Arial" panose="020B0604020202020204" pitchFamily="34" charset="0"/>
              <a:cs typeface="Arial" panose="020B0604020202020204" pitchFamily="34" charset="0"/>
            </a:rPr>
            <a:t>Privátní sektor</a:t>
          </a:r>
        </a:p>
        <a:p>
          <a:pPr lvl="0" algn="ctr" defTabSz="355600">
            <a:lnSpc>
              <a:spcPct val="90000"/>
            </a:lnSpc>
            <a:spcBef>
              <a:spcPct val="0"/>
            </a:spcBef>
            <a:spcAft>
              <a:spcPct val="35000"/>
            </a:spcAft>
          </a:pPr>
          <a:r>
            <a:rPr lang="cs-CZ" sz="800" kern="1200">
              <a:solidFill>
                <a:schemeClr val="bg1"/>
              </a:solidFill>
              <a:latin typeface="Arial" panose="020B0604020202020204" pitchFamily="34" charset="0"/>
              <a:cs typeface="Arial" panose="020B0604020202020204" pitchFamily="34" charset="0"/>
            </a:rPr>
            <a:t>196</a:t>
          </a:r>
        </a:p>
      </dsp:txBody>
      <dsp:txXfrm>
        <a:off x="3072590" y="294"/>
        <a:ext cx="913419" cy="548051"/>
      </dsp:txXfrm>
    </dsp:sp>
    <dsp:sp modelId="{2119474D-9FC7-4651-9D02-20D219A7D555}">
      <dsp:nvSpPr>
        <dsp:cNvPr id="0" name=""/>
        <dsp:cNvSpPr/>
      </dsp:nvSpPr>
      <dsp:spPr>
        <a:xfrm>
          <a:off x="4077352" y="294"/>
          <a:ext cx="913419" cy="548051"/>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solidFill>
                <a:schemeClr val="bg1"/>
              </a:solidFill>
              <a:latin typeface="Arial" panose="020B0604020202020204" pitchFamily="34" charset="0"/>
              <a:cs typeface="Arial" panose="020B0604020202020204" pitchFamily="34" charset="0"/>
            </a:rPr>
            <a:t>Církev</a:t>
          </a:r>
        </a:p>
        <a:p>
          <a:pPr lvl="0" algn="ctr" defTabSz="355600">
            <a:lnSpc>
              <a:spcPct val="90000"/>
            </a:lnSpc>
            <a:spcBef>
              <a:spcPct val="0"/>
            </a:spcBef>
            <a:spcAft>
              <a:spcPct val="35000"/>
            </a:spcAft>
          </a:pPr>
          <a:r>
            <a:rPr lang="cs-CZ" sz="800" kern="1200">
              <a:solidFill>
                <a:schemeClr val="bg1"/>
              </a:solidFill>
              <a:latin typeface="Arial" panose="020B0604020202020204" pitchFamily="34" charset="0"/>
              <a:cs typeface="Arial" panose="020B0604020202020204" pitchFamily="34" charset="0"/>
            </a:rPr>
            <a:t>45</a:t>
          </a:r>
        </a:p>
      </dsp:txBody>
      <dsp:txXfrm>
        <a:off x="4077352" y="294"/>
        <a:ext cx="913419" cy="54805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D22F-0404-42C8-98C7-BD863A5D0BA0}">
      <dsp:nvSpPr>
        <dsp:cNvPr id="0" name=""/>
        <dsp:cNvSpPr/>
      </dsp:nvSpPr>
      <dsp:spPr>
        <a:xfrm>
          <a:off x="677" y="656"/>
          <a:ext cx="5903315" cy="431257"/>
        </a:xfrm>
        <a:prstGeom prst="roundRect">
          <a:avLst>
            <a:gd name="adj" fmla="val 10000"/>
          </a:avLst>
        </a:prstGeom>
        <a:solidFill>
          <a:schemeClr val="accent2">
            <a:shade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cs-CZ" sz="1800" kern="1200"/>
            <a:t>Anglický jazyk 99,4 %</a:t>
          </a:r>
        </a:p>
      </dsp:txBody>
      <dsp:txXfrm>
        <a:off x="13308" y="13287"/>
        <a:ext cx="5878053" cy="405995"/>
      </dsp:txXfrm>
    </dsp:sp>
    <dsp:sp modelId="{AC44E078-C564-4640-B935-E527D3DA08F0}">
      <dsp:nvSpPr>
        <dsp:cNvPr id="0" name=""/>
        <dsp:cNvSpPr/>
      </dsp:nvSpPr>
      <dsp:spPr>
        <a:xfrm>
          <a:off x="0" y="527818"/>
          <a:ext cx="3856228" cy="431257"/>
        </a:xfrm>
        <a:prstGeom prst="roundRect">
          <a:avLst>
            <a:gd name="adj" fmla="val 10000"/>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cs-CZ" sz="1800" b="1" kern="1200"/>
            <a:t>Německý jazyk 22,3 %</a:t>
          </a:r>
        </a:p>
      </dsp:txBody>
      <dsp:txXfrm>
        <a:off x="12631" y="540449"/>
        <a:ext cx="3830966" cy="405995"/>
      </dsp:txXfrm>
    </dsp:sp>
    <dsp:sp modelId="{44307085-A875-454F-B612-E4E48999FFCB}">
      <dsp:nvSpPr>
        <dsp:cNvPr id="0" name=""/>
        <dsp:cNvSpPr/>
      </dsp:nvSpPr>
      <dsp:spPr>
        <a:xfrm>
          <a:off x="677" y="1054980"/>
          <a:ext cx="1888456" cy="431257"/>
        </a:xfrm>
        <a:prstGeom prst="roundRect">
          <a:avLst>
            <a:gd name="adj" fmla="val 10000"/>
          </a:avLst>
        </a:prstGeom>
        <a:solidFill>
          <a:schemeClr val="accent2">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cs-CZ" sz="1400" b="1" kern="1200"/>
            <a:t>Španělský jazyk 0,8 %</a:t>
          </a:r>
        </a:p>
      </dsp:txBody>
      <dsp:txXfrm>
        <a:off x="13308" y="1067611"/>
        <a:ext cx="1863194" cy="405995"/>
      </dsp:txXfrm>
    </dsp:sp>
    <dsp:sp modelId="{EB602B53-12CF-4E6D-A910-0D7E23F4554D}">
      <dsp:nvSpPr>
        <dsp:cNvPr id="0" name=""/>
        <dsp:cNvSpPr/>
      </dsp:nvSpPr>
      <dsp:spPr>
        <a:xfrm>
          <a:off x="1968449" y="1054980"/>
          <a:ext cx="1888456" cy="431257"/>
        </a:xfrm>
        <a:prstGeom prst="roundRect">
          <a:avLst>
            <a:gd name="adj" fmla="val 10000"/>
          </a:avLst>
        </a:prstGeom>
        <a:solidFill>
          <a:schemeClr val="accent2">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cs-CZ" sz="1400" b="1" kern="1200"/>
            <a:t>Francouzský jazyk 0,8 %</a:t>
          </a:r>
        </a:p>
      </dsp:txBody>
      <dsp:txXfrm>
        <a:off x="1981080" y="1067611"/>
        <a:ext cx="1863194" cy="405995"/>
      </dsp:txXfrm>
    </dsp:sp>
    <dsp:sp modelId="{28779A61-1645-4DB5-9FD0-1DF29F999A9E}">
      <dsp:nvSpPr>
        <dsp:cNvPr id="0" name=""/>
        <dsp:cNvSpPr/>
      </dsp:nvSpPr>
      <dsp:spPr>
        <a:xfrm>
          <a:off x="4015536" y="527818"/>
          <a:ext cx="1888456" cy="431257"/>
        </a:xfrm>
        <a:prstGeom prst="roundRect">
          <a:avLst>
            <a:gd name="adj" fmla="val 10000"/>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cs-CZ" sz="1800" b="1" kern="1200"/>
            <a:t>Ruský jazyk 6,6 %</a:t>
          </a:r>
        </a:p>
      </dsp:txBody>
      <dsp:txXfrm>
        <a:off x="4028167" y="540449"/>
        <a:ext cx="1863194" cy="405995"/>
      </dsp:txXfrm>
    </dsp:sp>
    <dsp:sp modelId="{1B8AC3CC-4772-4644-AEBE-F71E8E4A5C25}">
      <dsp:nvSpPr>
        <dsp:cNvPr id="0" name=""/>
        <dsp:cNvSpPr/>
      </dsp:nvSpPr>
      <dsp:spPr>
        <a:xfrm>
          <a:off x="4015536" y="1054980"/>
          <a:ext cx="1888456" cy="431257"/>
        </a:xfrm>
        <a:prstGeom prst="roundRect">
          <a:avLst>
            <a:gd name="adj" fmla="val 10000"/>
          </a:avLst>
        </a:prstGeom>
        <a:solidFill>
          <a:schemeClr val="accent2">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cs-CZ" sz="1400" b="1" kern="1200"/>
            <a:t>Italský jazyk 0,04 %</a:t>
          </a:r>
        </a:p>
      </dsp:txBody>
      <dsp:txXfrm>
        <a:off x="4028167" y="1067611"/>
        <a:ext cx="1863194" cy="40599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6F1611-346E-4914-BA8A-94EAE9FD0BE9}">
      <dsp:nvSpPr>
        <dsp:cNvPr id="0" name=""/>
        <dsp:cNvSpPr/>
      </dsp:nvSpPr>
      <dsp:spPr>
        <a:xfrm rot="5400000">
          <a:off x="2712476" y="-1653656"/>
          <a:ext cx="1117558" cy="4427079"/>
        </a:xfrm>
        <a:prstGeom prst="round2SameRect">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endParaRPr lang="cs-CZ" sz="900" kern="1200">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Char char="••"/>
          </a:pPr>
          <a:r>
            <a:rPr lang="cs-CZ" sz="900" kern="1200">
              <a:latin typeface="Arial" pitchFamily="34" charset="0"/>
              <a:ea typeface="+mn-ea"/>
              <a:cs typeface="Arial" pitchFamily="34" charset="0"/>
            </a:rPr>
            <a:t> Střední vzdělání je ukončeno závěrečnou zkouškou a absolventi získají vysvědčení (nikoli však výuční list nebo maturitu). </a:t>
          </a:r>
        </a:p>
        <a:p>
          <a:pPr marL="57150" lvl="1" indent="-57150" algn="l" defTabSz="400050">
            <a:lnSpc>
              <a:spcPct val="90000"/>
            </a:lnSpc>
            <a:spcBef>
              <a:spcPct val="0"/>
            </a:spcBef>
            <a:spcAft>
              <a:spcPct val="15000"/>
            </a:spcAft>
            <a:buChar char="••"/>
          </a:pPr>
          <a:r>
            <a:rPr lang="cs-CZ" sz="900" kern="1200">
              <a:latin typeface="Arial" pitchFamily="34" charset="0"/>
              <a:ea typeface="+mn-ea"/>
              <a:cs typeface="Arial" pitchFamily="34" charset="0"/>
            </a:rPr>
            <a:t> Délka vzdělání je 2 roky.</a:t>
          </a:r>
        </a:p>
        <a:p>
          <a:pPr marL="57150" lvl="1" indent="-57150" algn="l" defTabSz="355600">
            <a:lnSpc>
              <a:spcPct val="90000"/>
            </a:lnSpc>
            <a:spcBef>
              <a:spcPct val="0"/>
            </a:spcBef>
            <a:spcAft>
              <a:spcPct val="15000"/>
            </a:spcAft>
            <a:buChar char="••"/>
          </a:pPr>
          <a:endParaRPr lang="cs-CZ" sz="800" kern="1200">
            <a:solidFill>
              <a:sysClr val="windowText" lastClr="000000">
                <a:hueOff val="0"/>
                <a:satOff val="0"/>
                <a:lumOff val="0"/>
                <a:alphaOff val="0"/>
              </a:sysClr>
            </a:solidFill>
            <a:latin typeface="Arial" pitchFamily="34" charset="0"/>
            <a:ea typeface="+mn-ea"/>
            <a:cs typeface="Arial" pitchFamily="34" charset="0"/>
          </a:endParaRPr>
        </a:p>
      </dsp:txBody>
      <dsp:txXfrm rot="-5400000">
        <a:off x="1057716" y="55659"/>
        <a:ext cx="4372524" cy="1008448"/>
      </dsp:txXfrm>
    </dsp:sp>
    <dsp:sp modelId="{BB169B78-F9EF-48F4-8BEB-F4ABDA590894}">
      <dsp:nvSpPr>
        <dsp:cNvPr id="0" name=""/>
        <dsp:cNvSpPr/>
      </dsp:nvSpPr>
      <dsp:spPr>
        <a:xfrm>
          <a:off x="1604" y="273876"/>
          <a:ext cx="1056112" cy="572014"/>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cs-CZ" sz="900" b="1" kern="1200">
              <a:latin typeface="Arial" panose="020B0604020202020204" pitchFamily="34" charset="0"/>
              <a:cs typeface="Arial" panose="020B0604020202020204" pitchFamily="34" charset="0"/>
            </a:rPr>
            <a:t>Střední školy</a:t>
          </a:r>
        </a:p>
      </dsp:txBody>
      <dsp:txXfrm>
        <a:off x="29527" y="301799"/>
        <a:ext cx="1000266" cy="516168"/>
      </dsp:txXfrm>
    </dsp:sp>
    <dsp:sp modelId="{E87858D3-A585-4423-B5D2-BDD588E5E41F}">
      <dsp:nvSpPr>
        <dsp:cNvPr id="0" name=""/>
        <dsp:cNvSpPr/>
      </dsp:nvSpPr>
      <dsp:spPr>
        <a:xfrm rot="5400000">
          <a:off x="2725186" y="-516020"/>
          <a:ext cx="1080589" cy="4419270"/>
        </a:xfrm>
        <a:prstGeom prst="round2SameRect">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cs-CZ" sz="900" kern="1200">
              <a:latin typeface="Arial" pitchFamily="34" charset="0"/>
              <a:cs typeface="Arial" pitchFamily="34" charset="0"/>
            </a:rPr>
            <a:t> Jedná se o profesní přípravu v tradičních učebních oborech středních odborných učilišť. Absolventi získají výuční list a mohou pokračovat v nástavbovém studiu k získání maturity. </a:t>
          </a:r>
          <a:endParaRPr lang="cs-CZ" sz="900" kern="1200"/>
        </a:p>
        <a:p>
          <a:pPr marL="57150" lvl="1" indent="-57150" algn="l" defTabSz="400050">
            <a:lnSpc>
              <a:spcPct val="90000"/>
            </a:lnSpc>
            <a:spcBef>
              <a:spcPct val="0"/>
            </a:spcBef>
            <a:spcAft>
              <a:spcPct val="15000"/>
            </a:spcAft>
            <a:buChar char="••"/>
          </a:pPr>
          <a:r>
            <a:rPr lang="cs-CZ" sz="900" kern="1200">
              <a:latin typeface="Arial" pitchFamily="34" charset="0"/>
              <a:cs typeface="Arial" pitchFamily="34" charset="0"/>
            </a:rPr>
            <a:t> Délka vzdělání je 3 roky.</a:t>
          </a:r>
          <a:endParaRPr lang="cs-CZ" sz="900" kern="1200"/>
        </a:p>
      </dsp:txBody>
      <dsp:txXfrm rot="-5400000">
        <a:off x="1055846" y="1206070"/>
        <a:ext cx="4366520" cy="975089"/>
      </dsp:txXfrm>
    </dsp:sp>
    <dsp:sp modelId="{B229AC6E-9D34-4955-86D6-1B63C3679598}">
      <dsp:nvSpPr>
        <dsp:cNvPr id="0" name=""/>
        <dsp:cNvSpPr/>
      </dsp:nvSpPr>
      <dsp:spPr>
        <a:xfrm>
          <a:off x="1604" y="1407191"/>
          <a:ext cx="1054241" cy="572846"/>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cs-CZ" sz="900" b="1" kern="1200">
              <a:latin typeface="Arial" pitchFamily="34" charset="0"/>
              <a:cs typeface="Arial" pitchFamily="34" charset="0"/>
            </a:rPr>
            <a:t>Střední odborné vzdělání s výučním listem</a:t>
          </a:r>
          <a:endParaRPr lang="cs-CZ" sz="900" kern="1200"/>
        </a:p>
      </dsp:txBody>
      <dsp:txXfrm>
        <a:off x="29568" y="1435155"/>
        <a:ext cx="998313" cy="516918"/>
      </dsp:txXfrm>
    </dsp:sp>
    <dsp:sp modelId="{2B0B4939-064C-4121-A745-7CFAB4E3BE0C}">
      <dsp:nvSpPr>
        <dsp:cNvPr id="0" name=""/>
        <dsp:cNvSpPr/>
      </dsp:nvSpPr>
      <dsp:spPr>
        <a:xfrm rot="5400000">
          <a:off x="2725186" y="599226"/>
          <a:ext cx="1080589" cy="4419270"/>
        </a:xfrm>
        <a:prstGeom prst="round2SameRect">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cs-CZ" sz="900" kern="1200">
              <a:latin typeface="Arial" pitchFamily="34" charset="0"/>
              <a:cs typeface="Arial" pitchFamily="34" charset="0"/>
            </a:rPr>
            <a:t> Jedná se o vzdělávání s profesním charakterem, které připravuje žáky pro střední odborné činnosti a nižší řídicí funkce. Absolventi získají maturitní vysvědčení a mohou pokračovat ve vysokoškolském nebo vyšším odborném vzdělávání. </a:t>
          </a:r>
          <a:endParaRPr lang="cs-CZ" sz="900" kern="1200"/>
        </a:p>
        <a:p>
          <a:pPr marL="57150" lvl="1" indent="-57150" algn="l" defTabSz="400050">
            <a:lnSpc>
              <a:spcPct val="90000"/>
            </a:lnSpc>
            <a:spcBef>
              <a:spcPct val="0"/>
            </a:spcBef>
            <a:spcAft>
              <a:spcPct val="15000"/>
            </a:spcAft>
            <a:buChar char="••"/>
          </a:pPr>
          <a:r>
            <a:rPr lang="cs-CZ" sz="900" kern="1200">
              <a:latin typeface="Arial" pitchFamily="34" charset="0"/>
              <a:cs typeface="Arial" pitchFamily="34" charset="0"/>
            </a:rPr>
            <a:t> Délka studia je 4 roky.</a:t>
          </a:r>
          <a:endParaRPr lang="cs-CZ" sz="900" kern="1200"/>
        </a:p>
      </dsp:txBody>
      <dsp:txXfrm rot="-5400000">
        <a:off x="1055846" y="2321316"/>
        <a:ext cx="4366520" cy="975089"/>
      </dsp:txXfrm>
    </dsp:sp>
    <dsp:sp modelId="{9AE6AC81-840A-4E28-93F5-72EF2432A860}">
      <dsp:nvSpPr>
        <dsp:cNvPr id="0" name=""/>
        <dsp:cNvSpPr/>
      </dsp:nvSpPr>
      <dsp:spPr>
        <a:xfrm>
          <a:off x="1604" y="2522438"/>
          <a:ext cx="1054241" cy="572846"/>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cs-CZ" sz="900" b="1" kern="1200">
              <a:latin typeface="Arial" pitchFamily="34" charset="0"/>
              <a:cs typeface="Arial" pitchFamily="34" charset="0"/>
            </a:rPr>
            <a:t>Střední odborné vzdělání s maturitou</a:t>
          </a:r>
          <a:endParaRPr lang="cs-CZ" sz="900" kern="1200"/>
        </a:p>
      </dsp:txBody>
      <dsp:txXfrm>
        <a:off x="29568" y="2550402"/>
        <a:ext cx="998313" cy="516918"/>
      </dsp:txXfrm>
    </dsp:sp>
    <dsp:sp modelId="{0D7856A5-2BDC-4212-AC61-1873BEAEE7D5}">
      <dsp:nvSpPr>
        <dsp:cNvPr id="0" name=""/>
        <dsp:cNvSpPr/>
      </dsp:nvSpPr>
      <dsp:spPr>
        <a:xfrm rot="5400000">
          <a:off x="2725186" y="1714472"/>
          <a:ext cx="1080589" cy="4419270"/>
        </a:xfrm>
        <a:prstGeom prst="round2SameRect">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cs-CZ" sz="900" kern="1200">
              <a:latin typeface="Arial" pitchFamily="34" charset="0"/>
              <a:cs typeface="Arial" pitchFamily="34" charset="0"/>
            </a:rPr>
            <a:t> Příprava má všeobecný neprofesní charakter. Absolventi získají maturitu a jsou připraveni pro vysokoškolské nebo vyšší odborné vzdělávání. </a:t>
          </a:r>
          <a:endParaRPr lang="cs-CZ" sz="900" kern="1200"/>
        </a:p>
        <a:p>
          <a:pPr marL="57150" lvl="1" indent="-57150" algn="l" defTabSz="400050">
            <a:lnSpc>
              <a:spcPct val="90000"/>
            </a:lnSpc>
            <a:spcBef>
              <a:spcPct val="0"/>
            </a:spcBef>
            <a:spcAft>
              <a:spcPct val="15000"/>
            </a:spcAft>
            <a:buChar char="••"/>
          </a:pPr>
          <a:r>
            <a:rPr lang="cs-CZ" sz="900" kern="1200">
              <a:latin typeface="Arial" pitchFamily="34" charset="0"/>
              <a:cs typeface="Arial" pitchFamily="34" charset="0"/>
            </a:rPr>
            <a:t> Existují tři varianty studia: 4leté, 6leté a 8leté.</a:t>
          </a:r>
          <a:endParaRPr lang="cs-CZ" sz="900" kern="1200"/>
        </a:p>
      </dsp:txBody>
      <dsp:txXfrm rot="-5400000">
        <a:off x="1055846" y="3436562"/>
        <a:ext cx="4366520" cy="975089"/>
      </dsp:txXfrm>
    </dsp:sp>
    <dsp:sp modelId="{DF862275-78E5-4BF2-9252-FCC3CC83BDD7}">
      <dsp:nvSpPr>
        <dsp:cNvPr id="0" name=""/>
        <dsp:cNvSpPr/>
      </dsp:nvSpPr>
      <dsp:spPr>
        <a:xfrm>
          <a:off x="1604" y="3637684"/>
          <a:ext cx="1054241" cy="572846"/>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cs-CZ" sz="900" b="1" kern="1200">
              <a:latin typeface="Arial" pitchFamily="34" charset="0"/>
              <a:cs typeface="Arial" pitchFamily="34" charset="0"/>
            </a:rPr>
            <a:t>Střední všeobecné vzdělání</a:t>
          </a:r>
          <a:endParaRPr lang="cs-CZ" sz="900" kern="1200"/>
        </a:p>
      </dsp:txBody>
      <dsp:txXfrm>
        <a:off x="29568" y="3665648"/>
        <a:ext cx="998313" cy="516918"/>
      </dsp:txXfrm>
    </dsp:sp>
    <dsp:sp modelId="{81ABEF8D-C762-4270-8081-D2D149B89BAB}">
      <dsp:nvSpPr>
        <dsp:cNvPr id="0" name=""/>
        <dsp:cNvSpPr/>
      </dsp:nvSpPr>
      <dsp:spPr>
        <a:xfrm rot="5400000">
          <a:off x="2728376" y="2827559"/>
          <a:ext cx="1080589" cy="4423590"/>
        </a:xfrm>
        <a:prstGeom prst="round2SameRect">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cs-CZ" sz="900" kern="1200">
              <a:latin typeface="Arial" pitchFamily="34" charset="0"/>
              <a:cs typeface="Arial" pitchFamily="34" charset="0"/>
            </a:rPr>
            <a:t> Jedná se o studium v uměleckých oborech. Absolventi získají vysvědčení o absolutoriu v konzervatoři a diplom absolventa konzervatoře. Za jménem pak mohou uvádět titul DiS. (diplomovaný specialista). Vzdělání lze ukončit i maturitní zkouškou. </a:t>
          </a:r>
          <a:endParaRPr lang="cs-CZ" sz="900" kern="1200"/>
        </a:p>
        <a:p>
          <a:pPr marL="57150" lvl="1" indent="-57150" algn="l" defTabSz="400050">
            <a:lnSpc>
              <a:spcPct val="90000"/>
            </a:lnSpc>
            <a:spcBef>
              <a:spcPct val="0"/>
            </a:spcBef>
            <a:spcAft>
              <a:spcPct val="15000"/>
            </a:spcAft>
            <a:buChar char="••"/>
          </a:pPr>
          <a:r>
            <a:rPr lang="cs-CZ" sz="900" kern="1200">
              <a:latin typeface="Arial" pitchFamily="34" charset="0"/>
              <a:cs typeface="Arial" pitchFamily="34" charset="0"/>
            </a:rPr>
            <a:t> Délka většiny oborů trvá 6 let a je určena uchazečům po splnění povinné školní docházky. Výjimku tvoří obor Tanec, který trvá 8 let a je určen uchazečům po 5. ročníku základní školy.  </a:t>
          </a:r>
        </a:p>
      </dsp:txBody>
      <dsp:txXfrm rot="-5400000">
        <a:off x="1056876" y="4551809"/>
        <a:ext cx="4370840" cy="975089"/>
      </dsp:txXfrm>
    </dsp:sp>
    <dsp:sp modelId="{8C7BC215-D9E2-4B48-9004-75F6EB1C69FA}">
      <dsp:nvSpPr>
        <dsp:cNvPr id="0" name=""/>
        <dsp:cNvSpPr/>
      </dsp:nvSpPr>
      <dsp:spPr>
        <a:xfrm>
          <a:off x="1604" y="4752931"/>
          <a:ext cx="1055272" cy="572846"/>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cs-CZ" sz="900" b="1" kern="1200">
              <a:latin typeface="Arial" panose="020B0604020202020204" pitchFamily="34" charset="0"/>
              <a:cs typeface="Arial" panose="020B0604020202020204" pitchFamily="34" charset="0"/>
            </a:rPr>
            <a:t>Konzervatoře</a:t>
          </a:r>
        </a:p>
      </dsp:txBody>
      <dsp:txXfrm>
        <a:off x="29568" y="4780895"/>
        <a:ext cx="999344" cy="516918"/>
      </dsp:txXfrm>
    </dsp:sp>
    <dsp:sp modelId="{F0DF1BA7-5BDD-42DE-922D-6A4393B724F3}">
      <dsp:nvSpPr>
        <dsp:cNvPr id="0" name=""/>
        <dsp:cNvSpPr/>
      </dsp:nvSpPr>
      <dsp:spPr>
        <a:xfrm rot="5400000">
          <a:off x="2728376" y="3942805"/>
          <a:ext cx="1080589" cy="4423590"/>
        </a:xfrm>
        <a:prstGeom prst="round2SameRect">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cs-CZ" sz="900" kern="1200">
              <a:latin typeface="Arial" pitchFamily="34" charset="0"/>
              <a:cs typeface="Arial" pitchFamily="34" charset="0"/>
            </a:rPr>
            <a:t> Jedná o střední vzdělání s maturitní zkouškou, které je určeno výhradně pro vyučené ve tříletých učebních oborech. Návaznost oborů (tj. jaký nástavbový obor navazuje na jaký obor vyučení) přitom stanovuje vládní nařízení. Absolventi získají maturitní vysvědčení a mohou pokračovat ve vysokoškolském nebo vyšším odborném vzdělávání. </a:t>
          </a:r>
          <a:endParaRPr lang="cs-CZ" sz="900" kern="1200"/>
        </a:p>
        <a:p>
          <a:pPr marL="57150" lvl="1" indent="-57150" algn="l" defTabSz="400050">
            <a:lnSpc>
              <a:spcPct val="90000"/>
            </a:lnSpc>
            <a:spcBef>
              <a:spcPct val="0"/>
            </a:spcBef>
            <a:spcAft>
              <a:spcPct val="15000"/>
            </a:spcAft>
            <a:buChar char="••"/>
          </a:pPr>
          <a:r>
            <a:rPr lang="cs-CZ" sz="900" kern="1200">
              <a:latin typeface="Arial" pitchFamily="34" charset="0"/>
              <a:cs typeface="Arial" pitchFamily="34" charset="0"/>
            </a:rPr>
            <a:t> Studium trvá v denní formě 2 roky.</a:t>
          </a:r>
        </a:p>
      </dsp:txBody>
      <dsp:txXfrm rot="-5400000">
        <a:off x="1056876" y="5667055"/>
        <a:ext cx="4370840" cy="975089"/>
      </dsp:txXfrm>
    </dsp:sp>
    <dsp:sp modelId="{2B3EB4F7-6FFC-4543-9C9D-D55FF5EF8550}">
      <dsp:nvSpPr>
        <dsp:cNvPr id="0" name=""/>
        <dsp:cNvSpPr/>
      </dsp:nvSpPr>
      <dsp:spPr>
        <a:xfrm>
          <a:off x="1604" y="5868178"/>
          <a:ext cx="1055272" cy="572846"/>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cs-CZ" sz="900" b="1" kern="1200">
              <a:latin typeface="Arial" pitchFamily="34" charset="0"/>
              <a:cs typeface="Arial" pitchFamily="34" charset="0"/>
            </a:rPr>
            <a:t>Nástavbové</a:t>
          </a:r>
          <a:endParaRPr lang="cs-CZ" sz="900" kern="1200"/>
        </a:p>
      </dsp:txBody>
      <dsp:txXfrm>
        <a:off x="29568" y="5896142"/>
        <a:ext cx="999344" cy="51691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FE0923-3F28-426F-B9B9-527FD5C290C9}">
      <dsp:nvSpPr>
        <dsp:cNvPr id="0" name=""/>
        <dsp:cNvSpPr/>
      </dsp:nvSpPr>
      <dsp:spPr>
        <a:xfrm>
          <a:off x="0" y="315624"/>
          <a:ext cx="5745645" cy="3276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453FE16-1D14-48B3-8F47-2B98FEAD5F46}">
      <dsp:nvSpPr>
        <dsp:cNvPr id="0" name=""/>
        <dsp:cNvSpPr/>
      </dsp:nvSpPr>
      <dsp:spPr>
        <a:xfrm>
          <a:off x="287001" y="31803"/>
          <a:ext cx="4018023" cy="475701"/>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020" tIns="0" rIns="152020" bIns="0" numCol="1" spcCol="1270" anchor="ctr" anchorCtr="0">
          <a:noAutofit/>
        </a:bodyPr>
        <a:lstStyle/>
        <a:p>
          <a:pPr lvl="0" algn="l" defTabSz="444500">
            <a:lnSpc>
              <a:spcPct val="90000"/>
            </a:lnSpc>
            <a:spcBef>
              <a:spcPct val="0"/>
            </a:spcBef>
            <a:spcAft>
              <a:spcPct val="35000"/>
            </a:spcAft>
          </a:pPr>
          <a:r>
            <a:rPr lang="cs-CZ" sz="1000" b="1" kern="1200">
              <a:latin typeface="Arial" pitchFamily="34" charset="0"/>
              <a:cs typeface="Arial" pitchFamily="34" charset="0"/>
            </a:rPr>
            <a:t>23,8 %</a:t>
          </a:r>
          <a:r>
            <a:rPr lang="cs-CZ" sz="1000" kern="1200">
              <a:latin typeface="Arial" pitchFamily="34" charset="0"/>
              <a:cs typeface="Arial" pitchFamily="34" charset="0"/>
            </a:rPr>
            <a:t> všech studentů doktorského studia studuje obor Technika výroba a stavebnictví, nejméně Služby, </a:t>
          </a:r>
          <a:r>
            <a:rPr lang="cs-CZ" sz="1000" b="1" kern="1200">
              <a:latin typeface="Arial" pitchFamily="34" charset="0"/>
              <a:cs typeface="Arial" pitchFamily="34" charset="0"/>
            </a:rPr>
            <a:t>2,7 %.</a:t>
          </a:r>
          <a:endParaRPr lang="cs-CZ" sz="1000" kern="1200">
            <a:latin typeface="Arial" pitchFamily="34" charset="0"/>
            <a:cs typeface="Arial" pitchFamily="34" charset="0"/>
          </a:endParaRPr>
        </a:p>
      </dsp:txBody>
      <dsp:txXfrm>
        <a:off x="310223" y="55025"/>
        <a:ext cx="3971579" cy="429257"/>
      </dsp:txXfrm>
    </dsp:sp>
    <dsp:sp modelId="{2285831A-CA07-4917-9DBE-2BE4E4EEDFD9}">
      <dsp:nvSpPr>
        <dsp:cNvPr id="0" name=""/>
        <dsp:cNvSpPr/>
      </dsp:nvSpPr>
      <dsp:spPr>
        <a:xfrm>
          <a:off x="0" y="999118"/>
          <a:ext cx="5745645" cy="3276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8B53429-7C54-4398-927D-92A5F2CC881A}">
      <dsp:nvSpPr>
        <dsp:cNvPr id="0" name=""/>
        <dsp:cNvSpPr/>
      </dsp:nvSpPr>
      <dsp:spPr>
        <a:xfrm>
          <a:off x="262021" y="644512"/>
          <a:ext cx="4018023" cy="477573"/>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020" tIns="0" rIns="152020" bIns="0" numCol="1" spcCol="1270" anchor="ctr" anchorCtr="0">
          <a:noAutofit/>
        </a:bodyPr>
        <a:lstStyle/>
        <a:p>
          <a:pPr lvl="0" algn="l" defTabSz="444500">
            <a:lnSpc>
              <a:spcPct val="90000"/>
            </a:lnSpc>
            <a:spcBef>
              <a:spcPct val="0"/>
            </a:spcBef>
            <a:spcAft>
              <a:spcPct val="35000"/>
            </a:spcAft>
          </a:pPr>
          <a:r>
            <a:rPr lang="cs-CZ" sz="1000" b="1" kern="1200">
              <a:latin typeface="Arial" pitchFamily="34" charset="0"/>
              <a:cs typeface="Arial" pitchFamily="34" charset="0"/>
            </a:rPr>
            <a:t>9,9 %</a:t>
          </a:r>
          <a:r>
            <a:rPr lang="cs-CZ" sz="1000" kern="1200">
              <a:latin typeface="Arial" pitchFamily="34" charset="0"/>
              <a:cs typeface="Arial" pitchFamily="34" charset="0"/>
            </a:rPr>
            <a:t> doktorandek studuje Přírodní vědy, matematiku a statistiku a jenom </a:t>
          </a:r>
          <a:r>
            <a:rPr lang="cs-CZ" sz="1000" b="1" kern="1200">
              <a:latin typeface="Arial" pitchFamily="34" charset="0"/>
              <a:cs typeface="Arial" pitchFamily="34" charset="0"/>
            </a:rPr>
            <a:t>0,5 %</a:t>
          </a:r>
          <a:r>
            <a:rPr lang="cs-CZ" sz="1000" kern="1200">
              <a:latin typeface="Arial" pitchFamily="34" charset="0"/>
              <a:cs typeface="Arial" pitchFamily="34" charset="0"/>
            </a:rPr>
            <a:t> ICT.</a:t>
          </a:r>
        </a:p>
      </dsp:txBody>
      <dsp:txXfrm>
        <a:off x="285334" y="667825"/>
        <a:ext cx="3971397" cy="430947"/>
      </dsp:txXfrm>
    </dsp:sp>
    <dsp:sp modelId="{39EB9023-B000-49B7-B9FB-099CB29DB097}">
      <dsp:nvSpPr>
        <dsp:cNvPr id="0" name=""/>
        <dsp:cNvSpPr/>
      </dsp:nvSpPr>
      <dsp:spPr>
        <a:xfrm>
          <a:off x="0" y="1636373"/>
          <a:ext cx="5745645" cy="3276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D2992C3-B901-4963-9C3E-CF7082E177E6}">
      <dsp:nvSpPr>
        <dsp:cNvPr id="0" name=""/>
        <dsp:cNvSpPr/>
      </dsp:nvSpPr>
      <dsp:spPr>
        <a:xfrm>
          <a:off x="287001" y="1396918"/>
          <a:ext cx="4018023" cy="431334"/>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020" tIns="0" rIns="152020" bIns="0" numCol="1" spcCol="1270" anchor="ctr" anchorCtr="0">
          <a:noAutofit/>
        </a:bodyPr>
        <a:lstStyle/>
        <a:p>
          <a:pPr lvl="0" algn="l" defTabSz="444500">
            <a:lnSpc>
              <a:spcPct val="90000"/>
            </a:lnSpc>
            <a:spcBef>
              <a:spcPct val="0"/>
            </a:spcBef>
            <a:spcAft>
              <a:spcPct val="35000"/>
            </a:spcAft>
          </a:pPr>
          <a:r>
            <a:rPr lang="cs-CZ" sz="1000" b="1" kern="1200">
              <a:latin typeface="Arial" pitchFamily="34" charset="0"/>
              <a:cs typeface="Arial" pitchFamily="34" charset="0"/>
            </a:rPr>
            <a:t>17,1 %</a:t>
          </a:r>
          <a:r>
            <a:rPr lang="cs-CZ" sz="1000" kern="1200">
              <a:latin typeface="Arial" pitchFamily="34" charset="0"/>
              <a:cs typeface="Arial" pitchFamily="34" charset="0"/>
            </a:rPr>
            <a:t> doktorandů – mužů studuje Techniku, výrobu a stavebnictví a jen </a:t>
          </a:r>
          <a:r>
            <a:rPr lang="cs-CZ" sz="1000" b="1" kern="1200">
              <a:latin typeface="Arial" pitchFamily="34" charset="0"/>
              <a:cs typeface="Arial" pitchFamily="34" charset="0"/>
            </a:rPr>
            <a:t>1,2 %</a:t>
          </a:r>
          <a:r>
            <a:rPr lang="cs-CZ" sz="1000" kern="1200">
              <a:latin typeface="Arial" pitchFamily="34" charset="0"/>
              <a:cs typeface="Arial" pitchFamily="34" charset="0"/>
            </a:rPr>
            <a:t> studuje Vzdělávání a výchovu</a:t>
          </a:r>
          <a:r>
            <a:rPr lang="cs-CZ" sz="500" kern="1200"/>
            <a:t>.</a:t>
          </a:r>
        </a:p>
      </dsp:txBody>
      <dsp:txXfrm>
        <a:off x="308057" y="1417974"/>
        <a:ext cx="3975911" cy="389222"/>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B887E-9EF0-4E06-A8AF-32C900C7F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 CZ_lide a spolecnost_2016-03-29.dot</Template>
  <TotalTime>31</TotalTime>
  <Pages>32</Pages>
  <Words>10590</Words>
  <Characters>62487</Characters>
  <Application>Microsoft Office Word</Application>
  <DocSecurity>0</DocSecurity>
  <Lines>520</Lines>
  <Paragraphs>145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CSU</Company>
  <LinksUpToDate>false</LinksUpToDate>
  <CharactersWithSpaces>72932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pubalova6594</dc:creator>
  <cp:lastModifiedBy>Alena Kotrbatá</cp:lastModifiedBy>
  <cp:revision>9</cp:revision>
  <cp:lastPrinted>2018-08-14T09:15:00Z</cp:lastPrinted>
  <dcterms:created xsi:type="dcterms:W3CDTF">2018-08-31T05:42:00Z</dcterms:created>
  <dcterms:modified xsi:type="dcterms:W3CDTF">2018-08-31T06:25:00Z</dcterms:modified>
</cp:coreProperties>
</file>