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27" w:rsidRDefault="00863027" w:rsidP="008422CE">
      <w:pPr>
        <w:pStyle w:val="Nadpis1"/>
      </w:pPr>
      <w:r>
        <w:t xml:space="preserve">3. </w:t>
      </w:r>
      <w:r w:rsidR="008422CE">
        <w:t xml:space="preserve">Analytická část </w:t>
      </w:r>
      <w:bookmarkStart w:id="0" w:name="_Toc415056893"/>
    </w:p>
    <w:p w:rsidR="00863027" w:rsidRDefault="00863027" w:rsidP="00863027">
      <w:pPr>
        <w:pStyle w:val="Nadpis2"/>
        <w:spacing w:after="120"/>
        <w:jc w:val="both"/>
      </w:pPr>
      <w:r>
        <w:t>3.1</w:t>
      </w:r>
      <w:bookmarkEnd w:id="0"/>
      <w:r>
        <w:t xml:space="preserve"> Shrnutí </w:t>
      </w:r>
    </w:p>
    <w:p w:rsidR="00863027" w:rsidRPr="0033205F" w:rsidRDefault="00863027" w:rsidP="0033205F">
      <w:pPr>
        <w:pStyle w:val="Nadpis3"/>
        <w:rPr>
          <w:rStyle w:val="st"/>
        </w:rPr>
      </w:pPr>
      <w:r w:rsidRPr="0033205F">
        <w:rPr>
          <w:rStyle w:val="st"/>
        </w:rPr>
        <w:t>3.1.1 Podniky s inovačními aktivitami – základní údaje</w:t>
      </w:r>
    </w:p>
    <w:p w:rsidR="00B33FEC" w:rsidRDefault="00B33FEC" w:rsidP="00D758C8">
      <w:pPr>
        <w:jc w:val="both"/>
      </w:pPr>
      <w:r>
        <w:t>V letech 2014 až 2016</w:t>
      </w:r>
      <w:r w:rsidR="00D758C8">
        <w:t xml:space="preserve"> </w:t>
      </w:r>
      <w:r w:rsidR="00D758C8" w:rsidRPr="00651FE8">
        <w:rPr>
          <w:b/>
        </w:rPr>
        <w:t>inovovalo</w:t>
      </w:r>
      <w:r w:rsidR="00D758C8">
        <w:t xml:space="preserve"> v České republice své produkty, procesy, marketingové či organizační metody </w:t>
      </w:r>
      <w:r>
        <w:rPr>
          <w:b/>
        </w:rPr>
        <w:t>46</w:t>
      </w:r>
      <w:r w:rsidR="00C76A45">
        <w:rPr>
          <w:b/>
        </w:rPr>
        <w:t>,3</w:t>
      </w:r>
      <w:r w:rsidR="00D758C8" w:rsidRPr="00651FE8">
        <w:rPr>
          <w:b/>
        </w:rPr>
        <w:t> % firem</w:t>
      </w:r>
      <w:r w:rsidR="00D758C8">
        <w:t>. Oproti období</w:t>
      </w:r>
      <w:r>
        <w:t xml:space="preserve"> let 2012–2014</w:t>
      </w:r>
      <w:r w:rsidR="007033D3">
        <w:t xml:space="preserve"> se jedná </w:t>
      </w:r>
      <w:r>
        <w:t>zvýšení</w:t>
      </w:r>
      <w:r w:rsidR="00D758C8">
        <w:t xml:space="preserve"> inovační aktivity podniků</w:t>
      </w:r>
      <w:r>
        <w:t xml:space="preserve"> o 4</w:t>
      </w:r>
      <w:r w:rsidR="007033D3">
        <w:t xml:space="preserve"> procentní body</w:t>
      </w:r>
      <w:r w:rsidR="00D758C8">
        <w:t xml:space="preserve">. </w:t>
      </w:r>
      <w:r>
        <w:t xml:space="preserve">Nastal tak zvrat v negativním trendu </w:t>
      </w:r>
      <w:r w:rsidR="00635B61">
        <w:t xml:space="preserve">poklesu inovačních aktivit v období </w:t>
      </w:r>
      <w:r>
        <w:t xml:space="preserve">po finanční krizi. </w:t>
      </w:r>
      <w:r w:rsidR="007033D3">
        <w:t>Nejvíce firem inovovalo v letech 2006–</w:t>
      </w:r>
      <w:r w:rsidR="002F0E82">
        <w:t xml:space="preserve">2008, od té doby </w:t>
      </w:r>
      <w:r w:rsidRPr="00B33FEC">
        <w:t>celková inovační aktivita</w:t>
      </w:r>
      <w:r w:rsidR="00C72D58">
        <w:t xml:space="preserve"> setrvale</w:t>
      </w:r>
      <w:r w:rsidRPr="00B33FEC">
        <w:t xml:space="preserve"> klesala</w:t>
      </w:r>
      <w:r w:rsidR="002F0E82">
        <w:t>.</w:t>
      </w:r>
      <w:r w:rsidR="00833802">
        <w:t xml:space="preserve"> Hlavní příčinnou</w:t>
      </w:r>
      <w:r w:rsidR="00BF6041">
        <w:t xml:space="preserve"> tohoto </w:t>
      </w:r>
      <w:r>
        <w:t>nově nastoleného růstového trendu je vyšší</w:t>
      </w:r>
      <w:r w:rsidR="00BF6041">
        <w:t xml:space="preserve"> intenzita inovačního úsilí </w:t>
      </w:r>
      <w:r>
        <w:t>u malých podniků. Oproti předchozímu období 2012–2014 se zvýšil podíl malých podniků, které se zabývaly inovace</w:t>
      </w:r>
      <w:r w:rsidR="00635B61">
        <w:t>mi</w:t>
      </w:r>
      <w:r>
        <w:t xml:space="preserve">, o 5 procentních bodů. V případě středních a velkých podniků můžeme hovořit o stagnaci (pohyb v rozmezí +/- procentní bod). </w:t>
      </w:r>
    </w:p>
    <w:p w:rsidR="00473C7D" w:rsidRDefault="00651FE8" w:rsidP="00D758C8">
      <w:pPr>
        <w:jc w:val="both"/>
      </w:pPr>
      <w:r>
        <w:t xml:space="preserve">Z mezinárodního pohledu </w:t>
      </w:r>
      <w:r w:rsidRPr="00651FE8">
        <w:rPr>
          <w:b/>
        </w:rPr>
        <w:t xml:space="preserve">podniky v ČR inovují </w:t>
      </w:r>
      <w:r w:rsidR="00026BB4">
        <w:rPr>
          <w:b/>
        </w:rPr>
        <w:t xml:space="preserve">stále </w:t>
      </w:r>
      <w:r w:rsidRPr="00651FE8">
        <w:rPr>
          <w:b/>
        </w:rPr>
        <w:t>méně než je průměr zemí EU</w:t>
      </w:r>
      <w:r w:rsidR="007033D3">
        <w:rPr>
          <w:b/>
        </w:rPr>
        <w:t>28</w:t>
      </w:r>
      <w:r w:rsidR="00B33FEC">
        <w:t xml:space="preserve"> (podíl 49 % za období 2012–2014</w:t>
      </w:r>
      <w:r w:rsidR="00026BB4">
        <w:t>)</w:t>
      </w:r>
      <w:r>
        <w:t xml:space="preserve">. </w:t>
      </w:r>
    </w:p>
    <w:p w:rsidR="00473C7D" w:rsidRDefault="00473C7D" w:rsidP="00473C7D">
      <w:pPr>
        <w:spacing w:before="120"/>
        <w:jc w:val="both"/>
        <w:rPr>
          <w:b/>
        </w:rPr>
      </w:pPr>
      <w:r>
        <w:rPr>
          <w:b/>
        </w:rPr>
        <w:t>TAB 1: Inovační aktivity podniků ve sledovaných obdobích</w:t>
      </w:r>
      <w:r w:rsidRPr="00645105">
        <w:rPr>
          <w:b/>
        </w:rPr>
        <w:t xml:space="preserve"> – základní údaje</w:t>
      </w:r>
      <w:r w:rsidR="00CA0FAE">
        <w:rPr>
          <w:b/>
        </w:rPr>
        <w:t xml:space="preserve"> 1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3760"/>
        <w:gridCol w:w="1120"/>
        <w:gridCol w:w="1120"/>
        <w:gridCol w:w="1120"/>
        <w:gridCol w:w="1120"/>
        <w:gridCol w:w="1120"/>
      </w:tblGrid>
      <w:tr w:rsidR="00946C40" w:rsidRPr="00946C40" w:rsidTr="00946C40">
        <w:trPr>
          <w:trHeight w:val="4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color w:val="FFFFFF"/>
                <w:sz w:val="18"/>
                <w:szCs w:val="18"/>
              </w:rPr>
              <w:t>NACE B+C+D+E+G46+H+J+K+M71-73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color w:val="FFFFFF"/>
                <w:sz w:val="18"/>
                <w:szCs w:val="18"/>
              </w:rPr>
              <w:t>2006–2008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color w:val="FFFFFF"/>
                <w:sz w:val="18"/>
                <w:szCs w:val="18"/>
              </w:rPr>
              <w:t>2008–2010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color w:val="FFFFFF"/>
                <w:sz w:val="18"/>
                <w:szCs w:val="18"/>
              </w:rPr>
              <w:t>2010–2012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color w:val="FFFFFF"/>
                <w:sz w:val="18"/>
                <w:szCs w:val="18"/>
              </w:rPr>
              <w:t>2012–2014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color w:val="FFFFFF"/>
                <w:sz w:val="18"/>
                <w:szCs w:val="18"/>
              </w:rPr>
              <w:t>2014–2016</w:t>
            </w:r>
          </w:p>
        </w:tc>
      </w:tr>
      <w:tr w:rsidR="00946C40" w:rsidRPr="00946C40" w:rsidTr="00946C40">
        <w:trPr>
          <w:trHeight w:val="240"/>
        </w:trPr>
        <w:tc>
          <w:tcPr>
            <w:tcW w:w="38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Inovující podniky celkem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56,0%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51,7%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43,9%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42,0%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46,3%</w:t>
            </w:r>
          </w:p>
        </w:tc>
      </w:tr>
      <w:tr w:rsidR="00946C40" w:rsidRPr="00946C40" w:rsidTr="00946C40">
        <w:trPr>
          <w:trHeight w:val="240"/>
        </w:trPr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Podle vlastnictví podniku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Domácí podniky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53,1%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50,2%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41,0%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39,0%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44,0%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46C4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Podniky pod zahraniční kontrolou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66,5%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56,2%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54,1%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53,7%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55,2%</w:t>
            </w:r>
          </w:p>
        </w:tc>
      </w:tr>
      <w:tr w:rsidR="00946C40" w:rsidRPr="00946C40" w:rsidTr="00946C40">
        <w:trPr>
          <w:trHeight w:val="240"/>
        </w:trPr>
        <w:tc>
          <w:tcPr>
            <w:tcW w:w="3860" w:type="dxa"/>
            <w:gridSpan w:val="2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Podle velikosti podniku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Malé podniky (10-49 zam.)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52,3%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46,7%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38,2%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35,2%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40,7%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Střední podniky (50-249 zam.)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63,5%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64,0%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57,6%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59,1%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58,2%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Velké podniky (250+ zam.)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80,7%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78,6%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78,7%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77,2%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77,4%</w:t>
            </w:r>
          </w:p>
        </w:tc>
      </w:tr>
      <w:tr w:rsidR="00946C40" w:rsidRPr="00946C40" w:rsidTr="00946C40">
        <w:trPr>
          <w:trHeight w:val="240"/>
        </w:trPr>
        <w:tc>
          <w:tcPr>
            <w:tcW w:w="3860" w:type="dxa"/>
            <w:gridSpan w:val="2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Podle CZ-NACE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Průmysl (NACE B+C+D+E)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55,4%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53,2%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47,1%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46,0%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50,5%</w:t>
            </w:r>
          </w:p>
        </w:tc>
      </w:tr>
      <w:tr w:rsidR="00946C40" w:rsidRPr="00946C40" w:rsidTr="00946C40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46C4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vAlign w:val="bottom"/>
            <w:hideMark/>
          </w:tcPr>
          <w:p w:rsidR="00946C40" w:rsidRPr="00946C40" w:rsidRDefault="00946C40" w:rsidP="00946C4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Služby (NACE G46-H-J-K-M71-72-73)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56,9%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49,4%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39,8%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37,0%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46C40" w:rsidRPr="00946C40" w:rsidRDefault="00946C40" w:rsidP="00946C4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46C40">
              <w:rPr>
                <w:rFonts w:cs="Arial"/>
                <w:sz w:val="18"/>
                <w:szCs w:val="18"/>
              </w:rPr>
              <w:t>41,1%</w:t>
            </w:r>
          </w:p>
        </w:tc>
      </w:tr>
    </w:tbl>
    <w:p w:rsidR="003F10C4" w:rsidRPr="003F10C4" w:rsidRDefault="003F10C4" w:rsidP="003F6140">
      <w:pPr>
        <w:spacing w:before="60" w:line="240" w:lineRule="auto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="00315836">
        <w:rPr>
          <w:rFonts w:cs="Arial"/>
          <w:i/>
          <w:iCs/>
          <w:sz w:val="18"/>
          <w:szCs w:val="18"/>
        </w:rPr>
        <w:t>POZN.</w:t>
      </w:r>
      <w:r w:rsidRPr="003F10C4">
        <w:rPr>
          <w:rFonts w:cs="Arial"/>
          <w:i/>
          <w:iCs/>
          <w:sz w:val="18"/>
          <w:szCs w:val="18"/>
        </w:rPr>
        <w:t>: Podíly na celkovém počtu podniků, pokud není uvedeno jinak.</w:t>
      </w:r>
    </w:p>
    <w:p w:rsidR="000241E9" w:rsidRDefault="000241E9" w:rsidP="00D758C8">
      <w:pPr>
        <w:jc w:val="both"/>
      </w:pPr>
    </w:p>
    <w:p w:rsidR="00E079FB" w:rsidRDefault="002952B7" w:rsidP="007361E0">
      <w:pPr>
        <w:spacing w:after="60"/>
        <w:jc w:val="both"/>
      </w:pPr>
      <w:r>
        <w:t>Vlastnictví podniku a jeho</w:t>
      </w:r>
      <w:r w:rsidR="00D64A75">
        <w:t xml:space="preserve"> velikost podniku ovlivňují </w:t>
      </w:r>
      <w:r w:rsidR="00E079FB">
        <w:t xml:space="preserve">intenzitu inovačních aktivit. </w:t>
      </w:r>
      <w:r>
        <w:t>N</w:t>
      </w:r>
      <w:r w:rsidR="00E079FB">
        <w:t xml:space="preserve">ejintenzivněji inovují </w:t>
      </w:r>
      <w:r w:rsidR="00E079FB" w:rsidRPr="00982C5C">
        <w:rPr>
          <w:b/>
        </w:rPr>
        <w:t>velké podniky</w:t>
      </w:r>
      <w:r w:rsidR="00E079FB">
        <w:t xml:space="preserve"> s více jak 25</w:t>
      </w:r>
      <w:r w:rsidR="00BA486D">
        <w:t>0 zaměstnanci. V letech 2014</w:t>
      </w:r>
      <w:r>
        <w:t>–</w:t>
      </w:r>
      <w:r w:rsidR="00BA486D">
        <w:t>2016</w:t>
      </w:r>
      <w:r w:rsidR="00E079FB">
        <w:t xml:space="preserve"> </w:t>
      </w:r>
      <w:r w:rsidR="00BA486D">
        <w:rPr>
          <w:b/>
        </w:rPr>
        <w:t>inovovalo 77,4</w:t>
      </w:r>
      <w:r w:rsidR="00E079FB" w:rsidRPr="00982C5C">
        <w:rPr>
          <w:b/>
        </w:rPr>
        <w:t> %</w:t>
      </w:r>
      <w:r w:rsidR="00E079FB">
        <w:t xml:space="preserve"> podniků v této velikostní skupině. Podíl inovujících podniků střední kategorie byl</w:t>
      </w:r>
      <w:r w:rsidR="00BA486D">
        <w:t xml:space="preserve"> o 19 procentních bodu nižší (58,2</w:t>
      </w:r>
      <w:r w:rsidR="00E079FB">
        <w:t xml:space="preserve"> %) než u velkých podniků. </w:t>
      </w:r>
      <w:r w:rsidR="00BA486D">
        <w:t>Téměř s</w:t>
      </w:r>
      <w:r w:rsidR="00E079FB">
        <w:t>tejný roze</w:t>
      </w:r>
      <w:r>
        <w:t>stup ve výši 18 procentních bodů</w:t>
      </w:r>
      <w:r w:rsidR="00E079FB">
        <w:t xml:space="preserve"> je mez</w:t>
      </w:r>
      <w:r w:rsidR="00BA486D">
        <w:t>i středními a malými podniky (40,7</w:t>
      </w:r>
      <w:r w:rsidR="00E079FB">
        <w:t xml:space="preserve"> %).</w:t>
      </w:r>
    </w:p>
    <w:p w:rsidR="00A8316D" w:rsidRDefault="002952B7" w:rsidP="007361E0">
      <w:pPr>
        <w:spacing w:after="60"/>
        <w:jc w:val="both"/>
      </w:pPr>
      <w:r>
        <w:t xml:space="preserve">Z pohledu vlastnictví podniku inovují více </w:t>
      </w:r>
      <w:r w:rsidR="00E079FB">
        <w:t>podniky</w:t>
      </w:r>
      <w:r>
        <w:t xml:space="preserve"> pod zahraniční kontrolou</w:t>
      </w:r>
      <w:r w:rsidR="002741F8">
        <w:t xml:space="preserve"> (55,2 %) než domácí podniky (44</w:t>
      </w:r>
      <w:r w:rsidR="00E079FB">
        <w:t xml:space="preserve"> %). </w:t>
      </w:r>
      <w:r w:rsidR="00215CDE">
        <w:t xml:space="preserve">Velké zahraniční podniky inovují téměř shodně jako domácí. Podíl inovujících zahraničních podniků v kategorii středních podniků je o cca 2 procentní body vyšší než u domácích podniků. V případě malých podniků je rozdíl dvakrát vyšší (o 4 procentní body).   </w:t>
      </w:r>
    </w:p>
    <w:p w:rsidR="005D54BB" w:rsidRDefault="007806D6" w:rsidP="007361E0">
      <w:pPr>
        <w:spacing w:after="60"/>
        <w:jc w:val="both"/>
      </w:pPr>
      <w:r>
        <w:t>Jak již bylo řečeno, ČR je podílem inovují</w:t>
      </w:r>
      <w:r w:rsidR="005D54BB">
        <w:t>cích podniků pod průměrem EU. Ve všech velikostních skupinách se podíl inovujících podniků v ČR nachází pod průměrem EU28. Nevyšší rozdíl je u kategorie malých podniků, kdy průměr za EU28 dosáhl v období 2012–2014 rovných 45 %</w:t>
      </w:r>
      <w:r w:rsidR="005D54BB">
        <w:rPr>
          <w:rStyle w:val="Znakapoznpodarou"/>
        </w:rPr>
        <w:footnoteReference w:id="1"/>
      </w:r>
      <w:r w:rsidR="005D54BB">
        <w:t xml:space="preserve">.  </w:t>
      </w:r>
    </w:p>
    <w:p w:rsidR="000A26A6" w:rsidRDefault="00C75328" w:rsidP="007361E0">
      <w:pPr>
        <w:spacing w:after="60"/>
        <w:jc w:val="both"/>
      </w:pPr>
      <w:r>
        <w:t>V průmyslových odvětvích</w:t>
      </w:r>
      <w:r w:rsidR="003C63D9">
        <w:rPr>
          <w:rStyle w:val="Znakapoznpodarou"/>
        </w:rPr>
        <w:footnoteReference w:id="2"/>
      </w:r>
      <w:r>
        <w:t xml:space="preserve"> v letech </w:t>
      </w:r>
      <w:r w:rsidR="005D54BB">
        <w:t>2014</w:t>
      </w:r>
      <w:r w:rsidR="006A7DEE">
        <w:t>–</w:t>
      </w:r>
      <w:r w:rsidR="005D54BB">
        <w:t xml:space="preserve">2016 inovovala právě polovina </w:t>
      </w:r>
      <w:r>
        <w:t xml:space="preserve">podniků, přitom </w:t>
      </w:r>
      <w:r w:rsidR="000D25A1">
        <w:rPr>
          <w:b/>
        </w:rPr>
        <w:t>v</w:t>
      </w:r>
      <w:r w:rsidR="00636B4D">
        <w:rPr>
          <w:b/>
        </w:rPr>
        <w:t>e</w:t>
      </w:r>
      <w:r w:rsidR="000D25A1">
        <w:rPr>
          <w:b/>
        </w:rPr>
        <w:t xml:space="preserve"> </w:t>
      </w:r>
      <w:r w:rsidRPr="00A54A05">
        <w:rPr>
          <w:b/>
        </w:rPr>
        <w:t xml:space="preserve">zpracovatelském </w:t>
      </w:r>
      <w:r w:rsidR="00BE7F40" w:rsidRPr="00A54A05">
        <w:rPr>
          <w:b/>
        </w:rPr>
        <w:t xml:space="preserve">průmyslu </w:t>
      </w:r>
      <w:r w:rsidRPr="00A54A05">
        <w:rPr>
          <w:b/>
        </w:rPr>
        <w:t>dosá</w:t>
      </w:r>
      <w:r w:rsidR="005D54BB">
        <w:rPr>
          <w:b/>
        </w:rPr>
        <w:t>hl podíl inovujících podniků 51,7</w:t>
      </w:r>
      <w:r w:rsidR="006A7DEE">
        <w:rPr>
          <w:b/>
        </w:rPr>
        <w:t> </w:t>
      </w:r>
      <w:r w:rsidRPr="00A54A05">
        <w:rPr>
          <w:b/>
        </w:rPr>
        <w:t>%</w:t>
      </w:r>
      <w:r>
        <w:t>.</w:t>
      </w:r>
      <w:r w:rsidR="005D14B9">
        <w:t xml:space="preserve"> Nejvíce inovativním odvět</w:t>
      </w:r>
      <w:r w:rsidR="00D64A75">
        <w:t>vím zpracovatelského průmyslu bylo</w:t>
      </w:r>
      <w:r w:rsidR="005D14B9">
        <w:t xml:space="preserve"> odvětví </w:t>
      </w:r>
      <w:r w:rsidR="00422D29">
        <w:t>petrochemického a chemického průmyslu</w:t>
      </w:r>
      <w:r w:rsidR="00BE7F40" w:rsidRPr="00BE7F40">
        <w:t xml:space="preserve"> </w:t>
      </w:r>
      <w:r w:rsidR="005D14B9">
        <w:t xml:space="preserve">s podílem </w:t>
      </w:r>
      <w:r w:rsidR="00422D29">
        <w:t>inovujících podniků 71,6</w:t>
      </w:r>
      <w:r w:rsidR="00BE7F40">
        <w:t> </w:t>
      </w:r>
      <w:r w:rsidR="005D14B9">
        <w:t>%.</w:t>
      </w:r>
      <w:r>
        <w:t xml:space="preserve"> V odvětvích služeb ino</w:t>
      </w:r>
      <w:r w:rsidR="00980A92">
        <w:t>vovalo 41,1</w:t>
      </w:r>
      <w:r>
        <w:t> % podniků, nejvíce pak v odvětvové sekci</w:t>
      </w:r>
      <w:r w:rsidR="00BE7F40">
        <w:t xml:space="preserve"> </w:t>
      </w:r>
      <w:r w:rsidR="00BE7F40" w:rsidRPr="00BE7F40">
        <w:t>Informační</w:t>
      </w:r>
      <w:r w:rsidR="00BE7F40">
        <w:t>ch</w:t>
      </w:r>
      <w:r w:rsidR="00BE7F40" w:rsidRPr="00BE7F40">
        <w:t xml:space="preserve"> a komunikační</w:t>
      </w:r>
      <w:r w:rsidR="000A26A6">
        <w:t>ch činností (67,6</w:t>
      </w:r>
      <w:r w:rsidR="00BE7F40">
        <w:t> %).</w:t>
      </w:r>
      <w:r w:rsidR="00BE7F40" w:rsidRPr="00BE7F40">
        <w:t xml:space="preserve"> </w:t>
      </w:r>
    </w:p>
    <w:p w:rsidR="000A03DC" w:rsidRDefault="00C75328" w:rsidP="007361E0">
      <w:pPr>
        <w:spacing w:after="60"/>
        <w:jc w:val="both"/>
      </w:pPr>
      <w:r>
        <w:t xml:space="preserve"> </w:t>
      </w:r>
      <w:r w:rsidR="0000174D">
        <w:t xml:space="preserve"> </w:t>
      </w:r>
      <w:r w:rsidR="00E72A9C">
        <w:t xml:space="preserve"> </w:t>
      </w:r>
      <w:r w:rsidR="007806D6">
        <w:t xml:space="preserve"> </w:t>
      </w:r>
      <w:r w:rsidR="00EE52F3">
        <w:t xml:space="preserve"> </w:t>
      </w:r>
    </w:p>
    <w:p w:rsidR="005E229F" w:rsidRPr="0033205F" w:rsidRDefault="005E229F" w:rsidP="00D044EA">
      <w:pPr>
        <w:pStyle w:val="Nadpis3"/>
        <w:spacing w:before="120"/>
        <w:rPr>
          <w:rStyle w:val="st"/>
        </w:rPr>
      </w:pPr>
      <w:r w:rsidRPr="0033205F">
        <w:rPr>
          <w:rStyle w:val="st"/>
        </w:rPr>
        <w:lastRenderedPageBreak/>
        <w:t xml:space="preserve">3.1.2 Podniky s inovačními aktivitami podle druhu </w:t>
      </w:r>
      <w:r w:rsidR="001B3511">
        <w:rPr>
          <w:rStyle w:val="st"/>
        </w:rPr>
        <w:t>inovace</w:t>
      </w:r>
    </w:p>
    <w:p w:rsidR="00CA0FAE" w:rsidRDefault="00D64A75" w:rsidP="00CA0FAE">
      <w:pPr>
        <w:jc w:val="both"/>
      </w:pPr>
      <w:r w:rsidRPr="009B6CC5">
        <w:rPr>
          <w:b/>
        </w:rPr>
        <w:t>Podniky se</w:t>
      </w:r>
      <w:r>
        <w:t xml:space="preserve"> v rámci</w:t>
      </w:r>
      <w:r w:rsidR="00C72D58">
        <w:t xml:space="preserve"> svých inovačních aktivit věnovaly</w:t>
      </w:r>
      <w:r>
        <w:t xml:space="preserve"> </w:t>
      </w:r>
      <w:r w:rsidRPr="009B6CC5">
        <w:rPr>
          <w:b/>
        </w:rPr>
        <w:t>intenzivněji technickým inovacím</w:t>
      </w:r>
      <w:r w:rsidR="001278F2">
        <w:t xml:space="preserve"> (podíl 37,3 % ze všech podniků, 80,5</w:t>
      </w:r>
      <w:r w:rsidR="00A62470">
        <w:t xml:space="preserve"> % z inovujících podniků) </w:t>
      </w:r>
      <w:r w:rsidRPr="009B6CC5">
        <w:rPr>
          <w:b/>
        </w:rPr>
        <w:t>než netechnickým inovacím</w:t>
      </w:r>
      <w:r w:rsidR="001278F2">
        <w:t xml:space="preserve"> (32,7 %, 70,6</w:t>
      </w:r>
      <w:r w:rsidR="00A62470">
        <w:t> %)</w:t>
      </w:r>
      <w:r>
        <w:t>.</w:t>
      </w:r>
      <w:r w:rsidR="00606465">
        <w:t xml:space="preserve"> Největší podíl (23,6 % ze všech podniků, 51</w:t>
      </w:r>
      <w:r w:rsidR="00A62470">
        <w:t xml:space="preserve"> % inovujících podniků) podniků se zabýval současně jak technickými, tak netechnickými inovacemi. </w:t>
      </w:r>
      <w:r w:rsidR="009B6CC5">
        <w:t>Pouze te</w:t>
      </w:r>
      <w:r w:rsidR="00606465">
        <w:t>chnickým inovacím se věnovalo 13,6 % podniků (29,4</w:t>
      </w:r>
      <w:r w:rsidR="009B6CC5">
        <w:t xml:space="preserve"> % inovujících). </w:t>
      </w:r>
      <w:r w:rsidR="00A62470">
        <w:t xml:space="preserve"> </w:t>
      </w:r>
      <w:r>
        <w:t xml:space="preserve">   </w:t>
      </w:r>
    </w:p>
    <w:p w:rsidR="00CA0FAE" w:rsidRDefault="00CA0FAE" w:rsidP="00CA0FAE">
      <w:pPr>
        <w:spacing w:before="120"/>
        <w:jc w:val="both"/>
        <w:rPr>
          <w:b/>
        </w:rPr>
      </w:pPr>
      <w:r>
        <w:rPr>
          <w:b/>
        </w:rPr>
        <w:t>TAB 2: Inovační aktivity podniků ve sledovaných obdobích</w:t>
      </w:r>
      <w:r w:rsidRPr="00645105">
        <w:rPr>
          <w:b/>
        </w:rPr>
        <w:t xml:space="preserve"> – základní údaje</w:t>
      </w:r>
      <w:r>
        <w:rPr>
          <w:b/>
        </w:rPr>
        <w:t xml:space="preserve"> 2</w:t>
      </w: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63"/>
        <w:gridCol w:w="1111"/>
        <w:gridCol w:w="1111"/>
        <w:gridCol w:w="1111"/>
        <w:gridCol w:w="1111"/>
        <w:gridCol w:w="1111"/>
      </w:tblGrid>
      <w:tr w:rsidR="00920522" w:rsidRPr="00920522" w:rsidTr="00920522">
        <w:trPr>
          <w:trHeight w:val="4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color w:val="FFFFFF"/>
                <w:sz w:val="18"/>
                <w:szCs w:val="18"/>
              </w:rPr>
              <w:t>NACE B+C+D+E+G46+H+J+K+M71-73</w:t>
            </w:r>
          </w:p>
        </w:tc>
        <w:tc>
          <w:tcPr>
            <w:tcW w:w="112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color w:val="FFFFFF"/>
                <w:sz w:val="18"/>
                <w:szCs w:val="18"/>
              </w:rPr>
              <w:t>2006–2008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color w:val="FFFFFF"/>
                <w:sz w:val="18"/>
                <w:szCs w:val="18"/>
              </w:rPr>
              <w:t>2008–2010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color w:val="FFFFFF"/>
                <w:sz w:val="18"/>
                <w:szCs w:val="18"/>
              </w:rPr>
              <w:t>2010–2012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color w:val="FFFFFF"/>
                <w:sz w:val="18"/>
                <w:szCs w:val="18"/>
              </w:rPr>
              <w:t>2012–2014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color w:val="FFFFFF"/>
                <w:sz w:val="18"/>
                <w:szCs w:val="18"/>
              </w:rPr>
              <w:t>2014–2016</w:t>
            </w:r>
          </w:p>
        </w:tc>
      </w:tr>
      <w:tr w:rsidR="00920522" w:rsidRPr="00920522" w:rsidTr="00920522">
        <w:trPr>
          <w:trHeight w:val="240"/>
        </w:trPr>
        <w:tc>
          <w:tcPr>
            <w:tcW w:w="410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CDDC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Inovující podniky celkem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56,0%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51,7%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43,9%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42,0%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46,3%</w:t>
            </w:r>
          </w:p>
        </w:tc>
      </w:tr>
      <w:tr w:rsidR="00920522" w:rsidRPr="00920522" w:rsidTr="00920522">
        <w:trPr>
          <w:trHeight w:val="240"/>
        </w:trPr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Podniky s technickou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39,3%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34,8%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35,6%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35,7%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37,3%</w:t>
            </w:r>
          </w:p>
        </w:tc>
      </w:tr>
      <w:tr w:rsidR="00920522" w:rsidRPr="00920522" w:rsidTr="00920522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pouze s produktovou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5,8%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9,5%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8,8%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10,5%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7,1%</w:t>
            </w:r>
          </w:p>
        </w:tc>
      </w:tr>
      <w:tr w:rsidR="00920522" w:rsidRPr="00920522" w:rsidTr="00920522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pouze s procesní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12,1%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8,2%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7,5%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7,7%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9,1%</w:t>
            </w:r>
          </w:p>
        </w:tc>
      </w:tr>
      <w:tr w:rsidR="00920522" w:rsidRPr="00920522" w:rsidTr="00920522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s produktovou a procesní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18,7%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14,7%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16,5%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14,6%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18,6%</w:t>
            </w:r>
          </w:p>
        </w:tc>
      </w:tr>
      <w:tr w:rsidR="00920522" w:rsidRPr="00920522" w:rsidTr="00920522">
        <w:trPr>
          <w:trHeight w:val="49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920522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pouze s neukončenými či zastavenými technickými inovacemi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2,7%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2,4%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2,8%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2,8%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2,5%</w:t>
            </w:r>
          </w:p>
        </w:tc>
      </w:tr>
      <w:tr w:rsidR="00920522" w:rsidRPr="00920522" w:rsidTr="00920522">
        <w:trPr>
          <w:trHeight w:val="240"/>
        </w:trPr>
        <w:tc>
          <w:tcPr>
            <w:tcW w:w="4100" w:type="dxa"/>
            <w:gridSpan w:val="2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Podniky s netechnickou inovací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47,0%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42,4%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31,6%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27,3%</w:t>
            </w:r>
          </w:p>
        </w:tc>
        <w:tc>
          <w:tcPr>
            <w:tcW w:w="11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32,7%</w:t>
            </w:r>
          </w:p>
        </w:tc>
      </w:tr>
      <w:tr w:rsidR="00920522" w:rsidRPr="00920522" w:rsidTr="00920522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pouze s marketingovou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13,1%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11,5%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11,2%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10,1%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15,1%</w:t>
            </w:r>
          </w:p>
        </w:tc>
      </w:tr>
      <w:tr w:rsidR="00920522" w:rsidRPr="00920522" w:rsidTr="00920522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pouze s organizační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11,4%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12,8%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9,2%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6,8%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6,4%</w:t>
            </w:r>
          </w:p>
        </w:tc>
      </w:tr>
      <w:tr w:rsidR="00920522" w:rsidRPr="00920522" w:rsidTr="00920522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05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DAEEF3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920522" w:rsidRPr="00920522" w:rsidRDefault="00920522" w:rsidP="0092052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Podniky s marketingovou a organizační inovací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22,6%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18,1%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11,2%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10,4%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920522" w:rsidRPr="00920522" w:rsidRDefault="00920522" w:rsidP="00920522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20522">
              <w:rPr>
                <w:rFonts w:cs="Arial"/>
                <w:sz w:val="18"/>
                <w:szCs w:val="18"/>
              </w:rPr>
              <w:t>11,2%</w:t>
            </w:r>
          </w:p>
        </w:tc>
      </w:tr>
    </w:tbl>
    <w:p w:rsidR="004D1E50" w:rsidRPr="003F10C4" w:rsidRDefault="004D1E50" w:rsidP="003F6140">
      <w:pPr>
        <w:spacing w:before="60" w:line="240" w:lineRule="auto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POZN.</w:t>
      </w:r>
      <w:r w:rsidRPr="003F10C4">
        <w:rPr>
          <w:rFonts w:cs="Arial"/>
          <w:i/>
          <w:iCs/>
          <w:sz w:val="18"/>
          <w:szCs w:val="18"/>
        </w:rPr>
        <w:t>: Podíly na celkovém počtu podniků, pokud není uvedeno jinak.</w:t>
      </w:r>
    </w:p>
    <w:p w:rsidR="004D1E50" w:rsidRDefault="004D1E50" w:rsidP="007361E0">
      <w:pPr>
        <w:spacing w:after="60"/>
        <w:jc w:val="both"/>
      </w:pPr>
    </w:p>
    <w:p w:rsidR="00A55489" w:rsidRDefault="00BB1D98" w:rsidP="007361E0">
      <w:pPr>
        <w:spacing w:after="60"/>
        <w:jc w:val="both"/>
      </w:pPr>
      <w:r>
        <w:t xml:space="preserve">Pokud se </w:t>
      </w:r>
      <w:r w:rsidRPr="00D120A5">
        <w:rPr>
          <w:b/>
        </w:rPr>
        <w:t>podnik</w:t>
      </w:r>
      <w:r>
        <w:t xml:space="preserve"> zabývá technickými inovace</w:t>
      </w:r>
      <w:r w:rsidR="00D64A75">
        <w:t>mi</w:t>
      </w:r>
      <w:r>
        <w:t xml:space="preserve">, pak </w:t>
      </w:r>
      <w:r w:rsidRPr="00D120A5">
        <w:rPr>
          <w:b/>
        </w:rPr>
        <w:t>nejčastěji inovuje</w:t>
      </w:r>
      <w:r>
        <w:t xml:space="preserve"> současně své </w:t>
      </w:r>
      <w:r w:rsidRPr="00D120A5">
        <w:rPr>
          <w:b/>
        </w:rPr>
        <w:t>produkty (výrobky/služby) i procesy</w:t>
      </w:r>
      <w:r w:rsidR="002E738D">
        <w:t xml:space="preserve">. </w:t>
      </w:r>
      <w:r w:rsidR="00D64A75">
        <w:t>Tímto způsobem</w:t>
      </w:r>
      <w:r w:rsidR="002E738D">
        <w:t xml:space="preserve"> </w:t>
      </w:r>
      <w:r w:rsidR="00D64A75">
        <w:t xml:space="preserve">tak </w:t>
      </w:r>
      <w:r w:rsidR="002E738D">
        <w:t>v letech 20</w:t>
      </w:r>
      <w:r w:rsidR="00031A9F">
        <w:t>14–2016 inovovalo 18</w:t>
      </w:r>
      <w:r>
        <w:t>,6 % podniků.</w:t>
      </w:r>
      <w:r w:rsidR="001D2A50">
        <w:t xml:space="preserve"> Pouze</w:t>
      </w:r>
      <w:r w:rsidR="00031A9F">
        <w:t xml:space="preserve"> inovaci produktu se věnovalo 15,4 %. Inovaci produktů</w:t>
      </w:r>
      <w:r w:rsidR="00031A9F">
        <w:rPr>
          <w:rStyle w:val="Znakapoznpodarou"/>
        </w:rPr>
        <w:footnoteReference w:id="3"/>
      </w:r>
      <w:r w:rsidR="00D05A86">
        <w:t xml:space="preserve"> se tedy </w:t>
      </w:r>
      <w:r w:rsidR="00E443AC">
        <w:t xml:space="preserve">v souhrnu </w:t>
      </w:r>
      <w:r w:rsidR="00D05A86">
        <w:t>věnovalo 25,7</w:t>
      </w:r>
      <w:r w:rsidR="001D2A50">
        <w:t> %</w:t>
      </w:r>
      <w:r w:rsidR="00E443AC">
        <w:t xml:space="preserve"> podniků</w:t>
      </w:r>
      <w:r w:rsidR="001D2A50">
        <w:t>. Po</w:t>
      </w:r>
      <w:r w:rsidR="00D05A86">
        <w:t>dnikové procesy pak inovovalo 27,7</w:t>
      </w:r>
      <w:r w:rsidR="001D2A50">
        <w:t xml:space="preserve"> % podniků.</w:t>
      </w:r>
      <w:r w:rsidR="00D05A86">
        <w:t xml:space="preserve"> Celkem 2,5</w:t>
      </w:r>
      <w:r w:rsidR="00E443AC">
        <w:t xml:space="preserve"> % podniků</w:t>
      </w:r>
      <w:r w:rsidR="00A55489">
        <w:t xml:space="preserve"> </w:t>
      </w:r>
      <w:r w:rsidR="00F56B28">
        <w:t>nedovedlo</w:t>
      </w:r>
      <w:r w:rsidR="00A55489">
        <w:t xml:space="preserve"> inovaci produktu nebo procesu ke zdárnému konci z důvodu, že inovace nebyly ve sledovaném období ukončeny nebo byly zrušeny. </w:t>
      </w:r>
      <w:r w:rsidR="001D2A50">
        <w:t xml:space="preserve"> </w:t>
      </w:r>
    </w:p>
    <w:p w:rsidR="00CA0FAE" w:rsidRPr="00CA0FAE" w:rsidRDefault="00777823" w:rsidP="00D044EA">
      <w:pPr>
        <w:jc w:val="both"/>
      </w:pPr>
      <w:r>
        <w:t xml:space="preserve">V případě netechnických inovací byla pro podniky významnější </w:t>
      </w:r>
      <w:r w:rsidR="00361C6F">
        <w:t xml:space="preserve">inovace marketingových metod, které </w:t>
      </w:r>
      <w:r>
        <w:t>zavedlo</w:t>
      </w:r>
      <w:r w:rsidR="00D05A86">
        <w:t xml:space="preserve"> celkem 26,3</w:t>
      </w:r>
      <w:r w:rsidR="00361C6F">
        <w:t> %. Organiza</w:t>
      </w:r>
      <w:r w:rsidR="00D05A86">
        <w:t>ční postupy inovovalo pouze 17,6</w:t>
      </w:r>
      <w:r w:rsidR="00361C6F">
        <w:t xml:space="preserve"> %</w:t>
      </w:r>
      <w:r w:rsidR="00D64A75">
        <w:t xml:space="preserve"> podniků</w:t>
      </w:r>
      <w:r w:rsidR="00361C6F">
        <w:t xml:space="preserve">. </w:t>
      </w:r>
      <w:r w:rsidR="001D2A50">
        <w:t xml:space="preserve"> </w:t>
      </w:r>
      <w:r w:rsidR="00BB1D98">
        <w:t xml:space="preserve"> </w:t>
      </w:r>
    </w:p>
    <w:p w:rsidR="005E229F" w:rsidRPr="0033205F" w:rsidRDefault="005E229F" w:rsidP="00D044EA">
      <w:pPr>
        <w:pStyle w:val="Nadpis3"/>
        <w:spacing w:before="120"/>
        <w:rPr>
          <w:rStyle w:val="st"/>
        </w:rPr>
      </w:pPr>
      <w:r w:rsidRPr="0033205F">
        <w:rPr>
          <w:rStyle w:val="st"/>
        </w:rPr>
        <w:t>3.1.3 Náklady na technické inovace</w:t>
      </w:r>
    </w:p>
    <w:p w:rsidR="003A221E" w:rsidRPr="00F52794" w:rsidRDefault="00371D3C" w:rsidP="00941770">
      <w:pPr>
        <w:jc w:val="both"/>
        <w:rPr>
          <w:b/>
          <w:bCs/>
        </w:rPr>
      </w:pPr>
      <w:r>
        <w:t>V roce 2016</w:t>
      </w:r>
      <w:r w:rsidR="00F52794">
        <w:t xml:space="preserve"> </w:t>
      </w:r>
      <w:r w:rsidR="00943283">
        <w:rPr>
          <w:b/>
        </w:rPr>
        <w:t>podniky</w:t>
      </w:r>
      <w:r w:rsidR="003719DA" w:rsidRPr="0033205F">
        <w:rPr>
          <w:b/>
        </w:rPr>
        <w:t xml:space="preserve"> investovaly</w:t>
      </w:r>
      <w:r w:rsidR="003719DA">
        <w:t xml:space="preserve"> </w:t>
      </w:r>
      <w:r w:rsidR="00F52794">
        <w:t xml:space="preserve">do zavádění inovací produktů a procesů </w:t>
      </w:r>
      <w:r>
        <w:rPr>
          <w:b/>
        </w:rPr>
        <w:t>120</w:t>
      </w:r>
      <w:r w:rsidR="00F52794" w:rsidRPr="0033205F">
        <w:rPr>
          <w:b/>
        </w:rPr>
        <w:t xml:space="preserve"> mld. Kč</w:t>
      </w:r>
      <w:r w:rsidR="00F52794">
        <w:t xml:space="preserve">, </w:t>
      </w:r>
      <w:r>
        <w:t>což představuje oproti roku 2014 pokles o 9</w:t>
      </w:r>
      <w:r w:rsidR="00F52794">
        <w:t> %.</w:t>
      </w:r>
      <w:r w:rsidR="003719DA">
        <w:t xml:space="preserve"> </w:t>
      </w:r>
      <w:r w:rsidR="008750BD">
        <w:t>Příčinou je snížení</w:t>
      </w:r>
      <w:r>
        <w:t xml:space="preserve"> investic u velkých podniků o 10 mld. Kč a u středních podniků o 5 mld. Kč. Malé podniky naopak investovaly (16,5 mld. Kč) ve srovnání s rokem 2014 o necelé 3 mld. Kč více.</w:t>
      </w:r>
      <w:r w:rsidR="003719DA">
        <w:t xml:space="preserve">   </w:t>
      </w:r>
    </w:p>
    <w:p w:rsidR="00A07C0B" w:rsidRDefault="00A07C0B" w:rsidP="00A07C0B">
      <w:pPr>
        <w:spacing w:before="120"/>
        <w:jc w:val="both"/>
        <w:rPr>
          <w:b/>
        </w:rPr>
      </w:pPr>
      <w:r>
        <w:rPr>
          <w:b/>
        </w:rPr>
        <w:t>TAB 3: Náklady na technické inovace ve sledovaných letech</w:t>
      </w:r>
    </w:p>
    <w:tbl>
      <w:tblPr>
        <w:tblW w:w="92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5000"/>
        <w:gridCol w:w="820"/>
        <w:gridCol w:w="820"/>
        <w:gridCol w:w="820"/>
        <w:gridCol w:w="820"/>
        <w:gridCol w:w="820"/>
      </w:tblGrid>
      <w:tr w:rsidR="00B5004C" w:rsidRPr="00B5004C" w:rsidTr="00B5004C">
        <w:trPr>
          <w:trHeight w:val="40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color w:val="FFFFFF"/>
                <w:sz w:val="18"/>
                <w:szCs w:val="18"/>
              </w:rPr>
              <w:t>NACE B+C+D+E+G46+H+J+K+M71-73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color w:val="FFFFFF"/>
                <w:sz w:val="18"/>
                <w:szCs w:val="18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color w:val="FFFFFF"/>
                <w:sz w:val="18"/>
                <w:szCs w:val="18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color w:val="FFFFFF"/>
                <w:sz w:val="18"/>
                <w:szCs w:val="18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color w:val="FFFFFF"/>
                <w:sz w:val="18"/>
                <w:szCs w:val="18"/>
              </w:rPr>
              <w:t>2016</w:t>
            </w:r>
          </w:p>
        </w:tc>
      </w:tr>
      <w:tr w:rsidR="00B5004C" w:rsidRPr="00B5004C" w:rsidTr="00B5004C">
        <w:trPr>
          <w:trHeight w:val="240"/>
        </w:trPr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Celkové náklady na technické inovace (mld. Kč)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120,2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Vnitropodnikový výzkum a vývoj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34,9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Nákup služeb výzkumu a vývoje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19,6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Pořízení strojů, zařízení a softwaru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69,9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65,1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52,6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Pořízení jiných externích znalostí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6,3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Náklady na ostatní inovační činnosti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5,1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6,8</w:t>
            </w:r>
          </w:p>
        </w:tc>
      </w:tr>
      <w:tr w:rsidR="00B5004C" w:rsidRPr="00B5004C" w:rsidTr="00B5004C">
        <w:trPr>
          <w:trHeight w:val="240"/>
        </w:trPr>
        <w:tc>
          <w:tcPr>
            <w:tcW w:w="5144" w:type="dxa"/>
            <w:gridSpan w:val="2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Struktura nákladů na technické inovace v 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5004C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Vnitropodnikový výzkum a vývoj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23,0%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24,4%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25,9%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23,9%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29,0%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Nákup služeb výzkumu a vývoje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14,8%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20,7%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17,7%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17,0%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16,3%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Pořízení strojů, zařízení a softwaru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60,2%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50,9%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48,1%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49,9%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43,8%</w:t>
            </w:r>
          </w:p>
        </w:tc>
      </w:tr>
      <w:tr w:rsidR="00B5004C" w:rsidRPr="00B5004C" w:rsidTr="00B5004C">
        <w:trPr>
          <w:trHeight w:val="259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Pořízení jiných externích znalostí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1,9%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3,2%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4,3%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5,3%</w:t>
            </w:r>
          </w:p>
        </w:tc>
      </w:tr>
      <w:tr w:rsidR="00B5004C" w:rsidRPr="00B5004C" w:rsidTr="00B5004C">
        <w:trPr>
          <w:trHeight w:val="240"/>
        </w:trPr>
        <w:tc>
          <w:tcPr>
            <w:tcW w:w="144" w:type="dxa"/>
            <w:tcBorders>
              <w:top w:val="single" w:sz="4" w:space="0" w:color="FFFFFF"/>
              <w:left w:val="nil"/>
              <w:bottom w:val="single" w:sz="4" w:space="0" w:color="DAEEF3"/>
              <w:right w:val="nil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B5004C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00" w:type="dxa"/>
            <w:tcBorders>
              <w:top w:val="single" w:sz="4" w:space="0" w:color="FFFFFF"/>
              <w:left w:val="nil"/>
              <w:bottom w:val="single" w:sz="4" w:space="0" w:color="DAEEF3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Náklady na ostatní inovační činnosti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5,1%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4,9%</w:t>
            </w:r>
          </w:p>
        </w:tc>
        <w:tc>
          <w:tcPr>
            <w:tcW w:w="820" w:type="dxa"/>
            <w:tcBorders>
              <w:top w:val="single" w:sz="4" w:space="0" w:color="FFFFFF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B5004C" w:rsidRPr="00B5004C" w:rsidRDefault="00B5004C" w:rsidP="00B5004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5004C">
              <w:rPr>
                <w:rFonts w:cs="Arial"/>
                <w:sz w:val="18"/>
                <w:szCs w:val="18"/>
              </w:rPr>
              <w:t>5,6%</w:t>
            </w:r>
          </w:p>
        </w:tc>
      </w:tr>
    </w:tbl>
    <w:p w:rsidR="00CE6861" w:rsidRDefault="00CD0328" w:rsidP="007361E0">
      <w:pPr>
        <w:spacing w:before="240" w:after="60"/>
        <w:jc w:val="both"/>
      </w:pPr>
      <w:r w:rsidRPr="0072077E">
        <w:rPr>
          <w:b/>
        </w:rPr>
        <w:lastRenderedPageBreak/>
        <w:t>Nejvyšší podíl</w:t>
      </w:r>
      <w:r>
        <w:t xml:space="preserve"> nákla</w:t>
      </w:r>
      <w:r w:rsidR="00B3057F">
        <w:t xml:space="preserve">dů na technické inovace připadá </w:t>
      </w:r>
      <w:r w:rsidR="00165F51">
        <w:t xml:space="preserve">dlouhodobě </w:t>
      </w:r>
      <w:r>
        <w:t xml:space="preserve">na </w:t>
      </w:r>
      <w:r w:rsidRPr="0072077E">
        <w:rPr>
          <w:b/>
        </w:rPr>
        <w:t>investice do pořízení strojů, zařízení, softwaru a budov</w:t>
      </w:r>
      <w:r>
        <w:t>.</w:t>
      </w:r>
      <w:r w:rsidR="00165F51">
        <w:t xml:space="preserve"> V roce 2016</w:t>
      </w:r>
      <w:r w:rsidR="00792227">
        <w:t xml:space="preserve"> podniky investovaly</w:t>
      </w:r>
      <w:r w:rsidR="0057578A">
        <w:t xml:space="preserve"> v souvislosti s technickými inovace</w:t>
      </w:r>
      <w:r w:rsidR="00777823">
        <w:t>mi</w:t>
      </w:r>
      <w:r w:rsidR="0057578A">
        <w:t xml:space="preserve"> do pořízení vybavení</w:t>
      </w:r>
      <w:r w:rsidR="00792227">
        <w:t>, softwaru</w:t>
      </w:r>
      <w:r w:rsidR="00165F51">
        <w:t xml:space="preserve"> a budov celkem 52</w:t>
      </w:r>
      <w:r w:rsidR="0057578A">
        <w:t xml:space="preserve"> mld. Kč, což před</w:t>
      </w:r>
      <w:r w:rsidR="00165F51">
        <w:t>stavuje podíl 43,8</w:t>
      </w:r>
      <w:r w:rsidR="00792227">
        <w:t> %</w:t>
      </w:r>
      <w:r w:rsidR="00B3057F">
        <w:t xml:space="preserve"> ze všech nákladů na technické inovace</w:t>
      </w:r>
      <w:r w:rsidR="00792227">
        <w:t>. Na výzkum</w:t>
      </w:r>
      <w:r w:rsidR="0057578A">
        <w:t xml:space="preserve"> a</w:t>
      </w:r>
      <w:r w:rsidR="00165F51">
        <w:t xml:space="preserve"> vývoj firmy vydaly v souhrnu 54</w:t>
      </w:r>
      <w:r w:rsidR="0057578A">
        <w:t>,5</w:t>
      </w:r>
      <w:r w:rsidR="00792227">
        <w:t> </w:t>
      </w:r>
      <w:r w:rsidR="00B3057F">
        <w:t>mld. Kč, z toho na VaV provedený</w:t>
      </w:r>
      <w:r w:rsidR="0057578A">
        <w:t xml:space="preserve"> v rámci podn</w:t>
      </w:r>
      <w:r w:rsidR="00165F51">
        <w:t>iku 34</w:t>
      </w:r>
      <w:r w:rsidR="0057578A">
        <w:t>,2</w:t>
      </w:r>
      <w:r w:rsidR="00B3057F">
        <w:t> </w:t>
      </w:r>
      <w:r w:rsidR="0057578A">
        <w:t>mld.</w:t>
      </w:r>
      <w:r w:rsidR="00B3057F">
        <w:t> </w:t>
      </w:r>
      <w:r w:rsidR="00165F51">
        <w:t>Kč (podíl 2</w:t>
      </w:r>
      <w:r w:rsidR="0057578A">
        <w:t>9 % ze všech nákladů na inovace).</w:t>
      </w:r>
      <w:r w:rsidR="009A5CC8">
        <w:t xml:space="preserve"> </w:t>
      </w:r>
      <w:r w:rsidR="00165F51">
        <w:t>I</w:t>
      </w:r>
      <w:r w:rsidR="00792227">
        <w:t>nvestice do VaV a pořízení</w:t>
      </w:r>
      <w:r w:rsidR="009A5CC8">
        <w:t xml:space="preserve"> jiných externíc</w:t>
      </w:r>
      <w:r w:rsidR="00165F51">
        <w:t>h znalostí převládly v roce 2016</w:t>
      </w:r>
      <w:r w:rsidR="009A5CC8">
        <w:t xml:space="preserve"> </w:t>
      </w:r>
      <w:r w:rsidR="00165F51">
        <w:t>nad investicemi</w:t>
      </w:r>
      <w:r w:rsidR="009A5CC8">
        <w:t xml:space="preserve"> do tzv. neznalostí báze</w:t>
      </w:r>
      <w:r w:rsidR="009A5CC8">
        <w:rPr>
          <w:rStyle w:val="Znakapoznpodarou"/>
        </w:rPr>
        <w:footnoteReference w:id="4"/>
      </w:r>
      <w:r w:rsidR="009A5CC8">
        <w:t>.</w:t>
      </w:r>
      <w:r w:rsidR="00165F51">
        <w:t xml:space="preserve"> </w:t>
      </w:r>
      <w:r w:rsidR="00165F51" w:rsidRPr="00D31CF6">
        <w:rPr>
          <w:b/>
        </w:rPr>
        <w:t>Je to poprvé za celou dobu sle</w:t>
      </w:r>
      <w:r w:rsidR="00854ECB">
        <w:rPr>
          <w:b/>
        </w:rPr>
        <w:t>dování ukazatele nákladů podniků</w:t>
      </w:r>
      <w:r w:rsidR="00165F51" w:rsidRPr="00D31CF6">
        <w:rPr>
          <w:b/>
        </w:rPr>
        <w:t xml:space="preserve"> na inovační aktivity. </w:t>
      </w:r>
      <w:r w:rsidR="00F16380" w:rsidRPr="00D31CF6">
        <w:rPr>
          <w:b/>
        </w:rPr>
        <w:t xml:space="preserve"> </w:t>
      </w:r>
    </w:p>
    <w:p w:rsidR="00B3057F" w:rsidRDefault="00792227" w:rsidP="007361E0">
      <w:pPr>
        <w:spacing w:after="60"/>
        <w:jc w:val="both"/>
      </w:pPr>
      <w:r>
        <w:t xml:space="preserve">Největší objem </w:t>
      </w:r>
      <w:r w:rsidR="00CE6861">
        <w:t xml:space="preserve">nákladů na technické inovace </w:t>
      </w:r>
      <w:r>
        <w:t xml:space="preserve">vydávají </w:t>
      </w:r>
      <w:r w:rsidR="00CE6861">
        <w:t>velké podnik</w:t>
      </w:r>
      <w:r>
        <w:t>y. Ty v roc</w:t>
      </w:r>
      <w:r w:rsidR="00AF21BD">
        <w:t>e 2016 investovaly 78,7</w:t>
      </w:r>
      <w:r w:rsidR="00B3057F">
        <w:t> mld. </w:t>
      </w:r>
      <w:r w:rsidR="00CE6861">
        <w:t>Kč, z toho podn</w:t>
      </w:r>
      <w:r w:rsidR="00AF21BD">
        <w:t>iky pod zahraniční kontrolou 58,9</w:t>
      </w:r>
      <w:r>
        <w:t xml:space="preserve"> mld. Kč. Celkem </w:t>
      </w:r>
      <w:r w:rsidR="00AF21BD">
        <w:rPr>
          <w:b/>
        </w:rPr>
        <w:t>81,3</w:t>
      </w:r>
      <w:r w:rsidR="00CE6861" w:rsidRPr="00020855">
        <w:rPr>
          <w:b/>
        </w:rPr>
        <w:t xml:space="preserve"> mld. Kč</w:t>
      </w:r>
      <w:r w:rsidR="00CE6861">
        <w:t xml:space="preserve"> bylo investováno do zavádění technických inovací podn</w:t>
      </w:r>
      <w:r>
        <w:t xml:space="preserve">iky </w:t>
      </w:r>
      <w:r w:rsidRPr="00020855">
        <w:rPr>
          <w:b/>
        </w:rPr>
        <w:t>ve zpracovatelském průmyslu</w:t>
      </w:r>
      <w:r w:rsidR="00D911C5">
        <w:t>, z toho 36,5</w:t>
      </w:r>
      <w:r>
        <w:t> % bylo vynaloženo podniky v automobilovém průmyslu.</w:t>
      </w:r>
      <w:r w:rsidR="00CE6861">
        <w:t xml:space="preserve"> </w:t>
      </w:r>
      <w:r w:rsidR="00F16380">
        <w:t>Nejvíce do nákupů služeb VaV investují velké podniky pod zahraniční kontrolou</w:t>
      </w:r>
      <w:r w:rsidR="00B3057F">
        <w:t xml:space="preserve">, které </w:t>
      </w:r>
      <w:r w:rsidR="00D911C5">
        <w:t>utratily za nákup služeb VaV (15,5</w:t>
      </w:r>
      <w:r w:rsidR="00B27879">
        <w:t xml:space="preserve"> mld. Kč)</w:t>
      </w:r>
      <w:r w:rsidR="00B3057F">
        <w:t>, což je</w:t>
      </w:r>
      <w:r w:rsidR="00B27879">
        <w:t xml:space="preserve"> téměř stejně jako vynaložily </w:t>
      </w:r>
      <w:r w:rsidR="00B3057F">
        <w:t xml:space="preserve">na </w:t>
      </w:r>
      <w:r w:rsidR="00D911C5">
        <w:t>vlastní VaV (16,4</w:t>
      </w:r>
      <w:r w:rsidR="00B27879">
        <w:t> mld. Kč). U malých a středních podniků je tomu naopak.</w:t>
      </w:r>
      <w:r w:rsidR="00E61C43">
        <w:t xml:space="preserve"> </w:t>
      </w:r>
    </w:p>
    <w:p w:rsidR="00A07C0B" w:rsidRPr="00A07C0B" w:rsidRDefault="00E61C43" w:rsidP="007361E0">
      <w:pPr>
        <w:spacing w:after="60"/>
        <w:jc w:val="both"/>
      </w:pPr>
      <w:r>
        <w:t>V souhrnu firmy, které inovují své produkty a</w:t>
      </w:r>
      <w:r w:rsidR="00D911C5">
        <w:t xml:space="preserve"> procesy, vynaložily v roce 2016 na tyto inovace 2,1</w:t>
      </w:r>
      <w:r>
        <w:t xml:space="preserve"> % svých tržeb. Ve zp</w:t>
      </w:r>
      <w:r w:rsidR="00D911C5">
        <w:t>racovatelském průmyslu to bylo 2,4</w:t>
      </w:r>
      <w:r>
        <w:t xml:space="preserve"> %. </w:t>
      </w:r>
    </w:p>
    <w:p w:rsidR="005E229F" w:rsidRPr="0033205F" w:rsidRDefault="005E229F" w:rsidP="005E0F32">
      <w:pPr>
        <w:pStyle w:val="Nadpis3"/>
        <w:spacing w:before="120"/>
        <w:rPr>
          <w:rStyle w:val="st"/>
        </w:rPr>
      </w:pPr>
      <w:r w:rsidRPr="0033205F">
        <w:rPr>
          <w:rStyle w:val="st"/>
        </w:rPr>
        <w:t>3.1.</w:t>
      </w:r>
      <w:r w:rsidR="003121CB" w:rsidRPr="0033205F">
        <w:rPr>
          <w:rStyle w:val="st"/>
        </w:rPr>
        <w:t>4</w:t>
      </w:r>
      <w:r w:rsidRPr="0033205F">
        <w:rPr>
          <w:rStyle w:val="st"/>
        </w:rPr>
        <w:t xml:space="preserve"> Tržby podniků podle míry inovativnosti produktu</w:t>
      </w:r>
    </w:p>
    <w:p w:rsidR="00E8026B" w:rsidRDefault="00E644A7" w:rsidP="005E0F32">
      <w:pPr>
        <w:spacing w:after="60"/>
        <w:jc w:val="both"/>
      </w:pPr>
      <w:r>
        <w:t xml:space="preserve">Podniky inovující své produkty získávají </w:t>
      </w:r>
      <w:r w:rsidRPr="0054507C">
        <w:rPr>
          <w:b/>
        </w:rPr>
        <w:t>převážnou většinu tržeb</w:t>
      </w:r>
      <w:r>
        <w:t xml:space="preserve"> za prodej výrobků a služeb </w:t>
      </w:r>
      <w:r w:rsidRPr="0054507C">
        <w:rPr>
          <w:b/>
        </w:rPr>
        <w:t>prostřednictvím neinovované produkce</w:t>
      </w:r>
      <w:r w:rsidR="00FC5975">
        <w:t>. V roce 2016</w:t>
      </w:r>
      <w:r>
        <w:t xml:space="preserve"> firmy utr</w:t>
      </w:r>
      <w:r w:rsidR="00FC5975">
        <w:t>žily za inovované produkty 1 149</w:t>
      </w:r>
      <w:r>
        <w:t xml:space="preserve"> m</w:t>
      </w:r>
      <w:r w:rsidR="00FC5975">
        <w:t>ld. Kč, což představuje podíl 27,4</w:t>
      </w:r>
      <w:r>
        <w:t xml:space="preserve"> % celkových tržeb produktově inovujících podniků. Pokud bychom uvedenou částku porovnaly s celkovými tr</w:t>
      </w:r>
      <w:r w:rsidR="009320A3">
        <w:t xml:space="preserve">žbami všech podniků, tak podíl dosáhl </w:t>
      </w:r>
      <w:r w:rsidR="00E22AE6" w:rsidRPr="00E22AE6">
        <w:t>17,9</w:t>
      </w:r>
      <w:r w:rsidR="009320A3" w:rsidRPr="00E22AE6">
        <w:t> %.</w:t>
      </w:r>
    </w:p>
    <w:p w:rsidR="00E644A7" w:rsidRDefault="0019608F" w:rsidP="005E0F32">
      <w:pPr>
        <w:spacing w:after="60"/>
        <w:jc w:val="both"/>
        <w:rPr>
          <w:b/>
        </w:rPr>
      </w:pPr>
      <w:r>
        <w:t xml:space="preserve">Za </w:t>
      </w:r>
      <w:r w:rsidR="00811FAF">
        <w:t xml:space="preserve">výrobky a služby </w:t>
      </w:r>
      <w:r>
        <w:t>nové na trhu produ</w:t>
      </w:r>
      <w:r w:rsidR="00FC5975">
        <w:t>ktově inovující firmy utržily 13,5</w:t>
      </w:r>
      <w:r>
        <w:t xml:space="preserve"> % tržeb. U velkých podniků byl podíl o </w:t>
      </w:r>
      <w:r w:rsidR="00C82CA9">
        <w:t xml:space="preserve">necelé </w:t>
      </w:r>
      <w:r w:rsidR="00E369B0">
        <w:t>dva</w:t>
      </w:r>
      <w:r>
        <w:t xml:space="preserve"> procentní body vyšší. </w:t>
      </w:r>
      <w:r w:rsidR="00236AA1">
        <w:t xml:space="preserve">Velké podniky pod zahraniční kontrolou utržily za inovované produkty nové na trhu </w:t>
      </w:r>
      <w:r w:rsidR="00E369B0">
        <w:t xml:space="preserve">3x </w:t>
      </w:r>
      <w:r w:rsidR="00236AA1">
        <w:t>více</w:t>
      </w:r>
      <w:r w:rsidR="00E369B0">
        <w:t xml:space="preserve"> (18 %) než domácí podniky (5</w:t>
      </w:r>
      <w:r w:rsidR="00236AA1">
        <w:t>%).</w:t>
      </w:r>
      <w:r w:rsidR="00B933B1">
        <w:t xml:space="preserve"> Z celkových tržeb produktově inovujících podniků bylo 66,7 % utrženo v</w:t>
      </w:r>
      <w:r>
        <w:t>e zpracovatelském průmyslu</w:t>
      </w:r>
      <w:r w:rsidR="005B15FE">
        <w:t>.</w:t>
      </w:r>
      <w:r w:rsidR="003A3E76">
        <w:t xml:space="preserve"> V této odvětvové sekci podniky utržily za inovované produkty nové na trhu celkem 467 mld. Kč</w:t>
      </w:r>
      <w:r w:rsidR="00B933B1">
        <w:t>. Tato částka odpovídá podílu 16,7</w:t>
      </w:r>
      <w:r w:rsidR="003A3E76">
        <w:t xml:space="preserve"> %. Nejvyšší </w:t>
      </w:r>
      <w:r w:rsidR="00932F72">
        <w:t xml:space="preserve">podíl </w:t>
      </w:r>
      <w:r w:rsidR="003A3E76">
        <w:t>byl zaznamenán v odvětví výroby</w:t>
      </w:r>
      <w:r w:rsidR="003A3E76" w:rsidRPr="003A3E76">
        <w:t xml:space="preserve"> počítačů, elektronických a opt</w:t>
      </w:r>
      <w:r w:rsidR="00A50233">
        <w:t>ických přístrojů a zařízení</w:t>
      </w:r>
      <w:r w:rsidR="00854ECB">
        <w:t xml:space="preserve"> (NACE 26), kde dosáhl hodnoty</w:t>
      </w:r>
      <w:r w:rsidR="00932F72">
        <w:t xml:space="preserve"> 45</w:t>
      </w:r>
      <w:r w:rsidR="00A50233">
        <w:t>,9 %.</w:t>
      </w:r>
      <w:r w:rsidR="005B15FE">
        <w:t xml:space="preserve"> </w:t>
      </w:r>
      <w:r>
        <w:t xml:space="preserve">  </w:t>
      </w:r>
      <w:r w:rsidR="00E8026B">
        <w:t xml:space="preserve"> </w:t>
      </w:r>
      <w:r w:rsidR="00E644A7">
        <w:t xml:space="preserve">  </w:t>
      </w:r>
    </w:p>
    <w:p w:rsidR="00A07C0B" w:rsidRDefault="00A07C0B" w:rsidP="005E0F32">
      <w:pPr>
        <w:spacing w:before="240"/>
        <w:jc w:val="both"/>
        <w:rPr>
          <w:b/>
        </w:rPr>
      </w:pPr>
      <w:r>
        <w:rPr>
          <w:b/>
        </w:rPr>
        <w:t>TAB 4: Tržby za výrobky a služby podle míry inovativnosti u produktově inovujících podniků ve sledovaných letech</w:t>
      </w:r>
    </w:p>
    <w:tbl>
      <w:tblPr>
        <w:tblW w:w="9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5340"/>
        <w:gridCol w:w="820"/>
        <w:gridCol w:w="820"/>
        <w:gridCol w:w="820"/>
        <w:gridCol w:w="820"/>
        <w:gridCol w:w="820"/>
      </w:tblGrid>
      <w:tr w:rsidR="00F10DA0" w:rsidRPr="00F10DA0" w:rsidTr="00F10DA0">
        <w:trPr>
          <w:trHeight w:val="402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color w:val="FFFFFF"/>
                <w:sz w:val="18"/>
                <w:szCs w:val="18"/>
              </w:rPr>
              <w:t>NACE B+C+D+E+G46+H+J+K+M71-73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color w:val="FFFFFF"/>
                <w:sz w:val="18"/>
                <w:szCs w:val="18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color w:val="FFFFFF"/>
                <w:sz w:val="18"/>
                <w:szCs w:val="18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color w:val="FFFFFF"/>
                <w:sz w:val="18"/>
                <w:szCs w:val="18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color w:val="FFFFFF"/>
                <w:sz w:val="18"/>
                <w:szCs w:val="18"/>
              </w:rPr>
              <w:t>2016</w:t>
            </w:r>
          </w:p>
        </w:tc>
      </w:tr>
      <w:tr w:rsidR="00F10DA0" w:rsidRPr="00F10DA0" w:rsidTr="00F10DA0">
        <w:trPr>
          <w:trHeight w:val="240"/>
        </w:trPr>
        <w:tc>
          <w:tcPr>
            <w:tcW w:w="5484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Celkové tržby u produktově inovujících podniků (mld. Kč)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3 594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3 220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3 508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3 902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4 191</w:t>
            </w:r>
          </w:p>
        </w:tc>
      </w:tr>
      <w:tr w:rsidR="00F10DA0" w:rsidRPr="00F10DA0" w:rsidTr="00F10DA0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Nové na trhu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567</w:t>
            </w:r>
          </w:p>
        </w:tc>
      </w:tr>
      <w:tr w:rsidR="00F10DA0" w:rsidRPr="00F10DA0" w:rsidTr="00F10DA0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Nové pro podnik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582</w:t>
            </w:r>
          </w:p>
        </w:tc>
      </w:tr>
      <w:tr w:rsidR="00F10DA0" w:rsidRPr="00F10DA0" w:rsidTr="00F10DA0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F10DA0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Nezměněné nebo málo modifikované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2 294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2 221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2 483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2 708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3 041</w:t>
            </w:r>
          </w:p>
        </w:tc>
      </w:tr>
      <w:tr w:rsidR="00F10DA0" w:rsidRPr="00F10DA0" w:rsidTr="00F10DA0">
        <w:trPr>
          <w:trHeight w:val="240"/>
        </w:trPr>
        <w:tc>
          <w:tcPr>
            <w:tcW w:w="5484" w:type="dxa"/>
            <w:gridSpan w:val="2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Struktura celkových tržeb v 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820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100,0%</w:t>
            </w:r>
          </w:p>
        </w:tc>
      </w:tr>
      <w:tr w:rsidR="00F10DA0" w:rsidRPr="00F10DA0" w:rsidTr="00F10DA0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Nové na trhu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20,1%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15,1%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14,4%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14,8%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13,5%</w:t>
            </w:r>
          </w:p>
        </w:tc>
      </w:tr>
      <w:tr w:rsidR="00F10DA0" w:rsidRPr="00F10DA0" w:rsidTr="00F10DA0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Nové pro podnik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16,1%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15,9%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14,8%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15,8%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13,9%</w:t>
            </w:r>
          </w:p>
        </w:tc>
      </w:tr>
      <w:tr w:rsidR="00F10DA0" w:rsidRPr="00F10DA0" w:rsidTr="00F10DA0">
        <w:trPr>
          <w:trHeight w:val="240"/>
        </w:trPr>
        <w:tc>
          <w:tcPr>
            <w:tcW w:w="144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AEEF3"/>
            <w:noWrap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10DA0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DAEEF3"/>
              <w:right w:val="single" w:sz="8" w:space="0" w:color="FFFFFF"/>
            </w:tcBorders>
            <w:shd w:val="clear" w:color="000000" w:fill="DAEEF3"/>
            <w:vAlign w:val="bottom"/>
            <w:hideMark/>
          </w:tcPr>
          <w:p w:rsidR="00F10DA0" w:rsidRPr="00F10DA0" w:rsidRDefault="00F10DA0" w:rsidP="00F10DA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Nezměněné nebo málo modifikované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63,8%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69,0%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70,8%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69,4%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F10DA0" w:rsidRPr="00F10DA0" w:rsidRDefault="00F10DA0" w:rsidP="00F10DA0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0DA0">
              <w:rPr>
                <w:rFonts w:cs="Arial"/>
                <w:sz w:val="18"/>
                <w:szCs w:val="18"/>
              </w:rPr>
              <w:t>72,6%</w:t>
            </w:r>
          </w:p>
        </w:tc>
      </w:tr>
    </w:tbl>
    <w:p w:rsidR="00A07C0B" w:rsidRPr="00A07C0B" w:rsidRDefault="00A07C0B" w:rsidP="00A07C0B"/>
    <w:p w:rsidR="005E229F" w:rsidRPr="0033205F" w:rsidRDefault="005E229F" w:rsidP="0033205F">
      <w:pPr>
        <w:pStyle w:val="Nadpis3"/>
        <w:rPr>
          <w:rStyle w:val="st"/>
        </w:rPr>
      </w:pPr>
      <w:r w:rsidRPr="0033205F">
        <w:rPr>
          <w:rStyle w:val="st"/>
        </w:rPr>
        <w:t>3.1.</w:t>
      </w:r>
      <w:r w:rsidR="003121CB" w:rsidRPr="0033205F">
        <w:rPr>
          <w:rStyle w:val="st"/>
        </w:rPr>
        <w:t>5</w:t>
      </w:r>
      <w:r w:rsidRPr="0033205F">
        <w:rPr>
          <w:rStyle w:val="st"/>
        </w:rPr>
        <w:t xml:space="preserve"> Podniky s technickými inovacemi – bližší údaje </w:t>
      </w:r>
    </w:p>
    <w:p w:rsidR="00E64FE4" w:rsidRDefault="005B15FE" w:rsidP="005E0F32">
      <w:pPr>
        <w:spacing w:after="60"/>
        <w:jc w:val="both"/>
      </w:pPr>
      <w:r>
        <w:t xml:space="preserve">Podniky mohou inovovat </w:t>
      </w:r>
      <w:r w:rsidR="00811FAF">
        <w:t xml:space="preserve">své produkty a procesy buď vlastními zdroji </w:t>
      </w:r>
      <w:r>
        <w:t>v rámci podniku, ve spolupráci s jinými subjekty či mohou zadat inovační činno</w:t>
      </w:r>
      <w:r w:rsidR="0039310B">
        <w:t>sti jinému (externímu) subjektu</w:t>
      </w:r>
      <w:r>
        <w:t>.</w:t>
      </w:r>
      <w:r w:rsidR="005362C2">
        <w:t xml:space="preserve"> V období 2014–2016</w:t>
      </w:r>
      <w:r w:rsidR="0039310B">
        <w:t xml:space="preserve"> na </w:t>
      </w:r>
      <w:r w:rsidR="005362C2">
        <w:rPr>
          <w:b/>
        </w:rPr>
        <w:t>inovacích spolupracovalo 34,6</w:t>
      </w:r>
      <w:r w:rsidR="0039310B" w:rsidRPr="0055195E">
        <w:rPr>
          <w:b/>
        </w:rPr>
        <w:t> %</w:t>
      </w:r>
      <w:r w:rsidR="0055195E">
        <w:t xml:space="preserve"> podniků</w:t>
      </w:r>
      <w:r w:rsidR="0039310B">
        <w:t xml:space="preserve">. </w:t>
      </w:r>
      <w:r w:rsidR="00F85378">
        <w:t xml:space="preserve">Nejaktivněji spolupracují na </w:t>
      </w:r>
      <w:r w:rsidR="00811FAF">
        <w:t xml:space="preserve">technických </w:t>
      </w:r>
      <w:r w:rsidR="00F85378">
        <w:t>inovacích velké po</w:t>
      </w:r>
      <w:r w:rsidR="005362C2">
        <w:t>dniky (59,4</w:t>
      </w:r>
      <w:r w:rsidR="00F85378">
        <w:t xml:space="preserve"> %)</w:t>
      </w:r>
      <w:r w:rsidR="00164B18">
        <w:t xml:space="preserve">, </w:t>
      </w:r>
      <w:r w:rsidR="00F85378">
        <w:t xml:space="preserve">nejméně pak malé podniky (27,2 %). </w:t>
      </w:r>
      <w:r w:rsidR="008D5145">
        <w:t>Pokud podnik spolu</w:t>
      </w:r>
      <w:r w:rsidR="005362C2">
        <w:t xml:space="preserve">pracuje na zavádění </w:t>
      </w:r>
      <w:r w:rsidR="008D5145">
        <w:t xml:space="preserve">inovací, pak je to </w:t>
      </w:r>
      <w:r w:rsidR="008D5145" w:rsidRPr="00CF619B">
        <w:rPr>
          <w:b/>
        </w:rPr>
        <w:t>nejčastěji s partnerem z České republiky</w:t>
      </w:r>
      <w:r w:rsidR="005362C2">
        <w:t xml:space="preserve"> (v 30,4</w:t>
      </w:r>
      <w:r w:rsidR="008D5145">
        <w:t> % případů) a nejvíce oceňovaným partnerem jsou v souhrnu d</w:t>
      </w:r>
      <w:r w:rsidR="008D5145" w:rsidRPr="008D5145">
        <w:t>odavatelé zaříz</w:t>
      </w:r>
      <w:r w:rsidR="00AC435B">
        <w:t>ení, materiálů, součástí nebo softwaru</w:t>
      </w:r>
      <w:r w:rsidR="005362C2">
        <w:t xml:space="preserve"> (29,4</w:t>
      </w:r>
      <w:r w:rsidR="008D5145">
        <w:t> %). Pro velké podniky jsou nejcennějšími partnery o</w:t>
      </w:r>
      <w:r w:rsidR="008D5145" w:rsidRPr="008D5145">
        <w:t>statní podniky uvnitř skupiny podniků</w:t>
      </w:r>
      <w:r w:rsidR="008D5145">
        <w:t xml:space="preserve"> (</w:t>
      </w:r>
      <w:r w:rsidR="005362C2">
        <w:t>38,5</w:t>
      </w:r>
      <w:r w:rsidR="00007143">
        <w:t> </w:t>
      </w:r>
      <w:r w:rsidR="008D5145">
        <w:t>%).</w:t>
      </w:r>
    </w:p>
    <w:p w:rsidR="005E229F" w:rsidRPr="005E229F" w:rsidRDefault="007A04D5" w:rsidP="005E0F32">
      <w:pPr>
        <w:spacing w:after="60"/>
        <w:jc w:val="both"/>
      </w:pPr>
      <w:r w:rsidRPr="004F1ECB">
        <w:rPr>
          <w:b/>
        </w:rPr>
        <w:lastRenderedPageBreak/>
        <w:t>Vývoj</w:t>
      </w:r>
      <w:r w:rsidR="00E64FE4" w:rsidRPr="004F1ECB">
        <w:rPr>
          <w:b/>
        </w:rPr>
        <w:t xml:space="preserve"> produktových</w:t>
      </w:r>
      <w:r w:rsidR="00E64FE4" w:rsidRPr="004F1ECB">
        <w:t xml:space="preserve"> inovací</w:t>
      </w:r>
      <w:r w:rsidRPr="004F1ECB">
        <w:t xml:space="preserve"> probíhá </w:t>
      </w:r>
      <w:r w:rsidRPr="004F1ECB">
        <w:rPr>
          <w:b/>
        </w:rPr>
        <w:t>nejčastěji v rámci podniku</w:t>
      </w:r>
      <w:r w:rsidRPr="004F1ECB">
        <w:t xml:space="preserve"> </w:t>
      </w:r>
      <w:r w:rsidR="00FB6C52" w:rsidRPr="004F1ECB">
        <w:t>(76,3</w:t>
      </w:r>
      <w:r w:rsidRPr="004F1ECB">
        <w:t xml:space="preserve"> %) nebo ve spolupr</w:t>
      </w:r>
      <w:r w:rsidR="004F1ECB" w:rsidRPr="004F1ECB">
        <w:t xml:space="preserve">áci s jinými podniky </w:t>
      </w:r>
      <w:r w:rsidRPr="004F1ECB">
        <w:t>v</w:t>
      </w:r>
      <w:r w:rsidR="004F1ECB" w:rsidRPr="004F1ECB">
        <w:t> rámci podnikové skupiny (25</w:t>
      </w:r>
      <w:r w:rsidRPr="004F1ECB">
        <w:t xml:space="preserve"> %). Vývoj produktové inovace nechalo zadat vysoké </w:t>
      </w:r>
      <w:r w:rsidR="004F1ECB" w:rsidRPr="004F1ECB">
        <w:t>škole nebo výzkumné organizaci 8,5</w:t>
      </w:r>
      <w:r w:rsidRPr="004F1ECB">
        <w:t> % podniků. V případě zadání vývoje uvedeným subjektům je rozdíl mezi inovací výrobku a služby. Vývoj inovovaného výrobku zadalo vysoké škole n</w:t>
      </w:r>
      <w:r w:rsidR="00FB6C52" w:rsidRPr="004F1ECB">
        <w:t>ebo výzkumné organizaci pouze 2,7</w:t>
      </w:r>
      <w:r w:rsidRPr="004F1ECB">
        <w:t xml:space="preserve"> % podniků, v pří</w:t>
      </w:r>
      <w:r w:rsidR="00FB6C52" w:rsidRPr="004F1ECB">
        <w:t>padě inovace služby to bylo 13,8</w:t>
      </w:r>
      <w:r w:rsidRPr="004F1ECB">
        <w:t> %.</w:t>
      </w:r>
      <w:r>
        <w:t xml:space="preserve">     </w:t>
      </w:r>
      <w:r w:rsidR="00E64FE4">
        <w:t xml:space="preserve"> </w:t>
      </w:r>
    </w:p>
    <w:p w:rsidR="00AD633B" w:rsidRDefault="00AD633B" w:rsidP="005E0F32">
      <w:pPr>
        <w:spacing w:before="240"/>
        <w:jc w:val="both"/>
        <w:rPr>
          <w:b/>
        </w:rPr>
      </w:pPr>
      <w:r>
        <w:rPr>
          <w:b/>
        </w:rPr>
        <w:t>TAB 5: Podniky s technickými inovacemi – bližší údaje</w:t>
      </w: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023"/>
        <w:gridCol w:w="1099"/>
        <w:gridCol w:w="1099"/>
        <w:gridCol w:w="1099"/>
        <w:gridCol w:w="1099"/>
        <w:gridCol w:w="1099"/>
      </w:tblGrid>
      <w:tr w:rsidR="00381C35" w:rsidRPr="00381C35" w:rsidTr="00381C35">
        <w:trPr>
          <w:trHeight w:val="402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color w:val="FFFFFF"/>
                <w:sz w:val="18"/>
                <w:szCs w:val="18"/>
              </w:rPr>
              <w:t>NACE B+C+D+E+G46+H+J+K+M71-73</w:t>
            </w:r>
          </w:p>
        </w:tc>
        <w:tc>
          <w:tcPr>
            <w:tcW w:w="110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color w:val="FFFFFF"/>
                <w:sz w:val="18"/>
                <w:szCs w:val="18"/>
              </w:rPr>
              <w:t>2006–2008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color w:val="FFFFFF"/>
                <w:sz w:val="18"/>
                <w:szCs w:val="18"/>
              </w:rPr>
              <w:t>2008–2010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color w:val="FFFFFF"/>
                <w:sz w:val="18"/>
                <w:szCs w:val="18"/>
              </w:rPr>
              <w:t>2010–2012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color w:val="FFFFFF"/>
                <w:sz w:val="18"/>
                <w:szCs w:val="18"/>
              </w:rPr>
              <w:t>2012–2014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color w:val="FFFFFF"/>
                <w:sz w:val="18"/>
                <w:szCs w:val="18"/>
              </w:rPr>
              <w:t>2014–2016</w:t>
            </w:r>
          </w:p>
        </w:tc>
      </w:tr>
      <w:tr w:rsidR="00381C35" w:rsidRPr="00381C35" w:rsidTr="00381C35">
        <w:trPr>
          <w:trHeight w:val="240"/>
        </w:trPr>
        <w:tc>
          <w:tcPr>
            <w:tcW w:w="4135" w:type="dxa"/>
            <w:gridSpan w:val="2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Podíl spolupracujících podniků*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32,9%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34,2%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37,3%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33,0%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34,6%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Partner z ČR*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29,1%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30,6%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32,5%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27,9%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30,4%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Partner z EU*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19,8%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20,9%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20,9%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16,6%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14,9%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Ostatní podniky uvnitř skupiny podniků*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13,0%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15,2%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13,9%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13,6%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12,4%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Vysoká škola nebo jiná instituce vyššího vzdělání*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13,0%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14,6%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14,6%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12,2%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10,5%</w:t>
            </w:r>
          </w:p>
        </w:tc>
      </w:tr>
      <w:tr w:rsidR="00381C35" w:rsidRPr="00381C35" w:rsidTr="00381C35">
        <w:trPr>
          <w:trHeight w:val="240"/>
        </w:trPr>
        <w:tc>
          <w:tcPr>
            <w:tcW w:w="4135" w:type="dxa"/>
            <w:gridSpan w:val="2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B7DEE8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Podíl podniků s veřejnou podporou inovací</w:t>
            </w:r>
          </w:p>
        </w:tc>
        <w:tc>
          <w:tcPr>
            <w:tcW w:w="110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17,1%</w:t>
            </w:r>
          </w:p>
        </w:tc>
        <w:tc>
          <w:tcPr>
            <w:tcW w:w="110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24,0%</w:t>
            </w:r>
          </w:p>
        </w:tc>
        <w:tc>
          <w:tcPr>
            <w:tcW w:w="110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24,8%</w:t>
            </w:r>
          </w:p>
        </w:tc>
        <w:tc>
          <w:tcPr>
            <w:tcW w:w="110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33,6%</w:t>
            </w:r>
          </w:p>
        </w:tc>
        <w:tc>
          <w:tcPr>
            <w:tcW w:w="1101" w:type="dxa"/>
            <w:tcBorders>
              <w:top w:val="single" w:sz="8" w:space="0" w:color="FFFFFF"/>
              <w:left w:val="nil"/>
              <w:bottom w:val="single" w:sz="4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81C35">
              <w:rPr>
                <w:rFonts w:cs="Arial"/>
                <w:b/>
                <w:bCs/>
                <w:sz w:val="18"/>
                <w:szCs w:val="18"/>
              </w:rPr>
              <w:t>35,4%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Podpora do místních/regionální samosprávy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4,2%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2,8%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6,2%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4,1%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Podpora od vlády ČR (státní rozpočet)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8,9%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12,7%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13,0%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23,5%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19,2%</w:t>
            </w:r>
          </w:p>
        </w:tc>
      </w:tr>
      <w:tr w:rsidR="00381C35" w:rsidRPr="00381C35" w:rsidTr="00381C35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Podpora z Evropských fondů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8,0%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16,4%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17,1%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19,3%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22,9%</w:t>
            </w:r>
          </w:p>
        </w:tc>
      </w:tr>
      <w:tr w:rsidR="00381C35" w:rsidRPr="00381C35" w:rsidTr="00381C35">
        <w:trPr>
          <w:trHeight w:val="259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rPr>
                <w:rFonts w:cs="Arial"/>
                <w:color w:val="FFFFFF"/>
                <w:sz w:val="18"/>
                <w:szCs w:val="18"/>
              </w:rPr>
            </w:pPr>
            <w:r w:rsidRPr="00381C35">
              <w:rPr>
                <w:rFonts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bottom"/>
            <w:hideMark/>
          </w:tcPr>
          <w:p w:rsidR="00381C35" w:rsidRPr="00381C35" w:rsidRDefault="00381C35" w:rsidP="00381C35">
            <w:pPr>
              <w:spacing w:line="240" w:lineRule="auto"/>
              <w:ind w:firstLineChars="100" w:firstLine="180"/>
              <w:rPr>
                <w:rFonts w:cs="Arial"/>
                <w:i/>
                <w:iCs/>
                <w:sz w:val="18"/>
                <w:szCs w:val="18"/>
              </w:rPr>
            </w:pPr>
            <w:r w:rsidRPr="00381C35">
              <w:rPr>
                <w:rFonts w:cs="Arial"/>
                <w:i/>
                <w:iCs/>
                <w:sz w:val="18"/>
                <w:szCs w:val="18"/>
              </w:rPr>
              <w:t>z Rámcových programů pro VaV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3,1%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5,9%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3,2%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4,0%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381C35" w:rsidRPr="00381C35" w:rsidRDefault="00381C35" w:rsidP="00381C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81C35">
              <w:rPr>
                <w:rFonts w:cs="Arial"/>
                <w:sz w:val="18"/>
                <w:szCs w:val="18"/>
              </w:rPr>
              <w:t>1,3%</w:t>
            </w:r>
          </w:p>
        </w:tc>
      </w:tr>
    </w:tbl>
    <w:p w:rsidR="00F57279" w:rsidRPr="00F57279" w:rsidRDefault="00F57279" w:rsidP="00F57279">
      <w:pPr>
        <w:spacing w:before="60" w:line="240" w:lineRule="auto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POZN.</w:t>
      </w:r>
      <w:r w:rsidRPr="003F10C4">
        <w:rPr>
          <w:rFonts w:cs="Arial"/>
          <w:i/>
          <w:iCs/>
          <w:sz w:val="18"/>
          <w:szCs w:val="18"/>
        </w:rPr>
        <w:t xml:space="preserve">: </w:t>
      </w:r>
      <w:r w:rsidR="00C3509F">
        <w:rPr>
          <w:rFonts w:cs="Arial"/>
          <w:i/>
          <w:iCs/>
          <w:sz w:val="18"/>
          <w:szCs w:val="18"/>
        </w:rPr>
        <w:t>* Pro období 2014–</w:t>
      </w:r>
      <w:r w:rsidRPr="00F57279">
        <w:rPr>
          <w:rFonts w:cs="Arial"/>
          <w:i/>
          <w:iCs/>
          <w:sz w:val="18"/>
          <w:szCs w:val="18"/>
        </w:rPr>
        <w:t>2016 uveden podíl na celkovém počtu inovujících podniků</w:t>
      </w:r>
      <w:r w:rsidR="00C72D58">
        <w:rPr>
          <w:rFonts w:cs="Arial"/>
          <w:i/>
          <w:iCs/>
          <w:sz w:val="18"/>
          <w:szCs w:val="18"/>
        </w:rPr>
        <w:t>.</w:t>
      </w:r>
    </w:p>
    <w:p w:rsidR="00F4260E" w:rsidRDefault="004E09AB" w:rsidP="005E0F32">
      <w:pPr>
        <w:spacing w:before="240" w:after="60"/>
        <w:jc w:val="both"/>
      </w:pPr>
      <w:r>
        <w:t>Podniky mohou při zavádění inovací využít některou z nabízených forem veřejné podpory.</w:t>
      </w:r>
      <w:r w:rsidR="00862E91">
        <w:t xml:space="preserve"> V letech 2014–2016</w:t>
      </w:r>
      <w:r w:rsidR="00913CF5">
        <w:t xml:space="preserve"> pro technické inovační činnosti </w:t>
      </w:r>
      <w:r w:rsidR="00913CF5" w:rsidRPr="00DB09B8">
        <w:rPr>
          <w:b/>
        </w:rPr>
        <w:t>využilo veřejn</w:t>
      </w:r>
      <w:r w:rsidR="00862E91">
        <w:rPr>
          <w:b/>
        </w:rPr>
        <w:t>ou podporu 35,4</w:t>
      </w:r>
      <w:r w:rsidR="00913CF5" w:rsidRPr="00DB09B8">
        <w:rPr>
          <w:b/>
        </w:rPr>
        <w:t> %</w:t>
      </w:r>
      <w:r w:rsidR="00913CF5">
        <w:t xml:space="preserve"> technicky inovujících podniků.</w:t>
      </w:r>
      <w:r w:rsidR="00A20FE2">
        <w:t xml:space="preserve"> </w:t>
      </w:r>
      <w:r w:rsidR="00CA71AD">
        <w:t xml:space="preserve">Nejvýznamnějším oporou podniků při zavádění technických inovací </w:t>
      </w:r>
      <w:r w:rsidR="00862E91">
        <w:t>se stala Evropská unie. Celkem 22,9</w:t>
      </w:r>
      <w:r w:rsidR="00CA71AD">
        <w:t> % technicky inovujících podniků obdrželo podpor</w:t>
      </w:r>
      <w:r w:rsidR="00B72398">
        <w:t xml:space="preserve">u </w:t>
      </w:r>
      <w:r w:rsidR="00862E91">
        <w:t>pro inovace z některého unijního fondu. Významnou roli v podpoře technických inovací hraje náš stát. Celkem 19,2 % technicky inovujících podniků uvedlo, že obdržely veřejnou podporu ze státního rozpočtu,</w:t>
      </w:r>
      <w:r w:rsidR="00B72398">
        <w:t xml:space="preserve"> z toho přímou veřejnou podporu</w:t>
      </w:r>
      <w:r w:rsidR="00CA71AD">
        <w:t xml:space="preserve"> </w:t>
      </w:r>
      <w:r w:rsidR="00862E91">
        <w:t>využilo 12,1</w:t>
      </w:r>
      <w:r w:rsidR="00B72398">
        <w:t xml:space="preserve"> % a nepřímou daňovou podporu VaV</w:t>
      </w:r>
      <w:r w:rsidR="00862E91">
        <w:t xml:space="preserve"> 10</w:t>
      </w:r>
      <w:r w:rsidR="00B35131">
        <w:t xml:space="preserve">,3 %. </w:t>
      </w:r>
      <w:r w:rsidR="00CA71AD">
        <w:t>Podpora od místní a regionální samosprávy je řádově nižší. Pouz</w:t>
      </w:r>
      <w:r w:rsidR="00862E91">
        <w:t>e 4,1</w:t>
      </w:r>
      <w:r w:rsidR="00CA71AD">
        <w:t xml:space="preserve"> % technicky inovujících podniků </w:t>
      </w:r>
      <w:r w:rsidR="00B72398">
        <w:t>získalo</w:t>
      </w:r>
      <w:r w:rsidR="00CA71AD">
        <w:t xml:space="preserve"> podporu z toho zdroje. </w:t>
      </w:r>
    </w:p>
    <w:p w:rsidR="00FB6C52" w:rsidRDefault="00F4260E" w:rsidP="005E0F32">
      <w:pPr>
        <w:spacing w:after="60"/>
        <w:jc w:val="both"/>
      </w:pPr>
      <w:r>
        <w:t>Nejvyšší podporu pro prová</w:t>
      </w:r>
      <w:r w:rsidR="00FB6C52">
        <w:t>dění technických inovací uvedly střední podniky (45,6</w:t>
      </w:r>
      <w:r>
        <w:t xml:space="preserve"> %)</w:t>
      </w:r>
      <w:r w:rsidR="00A06DD9">
        <w:t>. T</w:t>
      </w:r>
      <w:r w:rsidR="00FB6C52">
        <w:t xml:space="preserve">éměř shodně </w:t>
      </w:r>
      <w:r w:rsidR="00A06DD9">
        <w:t xml:space="preserve">pak </w:t>
      </w:r>
      <w:r w:rsidR="00FB6C52">
        <w:t>velké podniky (44</w:t>
      </w:r>
      <w:r>
        <w:t> %). Podíl u malých</w:t>
      </w:r>
      <w:r w:rsidR="00854ECB">
        <w:t xml:space="preserve"> podniků je o třetinu</w:t>
      </w:r>
      <w:r w:rsidR="00FB6C52">
        <w:t xml:space="preserve"> nižší (29,6</w:t>
      </w:r>
      <w:r>
        <w:t xml:space="preserve"> %). Veřejnou podporu využívají více </w:t>
      </w:r>
      <w:r w:rsidR="00FB6C52">
        <w:t>domácí podniky (36,9</w:t>
      </w:r>
      <w:r>
        <w:t> %) než t</w:t>
      </w:r>
      <w:r w:rsidR="00FB6C52">
        <w:t>y pod zahraniční kontrolou (31</w:t>
      </w:r>
      <w:r>
        <w:t xml:space="preserve"> %). </w:t>
      </w:r>
    </w:p>
    <w:p w:rsidR="005E229F" w:rsidRDefault="0051439D" w:rsidP="005E0F32">
      <w:pPr>
        <w:spacing w:after="60"/>
        <w:jc w:val="both"/>
      </w:pPr>
      <w:r>
        <w:t>Ve zpracovatelském průmyslu využilo pro zavádění technic</w:t>
      </w:r>
      <w:r w:rsidR="00FB6C52">
        <w:t>kých inovací veřejnou podporu 41,3</w:t>
      </w:r>
      <w:r>
        <w:t> % technicky inovujících podniků. Největší podíl</w:t>
      </w:r>
      <w:r w:rsidR="00B72398">
        <w:t xml:space="preserve"> technicky inovujících podniků, které obdržely veřejnou podporu pro zavádění technických inovací, </w:t>
      </w:r>
      <w:r>
        <w:t>byl zjištěn u podniků v odvětví farmaceutického</w:t>
      </w:r>
      <w:r w:rsidRPr="0051439D">
        <w:t xml:space="preserve"> průmysl</w:t>
      </w:r>
      <w:r>
        <w:t>u</w:t>
      </w:r>
      <w:r w:rsidR="00FB6C52">
        <w:t xml:space="preserve"> (51</w:t>
      </w:r>
      <w:r w:rsidR="00B72398">
        <w:t xml:space="preserve"> %). </w:t>
      </w:r>
      <w:r>
        <w:t>Ve většině zbývajících odvětví zpracovatelského průmysl</w:t>
      </w:r>
      <w:r w:rsidR="00B72398">
        <w:t>u</w:t>
      </w:r>
      <w:r>
        <w:t xml:space="preserve"> podíl podniků, které obdržely veřejnou podporu pro své inovační aktivity spojené s produkty a procesy, nepřesáhl hranici 50 %</w:t>
      </w:r>
      <w:r w:rsidR="00FB6C52">
        <w:t xml:space="preserve"> (vyjma výroby ostatních dopravních prostředků a zařízení (NACE 30))</w:t>
      </w:r>
      <w:r>
        <w:t>.</w:t>
      </w:r>
      <w:r w:rsidR="00CA71AD">
        <w:t xml:space="preserve"> </w:t>
      </w:r>
    </w:p>
    <w:p w:rsidR="008B07CC" w:rsidRPr="000C52AF" w:rsidRDefault="008B07CC" w:rsidP="000C52AF">
      <w:pPr>
        <w:spacing w:before="120"/>
        <w:jc w:val="both"/>
      </w:pPr>
      <w:r>
        <w:br w:type="page"/>
      </w:r>
    </w:p>
    <w:p w:rsidR="00C96297" w:rsidRDefault="00C96297" w:rsidP="0033205F">
      <w:pPr>
        <w:pStyle w:val="Nadpis2"/>
        <w:spacing w:before="240" w:after="120"/>
        <w:jc w:val="both"/>
      </w:pPr>
      <w:r>
        <w:lastRenderedPageBreak/>
        <w:t xml:space="preserve">3.2 Podniky s inovačními aktivitami </w:t>
      </w:r>
    </w:p>
    <w:p w:rsidR="00C96297" w:rsidRPr="0033205F" w:rsidRDefault="005662B0" w:rsidP="0033205F">
      <w:pPr>
        <w:pStyle w:val="Nadpis3"/>
        <w:rPr>
          <w:rStyle w:val="st"/>
        </w:rPr>
      </w:pPr>
      <w:r>
        <w:rPr>
          <w:rStyle w:val="st"/>
        </w:rPr>
        <w:t>3.2</w:t>
      </w:r>
      <w:r w:rsidR="00C96297" w:rsidRPr="0033205F">
        <w:rPr>
          <w:rStyle w:val="st"/>
        </w:rPr>
        <w:t>.</w:t>
      </w:r>
      <w:r>
        <w:rPr>
          <w:rStyle w:val="st"/>
        </w:rPr>
        <w:t>1</w:t>
      </w:r>
      <w:r w:rsidR="00C96297" w:rsidRPr="0033205F">
        <w:rPr>
          <w:rStyle w:val="st"/>
        </w:rPr>
        <w:t xml:space="preserve"> Podniky s ino</w:t>
      </w:r>
      <w:r w:rsidR="00A61045">
        <w:rPr>
          <w:rStyle w:val="st"/>
        </w:rPr>
        <w:t>vačními aktivitami v letech 2014–2016</w:t>
      </w:r>
    </w:p>
    <w:p w:rsidR="007B7003" w:rsidRPr="007B7003" w:rsidRDefault="002B2AA3" w:rsidP="000819B6">
      <w:pPr>
        <w:spacing w:after="60"/>
        <w:jc w:val="both"/>
      </w:pPr>
      <w:r>
        <w:t>V letech 2</w:t>
      </w:r>
      <w:r w:rsidR="00A61045">
        <w:t>014–2016</w:t>
      </w:r>
      <w:r>
        <w:t xml:space="preserve"> se na </w:t>
      </w:r>
      <w:r w:rsidR="007B7003" w:rsidRPr="007B7003">
        <w:t>území České republiky</w:t>
      </w:r>
      <w:r w:rsidR="00D44919">
        <w:t xml:space="preserve"> </w:t>
      </w:r>
      <w:r w:rsidR="007B7003" w:rsidRPr="007B7003">
        <w:t>zabývalo</w:t>
      </w:r>
      <w:r w:rsidR="007B7003" w:rsidRPr="007B7003" w:rsidDel="0067125C">
        <w:t xml:space="preserve"> </w:t>
      </w:r>
      <w:r w:rsidR="00A61045">
        <w:t>inovačními aktivitami 46,3</w:t>
      </w:r>
      <w:r w:rsidR="007B7003" w:rsidRPr="007B7003">
        <w:t> % podniků z celkového počtu ekonomicky aktivních podniků</w:t>
      </w:r>
      <w:r w:rsidR="00D44919">
        <w:rPr>
          <w:rStyle w:val="Znakapoznpodarou"/>
        </w:rPr>
        <w:footnoteReference w:id="5"/>
      </w:r>
      <w:r w:rsidR="007B7003" w:rsidRPr="007B7003">
        <w:t xml:space="preserve">. </w:t>
      </w:r>
      <w:r>
        <w:t>Technickou inovaci</w:t>
      </w:r>
      <w:r w:rsidR="00D44919">
        <w:t>, tj. inovaci produktu nebo procesu,</w:t>
      </w:r>
      <w:r w:rsidR="00A61045">
        <w:t xml:space="preserve"> zavedlo 37,3</w:t>
      </w:r>
      <w:r w:rsidR="007B7003" w:rsidRPr="007B7003">
        <w:t xml:space="preserve"> % podniků a </w:t>
      </w:r>
      <w:r>
        <w:t>netechnickou</w:t>
      </w:r>
      <w:r w:rsidR="00D44919">
        <w:t xml:space="preserve"> inovaci, tj. marketingovou a organizační inovaci,</w:t>
      </w:r>
      <w:r w:rsidR="00A61045">
        <w:t xml:space="preserve"> 32,7</w:t>
      </w:r>
      <w:r w:rsidR="007B7003" w:rsidRPr="007B7003">
        <w:t> %</w:t>
      </w:r>
      <w:r>
        <w:rPr>
          <w:rStyle w:val="Znakapoznpodarou"/>
        </w:rPr>
        <w:footnoteReference w:id="6"/>
      </w:r>
      <w:r w:rsidR="007B7003" w:rsidRPr="007B7003">
        <w:t xml:space="preserve">. </w:t>
      </w:r>
    </w:p>
    <w:p w:rsidR="007B7003" w:rsidRPr="007B7003" w:rsidRDefault="00D44919" w:rsidP="000819B6">
      <w:pPr>
        <w:spacing w:after="60"/>
        <w:jc w:val="both"/>
      </w:pPr>
      <w:r>
        <w:t xml:space="preserve">Nejaktivnější v zavádění inovací byly velké podniky s více než 250 zaměstnanci </w:t>
      </w:r>
      <w:r w:rsidR="00A61045">
        <w:t>(podíl 77,4</w:t>
      </w:r>
      <w:r w:rsidR="007B7003" w:rsidRPr="007B7003">
        <w:t xml:space="preserve"> %</w:t>
      </w:r>
      <w:r>
        <w:t xml:space="preserve"> ze všech podniků v této velikostní skupině</w:t>
      </w:r>
      <w:r w:rsidR="007B7003" w:rsidRPr="007B7003">
        <w:t>), n</w:t>
      </w:r>
      <w:r w:rsidR="00A61045">
        <w:t>ásledované středními podniky (58,2 %) a malými podniky (40,7</w:t>
      </w:r>
      <w:r w:rsidR="007B7003" w:rsidRPr="007B7003">
        <w:t xml:space="preserve"> %). </w:t>
      </w:r>
    </w:p>
    <w:p w:rsidR="007B7003" w:rsidRPr="007B7003" w:rsidRDefault="007B7003" w:rsidP="00D44919">
      <w:pPr>
        <w:spacing w:after="60"/>
        <w:jc w:val="both"/>
      </w:pPr>
      <w:r w:rsidRPr="007B7003">
        <w:t>Z hlediska vlastnictví podniků inovovaly více podn</w:t>
      </w:r>
      <w:r w:rsidR="00A61045">
        <w:t>iky pod zahraniční kontrolou (55,2</w:t>
      </w:r>
      <w:r w:rsidRPr="007B7003">
        <w:t xml:space="preserve"> %) </w:t>
      </w:r>
      <w:r w:rsidR="00A61045">
        <w:t>než domácí podniky (44</w:t>
      </w:r>
      <w:r w:rsidRPr="007B7003">
        <w:t> %).</w:t>
      </w:r>
      <w:r w:rsidR="00F36ACD">
        <w:t xml:space="preserve"> </w:t>
      </w:r>
      <w:r w:rsidR="00A61045">
        <w:t xml:space="preserve">Ve všech velikostních skupinách inovovaly více </w:t>
      </w:r>
      <w:r w:rsidR="00F36ACD">
        <w:t>podniky p</w:t>
      </w:r>
      <w:r w:rsidR="00A61045">
        <w:t>od zahraniční kontrolou</w:t>
      </w:r>
      <w:r w:rsidR="00F36ACD">
        <w:t xml:space="preserve"> než</w:t>
      </w:r>
      <w:r w:rsidR="006A1B54">
        <w:t xml:space="preserve"> domácí podniky.</w:t>
      </w:r>
      <w:r w:rsidR="00F36ACD">
        <w:t xml:space="preserve"> Tato skutečnost platí i v případě technických inovací.  </w:t>
      </w:r>
      <w:r w:rsidRPr="007B7003">
        <w:t xml:space="preserve"> </w:t>
      </w:r>
    </w:p>
    <w:p w:rsidR="007B7003" w:rsidRPr="005662B0" w:rsidRDefault="005662B0" w:rsidP="000E638A">
      <w:pPr>
        <w:spacing w:before="120" w:after="60"/>
        <w:ind w:left="1134" w:hanging="1134"/>
        <w:rPr>
          <w:b/>
        </w:rPr>
      </w:pPr>
      <w:r>
        <w:rPr>
          <w:b/>
        </w:rPr>
        <w:t>Graf 3</w:t>
      </w:r>
      <w:r w:rsidR="007B7003" w:rsidRPr="005662B0">
        <w:rPr>
          <w:b/>
        </w:rPr>
        <w:t>.</w:t>
      </w:r>
      <w:r>
        <w:rPr>
          <w:b/>
        </w:rPr>
        <w:t>2</w:t>
      </w:r>
      <w:r w:rsidR="002E738D">
        <w:rPr>
          <w:b/>
        </w:rPr>
        <w:t>.1</w:t>
      </w:r>
      <w:r w:rsidR="007B7003" w:rsidRPr="005662B0">
        <w:rPr>
          <w:b/>
        </w:rPr>
        <w:t xml:space="preserve">-1: Podíl </w:t>
      </w:r>
      <w:r w:rsidR="00230A72">
        <w:rPr>
          <w:b/>
        </w:rPr>
        <w:t xml:space="preserve">inovujících podniků na </w:t>
      </w:r>
      <w:r w:rsidR="002D2D6D">
        <w:rPr>
          <w:b/>
        </w:rPr>
        <w:t xml:space="preserve">celkovém </w:t>
      </w:r>
      <w:r w:rsidR="007B7003" w:rsidRPr="005662B0">
        <w:rPr>
          <w:b/>
        </w:rPr>
        <w:t>počtu podniků</w:t>
      </w:r>
      <w:r w:rsidR="00230A72">
        <w:rPr>
          <w:b/>
        </w:rPr>
        <w:t xml:space="preserve"> v </w:t>
      </w:r>
      <w:r w:rsidR="00120443">
        <w:rPr>
          <w:b/>
        </w:rPr>
        <w:t>dané</w:t>
      </w:r>
      <w:r w:rsidR="00230A72">
        <w:rPr>
          <w:b/>
        </w:rPr>
        <w:t xml:space="preserve"> </w:t>
      </w:r>
      <w:r w:rsidR="00120443">
        <w:rPr>
          <w:b/>
        </w:rPr>
        <w:t>skupině</w:t>
      </w:r>
      <w:r w:rsidR="007B7003" w:rsidRPr="005662B0">
        <w:rPr>
          <w:b/>
        </w:rPr>
        <w:t xml:space="preserve"> podle druhu</w:t>
      </w:r>
      <w:r w:rsidR="00312A86">
        <w:rPr>
          <w:b/>
        </w:rPr>
        <w:t xml:space="preserve"> inovačních aktivit</w:t>
      </w:r>
      <w:r w:rsidR="004D6A27">
        <w:rPr>
          <w:b/>
        </w:rPr>
        <w:t>, velikosti a</w:t>
      </w:r>
      <w:r w:rsidR="00312A86">
        <w:rPr>
          <w:b/>
        </w:rPr>
        <w:t xml:space="preserve"> </w:t>
      </w:r>
      <w:r w:rsidR="007B7003" w:rsidRPr="005662B0">
        <w:rPr>
          <w:b/>
        </w:rPr>
        <w:t>vlastnictví podniku</w:t>
      </w:r>
      <w:r w:rsidR="005D014E">
        <w:rPr>
          <w:b/>
        </w:rPr>
        <w:t>; 2014–2016</w:t>
      </w:r>
    </w:p>
    <w:p w:rsidR="007B7003" w:rsidRDefault="002B5FCC" w:rsidP="007B7003">
      <w:r>
        <w:rPr>
          <w:noProof/>
        </w:rPr>
        <w:drawing>
          <wp:inline distT="0" distB="0" distL="0" distR="0" wp14:anchorId="46DC8C52" wp14:editId="4637256D">
            <wp:extent cx="6120000" cy="1980000"/>
            <wp:effectExtent l="0" t="0" r="0" b="127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003" w:rsidRPr="005A3EA6" w:rsidRDefault="007B7003" w:rsidP="005A3EA6">
      <w:pPr>
        <w:spacing w:after="120"/>
        <w:jc w:val="both"/>
      </w:pPr>
      <w:r w:rsidRPr="00AD7B11">
        <w:t>N</w:t>
      </w:r>
      <w:r w:rsidR="001D1859">
        <w:t>ejví</w:t>
      </w:r>
      <w:r w:rsidR="005A3EA6">
        <w:t>ce inovují podniky</w:t>
      </w:r>
      <w:r w:rsidRPr="00AD7B11">
        <w:t xml:space="preserve"> </w:t>
      </w:r>
      <w:r w:rsidR="005A3EA6">
        <w:t xml:space="preserve">v </w:t>
      </w:r>
      <w:r w:rsidRPr="00AD7B11">
        <w:t>informačních a komunikačn</w:t>
      </w:r>
      <w:r w:rsidR="005A3EA6">
        <w:t xml:space="preserve">ích činnostech, kde podíl inovujících podniků </w:t>
      </w:r>
      <w:r w:rsidRPr="00AD7B11">
        <w:t xml:space="preserve">dosáhl </w:t>
      </w:r>
      <w:r w:rsidR="007249CD">
        <w:t>67,6</w:t>
      </w:r>
      <w:r w:rsidR="005A3EA6">
        <w:t> %. Podniky v této sekci</w:t>
      </w:r>
      <w:r w:rsidRPr="00AD7B11">
        <w:t xml:space="preserve"> se také nejvíce věnoval</w:t>
      </w:r>
      <w:r w:rsidR="00562FEE">
        <w:t xml:space="preserve">y zavádění </w:t>
      </w:r>
      <w:r w:rsidR="005A3EA6">
        <w:t xml:space="preserve">jak </w:t>
      </w:r>
      <w:r w:rsidR="007249CD">
        <w:t>technických (podíl 59,6</w:t>
      </w:r>
      <w:r w:rsidR="00562FEE">
        <w:t> %)</w:t>
      </w:r>
      <w:r w:rsidR="005A3EA6">
        <w:t>, tak</w:t>
      </w:r>
      <w:r w:rsidR="007249CD">
        <w:t xml:space="preserve"> i netechnických (51,7</w:t>
      </w:r>
      <w:r w:rsidRPr="00AD7B11">
        <w:t> %) inovací. Dalším odvětvím s vysokým podílem inovujících podniků je peněžnictví a pojišťovnictví</w:t>
      </w:r>
      <w:r w:rsidR="007249CD">
        <w:t xml:space="preserve"> (54</w:t>
      </w:r>
      <w:r w:rsidR="005A3EA6">
        <w:t> %). Ve zpracovatelském</w:t>
      </w:r>
      <w:r w:rsidRPr="00AD7B11">
        <w:t xml:space="preserve"> průmys</w:t>
      </w:r>
      <w:r w:rsidR="005A3EA6">
        <w:t>lu</w:t>
      </w:r>
      <w:r w:rsidR="00B96887">
        <w:t>,</w:t>
      </w:r>
      <w:r w:rsidR="005A3EA6">
        <w:t xml:space="preserve"> jako nejvýznamnější sekci</w:t>
      </w:r>
      <w:r w:rsidR="00562FEE">
        <w:t xml:space="preserve"> ekonomiky</w:t>
      </w:r>
      <w:r w:rsidR="00B96887">
        <w:t>,</w:t>
      </w:r>
      <w:r w:rsidR="007249CD">
        <w:t xml:space="preserve"> inovovala více než polovina podniků, konkrétně</w:t>
      </w:r>
      <w:r w:rsidR="00562FEE">
        <w:t xml:space="preserve"> </w:t>
      </w:r>
      <w:r w:rsidR="007249CD">
        <w:t>51,7 %</w:t>
      </w:r>
      <w:r w:rsidR="005A3EA6">
        <w:t xml:space="preserve">. </w:t>
      </w:r>
    </w:p>
    <w:p w:rsidR="007B7003" w:rsidRPr="00AD7B11" w:rsidRDefault="00847287" w:rsidP="00B00E5C">
      <w:pPr>
        <w:spacing w:after="60"/>
        <w:ind w:left="1134" w:hanging="1134"/>
        <w:rPr>
          <w:b/>
        </w:rPr>
      </w:pPr>
      <w:r>
        <w:rPr>
          <w:b/>
        </w:rPr>
        <w:t>Graf 3</w:t>
      </w:r>
      <w:r w:rsidR="007B7003" w:rsidRPr="00AD7B11">
        <w:rPr>
          <w:b/>
        </w:rPr>
        <w:t>.2</w:t>
      </w:r>
      <w:r w:rsidR="002E738D">
        <w:rPr>
          <w:b/>
        </w:rPr>
        <w:t>.1</w:t>
      </w:r>
      <w:r w:rsidR="007B7003" w:rsidRPr="00AD7B11">
        <w:rPr>
          <w:b/>
        </w:rPr>
        <w:t xml:space="preserve">-2: Podíl </w:t>
      </w:r>
      <w:r w:rsidR="00D60199">
        <w:rPr>
          <w:b/>
        </w:rPr>
        <w:t xml:space="preserve">inovujících podniků </w:t>
      </w:r>
      <w:r w:rsidR="00A32F7F">
        <w:rPr>
          <w:b/>
        </w:rPr>
        <w:t xml:space="preserve">na celkovém </w:t>
      </w:r>
      <w:r w:rsidR="00A32F7F" w:rsidRPr="005662B0">
        <w:rPr>
          <w:b/>
        </w:rPr>
        <w:t>počtu podniků</w:t>
      </w:r>
      <w:r w:rsidR="00A32F7F">
        <w:rPr>
          <w:b/>
        </w:rPr>
        <w:t xml:space="preserve"> v dané skupině</w:t>
      </w:r>
      <w:r w:rsidR="00A32F7F" w:rsidRPr="005662B0">
        <w:rPr>
          <w:b/>
        </w:rPr>
        <w:t xml:space="preserve"> </w:t>
      </w:r>
      <w:r w:rsidR="007B7003" w:rsidRPr="00AD7B11">
        <w:rPr>
          <w:b/>
        </w:rPr>
        <w:t xml:space="preserve">podle druhu inovačních aktivit </w:t>
      </w:r>
      <w:r w:rsidR="00B00E5C" w:rsidRPr="00AD7B11">
        <w:rPr>
          <w:b/>
        </w:rPr>
        <w:t xml:space="preserve">ve </w:t>
      </w:r>
      <w:r w:rsidR="00B00E5C">
        <w:rPr>
          <w:b/>
        </w:rPr>
        <w:t>vybraných</w:t>
      </w:r>
      <w:r w:rsidR="007B7003" w:rsidRPr="00AD7B11">
        <w:rPr>
          <w:b/>
        </w:rPr>
        <w:t xml:space="preserve"> odvětvích CZ-NACE</w:t>
      </w:r>
      <w:r w:rsidR="00B96887">
        <w:rPr>
          <w:b/>
        </w:rPr>
        <w:t>; 2014–2016</w:t>
      </w:r>
    </w:p>
    <w:p w:rsidR="007B7003" w:rsidRPr="0027262F" w:rsidRDefault="00342CAF" w:rsidP="007B7003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790EE1BE" wp14:editId="05BD854A">
            <wp:extent cx="6120000" cy="22320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7003" w:rsidRPr="00D768AA" w:rsidRDefault="007F16B1" w:rsidP="00813EAF">
      <w:pPr>
        <w:spacing w:before="60"/>
        <w:rPr>
          <w:rFonts w:cs="Arial"/>
          <w:i/>
          <w:sz w:val="18"/>
        </w:rPr>
      </w:pPr>
      <w:r w:rsidRPr="00D768AA">
        <w:rPr>
          <w:rFonts w:cs="Arial"/>
          <w:i/>
          <w:sz w:val="18"/>
        </w:rPr>
        <w:t>POZN.:</w:t>
      </w:r>
      <w:r w:rsidR="005A3EA6" w:rsidRPr="00D768AA">
        <w:rPr>
          <w:rFonts w:cs="Arial"/>
          <w:i/>
          <w:sz w:val="18"/>
        </w:rPr>
        <w:t xml:space="preserve"> </w:t>
      </w:r>
      <w:r w:rsidR="00210640" w:rsidRPr="00D768AA">
        <w:rPr>
          <w:rFonts w:cs="Arial"/>
          <w:i/>
          <w:sz w:val="18"/>
        </w:rPr>
        <w:t xml:space="preserve">Kompletní přehled všech sledovaných sekcí </w:t>
      </w:r>
      <w:r w:rsidR="002E56EA" w:rsidRPr="00D768AA">
        <w:rPr>
          <w:rFonts w:cs="Arial"/>
          <w:i/>
          <w:sz w:val="18"/>
        </w:rPr>
        <w:t>viz tabulka</w:t>
      </w:r>
      <w:r w:rsidR="00210640" w:rsidRPr="00D768AA">
        <w:rPr>
          <w:rFonts w:cs="Arial"/>
          <w:i/>
          <w:sz w:val="18"/>
        </w:rPr>
        <w:t xml:space="preserve"> </w:t>
      </w:r>
      <w:r w:rsidR="003D1EAD" w:rsidRPr="00D768AA">
        <w:rPr>
          <w:rFonts w:cs="Arial"/>
          <w:i/>
          <w:sz w:val="18"/>
        </w:rPr>
        <w:t>15</w:t>
      </w:r>
      <w:r w:rsidR="002E56EA" w:rsidRPr="00D768AA">
        <w:rPr>
          <w:rFonts w:cs="Arial"/>
          <w:i/>
          <w:sz w:val="18"/>
        </w:rPr>
        <w:t>A</w:t>
      </w:r>
      <w:r w:rsidR="00210640" w:rsidRPr="00D768AA">
        <w:rPr>
          <w:rFonts w:cs="Arial"/>
          <w:i/>
          <w:sz w:val="18"/>
        </w:rPr>
        <w:t xml:space="preserve">. </w:t>
      </w:r>
    </w:p>
    <w:p w:rsidR="007B7003" w:rsidRDefault="007B7003" w:rsidP="007B7003">
      <w:pPr>
        <w:rPr>
          <w:rFonts w:ascii="Calibri" w:hAnsi="Calibri"/>
        </w:rPr>
      </w:pPr>
    </w:p>
    <w:p w:rsidR="007B7003" w:rsidRPr="00B00E5C" w:rsidRDefault="007B7003" w:rsidP="000819B6">
      <w:pPr>
        <w:spacing w:after="60"/>
        <w:jc w:val="both"/>
      </w:pPr>
      <w:r w:rsidRPr="00B00E5C">
        <w:t xml:space="preserve">Z celkového počtu šetřených podniků spadalo </w:t>
      </w:r>
      <w:r w:rsidR="008657E2">
        <w:t>51,7</w:t>
      </w:r>
      <w:r w:rsidRPr="00B00E5C">
        <w:t> % do zpracovatelského průmyslu</w:t>
      </w:r>
      <w:r w:rsidR="002E56EA">
        <w:t xml:space="preserve"> (NACE C)</w:t>
      </w:r>
      <w:r w:rsidRPr="00B00E5C">
        <w:t xml:space="preserve">. </w:t>
      </w:r>
      <w:r w:rsidR="002E56EA">
        <w:t>Podniky ve zpracovatels</w:t>
      </w:r>
      <w:r w:rsidR="008657E2">
        <w:t>kém průmyslu utržily v roce 2016</w:t>
      </w:r>
      <w:r w:rsidR="002E56EA">
        <w:t xml:space="preserve"> </w:t>
      </w:r>
      <w:r w:rsidR="002E56EA" w:rsidRPr="00997901">
        <w:t>4</w:t>
      </w:r>
      <w:r w:rsidR="00997901" w:rsidRPr="00997901">
        <w:t>8</w:t>
      </w:r>
      <w:r w:rsidR="002E56EA" w:rsidRPr="00997901">
        <w:t>,</w:t>
      </w:r>
      <w:r w:rsidR="00997901" w:rsidRPr="00997901">
        <w:t>3</w:t>
      </w:r>
      <w:r w:rsidR="002E56EA" w:rsidRPr="00997901">
        <w:t xml:space="preserve"> % celkových</w:t>
      </w:r>
      <w:r w:rsidR="002E56EA">
        <w:t xml:space="preserve"> tržeb</w:t>
      </w:r>
      <w:r w:rsidRPr="00B00E5C">
        <w:t xml:space="preserve"> sledované části ekonomiky</w:t>
      </w:r>
      <w:r w:rsidR="002E56EA">
        <w:t xml:space="preserve">. Jedná se tedy </w:t>
      </w:r>
      <w:r w:rsidRPr="00B00E5C">
        <w:t>stále</w:t>
      </w:r>
      <w:r w:rsidR="00D9612F">
        <w:t xml:space="preserve"> o</w:t>
      </w:r>
      <w:r w:rsidRPr="00B00E5C">
        <w:t xml:space="preserve"> klíčové odvětví</w:t>
      </w:r>
      <w:r w:rsidR="008657E2">
        <w:t xml:space="preserve"> ekonomiky. V období 2014–2016 v této odvětvové sekci inovovalo 51,7</w:t>
      </w:r>
      <w:r w:rsidRPr="00B00E5C">
        <w:t xml:space="preserve"> % podniků. Tech</w:t>
      </w:r>
      <w:r w:rsidR="008657E2">
        <w:t>nickým inovacím se věnovalo 43,9</w:t>
      </w:r>
      <w:r w:rsidRPr="00B00E5C">
        <w:t> %</w:t>
      </w:r>
      <w:r w:rsidR="008657E2">
        <w:t xml:space="preserve"> podniků a netechnickým pak 34</w:t>
      </w:r>
      <w:r w:rsidR="00E14AE7" w:rsidRPr="00B00E5C">
        <w:t>,2</w:t>
      </w:r>
      <w:r w:rsidRPr="00B00E5C">
        <w:t> %</w:t>
      </w:r>
      <w:r w:rsidR="00E14AE7" w:rsidRPr="00B00E5C">
        <w:rPr>
          <w:rStyle w:val="Znakapoznpodarou"/>
        </w:rPr>
        <w:footnoteReference w:id="7"/>
      </w:r>
      <w:r w:rsidRPr="00B00E5C">
        <w:t>.</w:t>
      </w:r>
    </w:p>
    <w:p w:rsidR="007B7003" w:rsidRPr="00D92C97" w:rsidRDefault="00C21823" w:rsidP="000819B6">
      <w:pPr>
        <w:spacing w:after="60"/>
        <w:jc w:val="both"/>
      </w:pPr>
      <w:r>
        <w:t xml:space="preserve">Ve zpracovatelském průmyslu </w:t>
      </w:r>
      <w:r w:rsidR="007B7003" w:rsidRPr="00D92C97">
        <w:t>se</w:t>
      </w:r>
      <w:r w:rsidR="002E56EA">
        <w:t xml:space="preserve"> inovačním</w:t>
      </w:r>
      <w:r>
        <w:t xml:space="preserve"> </w:t>
      </w:r>
      <w:r w:rsidR="003C7713">
        <w:t>aktivitám</w:t>
      </w:r>
      <w:r>
        <w:t xml:space="preserve"> věnovalo</w:t>
      </w:r>
      <w:r w:rsidR="003C7713">
        <w:t xml:space="preserve"> 80</w:t>
      </w:r>
      <w:r w:rsidR="007B7003" w:rsidRPr="00D92C97">
        <w:t>,3</w:t>
      </w:r>
      <w:r w:rsidR="003C7713">
        <w:t> %</w:t>
      </w:r>
      <w:r>
        <w:t xml:space="preserve"> velkých podniků, z toho t</w:t>
      </w:r>
      <w:r w:rsidR="003C7713">
        <w:t>echn</w:t>
      </w:r>
      <w:r w:rsidR="00C32C17">
        <w:t>ické inovace zavedlo 75,1</w:t>
      </w:r>
      <w:r w:rsidR="007B7003" w:rsidRPr="00D92C97">
        <w:t xml:space="preserve"> % </w:t>
      </w:r>
      <w:r w:rsidR="00D9612F">
        <w:t>podniků</w:t>
      </w:r>
      <w:r w:rsidR="007B7003" w:rsidRPr="00D92C97">
        <w:t>. S klesající veli</w:t>
      </w:r>
      <w:r w:rsidR="00C32C17">
        <w:t>kostí podniku klesá i podíl podniků</w:t>
      </w:r>
      <w:r w:rsidR="007B7003" w:rsidRPr="00D92C97">
        <w:t>, které inovovaly.</w:t>
      </w:r>
    </w:p>
    <w:p w:rsidR="007B7003" w:rsidRPr="00D92C97" w:rsidRDefault="007B7003" w:rsidP="000819B6">
      <w:pPr>
        <w:spacing w:after="60"/>
        <w:jc w:val="both"/>
      </w:pPr>
      <w:r w:rsidRPr="00D92C97">
        <w:t>Rozdíl mezi inovačním úsilím podnik</w:t>
      </w:r>
      <w:r w:rsidR="002C5037">
        <w:t>ů pod zahraniční kontrolou (60,3</w:t>
      </w:r>
      <w:r w:rsidRPr="00D92C97">
        <w:t> % ino</w:t>
      </w:r>
      <w:r w:rsidR="002C5037">
        <w:t>vovalo) a domácích podniků (45,9</w:t>
      </w:r>
      <w:r w:rsidRPr="00D92C97">
        <w:t xml:space="preserve"> % inovovalo) je v případě zpracovatelského prům</w:t>
      </w:r>
      <w:r w:rsidR="00DC701F">
        <w:t xml:space="preserve">yslu větší než v případě </w:t>
      </w:r>
      <w:r w:rsidR="00D9612F">
        <w:t xml:space="preserve">celkových </w:t>
      </w:r>
      <w:r w:rsidR="00DC701F">
        <w:t>podílů</w:t>
      </w:r>
      <w:r w:rsidRPr="00D92C97">
        <w:t xml:space="preserve"> za ČR.</w:t>
      </w:r>
    </w:p>
    <w:p w:rsidR="008D6196" w:rsidRDefault="007B7003" w:rsidP="002D5E15">
      <w:pPr>
        <w:spacing w:after="120"/>
        <w:jc w:val="both"/>
      </w:pPr>
      <w:r w:rsidRPr="00D92C97">
        <w:t>Ve zpracovatelském průmyslu jsou inovačním</w:t>
      </w:r>
      <w:r w:rsidR="008D6196">
        <w:t>i lídry</w:t>
      </w:r>
      <w:r w:rsidRPr="00D92C97">
        <w:t xml:space="preserve"> podniky </w:t>
      </w:r>
      <w:r w:rsidR="003C7713">
        <w:t>zabývající</w:t>
      </w:r>
      <w:r w:rsidR="002C5037">
        <w:t xml:space="preserve"> petrochemií a chemií (NACE 19-20)</w:t>
      </w:r>
      <w:r w:rsidR="003C7713">
        <w:t xml:space="preserve">, </w:t>
      </w:r>
      <w:r w:rsidR="002C5037">
        <w:t>kde inovovalo 71,6</w:t>
      </w:r>
      <w:r w:rsidRPr="00D92C97">
        <w:t> % podniků.</w:t>
      </w:r>
      <w:r w:rsidR="002C5037">
        <w:t xml:space="preserve"> Výrazně nadprůměrně inovovaly v období 2014–2016</w:t>
      </w:r>
      <w:r w:rsidR="003C7713">
        <w:t xml:space="preserve"> i podniky</w:t>
      </w:r>
      <w:r w:rsidR="002C5037">
        <w:t xml:space="preserve"> ve strojírenském průmyslu</w:t>
      </w:r>
      <w:r w:rsidR="003C7713">
        <w:t xml:space="preserve"> </w:t>
      </w:r>
      <w:r w:rsidR="002C5037">
        <w:t>(68,9</w:t>
      </w:r>
      <w:r w:rsidR="003C7713">
        <w:t> %).</w:t>
      </w:r>
      <w:r w:rsidR="00816405">
        <w:t xml:space="preserve"> </w:t>
      </w:r>
    </w:p>
    <w:p w:rsidR="007B7003" w:rsidRPr="00D92C97" w:rsidRDefault="00816405" w:rsidP="002D5E15">
      <w:pPr>
        <w:spacing w:after="120"/>
        <w:jc w:val="both"/>
      </w:pPr>
      <w:r>
        <w:t xml:space="preserve">V případě technických inovací stěženích pro </w:t>
      </w:r>
      <w:r w:rsidR="00FE5601">
        <w:t xml:space="preserve">zpracovatelský průmysl nejintenzivněji inovovaly podniky </w:t>
      </w:r>
      <w:r w:rsidR="00FE5601" w:rsidRPr="00D92C97">
        <w:t>v petrochemickém a chemickém průmyslu</w:t>
      </w:r>
      <w:r w:rsidR="00801E1D">
        <w:t xml:space="preserve"> (68,5</w:t>
      </w:r>
      <w:r w:rsidR="00FE5601">
        <w:t> %). V </w:t>
      </w:r>
      <w:r w:rsidR="0005325B">
        <w:t>automobilovém průmyslu inovovala</w:t>
      </w:r>
      <w:r w:rsidR="00FE5601">
        <w:t xml:space="preserve"> své produkty a procesy </w:t>
      </w:r>
      <w:r w:rsidR="00801E1D">
        <w:t>méně než polovina podniků (konkrétně 46,7</w:t>
      </w:r>
      <w:r w:rsidR="00FE5601">
        <w:t> %</w:t>
      </w:r>
      <w:r w:rsidR="00801E1D">
        <w:t>)</w:t>
      </w:r>
      <w:r w:rsidR="00FE5601">
        <w:t xml:space="preserve">.   </w:t>
      </w:r>
      <w:r>
        <w:t xml:space="preserve"> </w:t>
      </w:r>
    </w:p>
    <w:p w:rsidR="00586B52" w:rsidRDefault="00586B52" w:rsidP="004D6A27">
      <w:pPr>
        <w:spacing w:after="60"/>
        <w:ind w:left="1134" w:hanging="1134"/>
        <w:rPr>
          <w:b/>
        </w:rPr>
      </w:pPr>
      <w:r>
        <w:rPr>
          <w:b/>
        </w:rPr>
        <w:t>Graf 3.2</w:t>
      </w:r>
      <w:r w:rsidR="002E738D">
        <w:rPr>
          <w:b/>
        </w:rPr>
        <w:t>.1</w:t>
      </w:r>
      <w:r>
        <w:rPr>
          <w:b/>
        </w:rPr>
        <w:t>-3</w:t>
      </w:r>
      <w:r w:rsidRPr="00AD7B11">
        <w:rPr>
          <w:b/>
        </w:rPr>
        <w:t xml:space="preserve">: Podíl </w:t>
      </w:r>
      <w:r w:rsidR="00247C43">
        <w:rPr>
          <w:b/>
        </w:rPr>
        <w:t xml:space="preserve">inovujících podniků </w:t>
      </w:r>
      <w:r w:rsidR="00A32F7F">
        <w:rPr>
          <w:b/>
        </w:rPr>
        <w:t xml:space="preserve">na celkovém </w:t>
      </w:r>
      <w:r w:rsidR="00A32F7F" w:rsidRPr="005662B0">
        <w:rPr>
          <w:b/>
        </w:rPr>
        <w:t>počtu podniků</w:t>
      </w:r>
      <w:r w:rsidR="00A32F7F">
        <w:rPr>
          <w:b/>
        </w:rPr>
        <w:t xml:space="preserve"> v dané skupině</w:t>
      </w:r>
      <w:r w:rsidR="00A32F7F" w:rsidRPr="005662B0">
        <w:rPr>
          <w:b/>
        </w:rPr>
        <w:t xml:space="preserve"> </w:t>
      </w:r>
      <w:r w:rsidRPr="00AD7B11">
        <w:rPr>
          <w:b/>
        </w:rPr>
        <w:t xml:space="preserve">podle druhu inovačních aktivit </w:t>
      </w:r>
      <w:r w:rsidR="00ED2269">
        <w:rPr>
          <w:b/>
        </w:rPr>
        <w:t>v odvětvích zpracovatelského</w:t>
      </w:r>
      <w:r w:rsidR="00932780">
        <w:rPr>
          <w:b/>
        </w:rPr>
        <w:t xml:space="preserve"> průmyslu; 2014–2016</w:t>
      </w:r>
    </w:p>
    <w:p w:rsidR="007101C0" w:rsidRPr="00AD7B11" w:rsidRDefault="00C15BF2" w:rsidP="00586B52">
      <w:pPr>
        <w:ind w:left="851" w:hanging="851"/>
        <w:rPr>
          <w:b/>
        </w:rPr>
      </w:pPr>
      <w:r>
        <w:rPr>
          <w:noProof/>
        </w:rPr>
        <w:drawing>
          <wp:inline distT="0" distB="0" distL="0" distR="0" wp14:anchorId="39CD0F99" wp14:editId="3F18C321">
            <wp:extent cx="6120000" cy="54000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0975" w:rsidRPr="0033205F" w:rsidRDefault="002A0975" w:rsidP="002A0975">
      <w:pPr>
        <w:pStyle w:val="Nadpis3"/>
        <w:rPr>
          <w:rStyle w:val="st"/>
        </w:rPr>
      </w:pPr>
      <w:r>
        <w:rPr>
          <w:rStyle w:val="st"/>
        </w:rPr>
        <w:lastRenderedPageBreak/>
        <w:t>3.2</w:t>
      </w:r>
      <w:r w:rsidRPr="0033205F">
        <w:rPr>
          <w:rStyle w:val="st"/>
        </w:rPr>
        <w:t>.</w:t>
      </w:r>
      <w:r>
        <w:rPr>
          <w:rStyle w:val="st"/>
        </w:rPr>
        <w:t>2</w:t>
      </w:r>
      <w:r w:rsidRPr="0033205F">
        <w:rPr>
          <w:rStyle w:val="st"/>
        </w:rPr>
        <w:t xml:space="preserve"> Podniky s</w:t>
      </w:r>
      <w:r>
        <w:rPr>
          <w:rStyle w:val="st"/>
        </w:rPr>
        <w:t xml:space="preserve"> technickými </w:t>
      </w:r>
      <w:r w:rsidRPr="0033205F">
        <w:rPr>
          <w:rStyle w:val="st"/>
        </w:rPr>
        <w:t>ino</w:t>
      </w:r>
      <w:r w:rsidR="00A734BA">
        <w:rPr>
          <w:rStyle w:val="st"/>
        </w:rPr>
        <w:t>vačními aktivitami v letech 2014–2016</w:t>
      </w:r>
    </w:p>
    <w:p w:rsidR="00B054ED" w:rsidRPr="00B054ED" w:rsidRDefault="00B054ED" w:rsidP="000227CF">
      <w:pPr>
        <w:spacing w:after="60"/>
        <w:jc w:val="both"/>
      </w:pPr>
      <w:r w:rsidRPr="00B054ED">
        <w:t>V rámci inovačních aktivit podniků se technické inovace, tj. inovace výrobků, služeb a procesů</w:t>
      </w:r>
      <w:r w:rsidR="001C510E">
        <w:t>,</w:t>
      </w:r>
      <w:r w:rsidRPr="00B054ED">
        <w:t xml:space="preserve"> považují pro podnik za klíčové</w:t>
      </w:r>
      <w:r w:rsidR="00A734BA">
        <w:t>. V ČR v období 2014–2016</w:t>
      </w:r>
      <w:r w:rsidRPr="00B054ED">
        <w:t xml:space="preserve"> dosáhl podíl technicky inovujících podniků </w:t>
      </w:r>
      <w:r w:rsidR="00A734BA">
        <w:t>37,3</w:t>
      </w:r>
      <w:r w:rsidRPr="00B054ED">
        <w:t xml:space="preserve"> % z celkového počtu ekonomicky aktivních podniků. </w:t>
      </w:r>
      <w:r w:rsidR="002F4610">
        <w:t>Podniky ve</w:t>
      </w:r>
      <w:r w:rsidRPr="00B054ED">
        <w:t xml:space="preserve"> sledovaném období více in</w:t>
      </w:r>
      <w:r w:rsidR="00D256C5">
        <w:t xml:space="preserve">ovovaly své </w:t>
      </w:r>
      <w:r w:rsidR="00A734BA">
        <w:t>procesy (podíl 27,7 %) než své produkty (25,7</w:t>
      </w:r>
      <w:r w:rsidRPr="00B054ED">
        <w:t> %)</w:t>
      </w:r>
      <w:r w:rsidR="004F6276">
        <w:rPr>
          <w:rStyle w:val="Znakapoznpodarou"/>
        </w:rPr>
        <w:footnoteReference w:id="8"/>
      </w:r>
      <w:r w:rsidRPr="00B054ED">
        <w:t>.</w:t>
      </w:r>
      <w:r w:rsidR="00635A64">
        <w:t xml:space="preserve"> Inovaci p</w:t>
      </w:r>
      <w:r w:rsidR="006A7DE1">
        <w:t>roduktů i procesů se věnovalo 18</w:t>
      </w:r>
      <w:r w:rsidR="00635A64">
        <w:t>,6 % podniků. Pouz</w:t>
      </w:r>
      <w:r w:rsidR="006A7DE1">
        <w:t>e produktovou inovaci zavedlo 7,1</w:t>
      </w:r>
      <w:r w:rsidR="00635A64">
        <w:t> % firem.</w:t>
      </w:r>
      <w:r w:rsidR="000972D2">
        <w:t xml:space="preserve"> Technické inovace nedokončilo nebo přerušilo</w:t>
      </w:r>
      <w:r w:rsidR="000972D2">
        <w:rPr>
          <w:rStyle w:val="Znakapoznpodarou"/>
        </w:rPr>
        <w:footnoteReference w:id="9"/>
      </w:r>
      <w:r w:rsidR="006A7DE1">
        <w:t xml:space="preserve"> 2,5</w:t>
      </w:r>
      <w:r w:rsidR="000972D2">
        <w:t xml:space="preserve"> % podniků.</w:t>
      </w:r>
    </w:p>
    <w:p w:rsidR="00B054ED" w:rsidRPr="00B054ED" w:rsidRDefault="002A4E39" w:rsidP="000227CF">
      <w:pPr>
        <w:spacing w:after="60"/>
        <w:jc w:val="both"/>
      </w:pPr>
      <w:r>
        <w:t>Nejintenzivněji inovují své výrobky a procesy velké podniky. Ve sle</w:t>
      </w:r>
      <w:r w:rsidR="0058632D">
        <w:t>d</w:t>
      </w:r>
      <w:r>
        <w:t xml:space="preserve">ovaném období technicky inovovalo </w:t>
      </w:r>
      <w:r w:rsidR="00721CC4">
        <w:t>70,4</w:t>
      </w:r>
      <w:r>
        <w:t> % velkých podniků</w:t>
      </w:r>
      <w:r w:rsidR="00B054ED" w:rsidRPr="00B054ED">
        <w:t xml:space="preserve">. Ve skupině středně velkých podniků </w:t>
      </w:r>
      <w:r>
        <w:t>t</w:t>
      </w:r>
      <w:r w:rsidR="00721CC4">
        <w:t>o bylo o 22</w:t>
      </w:r>
      <w:r>
        <w:t xml:space="preserve"> procentních bodů méně</w:t>
      </w:r>
      <w:r w:rsidR="00B054ED" w:rsidRPr="00B054ED">
        <w:t>. Nejnižší podíl technicky inovujících podniků by</w:t>
      </w:r>
      <w:r w:rsidR="009821D9">
        <w:t>l zjištěn</w:t>
      </w:r>
      <w:r w:rsidR="00B054ED" w:rsidRPr="00B054ED">
        <w:t xml:space="preserve"> </w:t>
      </w:r>
      <w:r w:rsidR="009821D9">
        <w:t xml:space="preserve">u </w:t>
      </w:r>
      <w:r w:rsidR="00B054ED" w:rsidRPr="00B054ED">
        <w:t>malých podni</w:t>
      </w:r>
      <w:r w:rsidR="000227CF">
        <w:t>ků</w:t>
      </w:r>
      <w:r w:rsidR="00721CC4">
        <w:t xml:space="preserve"> (31,9</w:t>
      </w:r>
      <w:r w:rsidR="00B054ED" w:rsidRPr="00B054ED">
        <w:t> %). Velké podniky téměř shodným po</w:t>
      </w:r>
      <w:r w:rsidR="00721CC4">
        <w:t>dílem inovovaly jak produkty (54,4 %), tak procesy (57,1</w:t>
      </w:r>
      <w:r w:rsidR="00B054ED" w:rsidRPr="00B054ED">
        <w:t xml:space="preserve"> %). Stejná situace byla zjištěna i u středních podniků. </w:t>
      </w:r>
    </w:p>
    <w:p w:rsidR="00B054ED" w:rsidRPr="00337388" w:rsidRDefault="00B054ED" w:rsidP="00337388">
      <w:pPr>
        <w:spacing w:after="120"/>
        <w:jc w:val="both"/>
      </w:pPr>
      <w:r w:rsidRPr="00B054ED">
        <w:t>Z pohled</w:t>
      </w:r>
      <w:r w:rsidR="0058632D">
        <w:t>u vlastnictví podniků produkty a procesy aktivněji inovovaly</w:t>
      </w:r>
      <w:r w:rsidRPr="00B054ED">
        <w:t xml:space="preserve"> podn</w:t>
      </w:r>
      <w:r w:rsidR="000227CF">
        <w:t>iky pod zahraniční kontrolou (46</w:t>
      </w:r>
      <w:r w:rsidR="00721CC4">
        <w:t>,1</w:t>
      </w:r>
      <w:r w:rsidRPr="00B054ED">
        <w:t> %</w:t>
      </w:r>
      <w:r w:rsidR="00721CC4">
        <w:t>) než domácí podniky (35</w:t>
      </w:r>
      <w:r w:rsidR="00337388">
        <w:t xml:space="preserve"> %). </w:t>
      </w:r>
    </w:p>
    <w:p w:rsidR="00B054ED" w:rsidRPr="00B054ED" w:rsidRDefault="00B054ED" w:rsidP="0035700E">
      <w:pPr>
        <w:spacing w:after="60"/>
        <w:ind w:left="1276" w:hanging="1276"/>
        <w:rPr>
          <w:rFonts w:cs="Arial"/>
          <w:b/>
          <w:szCs w:val="20"/>
        </w:rPr>
      </w:pPr>
      <w:r w:rsidRPr="00B054ED">
        <w:rPr>
          <w:rFonts w:cs="Arial"/>
          <w:b/>
          <w:szCs w:val="20"/>
        </w:rPr>
        <w:t>Graf 3.2</w:t>
      </w:r>
      <w:r w:rsidR="002E738D">
        <w:rPr>
          <w:rFonts w:cs="Arial"/>
          <w:b/>
          <w:szCs w:val="20"/>
        </w:rPr>
        <w:t>.2-1</w:t>
      </w:r>
      <w:r w:rsidRPr="00B054ED">
        <w:rPr>
          <w:rFonts w:cs="Arial"/>
          <w:b/>
          <w:szCs w:val="20"/>
        </w:rPr>
        <w:t xml:space="preserve">: Podíl technicky inovujících podniků </w:t>
      </w:r>
      <w:r w:rsidR="00120443">
        <w:rPr>
          <w:b/>
        </w:rPr>
        <w:t xml:space="preserve">na celkovém </w:t>
      </w:r>
      <w:r w:rsidR="00120443" w:rsidRPr="005662B0">
        <w:rPr>
          <w:b/>
        </w:rPr>
        <w:t>počtu podniků</w:t>
      </w:r>
      <w:r w:rsidR="00120443">
        <w:rPr>
          <w:b/>
        </w:rPr>
        <w:t xml:space="preserve"> v dané skupině</w:t>
      </w:r>
      <w:r w:rsidR="00120443" w:rsidRPr="005662B0">
        <w:rPr>
          <w:b/>
        </w:rPr>
        <w:t xml:space="preserve"> </w:t>
      </w:r>
      <w:r w:rsidRPr="00B054ED">
        <w:rPr>
          <w:rFonts w:cs="Arial"/>
          <w:b/>
          <w:szCs w:val="20"/>
        </w:rPr>
        <w:t>podle typu inovace</w:t>
      </w:r>
      <w:r w:rsidR="00602C17">
        <w:rPr>
          <w:rFonts w:cs="Arial"/>
          <w:b/>
          <w:szCs w:val="20"/>
        </w:rPr>
        <w:t xml:space="preserve">, velikosti a </w:t>
      </w:r>
      <w:r w:rsidRPr="00B054ED">
        <w:rPr>
          <w:rFonts w:cs="Arial"/>
          <w:b/>
          <w:szCs w:val="20"/>
        </w:rPr>
        <w:t>vlastnictví podniku</w:t>
      </w:r>
      <w:r w:rsidR="00721CC4">
        <w:rPr>
          <w:rFonts w:cs="Arial"/>
          <w:b/>
          <w:szCs w:val="20"/>
        </w:rPr>
        <w:t>; 2014–2016</w:t>
      </w:r>
    </w:p>
    <w:p w:rsidR="00B054ED" w:rsidRDefault="00D652EC" w:rsidP="00B054ED">
      <w:r>
        <w:rPr>
          <w:noProof/>
        </w:rPr>
        <w:drawing>
          <wp:inline distT="0" distB="0" distL="0" distR="0" wp14:anchorId="1FECD0E1" wp14:editId="1CF4BC1A">
            <wp:extent cx="6120000" cy="1980000"/>
            <wp:effectExtent l="0" t="0" r="0" b="127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4ED" w:rsidRPr="00337388" w:rsidRDefault="004E5A72" w:rsidP="004A51C4">
      <w:pPr>
        <w:spacing w:before="60" w:after="120"/>
        <w:jc w:val="both"/>
      </w:pPr>
      <w:r>
        <w:t>Nejvíce inovovaly své produkty podniky v</w:t>
      </w:r>
      <w:r w:rsidR="00B054ED" w:rsidRPr="00124165">
        <w:t xml:space="preserve"> infor</w:t>
      </w:r>
      <w:r>
        <w:t>mačních a komunikačních činnostech</w:t>
      </w:r>
      <w:r w:rsidR="004D042F">
        <w:t xml:space="preserve"> (podíl 59,6 %). Následuje </w:t>
      </w:r>
      <w:r w:rsidR="00020738">
        <w:t xml:space="preserve">odvětví </w:t>
      </w:r>
      <w:r w:rsidR="004D042F">
        <w:t>zpracovatelského průmyslu</w:t>
      </w:r>
      <w:r w:rsidR="00B054ED" w:rsidRPr="00124165">
        <w:t xml:space="preserve">, kde podíl </w:t>
      </w:r>
      <w:r w:rsidR="00124165">
        <w:t>produkto</w:t>
      </w:r>
      <w:r w:rsidR="004D042F">
        <w:t>vě inovujících podniků dosáhl 43,9</w:t>
      </w:r>
      <w:r w:rsidR="00124165">
        <w:t xml:space="preserve"> %. </w:t>
      </w:r>
    </w:p>
    <w:p w:rsidR="00B054ED" w:rsidRPr="00124165" w:rsidRDefault="00124165" w:rsidP="0035700E">
      <w:pPr>
        <w:spacing w:after="60"/>
        <w:ind w:left="1276" w:hanging="1276"/>
        <w:rPr>
          <w:rFonts w:cs="Arial"/>
          <w:b/>
          <w:szCs w:val="20"/>
        </w:rPr>
      </w:pPr>
      <w:r w:rsidRPr="00124165">
        <w:rPr>
          <w:rFonts w:cs="Arial"/>
          <w:b/>
          <w:szCs w:val="20"/>
        </w:rPr>
        <w:t>Graf 3</w:t>
      </w:r>
      <w:r>
        <w:rPr>
          <w:rFonts w:cs="Arial"/>
          <w:b/>
          <w:szCs w:val="20"/>
        </w:rPr>
        <w:t>.2</w:t>
      </w:r>
      <w:r w:rsidR="002E738D">
        <w:rPr>
          <w:rFonts w:cs="Arial"/>
          <w:b/>
          <w:szCs w:val="20"/>
        </w:rPr>
        <w:t>.2-2</w:t>
      </w:r>
      <w:r w:rsidR="00B054ED" w:rsidRPr="00124165">
        <w:rPr>
          <w:rFonts w:cs="Arial"/>
          <w:b/>
          <w:szCs w:val="20"/>
        </w:rPr>
        <w:t xml:space="preserve">: Podíl technicky inovujících podniků </w:t>
      </w:r>
      <w:r w:rsidR="00A32F7F">
        <w:rPr>
          <w:b/>
        </w:rPr>
        <w:t xml:space="preserve">na celkovém </w:t>
      </w:r>
      <w:r w:rsidR="00A32F7F" w:rsidRPr="005662B0">
        <w:rPr>
          <w:b/>
        </w:rPr>
        <w:t>počtu podniků</w:t>
      </w:r>
      <w:r w:rsidR="00A32F7F">
        <w:rPr>
          <w:b/>
        </w:rPr>
        <w:t xml:space="preserve"> v dané skupině</w:t>
      </w:r>
      <w:r w:rsidR="00A32F7F" w:rsidRPr="005662B0">
        <w:rPr>
          <w:b/>
        </w:rPr>
        <w:t xml:space="preserve"> </w:t>
      </w:r>
      <w:r w:rsidR="00B054ED" w:rsidRPr="00124165">
        <w:rPr>
          <w:rFonts w:cs="Arial"/>
          <w:b/>
          <w:szCs w:val="20"/>
        </w:rPr>
        <w:t xml:space="preserve">podle typu inovace ve vybraných odvětvích </w:t>
      </w:r>
      <w:r w:rsidR="00FF500B">
        <w:rPr>
          <w:rFonts w:cs="Arial"/>
          <w:b/>
          <w:szCs w:val="20"/>
        </w:rPr>
        <w:t>CZ-NACE; 2014–2016</w:t>
      </w:r>
      <w:r w:rsidR="00B054ED" w:rsidRPr="00124165">
        <w:rPr>
          <w:rFonts w:cs="Arial"/>
          <w:b/>
          <w:szCs w:val="20"/>
        </w:rPr>
        <w:t xml:space="preserve"> </w:t>
      </w:r>
    </w:p>
    <w:p w:rsidR="00B054ED" w:rsidRPr="008602B1" w:rsidRDefault="00713360" w:rsidP="00B054ED">
      <w:pPr>
        <w:rPr>
          <w:rFonts w:ascii="Calibri" w:hAnsi="Calibri"/>
          <w:b/>
          <w:sz w:val="18"/>
        </w:rPr>
      </w:pPr>
      <w:r>
        <w:rPr>
          <w:noProof/>
        </w:rPr>
        <w:drawing>
          <wp:inline distT="0" distB="0" distL="0" distR="0" wp14:anchorId="792F78B7" wp14:editId="33EC319D">
            <wp:extent cx="6120000" cy="2232000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21D9" w:rsidRPr="00D768AA" w:rsidRDefault="009821D9" w:rsidP="009821D9">
      <w:pPr>
        <w:spacing w:before="60"/>
        <w:rPr>
          <w:rFonts w:cs="Arial"/>
          <w:i/>
          <w:sz w:val="18"/>
        </w:rPr>
      </w:pPr>
      <w:r w:rsidRPr="00D768AA">
        <w:rPr>
          <w:rFonts w:cs="Arial"/>
          <w:i/>
          <w:sz w:val="18"/>
        </w:rPr>
        <w:t xml:space="preserve">POZN.: Kompletní přehled všech sledovaných sekcí viz tabulka </w:t>
      </w:r>
      <w:r w:rsidR="00C54C37" w:rsidRPr="00D768AA">
        <w:rPr>
          <w:rFonts w:cs="Arial"/>
          <w:i/>
          <w:sz w:val="18"/>
        </w:rPr>
        <w:t>17A/17B</w:t>
      </w:r>
      <w:r w:rsidRPr="00D768AA">
        <w:rPr>
          <w:rFonts w:cs="Arial"/>
          <w:i/>
          <w:sz w:val="18"/>
        </w:rPr>
        <w:t xml:space="preserve">. </w:t>
      </w:r>
    </w:p>
    <w:p w:rsidR="004E511E" w:rsidRDefault="00B054ED" w:rsidP="004E511E">
      <w:pPr>
        <w:spacing w:after="60"/>
        <w:jc w:val="both"/>
      </w:pPr>
      <w:r w:rsidRPr="00243F77">
        <w:lastRenderedPageBreak/>
        <w:t>Ve zpracovatelském prů</w:t>
      </w:r>
      <w:r w:rsidR="009D0309">
        <w:t xml:space="preserve">myslu hrají klíčovou roli </w:t>
      </w:r>
      <w:r w:rsidRPr="00243F77">
        <w:t xml:space="preserve">technické inovace, proto stojí za to uvést podrobné členění podle jednotlivých odvětví. </w:t>
      </w:r>
      <w:r w:rsidR="00230B35">
        <w:t>Jak již bylo řečeno, m</w:t>
      </w:r>
      <w:r w:rsidRPr="00243F77">
        <w:t>ezi lídry v zavádění t</w:t>
      </w:r>
      <w:r w:rsidR="00230B35">
        <w:t>echnických inovací v období 2012–2014</w:t>
      </w:r>
      <w:r w:rsidRPr="00243F77">
        <w:t xml:space="preserve"> patřily podniky v petrochem</w:t>
      </w:r>
      <w:r w:rsidR="00663FA5">
        <w:t>ickém a chemickém průmyslu (68,5</w:t>
      </w:r>
      <w:r w:rsidR="00230B35">
        <w:t> </w:t>
      </w:r>
      <w:r w:rsidRPr="00243F77">
        <w:t>%)</w:t>
      </w:r>
      <w:r w:rsidR="00230B35">
        <w:t>. Firmy v tomto odvětví také nejintenzivněji inovovaly své prod</w:t>
      </w:r>
      <w:r w:rsidR="00663FA5">
        <w:t>ukty (53,8</w:t>
      </w:r>
      <w:r w:rsidR="009D0309">
        <w:t xml:space="preserve"> %). F</w:t>
      </w:r>
      <w:r w:rsidR="00230B35">
        <w:t xml:space="preserve">irmy působící v tomto odvětví </w:t>
      </w:r>
      <w:r w:rsidR="009D0309">
        <w:t>jsou také lídry</w:t>
      </w:r>
      <w:r w:rsidR="00663FA5">
        <w:t xml:space="preserve"> v inovaci procesů (51</w:t>
      </w:r>
      <w:r w:rsidR="00230B35">
        <w:t> %).</w:t>
      </w:r>
      <w:r w:rsidR="00230B35" w:rsidRPr="00230B35">
        <w:t xml:space="preserve"> </w:t>
      </w:r>
    </w:p>
    <w:p w:rsidR="00B054ED" w:rsidRPr="00B95276" w:rsidRDefault="00B054ED" w:rsidP="00B95276">
      <w:pPr>
        <w:spacing w:after="120"/>
        <w:jc w:val="both"/>
      </w:pPr>
      <w:r w:rsidRPr="00243F77">
        <w:t>V nejvýznamnějším odvětví z pohledu ekonomiky, v automobilovém průmyslu, inovovalo</w:t>
      </w:r>
      <w:r w:rsidR="00F50BEA">
        <w:t xml:space="preserve"> produkty 31,8</w:t>
      </w:r>
      <w:r w:rsidRPr="00243F77">
        <w:t xml:space="preserve"> % </w:t>
      </w:r>
      <w:r w:rsidR="00F50BEA">
        <w:t>a procesy 34,6</w:t>
      </w:r>
      <w:r w:rsidR="007A4879">
        <w:t> %</w:t>
      </w:r>
      <w:r w:rsidR="001C795C">
        <w:t xml:space="preserve"> </w:t>
      </w:r>
      <w:r w:rsidR="007A4879">
        <w:t>podniků</w:t>
      </w:r>
      <w:r w:rsidRPr="00243F77">
        <w:t>.</w:t>
      </w:r>
      <w:r w:rsidR="0072567E">
        <w:t xml:space="preserve"> Podniky zde více inovovaly procesy než produkty. T</w:t>
      </w:r>
      <w:r w:rsidR="005565F2">
        <w:t>ato skutečnost nastala pouze u dvou</w:t>
      </w:r>
      <w:r w:rsidR="0072567E">
        <w:t xml:space="preserve"> odvětví zpracovatelského průmyslu</w:t>
      </w:r>
      <w:r w:rsidR="00DE3973">
        <w:t xml:space="preserve"> (blíže viz graf)</w:t>
      </w:r>
      <w:r w:rsidR="0072567E">
        <w:t>.</w:t>
      </w:r>
      <w:r w:rsidR="005565F2">
        <w:t xml:space="preserve"> </w:t>
      </w:r>
      <w:r w:rsidR="00047A62">
        <w:t>V odvětví výroby počítačů a elektroniky své produkty inovovalo rovných 53 % podniků, což je o 13 procentních bodů více než v případě procesních inovací. N</w:t>
      </w:r>
      <w:r w:rsidR="00CE47B3">
        <w:t>ejvíce podniků nedokončilo či přerušilo</w:t>
      </w:r>
      <w:r w:rsidR="00047A62">
        <w:t xml:space="preserve"> ve sledovaném období</w:t>
      </w:r>
      <w:r w:rsidR="00CE47B3">
        <w:t xml:space="preserve"> zavádění technických inovací</w:t>
      </w:r>
      <w:r w:rsidR="00C44980">
        <w:rPr>
          <w:rStyle w:val="Znakapoznpodarou"/>
        </w:rPr>
        <w:footnoteReference w:id="10"/>
      </w:r>
      <w:r w:rsidR="00047A62">
        <w:t xml:space="preserve"> ve farmaceutickém průmyslu (12,3</w:t>
      </w:r>
      <w:r w:rsidR="00CE47B3">
        <w:t> %).</w:t>
      </w:r>
      <w:r w:rsidR="0072567E">
        <w:t xml:space="preserve"> </w:t>
      </w:r>
      <w:r w:rsidR="00B95276">
        <w:t xml:space="preserve">  </w:t>
      </w:r>
    </w:p>
    <w:p w:rsidR="00C31499" w:rsidRDefault="004E511E" w:rsidP="00ED2269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</w:t>
      </w:r>
      <w:r w:rsidR="00217ED9">
        <w:rPr>
          <w:rFonts w:cs="Arial"/>
          <w:b/>
          <w:szCs w:val="20"/>
        </w:rPr>
        <w:t>.2</w:t>
      </w:r>
      <w:r w:rsidR="002E738D">
        <w:rPr>
          <w:rFonts w:cs="Arial"/>
          <w:b/>
          <w:szCs w:val="20"/>
        </w:rPr>
        <w:t>.2-3</w:t>
      </w:r>
      <w:r w:rsidR="00B054ED" w:rsidRPr="004E511E">
        <w:rPr>
          <w:rFonts w:cs="Arial"/>
          <w:b/>
          <w:szCs w:val="20"/>
        </w:rPr>
        <w:t xml:space="preserve">: Podíl technicky inovujících podniků </w:t>
      </w:r>
      <w:r w:rsidR="00A32F7F">
        <w:rPr>
          <w:b/>
        </w:rPr>
        <w:t xml:space="preserve">na celkovém </w:t>
      </w:r>
      <w:r w:rsidR="00A32F7F" w:rsidRPr="005662B0">
        <w:rPr>
          <w:b/>
        </w:rPr>
        <w:t>počtu podniků</w:t>
      </w:r>
      <w:r w:rsidR="00A32F7F">
        <w:rPr>
          <w:b/>
        </w:rPr>
        <w:t xml:space="preserve"> v dané skupině</w:t>
      </w:r>
      <w:r w:rsidR="00A32F7F" w:rsidRPr="005662B0">
        <w:rPr>
          <w:b/>
        </w:rPr>
        <w:t xml:space="preserve"> </w:t>
      </w:r>
      <w:r w:rsidR="00B054ED" w:rsidRPr="004E511E">
        <w:rPr>
          <w:rFonts w:cs="Arial"/>
          <w:b/>
          <w:szCs w:val="20"/>
        </w:rPr>
        <w:t xml:space="preserve">podle </w:t>
      </w:r>
      <w:r>
        <w:rPr>
          <w:rFonts w:cs="Arial"/>
          <w:b/>
          <w:szCs w:val="20"/>
        </w:rPr>
        <w:t>druhu</w:t>
      </w:r>
      <w:r w:rsidR="00B054ED" w:rsidRPr="004E511E">
        <w:rPr>
          <w:rFonts w:cs="Arial"/>
          <w:b/>
          <w:szCs w:val="20"/>
        </w:rPr>
        <w:t xml:space="preserve"> inovace</w:t>
      </w:r>
      <w:r>
        <w:rPr>
          <w:rFonts w:cs="Arial"/>
          <w:b/>
          <w:szCs w:val="20"/>
        </w:rPr>
        <w:t xml:space="preserve"> </w:t>
      </w:r>
      <w:r w:rsidR="00ED2269">
        <w:rPr>
          <w:rFonts w:cs="Arial"/>
          <w:b/>
          <w:szCs w:val="20"/>
        </w:rPr>
        <w:t>v odvětvích zpracovatelského</w:t>
      </w:r>
      <w:r w:rsidR="00ED2269" w:rsidRPr="004E511E">
        <w:rPr>
          <w:rFonts w:cs="Arial"/>
          <w:b/>
          <w:szCs w:val="20"/>
        </w:rPr>
        <w:t xml:space="preserve"> průmyslu</w:t>
      </w:r>
      <w:r w:rsidR="00047F45">
        <w:rPr>
          <w:rFonts w:cs="Arial"/>
          <w:b/>
          <w:szCs w:val="20"/>
        </w:rPr>
        <w:t>; 2014–2016</w:t>
      </w:r>
    </w:p>
    <w:p w:rsidR="00646BC3" w:rsidRPr="00C05EE7" w:rsidRDefault="00CC68C2" w:rsidP="00C05EE7">
      <w:pPr>
        <w:spacing w:after="60"/>
        <w:ind w:left="851" w:hanging="851"/>
        <w:rPr>
          <w:rStyle w:val="st"/>
          <w:rFonts w:cs="Arial"/>
          <w:b/>
          <w:szCs w:val="20"/>
        </w:rPr>
      </w:pPr>
      <w:r>
        <w:rPr>
          <w:noProof/>
        </w:rPr>
        <w:drawing>
          <wp:inline distT="0" distB="0" distL="0" distR="0" wp14:anchorId="3EA65DA7" wp14:editId="7BC424E8">
            <wp:extent cx="6120000" cy="61200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054ED" w:rsidRPr="004E511E">
        <w:rPr>
          <w:rFonts w:cs="Arial"/>
          <w:b/>
          <w:szCs w:val="20"/>
        </w:rPr>
        <w:t xml:space="preserve"> </w:t>
      </w:r>
      <w:r w:rsidR="00646BC3">
        <w:rPr>
          <w:rStyle w:val="st"/>
        </w:rPr>
        <w:br w:type="page"/>
      </w:r>
    </w:p>
    <w:p w:rsidR="002F075D" w:rsidRPr="00B95276" w:rsidRDefault="002F075D" w:rsidP="00B95276">
      <w:pPr>
        <w:pStyle w:val="Nadpis3"/>
        <w:rPr>
          <w:rStyle w:val="st"/>
        </w:rPr>
      </w:pPr>
      <w:r>
        <w:rPr>
          <w:rStyle w:val="st"/>
        </w:rPr>
        <w:lastRenderedPageBreak/>
        <w:t>3.2</w:t>
      </w:r>
      <w:r w:rsidRPr="0033205F">
        <w:rPr>
          <w:rStyle w:val="st"/>
        </w:rPr>
        <w:t>.</w:t>
      </w:r>
      <w:r>
        <w:rPr>
          <w:rStyle w:val="st"/>
        </w:rPr>
        <w:t>3</w:t>
      </w:r>
      <w:r w:rsidRPr="0033205F">
        <w:rPr>
          <w:rStyle w:val="st"/>
        </w:rPr>
        <w:t xml:space="preserve"> Podniky s</w:t>
      </w:r>
      <w:r>
        <w:rPr>
          <w:rStyle w:val="st"/>
        </w:rPr>
        <w:t> produktovými inovace</w:t>
      </w:r>
      <w:r w:rsidR="00AA59E3">
        <w:rPr>
          <w:rStyle w:val="st"/>
        </w:rPr>
        <w:t>mi</w:t>
      </w:r>
      <w:r w:rsidR="00C05EE7">
        <w:rPr>
          <w:rStyle w:val="st"/>
        </w:rPr>
        <w:t xml:space="preserve"> v letech 2014–2016</w:t>
      </w:r>
    </w:p>
    <w:p w:rsidR="006927DD" w:rsidRPr="006927DD" w:rsidRDefault="006927DD" w:rsidP="008552CF">
      <w:pPr>
        <w:spacing w:after="60"/>
        <w:jc w:val="both"/>
      </w:pPr>
      <w:r w:rsidRPr="006927DD">
        <w:t>Produktově inovující podniky se ve sledovaném období soustředily zejména na inovaci svých výrobků. Inovaci výrobků</w:t>
      </w:r>
      <w:r w:rsidR="00174C25">
        <w:t xml:space="preserve"> zavedlo celkem 76,8</w:t>
      </w:r>
      <w:r w:rsidRPr="006927DD">
        <w:t> % produktově inovujících podniků. Pouze samostatn</w:t>
      </w:r>
      <w:r w:rsidR="00174C25">
        <w:t>é inovaci výrobků se věnovalo 52,6</w:t>
      </w:r>
      <w:r w:rsidRPr="006927DD">
        <w:t> % těchto podniků. Služby</w:t>
      </w:r>
      <w:r w:rsidR="00174C25">
        <w:t xml:space="preserve"> inovovalo 47,4</w:t>
      </w:r>
      <w:r w:rsidRPr="006927DD">
        <w:t> % produktově inovujících podniků. Samostatnou inovaci služeb pak provedlo</w:t>
      </w:r>
      <w:r w:rsidR="00174C25">
        <w:t xml:space="preserve"> 23,2</w:t>
      </w:r>
      <w:r w:rsidRPr="006927DD">
        <w:t xml:space="preserve"> % těchto podniků.  </w:t>
      </w:r>
    </w:p>
    <w:p w:rsidR="006927DD" w:rsidRPr="006927DD" w:rsidRDefault="006927DD" w:rsidP="008552CF">
      <w:pPr>
        <w:spacing w:after="60"/>
        <w:jc w:val="both"/>
      </w:pPr>
      <w:r w:rsidRPr="006927DD">
        <w:t>Pouze samostatné inovaci výrobků se nejvíce věnovaly velké</w:t>
      </w:r>
      <w:r w:rsidR="00E0428C">
        <w:t xml:space="preserve"> (61,5 %)</w:t>
      </w:r>
      <w:r w:rsidR="00983089">
        <w:t xml:space="preserve"> </w:t>
      </w:r>
      <w:r w:rsidR="00E0428C">
        <w:t>a střední (60,4 %) podniky</w:t>
      </w:r>
      <w:r w:rsidRPr="006927DD">
        <w:t>. Inovaci výrobků i služeb prováděly</w:t>
      </w:r>
      <w:r w:rsidR="00E0428C">
        <w:t xml:space="preserve"> nejvíce malé podniky (24,9 </w:t>
      </w:r>
      <w:r w:rsidRPr="006927DD">
        <w:t>%). Ve všech velikostních skupinách převládá inovování výrobků nad inovováním služeb.</w:t>
      </w:r>
    </w:p>
    <w:p w:rsidR="006927DD" w:rsidRPr="008552CF" w:rsidRDefault="006927DD" w:rsidP="008552CF">
      <w:pPr>
        <w:spacing w:after="60"/>
        <w:jc w:val="both"/>
      </w:pPr>
      <w:r w:rsidRPr="006927DD">
        <w:t xml:space="preserve">Produktově inovující podniky pod zahraniční kontrolou se věnovaly </w:t>
      </w:r>
      <w:r w:rsidR="00717E88">
        <w:t>z 56,8</w:t>
      </w:r>
      <w:r w:rsidRPr="006927DD">
        <w:t xml:space="preserve"> % pouze inovaci výrobků, u domácích byl tento podíl </w:t>
      </w:r>
      <w:r w:rsidR="00717E88">
        <w:t>nižší (51,2</w:t>
      </w:r>
      <w:r w:rsidRPr="006927DD">
        <w:t xml:space="preserve"> %). </w:t>
      </w:r>
    </w:p>
    <w:p w:rsidR="006927DD" w:rsidRPr="000F5FCB" w:rsidRDefault="000F5FCB" w:rsidP="000F5FCB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3.2</w:t>
      </w:r>
      <w:r w:rsidR="00CE158D">
        <w:rPr>
          <w:rFonts w:cs="Arial"/>
          <w:b/>
          <w:szCs w:val="20"/>
        </w:rPr>
        <w:t>.3-1</w:t>
      </w:r>
      <w:r w:rsidR="006927DD" w:rsidRPr="000F5FCB">
        <w:rPr>
          <w:rFonts w:cs="Arial"/>
          <w:b/>
          <w:szCs w:val="20"/>
        </w:rPr>
        <w:t>: Struktura produktové inovace u podniků s produktovou inovací podle velikosti a vlastnictví podniku</w:t>
      </w:r>
      <w:r w:rsidR="00717E88">
        <w:rPr>
          <w:rFonts w:cs="Arial"/>
          <w:b/>
          <w:szCs w:val="20"/>
        </w:rPr>
        <w:t>; 2014–2016</w:t>
      </w:r>
    </w:p>
    <w:p w:rsidR="006927DD" w:rsidRDefault="00274DB5" w:rsidP="006927DD">
      <w:r>
        <w:rPr>
          <w:noProof/>
        </w:rPr>
        <w:drawing>
          <wp:inline distT="0" distB="0" distL="0" distR="0" wp14:anchorId="1AF1C8CB" wp14:editId="4566B2DF">
            <wp:extent cx="6120000" cy="1836000"/>
            <wp:effectExtent l="0" t="0" r="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27DD" w:rsidRPr="00467DB2" w:rsidRDefault="006927DD" w:rsidP="006927DD">
      <w:pPr>
        <w:rPr>
          <w:sz w:val="16"/>
        </w:rPr>
      </w:pPr>
    </w:p>
    <w:p w:rsidR="00DF0EDC" w:rsidRDefault="006927DD" w:rsidP="00DF0EDC">
      <w:pPr>
        <w:spacing w:after="60"/>
        <w:jc w:val="both"/>
      </w:pPr>
      <w:r w:rsidRPr="008552CF">
        <w:t>Velmi rozdílné podíly zavedených typů produktové inovace jsou v případě rozlišení podle odvětvové klasifikace</w:t>
      </w:r>
      <w:r w:rsidR="00AF7CC8">
        <w:t xml:space="preserve"> ekonomických činností</w:t>
      </w:r>
      <w:r w:rsidRPr="008552CF">
        <w:t>. To je dáno povahou činností v</w:t>
      </w:r>
      <w:r w:rsidR="00AF7CC8">
        <w:t xml:space="preserve"> daném </w:t>
      </w:r>
      <w:r w:rsidRPr="008552CF">
        <w:t>odvětví. Proto například informační a telekomunikační činnosti mají velmi nízký podíl inovace výrobku a vysoký podíl inovace služby. Stejně tak i v peněžnictví a pojišťovnictví převlád</w:t>
      </w:r>
      <w:r w:rsidR="008D59DE">
        <w:t>á samostatné zavedení služby (79</w:t>
      </w:r>
      <w:r w:rsidRPr="008552CF">
        <w:t xml:space="preserve">,6 %). </w:t>
      </w:r>
    </w:p>
    <w:p w:rsidR="00867B97" w:rsidRDefault="006927DD" w:rsidP="00867B97">
      <w:pPr>
        <w:spacing w:after="60"/>
        <w:jc w:val="both"/>
      </w:pPr>
      <w:r w:rsidRPr="008552CF">
        <w:t>Inovace výrobku pak zcela převládá u podniků</w:t>
      </w:r>
      <w:r w:rsidR="008D59DE">
        <w:t xml:space="preserve"> ve zpracovatelském průmyslu (91</w:t>
      </w:r>
      <w:r w:rsidR="000B0063">
        <w:t>,9</w:t>
      </w:r>
      <w:r w:rsidRPr="008552CF">
        <w:t xml:space="preserve"> % celkem, pouze výrobku pak </w:t>
      </w:r>
      <w:r w:rsidR="008D59DE">
        <w:t>68,5</w:t>
      </w:r>
      <w:r w:rsidRPr="008552CF">
        <w:t> %)</w:t>
      </w:r>
      <w:r w:rsidR="003C0B1A">
        <w:t xml:space="preserve"> Zpracovate</w:t>
      </w:r>
      <w:r w:rsidR="00ED3025">
        <w:t>lský průmysl je primárně zacílen na produkci</w:t>
      </w:r>
      <w:r w:rsidR="003C0B1A">
        <w:t xml:space="preserve"> výrobků.</w:t>
      </w:r>
      <w:r w:rsidR="00867B97">
        <w:t xml:space="preserve"> Ve farmaceutickém průmyslu dosáhl podíl podniků inovujících výrobky rovných 100 %.</w:t>
      </w:r>
      <w:r w:rsidR="003C0B1A">
        <w:t xml:space="preserve"> </w:t>
      </w:r>
    </w:p>
    <w:p w:rsidR="006927DD" w:rsidRPr="008552CF" w:rsidRDefault="003C0B1A" w:rsidP="008552CF">
      <w:pPr>
        <w:jc w:val="both"/>
      </w:pPr>
      <w:r>
        <w:t>V ostatních sekcích průmyslu (např. distribuce energie) není situace tak jednoznačná</w:t>
      </w:r>
      <w:r w:rsidR="005A7EA7">
        <w:rPr>
          <w:rStyle w:val="Znakapoznpodarou"/>
        </w:rPr>
        <w:footnoteReference w:id="11"/>
      </w:r>
      <w:r w:rsidR="006927DD" w:rsidRPr="008552CF">
        <w:t xml:space="preserve">. </w:t>
      </w:r>
    </w:p>
    <w:p w:rsidR="006927DD" w:rsidRPr="00A7369A" w:rsidRDefault="006927DD" w:rsidP="006927DD">
      <w:pPr>
        <w:rPr>
          <w:rFonts w:ascii="Calibri" w:hAnsi="Calibri"/>
          <w:sz w:val="16"/>
          <w:szCs w:val="16"/>
        </w:rPr>
      </w:pPr>
    </w:p>
    <w:p w:rsidR="006927DD" w:rsidRPr="008552CF" w:rsidRDefault="008552CF" w:rsidP="008552CF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</w:t>
      </w:r>
      <w:r w:rsidR="003446EA">
        <w:rPr>
          <w:rFonts w:cs="Arial"/>
          <w:b/>
          <w:szCs w:val="20"/>
        </w:rPr>
        <w:t>3.2.3-2</w:t>
      </w:r>
      <w:r w:rsidR="006927DD" w:rsidRPr="008552CF">
        <w:rPr>
          <w:rFonts w:cs="Arial"/>
          <w:b/>
          <w:szCs w:val="20"/>
        </w:rPr>
        <w:t>: Struktura produktové inovace u podniků s produktovou inovací</w:t>
      </w:r>
      <w:r w:rsidR="000435CC">
        <w:rPr>
          <w:rFonts w:cs="Arial"/>
          <w:b/>
          <w:szCs w:val="20"/>
        </w:rPr>
        <w:t xml:space="preserve"> ve</w:t>
      </w:r>
      <w:r>
        <w:rPr>
          <w:rFonts w:cs="Arial"/>
          <w:b/>
          <w:szCs w:val="20"/>
        </w:rPr>
        <w:t xml:space="preserve"> vybraných </w:t>
      </w:r>
      <w:r w:rsidR="00400042">
        <w:rPr>
          <w:rFonts w:cs="Arial"/>
          <w:b/>
          <w:szCs w:val="20"/>
        </w:rPr>
        <w:t>sekcích</w:t>
      </w:r>
      <w:r w:rsidR="007D1490">
        <w:rPr>
          <w:rFonts w:cs="Arial"/>
          <w:b/>
          <w:szCs w:val="20"/>
        </w:rPr>
        <w:t xml:space="preserve"> CZ-NACE; 2014–2016</w:t>
      </w:r>
    </w:p>
    <w:p w:rsidR="006927DD" w:rsidRPr="0027262F" w:rsidRDefault="00C354FF" w:rsidP="006927DD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17B6F866" wp14:editId="5B822864">
            <wp:extent cx="6120000" cy="2232000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7035" w:rsidRPr="00210640" w:rsidRDefault="00CF7035" w:rsidP="00CF7035">
      <w:pPr>
        <w:spacing w:before="60"/>
        <w:rPr>
          <w:rFonts w:cs="Arial"/>
          <w:i/>
          <w:sz w:val="18"/>
        </w:rPr>
      </w:pPr>
    </w:p>
    <w:p w:rsidR="006927DD" w:rsidRPr="003060E9" w:rsidRDefault="006927DD" w:rsidP="003060E9">
      <w:pPr>
        <w:spacing w:after="60"/>
        <w:jc w:val="both"/>
      </w:pPr>
      <w:r w:rsidRPr="003060E9">
        <w:lastRenderedPageBreak/>
        <w:t>Produktově inovující podniky vyvíjely nové či zásadně zdokonalené výrobky</w:t>
      </w:r>
      <w:r w:rsidR="001C48A8">
        <w:t xml:space="preserve"> nejčastěji ve vlastní režii (7</w:t>
      </w:r>
      <w:r w:rsidR="00F92EB8">
        <w:t>2</w:t>
      </w:r>
      <w:r w:rsidR="001C48A8">
        <w:t>,</w:t>
      </w:r>
      <w:r w:rsidR="00F92EB8">
        <w:t>5</w:t>
      </w:r>
      <w:r w:rsidR="001C48A8">
        <w:t> </w:t>
      </w:r>
      <w:r w:rsidRPr="003060E9">
        <w:t>%</w:t>
      </w:r>
      <w:r w:rsidR="001C48A8">
        <w:rPr>
          <w:rStyle w:val="Znakapoznpodarou"/>
        </w:rPr>
        <w:footnoteReference w:id="12"/>
      </w:r>
      <w:r w:rsidR="001C48A8">
        <w:t xml:space="preserve"> podniků s inovací výrobku</w:t>
      </w:r>
      <w:r w:rsidRPr="003060E9">
        <w:t xml:space="preserve">). Podíl podniků, které vyvíjely inovované výrobky ve spolupráci s jinými podniky </w:t>
      </w:r>
      <w:r w:rsidR="005D70D8">
        <w:t>v rámci</w:t>
      </w:r>
      <w:r w:rsidR="001C48A8">
        <w:t xml:space="preserve"> podnikové skupin</w:t>
      </w:r>
      <w:r w:rsidR="005D70D8">
        <w:t>y</w:t>
      </w:r>
      <w:r w:rsidR="001C48A8">
        <w:t>, dosáhl 2</w:t>
      </w:r>
      <w:r w:rsidR="005D70D8">
        <w:t>0</w:t>
      </w:r>
      <w:r w:rsidR="001C48A8">
        <w:t>,</w:t>
      </w:r>
      <w:r w:rsidR="005D70D8">
        <w:t>7</w:t>
      </w:r>
      <w:r w:rsidRPr="003060E9">
        <w:t xml:space="preserve"> %. Na vývoji nových výrobků spolupracovalo s vysokými školami </w:t>
      </w:r>
      <w:r w:rsidR="001C48A8">
        <w:t>nebo výzkumnými institucemi 1</w:t>
      </w:r>
      <w:r w:rsidR="005D70D8">
        <w:t>4</w:t>
      </w:r>
      <w:r w:rsidR="001C48A8">
        <w:t>,</w:t>
      </w:r>
      <w:r w:rsidR="005D70D8">
        <w:t>9</w:t>
      </w:r>
      <w:r w:rsidRPr="003060E9">
        <w:t xml:space="preserve"> % podniků inovujících výrobek. </w:t>
      </w:r>
      <w:r w:rsidR="001C48A8">
        <w:t xml:space="preserve">Adaptaci výrobků vyvinutých jinými subjekty využilo pro své výrobkové inovace </w:t>
      </w:r>
      <w:r w:rsidR="005D70D8">
        <w:t>8</w:t>
      </w:r>
      <w:r w:rsidR="001C48A8">
        <w:t>,</w:t>
      </w:r>
      <w:r w:rsidR="005D70D8">
        <w:t>3</w:t>
      </w:r>
      <w:r w:rsidR="001C48A8">
        <w:t xml:space="preserve"> % podniků. Podnik také mohl nechat zadat inovaci výrobku externímu subjektu. Vývoj inovace výrobku zadalo jinému podniku</w:t>
      </w:r>
      <w:r w:rsidRPr="003060E9">
        <w:t xml:space="preserve"> včetně p</w:t>
      </w:r>
      <w:r w:rsidR="001C48A8">
        <w:t xml:space="preserve">odniků v podnikové skupině </w:t>
      </w:r>
      <w:r w:rsidR="005D70D8">
        <w:t>5,1</w:t>
      </w:r>
      <w:r w:rsidR="001C48A8">
        <w:t> % produktově</w:t>
      </w:r>
      <w:r w:rsidR="000A0811">
        <w:t xml:space="preserve"> inovujících podniků. Jen nízké</w:t>
      </w:r>
      <w:r w:rsidR="001C48A8">
        <w:t xml:space="preserve"> procento</w:t>
      </w:r>
      <w:r w:rsidR="003A678B">
        <w:t xml:space="preserve"> ve výši </w:t>
      </w:r>
      <w:r w:rsidR="005D70D8">
        <w:t>2</w:t>
      </w:r>
      <w:r w:rsidR="003A678B">
        <w:t>,</w:t>
      </w:r>
      <w:r w:rsidR="005D70D8">
        <w:t>7</w:t>
      </w:r>
      <w:r w:rsidR="003A678B">
        <w:t xml:space="preserve"> %</w:t>
      </w:r>
      <w:r w:rsidR="001C48A8">
        <w:t xml:space="preserve"> podniků zada</w:t>
      </w:r>
      <w:r w:rsidR="007347B8">
        <w:t xml:space="preserve">lo provedení inovace výrobku </w:t>
      </w:r>
      <w:r w:rsidR="001C48A8">
        <w:t>vysoké škole nebo výzkumné instituci.</w:t>
      </w:r>
      <w:r w:rsidRPr="003060E9">
        <w:t xml:space="preserve"> </w:t>
      </w:r>
    </w:p>
    <w:p w:rsidR="006927DD" w:rsidRPr="003060E9" w:rsidRDefault="006927DD" w:rsidP="00184689">
      <w:pPr>
        <w:spacing w:after="60"/>
        <w:jc w:val="both"/>
      </w:pPr>
      <w:r w:rsidRPr="003060E9">
        <w:t xml:space="preserve">Situace je odlišná u velkých podniků, které </w:t>
      </w:r>
      <w:r w:rsidR="003A678B">
        <w:t>ve větší míře využívají výhod</w:t>
      </w:r>
      <w:r w:rsidRPr="003060E9">
        <w:t xml:space="preserve"> spolupráce s jinými podniky, zejména pak s podn</w:t>
      </w:r>
      <w:r w:rsidR="003A678B">
        <w:t>iky ve své podnikové skupině (5</w:t>
      </w:r>
      <w:r w:rsidR="005D70D8">
        <w:t>1</w:t>
      </w:r>
      <w:r w:rsidR="003A678B">
        <w:t>,8</w:t>
      </w:r>
      <w:r w:rsidRPr="003060E9">
        <w:t xml:space="preserve"> %). </w:t>
      </w:r>
      <w:r w:rsidR="00827A65">
        <w:t>Velké podniky na inovacích výrobku</w:t>
      </w:r>
      <w:r w:rsidRPr="003060E9">
        <w:t xml:space="preserve"> spolupracují více než střední a malé podniky.</w:t>
      </w:r>
    </w:p>
    <w:p w:rsidR="006927DD" w:rsidRDefault="006927DD" w:rsidP="00184689">
      <w:pPr>
        <w:spacing w:after="60"/>
        <w:jc w:val="both"/>
      </w:pPr>
      <w:r w:rsidRPr="003060E9">
        <w:t>Stejně jako v případě velkých podniků, které jsou nejčastěji pod zahraniční kontrolou, u zahraničních afilací byly inovace výrobků nejčastěji vyvíjeny ve spolupráci s jinými</w:t>
      </w:r>
      <w:r w:rsidR="003A678B">
        <w:t xml:space="preserve"> podniky v podnikové skupině (</w:t>
      </w:r>
      <w:r w:rsidR="005D70D8">
        <w:t>47</w:t>
      </w:r>
      <w:r w:rsidRPr="003060E9">
        <w:t>,</w:t>
      </w:r>
      <w:r w:rsidR="005D70D8">
        <w:t>2</w:t>
      </w:r>
      <w:r w:rsidRPr="003060E9">
        <w:t> %).</w:t>
      </w:r>
      <w:r w:rsidR="003A678B">
        <w:t xml:space="preserve"> Dokonce více než uvnitř podniku (4</w:t>
      </w:r>
      <w:r w:rsidR="005D70D8">
        <w:t>5</w:t>
      </w:r>
      <w:r w:rsidR="003A678B">
        <w:t>,</w:t>
      </w:r>
      <w:r w:rsidR="005D70D8">
        <w:t>2</w:t>
      </w:r>
      <w:r w:rsidR="003A678B">
        <w:t xml:space="preserve"> %).</w:t>
      </w:r>
      <w:r w:rsidRPr="003060E9">
        <w:t xml:space="preserve"> U domácích podniků je tomu naopak a výrobkové inovace jsou v převážné větši</w:t>
      </w:r>
      <w:r w:rsidR="003A678B">
        <w:t>ně vyvíjeny ve vlastní režii (8</w:t>
      </w:r>
      <w:r w:rsidR="005D70D8">
        <w:t>2</w:t>
      </w:r>
      <w:r w:rsidR="003A678B">
        <w:t>,</w:t>
      </w:r>
      <w:r w:rsidR="005D70D8">
        <w:t>9</w:t>
      </w:r>
      <w:r w:rsidRPr="003060E9">
        <w:t xml:space="preserve"> %). Zde je patrný nízký stupeň spolupráce na vývoji nových výrobků s ostatními podniky z důvodu absence zapojení </w:t>
      </w:r>
      <w:r w:rsidR="001611FD">
        <w:t xml:space="preserve">podniku </w:t>
      </w:r>
      <w:r w:rsidRPr="003060E9">
        <w:t xml:space="preserve">do globální spolupráce. </w:t>
      </w:r>
    </w:p>
    <w:p w:rsidR="00184689" w:rsidRPr="00190CD5" w:rsidRDefault="00184689" w:rsidP="00640010">
      <w:pPr>
        <w:spacing w:after="120"/>
        <w:jc w:val="both"/>
      </w:pPr>
      <w:r>
        <w:t>Odvětvové členění je uvedeno v tabulkách 2</w:t>
      </w:r>
      <w:r w:rsidR="0054688A">
        <w:t>4</w:t>
      </w:r>
      <w:r>
        <w:t>A/2</w:t>
      </w:r>
      <w:r w:rsidR="0054688A">
        <w:t>4</w:t>
      </w:r>
      <w:r>
        <w:t>B.</w:t>
      </w:r>
      <w:r w:rsidRPr="003060E9">
        <w:t xml:space="preserve">  </w:t>
      </w:r>
    </w:p>
    <w:p w:rsidR="006927DD" w:rsidRPr="003060E9" w:rsidRDefault="006927DD" w:rsidP="003060E9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ascii="Calibri" w:hAnsi="Calibri"/>
        </w:rPr>
        <w:t xml:space="preserve"> </w:t>
      </w:r>
      <w:r w:rsidR="003060E9">
        <w:rPr>
          <w:rFonts w:cs="Arial"/>
          <w:b/>
          <w:szCs w:val="20"/>
        </w:rPr>
        <w:t xml:space="preserve">Graf </w:t>
      </w:r>
      <w:r w:rsidR="003446EA">
        <w:rPr>
          <w:rFonts w:cs="Arial"/>
          <w:b/>
          <w:szCs w:val="20"/>
        </w:rPr>
        <w:t>3.2.3-3</w:t>
      </w:r>
      <w:r w:rsidRPr="003060E9">
        <w:rPr>
          <w:rFonts w:cs="Arial"/>
          <w:b/>
          <w:szCs w:val="20"/>
        </w:rPr>
        <w:t>: Inovace výrobku podle subjektu, který ho vyvíjel, velikosti a</w:t>
      </w:r>
      <w:r w:rsidR="003060E9">
        <w:rPr>
          <w:rFonts w:cs="Arial"/>
          <w:b/>
          <w:szCs w:val="20"/>
        </w:rPr>
        <w:t xml:space="preserve"> vlastnictví podniku; 201</w:t>
      </w:r>
      <w:r w:rsidR="0054688A">
        <w:rPr>
          <w:rFonts w:cs="Arial"/>
          <w:b/>
          <w:szCs w:val="20"/>
        </w:rPr>
        <w:t>4</w:t>
      </w:r>
      <w:r w:rsidR="003060E9">
        <w:rPr>
          <w:rFonts w:cs="Arial"/>
          <w:b/>
          <w:szCs w:val="20"/>
        </w:rPr>
        <w:t>–201</w:t>
      </w:r>
      <w:r w:rsidR="0054688A">
        <w:rPr>
          <w:rFonts w:cs="Arial"/>
          <w:b/>
          <w:szCs w:val="20"/>
        </w:rPr>
        <w:t>6</w:t>
      </w:r>
      <w:r w:rsidR="003060E9">
        <w:rPr>
          <w:rFonts w:cs="Arial"/>
          <w:b/>
          <w:szCs w:val="20"/>
        </w:rPr>
        <w:t xml:space="preserve"> </w:t>
      </w:r>
      <w:r w:rsidRPr="003060E9">
        <w:rPr>
          <w:rFonts w:cs="Arial"/>
          <w:b/>
          <w:szCs w:val="20"/>
        </w:rPr>
        <w:t>(% z produktově inovujících podniků, které zavedly inovaci výrobku)</w:t>
      </w:r>
    </w:p>
    <w:p w:rsidR="006927DD" w:rsidRDefault="00CE4F4B" w:rsidP="006927DD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19765F94" wp14:editId="487582D8">
            <wp:extent cx="6054645" cy="3420000"/>
            <wp:effectExtent l="0" t="0" r="381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9C21CCAF-8205-4394-A12A-5ABC5DB510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4F9F" w:rsidRDefault="006927DD" w:rsidP="00F90D7C">
      <w:pPr>
        <w:spacing w:before="120" w:after="60"/>
        <w:jc w:val="both"/>
      </w:pPr>
      <w:r w:rsidRPr="003060E9">
        <w:t>Stejně jako v případě inovace výrobků i u inovace služeb produktově inovující podniky vyvíjely nové služby zej</w:t>
      </w:r>
      <w:r w:rsidR="008B4F9F">
        <w:t xml:space="preserve">ména ve vlastní režii (uvedlo </w:t>
      </w:r>
      <w:r w:rsidR="008E1420">
        <w:t>71</w:t>
      </w:r>
      <w:r w:rsidR="008B4F9F">
        <w:t>,6</w:t>
      </w:r>
      <w:r w:rsidRPr="003060E9">
        <w:t xml:space="preserve"> % podniků s inovací služby). Uvedené platí pro všechny velikostní skupiny. </w:t>
      </w:r>
    </w:p>
    <w:p w:rsidR="006927DD" w:rsidRPr="003060E9" w:rsidRDefault="006927DD" w:rsidP="003060E9">
      <w:pPr>
        <w:spacing w:after="60"/>
        <w:jc w:val="both"/>
      </w:pPr>
      <w:r w:rsidRPr="003060E9">
        <w:t xml:space="preserve">Situace je mírně odlišná u velkých produktově inovujících podniků, kde podniky více spolupracovaly na vývoji nových služeb s jinými podniky </w:t>
      </w:r>
      <w:r w:rsidR="008B4F9F">
        <w:t xml:space="preserve">v podnikové skupině (uvedlo </w:t>
      </w:r>
      <w:r w:rsidR="008E1420">
        <w:t>35</w:t>
      </w:r>
      <w:r w:rsidRPr="003060E9">
        <w:t>,</w:t>
      </w:r>
      <w:r w:rsidR="008E1420">
        <w:t>9</w:t>
      </w:r>
      <w:r w:rsidRPr="003060E9">
        <w:t> % podniků s inovací služby) než v případě malých a středních podniků. Oproti inovaci výrobku je podíl podniků, které zadaly vývoj služby vysoké škole nebo výz</w:t>
      </w:r>
      <w:r w:rsidR="000A0811">
        <w:t>kumné instituci řádově</w:t>
      </w:r>
      <w:r w:rsidR="008B4F9F">
        <w:t xml:space="preserve"> vyšší (</w:t>
      </w:r>
      <w:r w:rsidR="008E1420">
        <w:t>2</w:t>
      </w:r>
      <w:r w:rsidR="008B4F9F">
        <w:t>,</w:t>
      </w:r>
      <w:r w:rsidR="008E1420">
        <w:t>7</w:t>
      </w:r>
      <w:r w:rsidRPr="003060E9">
        <w:t xml:space="preserve"> %</w:t>
      </w:r>
      <w:r w:rsidR="008B4F9F">
        <w:t xml:space="preserve"> – výrobek</w:t>
      </w:r>
      <w:r w:rsidRPr="003060E9">
        <w:t xml:space="preserve"> ku</w:t>
      </w:r>
      <w:r w:rsidR="008B4F9F">
        <w:t xml:space="preserve"> 13</w:t>
      </w:r>
      <w:r w:rsidRPr="003060E9">
        <w:t>,</w:t>
      </w:r>
      <w:r w:rsidR="008E1420">
        <w:t>8</w:t>
      </w:r>
      <w:r w:rsidRPr="003060E9">
        <w:t xml:space="preserve"> %</w:t>
      </w:r>
      <w:r w:rsidR="008B4F9F">
        <w:t xml:space="preserve"> – služba</w:t>
      </w:r>
      <w:r w:rsidRPr="003060E9">
        <w:t xml:space="preserve">). Službu díky své nehmotné povaze lze snáze vyvíjet mimo podnik. </w:t>
      </w:r>
    </w:p>
    <w:p w:rsidR="00184689" w:rsidRDefault="006927DD" w:rsidP="00640010">
      <w:pPr>
        <w:spacing w:after="120"/>
        <w:jc w:val="both"/>
      </w:pPr>
      <w:r w:rsidRPr="003060E9">
        <w:lastRenderedPageBreak/>
        <w:t>U domácích podniků</w:t>
      </w:r>
      <w:r w:rsidR="00F511BD">
        <w:t xml:space="preserve"> (69,2 %) i zahraničních afilací (50,8</w:t>
      </w:r>
      <w:r w:rsidRPr="003060E9">
        <w:t xml:space="preserve"> %) byly inovované služby vyvíjeny nejčastěji podnikem ve vlastní režii. Zahraniční afilace </w:t>
      </w:r>
      <w:r w:rsidR="00F511BD">
        <w:t>intenzivněji</w:t>
      </w:r>
      <w:r w:rsidRPr="003060E9">
        <w:t xml:space="preserve"> spolupracovaly na vývoji nových služeb s jinými podniky v rámci </w:t>
      </w:r>
      <w:r w:rsidR="00F511BD">
        <w:t>podnikové skupiny (</w:t>
      </w:r>
      <w:r w:rsidR="00054847">
        <w:t>35</w:t>
      </w:r>
      <w:r w:rsidR="00F511BD">
        <w:t>,</w:t>
      </w:r>
      <w:r w:rsidR="00054847">
        <w:t>6</w:t>
      </w:r>
      <w:r w:rsidRPr="003060E9">
        <w:t xml:space="preserve"> %) než </w:t>
      </w:r>
      <w:r w:rsidR="00F511BD">
        <w:t>tomu bylo u domácích podniků (</w:t>
      </w:r>
      <w:r w:rsidR="00054847">
        <w:t>19</w:t>
      </w:r>
      <w:r w:rsidRPr="003060E9">
        <w:t>,</w:t>
      </w:r>
      <w:r w:rsidR="00054847">
        <w:t>5</w:t>
      </w:r>
      <w:r w:rsidRPr="003060E9">
        <w:t xml:space="preserve"> %). </w:t>
      </w:r>
      <w:r w:rsidR="00F511BD">
        <w:t>Podniky pod zahraniční kontrolou (5,</w:t>
      </w:r>
      <w:r w:rsidR="00054847">
        <w:t>3</w:t>
      </w:r>
      <w:r w:rsidR="00F511BD">
        <w:t xml:space="preserve"> %) při inovování</w:t>
      </w:r>
      <w:r w:rsidRPr="003060E9">
        <w:t xml:space="preserve"> služeb méně využívají spolupráce s vysokými školami nebo výzkumnými institucemi než je tomu u domácích podniků</w:t>
      </w:r>
      <w:r w:rsidR="00F511BD">
        <w:t xml:space="preserve"> (podíl 1</w:t>
      </w:r>
      <w:r w:rsidR="00240B34">
        <w:t>6</w:t>
      </w:r>
      <w:r w:rsidR="00F511BD">
        <w:t>,5 %)</w:t>
      </w:r>
      <w:r w:rsidRPr="003060E9">
        <w:t xml:space="preserve">. </w:t>
      </w:r>
    </w:p>
    <w:p w:rsidR="006927DD" w:rsidRPr="003060E9" w:rsidRDefault="003060E9" w:rsidP="00640010">
      <w:pPr>
        <w:spacing w:after="6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</w:t>
      </w:r>
      <w:r w:rsidR="003446EA">
        <w:rPr>
          <w:rFonts w:cs="Arial"/>
          <w:b/>
          <w:szCs w:val="20"/>
        </w:rPr>
        <w:t>3.2.3-4</w:t>
      </w:r>
      <w:r w:rsidR="006927DD" w:rsidRPr="003060E9">
        <w:rPr>
          <w:rFonts w:cs="Arial"/>
          <w:b/>
          <w:szCs w:val="20"/>
        </w:rPr>
        <w:t>: Inovace služby podle subjektu, který ji vyvíjel, velik</w:t>
      </w:r>
      <w:r>
        <w:rPr>
          <w:rFonts w:cs="Arial"/>
          <w:b/>
          <w:szCs w:val="20"/>
        </w:rPr>
        <w:t>osti a vlastnictví podniku; 201</w:t>
      </w:r>
      <w:r w:rsidR="006D4ED0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–201</w:t>
      </w:r>
      <w:r w:rsidR="006D4ED0">
        <w:rPr>
          <w:rFonts w:cs="Arial"/>
          <w:b/>
          <w:szCs w:val="20"/>
        </w:rPr>
        <w:t>6</w:t>
      </w:r>
    </w:p>
    <w:p w:rsidR="006927DD" w:rsidRPr="003060E9" w:rsidRDefault="006927DD" w:rsidP="00640010">
      <w:pPr>
        <w:spacing w:after="60" w:line="240" w:lineRule="auto"/>
        <w:ind w:left="1134" w:hanging="1134"/>
        <w:rPr>
          <w:rFonts w:cs="Arial"/>
          <w:b/>
          <w:szCs w:val="20"/>
        </w:rPr>
      </w:pPr>
      <w:r w:rsidRPr="003060E9">
        <w:rPr>
          <w:rFonts w:cs="Arial"/>
          <w:b/>
          <w:szCs w:val="20"/>
        </w:rPr>
        <w:tab/>
        <w:t>(% z produktově inovujících podniků, které zavedly inovaci služby)</w:t>
      </w:r>
    </w:p>
    <w:p w:rsidR="006927DD" w:rsidRDefault="00395CCB" w:rsidP="006927DD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631CD5A7" wp14:editId="1FCFC9D4">
            <wp:extent cx="6003405" cy="342000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1967856C-0F50-440E-AF97-EF92906470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27DD" w:rsidRPr="00184689" w:rsidRDefault="006927DD" w:rsidP="00F90D7C">
      <w:pPr>
        <w:spacing w:before="120" w:after="60"/>
        <w:jc w:val="both"/>
      </w:pPr>
      <w:r w:rsidRPr="00184689">
        <w:t xml:space="preserve">Na otázku ohledně novosti produktové inovace největší podíl produktově inovujících podniků odpověděl, že převážná část nových výrobků nebo služeb byla </w:t>
      </w:r>
      <w:r w:rsidR="00184689">
        <w:t xml:space="preserve">nová </w:t>
      </w:r>
      <w:r w:rsidR="0071369B">
        <w:t xml:space="preserve">pouze </w:t>
      </w:r>
      <w:r w:rsidR="00184689">
        <w:t>pro podnik (7</w:t>
      </w:r>
      <w:r w:rsidR="00083CC3">
        <w:t>6,8</w:t>
      </w:r>
      <w:r w:rsidRPr="00184689">
        <w:t xml:space="preserve"> %). </w:t>
      </w:r>
      <w:r w:rsidR="00184689">
        <w:t>Za nejdůležitější z hlediska</w:t>
      </w:r>
      <w:r w:rsidRPr="00184689">
        <w:t xml:space="preserve"> podnik</w:t>
      </w:r>
      <w:r w:rsidR="00184689">
        <w:t>u</w:t>
      </w:r>
      <w:r w:rsidRPr="00184689">
        <w:t xml:space="preserve"> jsou považovány inovace nové na</w:t>
      </w:r>
      <w:r w:rsidR="00184689">
        <w:t xml:space="preserve"> trhu, které zavedlo celkem 5</w:t>
      </w:r>
      <w:r w:rsidR="00083CC3">
        <w:t>1</w:t>
      </w:r>
      <w:r w:rsidR="00184689">
        <w:t>,</w:t>
      </w:r>
      <w:r w:rsidR="00083CC3">
        <w:t>8</w:t>
      </w:r>
      <w:r w:rsidRPr="00184689">
        <w:t xml:space="preserve"> % produktově inovujících podniků. </w:t>
      </w:r>
    </w:p>
    <w:p w:rsidR="006927DD" w:rsidRPr="00184689" w:rsidRDefault="00184689" w:rsidP="00723F05">
      <w:pPr>
        <w:spacing w:after="120"/>
        <w:jc w:val="both"/>
      </w:pPr>
      <w:r>
        <w:t>Uvedená skutečnost</w:t>
      </w:r>
      <w:r w:rsidR="006927DD" w:rsidRPr="00184689">
        <w:t xml:space="preserve"> platí pro všechny velikostní skupiny podniků</w:t>
      </w:r>
      <w:r w:rsidR="00F90D7C">
        <w:t xml:space="preserve">, stejně tak i pro domácí podniky a </w:t>
      </w:r>
      <w:r w:rsidR="006927DD" w:rsidRPr="00184689">
        <w:t>zahraniční afilac</w:t>
      </w:r>
      <w:r w:rsidR="00F90D7C">
        <w:t>e.</w:t>
      </w:r>
      <w:r w:rsidR="006927DD" w:rsidRPr="00184689">
        <w:t xml:space="preserve"> </w:t>
      </w:r>
    </w:p>
    <w:p w:rsidR="006927DD" w:rsidRPr="00184689" w:rsidRDefault="00DC5F2B" w:rsidP="00184689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</w:t>
      </w:r>
      <w:r w:rsidR="003446EA">
        <w:rPr>
          <w:rFonts w:cs="Arial"/>
          <w:b/>
          <w:szCs w:val="20"/>
        </w:rPr>
        <w:t>3.2.3-5</w:t>
      </w:r>
      <w:r w:rsidR="006927DD" w:rsidRPr="00184689">
        <w:rPr>
          <w:rFonts w:cs="Arial"/>
          <w:b/>
          <w:szCs w:val="20"/>
        </w:rPr>
        <w:t>: Novost produktové inovace pro trh nebo podnik podle velikosti a</w:t>
      </w:r>
      <w:r w:rsidR="00A47424">
        <w:rPr>
          <w:rFonts w:cs="Arial"/>
          <w:b/>
          <w:szCs w:val="20"/>
        </w:rPr>
        <w:t xml:space="preserve"> vlastnictví podniku; 201</w:t>
      </w:r>
      <w:r w:rsidR="00681D98">
        <w:rPr>
          <w:rFonts w:cs="Arial"/>
          <w:b/>
          <w:szCs w:val="20"/>
        </w:rPr>
        <w:t>4</w:t>
      </w:r>
      <w:r w:rsidR="00A47424">
        <w:rPr>
          <w:rFonts w:cs="Arial"/>
          <w:b/>
          <w:szCs w:val="20"/>
        </w:rPr>
        <w:t>–201</w:t>
      </w:r>
      <w:r w:rsidR="00681D98">
        <w:rPr>
          <w:rFonts w:cs="Arial"/>
          <w:b/>
          <w:szCs w:val="20"/>
        </w:rPr>
        <w:t>6</w:t>
      </w:r>
      <w:r w:rsidR="00184689">
        <w:rPr>
          <w:rFonts w:cs="Arial"/>
          <w:b/>
          <w:szCs w:val="20"/>
        </w:rPr>
        <w:t xml:space="preserve"> </w:t>
      </w:r>
      <w:r w:rsidR="006927DD" w:rsidRPr="00184689">
        <w:rPr>
          <w:rFonts w:cs="Arial"/>
          <w:b/>
          <w:szCs w:val="20"/>
        </w:rPr>
        <w:t>(</w:t>
      </w:r>
      <w:r w:rsidR="00184689">
        <w:rPr>
          <w:rFonts w:cs="Arial"/>
          <w:b/>
          <w:szCs w:val="20"/>
        </w:rPr>
        <w:t>%</w:t>
      </w:r>
      <w:r w:rsidR="006927DD" w:rsidRPr="00184689">
        <w:rPr>
          <w:rFonts w:cs="Arial"/>
          <w:b/>
          <w:szCs w:val="20"/>
        </w:rPr>
        <w:t xml:space="preserve"> z produkt</w:t>
      </w:r>
      <w:r w:rsidR="00243F74">
        <w:rPr>
          <w:rFonts w:cs="Arial"/>
          <w:b/>
          <w:szCs w:val="20"/>
        </w:rPr>
        <w:t>ově inovujících podniků</w:t>
      </w:r>
      <w:r w:rsidR="006927DD" w:rsidRPr="00184689">
        <w:rPr>
          <w:rFonts w:cs="Arial"/>
          <w:b/>
          <w:szCs w:val="20"/>
        </w:rPr>
        <w:t>)</w:t>
      </w:r>
    </w:p>
    <w:p w:rsidR="00EF69EB" w:rsidRDefault="00C75A31" w:rsidP="00EF69EB">
      <w:pPr>
        <w:rPr>
          <w:rStyle w:val="st"/>
          <w:rFonts w:ascii="Calibri" w:hAnsi="Calibri"/>
        </w:rPr>
      </w:pPr>
      <w:r>
        <w:rPr>
          <w:noProof/>
        </w:rPr>
        <w:drawing>
          <wp:inline distT="0" distB="0" distL="0" distR="0" wp14:anchorId="6FDF5CFD" wp14:editId="66FF5762">
            <wp:extent cx="6119495" cy="206692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DDE886FD-305B-491A-AEF2-776B86CE7E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69EB" w:rsidRPr="00C47406" w:rsidRDefault="00EF69EB" w:rsidP="00EF69EB">
      <w:r w:rsidRPr="00D768AA">
        <w:rPr>
          <w:rFonts w:cs="Arial"/>
          <w:i/>
          <w:sz w:val="18"/>
          <w:szCs w:val="16"/>
        </w:rPr>
        <w:t xml:space="preserve">POZN. Podnik mohl označit své produkty </w:t>
      </w:r>
      <w:r w:rsidR="005F547B" w:rsidRPr="00D768AA">
        <w:rPr>
          <w:rFonts w:cs="Arial"/>
          <w:i/>
          <w:sz w:val="18"/>
          <w:szCs w:val="16"/>
        </w:rPr>
        <w:t xml:space="preserve">současně </w:t>
      </w:r>
      <w:r w:rsidRPr="00D768AA">
        <w:rPr>
          <w:rFonts w:cs="Arial"/>
          <w:i/>
          <w:sz w:val="18"/>
          <w:szCs w:val="16"/>
        </w:rPr>
        <w:t>za nové na trhu i nové pouze v rámci podniku v souladu se svým produktovým portfoliem.</w:t>
      </w:r>
      <w:r w:rsidR="00C47406">
        <w:rPr>
          <w:rFonts w:cs="Arial"/>
          <w:i/>
          <w:sz w:val="18"/>
          <w:szCs w:val="16"/>
        </w:rPr>
        <w:t xml:space="preserve"> Své produkty takto označilo 28,6 % produktově inovujících podniků. </w:t>
      </w:r>
    </w:p>
    <w:p w:rsidR="00EF69EB" w:rsidRDefault="00EF69EB" w:rsidP="00AA59E3">
      <w:pPr>
        <w:pStyle w:val="Nadpis3"/>
        <w:rPr>
          <w:rStyle w:val="st"/>
        </w:rPr>
      </w:pPr>
    </w:p>
    <w:p w:rsidR="00AA59E3" w:rsidRPr="0033205F" w:rsidRDefault="00AA59E3" w:rsidP="00AA59E3">
      <w:pPr>
        <w:pStyle w:val="Nadpis3"/>
        <w:rPr>
          <w:rStyle w:val="st"/>
        </w:rPr>
      </w:pPr>
      <w:r>
        <w:rPr>
          <w:rStyle w:val="st"/>
        </w:rPr>
        <w:t>3.2</w:t>
      </w:r>
      <w:r w:rsidRPr="0033205F">
        <w:rPr>
          <w:rStyle w:val="st"/>
        </w:rPr>
        <w:t>.</w:t>
      </w:r>
      <w:r>
        <w:rPr>
          <w:rStyle w:val="st"/>
        </w:rPr>
        <w:t>4</w:t>
      </w:r>
      <w:r w:rsidRPr="0033205F">
        <w:rPr>
          <w:rStyle w:val="st"/>
        </w:rPr>
        <w:t xml:space="preserve"> Podniky s</w:t>
      </w:r>
      <w:r>
        <w:rPr>
          <w:rStyle w:val="st"/>
        </w:rPr>
        <w:t> procesními inovacemi</w:t>
      </w:r>
      <w:r w:rsidRPr="0033205F">
        <w:rPr>
          <w:rStyle w:val="st"/>
        </w:rPr>
        <w:t xml:space="preserve"> v letech 201</w:t>
      </w:r>
      <w:r w:rsidR="00F90D7C">
        <w:rPr>
          <w:rStyle w:val="st"/>
        </w:rPr>
        <w:t>4</w:t>
      </w:r>
      <w:r w:rsidRPr="0033205F">
        <w:rPr>
          <w:rStyle w:val="st"/>
        </w:rPr>
        <w:t>–201</w:t>
      </w:r>
      <w:r w:rsidR="00F90D7C">
        <w:rPr>
          <w:rStyle w:val="st"/>
        </w:rPr>
        <w:t>6</w:t>
      </w:r>
    </w:p>
    <w:p w:rsidR="00B51944" w:rsidRPr="00DC5F2B" w:rsidRDefault="00B51944" w:rsidP="00BF2DC9">
      <w:pPr>
        <w:spacing w:after="60"/>
        <w:jc w:val="both"/>
      </w:pPr>
      <w:r w:rsidRPr="00DC5F2B">
        <w:t xml:space="preserve">Procesně inovující podniky v ČR se v rámci svých inovačních aktivit soustředily zejména na inovaci metod výroby nebo zpracování. Tento typ inovace zavedlo </w:t>
      </w:r>
      <w:r w:rsidR="005752A6">
        <w:t>73</w:t>
      </w:r>
      <w:r w:rsidR="005D63F7">
        <w:t>,</w:t>
      </w:r>
      <w:r w:rsidR="005752A6">
        <w:t>6</w:t>
      </w:r>
      <w:r w:rsidRPr="00DC5F2B">
        <w:t xml:space="preserve"> % podniků s procesní inovací. Inovovanou metodu podpůrných činností </w:t>
      </w:r>
      <w:r w:rsidR="005D63F7">
        <w:t>zavedlo 57,</w:t>
      </w:r>
      <w:r w:rsidR="005752A6">
        <w:t>7</w:t>
      </w:r>
      <w:r w:rsidRPr="00DC5F2B">
        <w:t xml:space="preserve"> % procesně inovujících podniků. </w:t>
      </w:r>
      <w:r w:rsidR="001B56B7">
        <w:t>Při inovaci vnitropodnikových procesů</w:t>
      </w:r>
      <w:r w:rsidRPr="00DC5F2B">
        <w:t xml:space="preserve"> byl </w:t>
      </w:r>
      <w:r w:rsidR="001B56B7">
        <w:t>nejmenší důraz kladen na nové</w:t>
      </w:r>
      <w:r w:rsidRPr="00DC5F2B">
        <w:t xml:space="preserve"> metod</w:t>
      </w:r>
      <w:r w:rsidR="001B56B7">
        <w:t>y</w:t>
      </w:r>
      <w:r w:rsidRPr="00DC5F2B">
        <w:t xml:space="preserve"> logistik</w:t>
      </w:r>
      <w:r w:rsidR="005D63F7">
        <w:t>y, dodávek nebo distribuce (3</w:t>
      </w:r>
      <w:r w:rsidR="005752A6">
        <w:t>6</w:t>
      </w:r>
      <w:r w:rsidR="005D63F7">
        <w:t>,</w:t>
      </w:r>
      <w:r w:rsidR="005752A6">
        <w:t>2</w:t>
      </w:r>
      <w:r w:rsidRPr="00DC5F2B">
        <w:t xml:space="preserve"> %). Podniky obvykle inovují více procesních metod zároveň. </w:t>
      </w:r>
    </w:p>
    <w:p w:rsidR="00B51944" w:rsidRPr="00DC5F2B" w:rsidRDefault="00B51944" w:rsidP="00BF2DC9">
      <w:pPr>
        <w:spacing w:after="120"/>
        <w:jc w:val="both"/>
      </w:pPr>
      <w:r w:rsidRPr="00DC5F2B">
        <w:t>Celková situace platí i pro jednotlivé velikostní skupiny podniků, kde nejvyšší podíl zavedení měla inovace metod výroby nebo zpracování.</w:t>
      </w:r>
      <w:r w:rsidR="005D63F7">
        <w:t xml:space="preserve"> U velkých podniků podíl dosáhl </w:t>
      </w:r>
      <w:r w:rsidR="005752A6">
        <w:t>78,8</w:t>
      </w:r>
      <w:r w:rsidR="005D63F7">
        <w:t> %.</w:t>
      </w:r>
    </w:p>
    <w:p w:rsidR="00B51944" w:rsidRPr="00BF2DC9" w:rsidRDefault="005D63F7" w:rsidP="00BF2DC9">
      <w:pPr>
        <w:spacing w:after="120"/>
        <w:jc w:val="both"/>
      </w:pPr>
      <w:r>
        <w:t>Domácí podniky inovovaly</w:t>
      </w:r>
      <w:r w:rsidR="00B51944" w:rsidRPr="00DC5F2B">
        <w:t xml:space="preserve"> metod</w:t>
      </w:r>
      <w:r>
        <w:t>y</w:t>
      </w:r>
      <w:r w:rsidR="00B51944" w:rsidRPr="00DC5F2B">
        <w:t xml:space="preserve"> výroby nebo zpracování </w:t>
      </w:r>
      <w:r>
        <w:t>(7</w:t>
      </w:r>
      <w:r w:rsidR="005752A6">
        <w:t>5</w:t>
      </w:r>
      <w:r>
        <w:t> %) intenzivněji než podniky pod zahraniční kontrolou</w:t>
      </w:r>
      <w:r w:rsidR="00B51944" w:rsidRPr="00DC5F2B">
        <w:t xml:space="preserve"> </w:t>
      </w:r>
      <w:r>
        <w:t>(6</w:t>
      </w:r>
      <w:r w:rsidR="005752A6">
        <w:t>9</w:t>
      </w:r>
      <w:r>
        <w:t>,</w:t>
      </w:r>
      <w:r w:rsidR="005752A6">
        <w:t>4</w:t>
      </w:r>
      <w:r w:rsidR="00B51944" w:rsidRPr="00DC5F2B">
        <w:t xml:space="preserve"> %</w:t>
      </w:r>
      <w:r>
        <w:t>)</w:t>
      </w:r>
      <w:r w:rsidR="005752A6">
        <w:t>.</w:t>
      </w:r>
    </w:p>
    <w:p w:rsidR="00B51944" w:rsidRPr="00DC5F2B" w:rsidRDefault="003446EA" w:rsidP="00DC5F2B">
      <w:pPr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3.2.4-1</w:t>
      </w:r>
      <w:r w:rsidR="00B51944" w:rsidRPr="00DC5F2B">
        <w:rPr>
          <w:rFonts w:cs="Arial"/>
          <w:b/>
          <w:szCs w:val="20"/>
        </w:rPr>
        <w:t>: Procesní inovace podle typu, velikosti a vlastnictví podniku (% z procesně inovujících podniků</w:t>
      </w:r>
      <w:r w:rsidR="00BA437A">
        <w:rPr>
          <w:rFonts w:cs="Arial"/>
          <w:b/>
          <w:szCs w:val="20"/>
        </w:rPr>
        <w:t xml:space="preserve"> v dané skupině</w:t>
      </w:r>
      <w:r w:rsidR="00B51944" w:rsidRPr="00DC5F2B">
        <w:rPr>
          <w:rFonts w:cs="Arial"/>
          <w:b/>
          <w:szCs w:val="20"/>
        </w:rPr>
        <w:t xml:space="preserve">); </w:t>
      </w:r>
      <w:r w:rsidR="00DC5F2B">
        <w:rPr>
          <w:rFonts w:cs="Arial"/>
          <w:b/>
          <w:szCs w:val="20"/>
        </w:rPr>
        <w:t>201</w:t>
      </w:r>
      <w:r w:rsidR="005752A6">
        <w:rPr>
          <w:rFonts w:cs="Arial"/>
          <w:b/>
          <w:szCs w:val="20"/>
        </w:rPr>
        <w:t>4</w:t>
      </w:r>
      <w:r w:rsidR="00DC5F2B">
        <w:rPr>
          <w:rFonts w:cs="Arial"/>
          <w:b/>
          <w:szCs w:val="20"/>
        </w:rPr>
        <w:t>–201</w:t>
      </w:r>
      <w:r w:rsidR="005752A6">
        <w:rPr>
          <w:rFonts w:cs="Arial"/>
          <w:b/>
          <w:szCs w:val="20"/>
        </w:rPr>
        <w:t>6</w:t>
      </w:r>
      <w:r w:rsidR="00B51944" w:rsidRPr="00DC5F2B">
        <w:rPr>
          <w:rFonts w:cs="Arial"/>
          <w:b/>
          <w:szCs w:val="20"/>
        </w:rPr>
        <w:tab/>
      </w:r>
    </w:p>
    <w:p w:rsidR="00B51944" w:rsidRDefault="00ED5B4F" w:rsidP="00B51944">
      <w:r>
        <w:rPr>
          <w:noProof/>
        </w:rPr>
        <w:drawing>
          <wp:inline distT="0" distB="0" distL="0" distR="0" wp14:anchorId="480C67BB" wp14:editId="1BD72BC3">
            <wp:extent cx="5963790" cy="191142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87806EAD-8D68-45E7-AB52-390F030DC5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1944" w:rsidRPr="009B4A2C" w:rsidRDefault="00B51944" w:rsidP="00FD7699">
      <w:pPr>
        <w:spacing w:before="120" w:after="120"/>
        <w:jc w:val="both"/>
      </w:pPr>
      <w:r w:rsidRPr="00BF2DC9">
        <w:t xml:space="preserve">Podíly jednotlivých typů inovací jsou do značné míry dány způsobem produkce výrobků/služeb v odvětví, proto například podniky v peněžnictví a pojišťovnictví procesně nejvíce inovovaly </w:t>
      </w:r>
      <w:r w:rsidR="00125C99">
        <w:t>podpůrné činnosti (</w:t>
      </w:r>
      <w:r w:rsidR="00AF44AA">
        <w:t>84</w:t>
      </w:r>
      <w:r w:rsidR="00125C99">
        <w:t>,</w:t>
      </w:r>
      <w:r w:rsidR="00AF44AA">
        <w:t>6</w:t>
      </w:r>
      <w:r w:rsidRPr="00BF2DC9">
        <w:t> %)</w:t>
      </w:r>
      <w:r w:rsidR="00400042">
        <w:t>. P</w:t>
      </w:r>
      <w:r w:rsidRPr="00BF2DC9">
        <w:t>odniky ve zpracovatelském průmyslu pak metody výroby nebo zpracování</w:t>
      </w:r>
      <w:r w:rsidR="00125C99">
        <w:t xml:space="preserve"> (7</w:t>
      </w:r>
      <w:r w:rsidR="00AF44AA">
        <w:t>8</w:t>
      </w:r>
      <w:r w:rsidRPr="00BF2DC9">
        <w:t xml:space="preserve"> %). </w:t>
      </w:r>
      <w:r w:rsidR="00AF44AA">
        <w:t>V odvětví informačních a komunikačních činnosti byly téměř shodně inovovány metody výroby nebo zpracování (72,7 %) a podpůrné činnosti (71,2 %).</w:t>
      </w:r>
    </w:p>
    <w:p w:rsidR="00B51944" w:rsidRPr="00F24469" w:rsidRDefault="00B51944" w:rsidP="004D0A65">
      <w:pPr>
        <w:spacing w:after="60"/>
        <w:ind w:left="1134" w:hanging="1134"/>
        <w:rPr>
          <w:rFonts w:cs="Arial"/>
          <w:b/>
          <w:szCs w:val="20"/>
        </w:rPr>
      </w:pPr>
      <w:r w:rsidRPr="00F24469">
        <w:rPr>
          <w:rFonts w:cs="Arial"/>
          <w:b/>
          <w:szCs w:val="20"/>
        </w:rPr>
        <w:t xml:space="preserve">Graf </w:t>
      </w:r>
      <w:r w:rsidR="00F24469">
        <w:rPr>
          <w:rFonts w:cs="Arial"/>
          <w:b/>
          <w:szCs w:val="20"/>
        </w:rPr>
        <w:t>3.2.4-2</w:t>
      </w:r>
      <w:r w:rsidRPr="00F24469">
        <w:rPr>
          <w:rFonts w:cs="Arial"/>
          <w:b/>
          <w:szCs w:val="20"/>
        </w:rPr>
        <w:t xml:space="preserve">: Procesní </w:t>
      </w:r>
      <w:r w:rsidR="00F24469">
        <w:rPr>
          <w:rFonts w:cs="Arial"/>
          <w:b/>
          <w:szCs w:val="20"/>
        </w:rPr>
        <w:t>inovace podle typu ve vybraných sekcí</w:t>
      </w:r>
      <w:r w:rsidR="00400042">
        <w:rPr>
          <w:rFonts w:cs="Arial"/>
          <w:b/>
          <w:szCs w:val="20"/>
        </w:rPr>
        <w:t>ch</w:t>
      </w:r>
      <w:r w:rsidR="00F24469">
        <w:rPr>
          <w:rFonts w:cs="Arial"/>
          <w:b/>
          <w:szCs w:val="20"/>
        </w:rPr>
        <w:t xml:space="preserve"> CZ-NACE </w:t>
      </w:r>
      <w:r w:rsidRPr="00F24469">
        <w:rPr>
          <w:rFonts w:cs="Arial"/>
          <w:b/>
          <w:szCs w:val="20"/>
        </w:rPr>
        <w:t>(% z procesně inovujících podniků</w:t>
      </w:r>
      <w:r w:rsidR="00BA437A">
        <w:rPr>
          <w:rFonts w:cs="Arial"/>
          <w:b/>
          <w:szCs w:val="20"/>
        </w:rPr>
        <w:t xml:space="preserve"> v dané skupině</w:t>
      </w:r>
      <w:r w:rsidRPr="00F24469">
        <w:rPr>
          <w:rFonts w:cs="Arial"/>
          <w:b/>
          <w:szCs w:val="20"/>
        </w:rPr>
        <w:t xml:space="preserve">); </w:t>
      </w:r>
      <w:r w:rsidR="00F24469">
        <w:rPr>
          <w:rFonts w:cs="Arial"/>
          <w:b/>
          <w:szCs w:val="20"/>
        </w:rPr>
        <w:t>201</w:t>
      </w:r>
      <w:r w:rsidR="00A8587E">
        <w:rPr>
          <w:rFonts w:cs="Arial"/>
          <w:b/>
          <w:szCs w:val="20"/>
        </w:rPr>
        <w:t>4</w:t>
      </w:r>
      <w:r w:rsidR="00F24469">
        <w:rPr>
          <w:rFonts w:cs="Arial"/>
          <w:b/>
          <w:szCs w:val="20"/>
        </w:rPr>
        <w:t>–201</w:t>
      </w:r>
      <w:r w:rsidR="00A8587E">
        <w:rPr>
          <w:rFonts w:cs="Arial"/>
          <w:b/>
          <w:szCs w:val="20"/>
        </w:rPr>
        <w:t>6</w:t>
      </w:r>
    </w:p>
    <w:p w:rsidR="00B51944" w:rsidRPr="00885081" w:rsidRDefault="00824169" w:rsidP="00B51944">
      <w:pPr>
        <w:ind w:left="851" w:hanging="851"/>
        <w:rPr>
          <w:rFonts w:ascii="Calibri" w:hAnsi="Calibri"/>
          <w:b/>
          <w:color w:val="1F497D"/>
          <w:sz w:val="18"/>
        </w:rPr>
      </w:pPr>
      <w:r>
        <w:rPr>
          <w:noProof/>
        </w:rPr>
        <w:drawing>
          <wp:inline distT="0" distB="0" distL="0" distR="0" wp14:anchorId="4F47465E" wp14:editId="6467CB6C">
            <wp:extent cx="6120130" cy="2512060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F6DA1C76-DDFF-4954-80C1-FB22172B3B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B51944">
        <w:rPr>
          <w:rFonts w:ascii="Calibri" w:hAnsi="Calibri"/>
          <w:b/>
          <w:color w:val="1F497D"/>
          <w:sz w:val="18"/>
        </w:rPr>
        <w:tab/>
      </w:r>
    </w:p>
    <w:p w:rsidR="00553A7D" w:rsidRPr="00D768AA" w:rsidRDefault="00553A7D" w:rsidP="004D0A65">
      <w:pPr>
        <w:spacing w:after="120"/>
        <w:jc w:val="both"/>
      </w:pPr>
      <w:r w:rsidRPr="00D768AA">
        <w:rPr>
          <w:rFonts w:cs="Arial"/>
          <w:i/>
          <w:sz w:val="18"/>
        </w:rPr>
        <w:t xml:space="preserve">POZN.: Kompletní přehled všech sledovaných sekcí viz tabulka </w:t>
      </w:r>
      <w:r w:rsidR="00D20597" w:rsidRPr="00D768AA">
        <w:rPr>
          <w:rFonts w:cs="Arial"/>
          <w:i/>
          <w:sz w:val="18"/>
        </w:rPr>
        <w:t>20</w:t>
      </w:r>
      <w:r w:rsidRPr="00D768AA">
        <w:rPr>
          <w:rFonts w:cs="Arial"/>
          <w:i/>
          <w:sz w:val="18"/>
        </w:rPr>
        <w:t>A.</w:t>
      </w:r>
    </w:p>
    <w:p w:rsidR="00B51944" w:rsidRPr="004D0A65" w:rsidRDefault="00B51944" w:rsidP="004D0A65">
      <w:pPr>
        <w:spacing w:after="120"/>
        <w:jc w:val="both"/>
      </w:pPr>
      <w:r w:rsidRPr="009B4A2C">
        <w:lastRenderedPageBreak/>
        <w:t xml:space="preserve">Inovující podniky vyvíjely své procesní inovace zejména ve vlastní režii. Podíl podniků vyvíjejících procesní inovaci </w:t>
      </w:r>
      <w:r w:rsidR="004D0A65">
        <w:t xml:space="preserve">uvnitř podniku dosáhl </w:t>
      </w:r>
      <w:r w:rsidR="0095381B">
        <w:t>67,5</w:t>
      </w:r>
      <w:r w:rsidRPr="009B4A2C">
        <w:t xml:space="preserve"> %. </w:t>
      </w:r>
      <w:r w:rsidR="004309FF">
        <w:t xml:space="preserve">Podniky při vývoji procesní inovace více </w:t>
      </w:r>
      <w:r w:rsidR="00D81ED0">
        <w:t>spolupr</w:t>
      </w:r>
      <w:r w:rsidR="004309FF">
        <w:t>acovaly</w:t>
      </w:r>
      <w:r w:rsidR="00D81ED0">
        <w:t xml:space="preserve"> s jinými podniky m</w:t>
      </w:r>
      <w:r w:rsidR="004309FF">
        <w:t>i</w:t>
      </w:r>
      <w:r w:rsidR="00D81ED0">
        <w:t>mo podnikovou skupinu (18,5 %)</w:t>
      </w:r>
      <w:r w:rsidR="004309FF">
        <w:t xml:space="preserve"> než s podniky v rámci podnikové skupiny (17,6 %).</w:t>
      </w:r>
      <w:r w:rsidRPr="009B4A2C">
        <w:t xml:space="preserve"> Při vývoji procesní inovace podniky nejméně využily služeb vysokých škol a výzkumných institucí, a to jak ve formě spolupráce (</w:t>
      </w:r>
      <w:r w:rsidR="0095381B">
        <w:t>5</w:t>
      </w:r>
      <w:r w:rsidR="004D0A65">
        <w:t>,4</w:t>
      </w:r>
      <w:r w:rsidRPr="009B4A2C">
        <w:t> %), tak</w:t>
      </w:r>
      <w:r w:rsidR="004D0A65">
        <w:t xml:space="preserve"> v podobě vývoje na zakázku (1,</w:t>
      </w:r>
      <w:r w:rsidR="0095381B">
        <w:t>2</w:t>
      </w:r>
      <w:r w:rsidR="004D0A65">
        <w:t> </w:t>
      </w:r>
      <w:r w:rsidRPr="009B4A2C">
        <w:t xml:space="preserve">%). </w:t>
      </w:r>
    </w:p>
    <w:p w:rsidR="00B51944" w:rsidRPr="009B4A2C" w:rsidRDefault="00B51944" w:rsidP="009B4A2C">
      <w:pPr>
        <w:spacing w:after="60"/>
        <w:ind w:left="1134" w:hanging="1134"/>
        <w:rPr>
          <w:rFonts w:cs="Arial"/>
          <w:b/>
          <w:szCs w:val="20"/>
        </w:rPr>
      </w:pPr>
      <w:r w:rsidRPr="009B4A2C">
        <w:rPr>
          <w:rFonts w:cs="Arial"/>
          <w:b/>
          <w:szCs w:val="20"/>
        </w:rPr>
        <w:t xml:space="preserve"> Graf </w:t>
      </w:r>
      <w:r w:rsidR="009B4A2C">
        <w:rPr>
          <w:rFonts w:cs="Arial"/>
          <w:b/>
          <w:szCs w:val="20"/>
        </w:rPr>
        <w:t>3.2.4-3</w:t>
      </w:r>
      <w:r w:rsidRPr="009B4A2C">
        <w:rPr>
          <w:rFonts w:cs="Arial"/>
          <w:b/>
          <w:szCs w:val="20"/>
        </w:rPr>
        <w:t xml:space="preserve">: Inovace procesů podle subjektu, který je vyvíjel, velikosti a </w:t>
      </w:r>
      <w:r w:rsidR="009B4A2C">
        <w:rPr>
          <w:rFonts w:cs="Arial"/>
          <w:b/>
          <w:szCs w:val="20"/>
        </w:rPr>
        <w:t>vlastnictví podniku; 201</w:t>
      </w:r>
      <w:r w:rsidR="002972DA">
        <w:rPr>
          <w:rFonts w:cs="Arial"/>
          <w:b/>
          <w:szCs w:val="20"/>
        </w:rPr>
        <w:t>4</w:t>
      </w:r>
      <w:r w:rsidR="009B4A2C">
        <w:rPr>
          <w:rFonts w:cs="Arial"/>
          <w:b/>
          <w:szCs w:val="20"/>
        </w:rPr>
        <w:t>–201</w:t>
      </w:r>
      <w:r w:rsidR="002972DA">
        <w:rPr>
          <w:rFonts w:cs="Arial"/>
          <w:b/>
          <w:szCs w:val="20"/>
        </w:rPr>
        <w:t>6</w:t>
      </w:r>
      <w:r w:rsidR="009B4A2C">
        <w:rPr>
          <w:rFonts w:cs="Arial"/>
          <w:b/>
          <w:szCs w:val="20"/>
        </w:rPr>
        <w:t xml:space="preserve"> </w:t>
      </w:r>
      <w:r w:rsidRPr="009B4A2C">
        <w:rPr>
          <w:rFonts w:cs="Arial"/>
          <w:b/>
          <w:szCs w:val="20"/>
        </w:rPr>
        <w:t>(% z procesně inovujících podniků</w:t>
      </w:r>
      <w:r w:rsidR="00BA437A">
        <w:rPr>
          <w:rFonts w:cs="Arial"/>
          <w:b/>
          <w:szCs w:val="20"/>
        </w:rPr>
        <w:t xml:space="preserve"> v dané skupině</w:t>
      </w:r>
      <w:r w:rsidRPr="009B4A2C">
        <w:rPr>
          <w:rFonts w:cs="Arial"/>
          <w:b/>
          <w:szCs w:val="20"/>
        </w:rPr>
        <w:t>)</w:t>
      </w:r>
    </w:p>
    <w:p w:rsidR="004D0A65" w:rsidRDefault="00C25199" w:rsidP="00B51944">
      <w:pPr>
        <w:jc w:val="both"/>
      </w:pPr>
      <w:r>
        <w:rPr>
          <w:noProof/>
        </w:rPr>
        <w:drawing>
          <wp:inline distT="0" distB="0" distL="0" distR="0" wp14:anchorId="2352FD40" wp14:editId="53A4F3B1">
            <wp:extent cx="6033885" cy="342000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D24412FD-A392-47D9-BE5E-938F072E7C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D0A65" w:rsidRDefault="004D0A65" w:rsidP="004D0A65">
      <w:pPr>
        <w:spacing w:after="120"/>
        <w:jc w:val="both"/>
      </w:pPr>
    </w:p>
    <w:p w:rsidR="004D0A65" w:rsidRPr="009B4A2C" w:rsidRDefault="004D0A65" w:rsidP="004D0A65">
      <w:pPr>
        <w:spacing w:after="120"/>
        <w:jc w:val="both"/>
      </w:pPr>
      <w:r w:rsidRPr="009B4A2C">
        <w:t xml:space="preserve">Vývoj procesní inovace u velkých podniků byl prováděn zejména </w:t>
      </w:r>
      <w:r>
        <w:t>ve vlastní režii (</w:t>
      </w:r>
      <w:r w:rsidR="006B1C05">
        <w:t>56,3</w:t>
      </w:r>
      <w:r>
        <w:t> %) a</w:t>
      </w:r>
      <w:r w:rsidRPr="009B4A2C">
        <w:t xml:space="preserve"> ve spolupráci s podniky v rámci podnikové skupiny</w:t>
      </w:r>
      <w:r>
        <w:t xml:space="preserve"> (5</w:t>
      </w:r>
      <w:r w:rsidR="006B1C05">
        <w:t>0,1</w:t>
      </w:r>
      <w:r w:rsidRPr="009B4A2C">
        <w:t> %).  </w:t>
      </w:r>
    </w:p>
    <w:p w:rsidR="00B054ED" w:rsidRDefault="004D0A65" w:rsidP="004D0A65">
      <w:pPr>
        <w:jc w:val="both"/>
      </w:pPr>
      <w:r w:rsidRPr="009B4A2C">
        <w:t xml:space="preserve">Domácí podniky při vývoji procesních inovací spoléhaly </w:t>
      </w:r>
      <w:r>
        <w:t xml:space="preserve">výrazně </w:t>
      </w:r>
      <w:r w:rsidRPr="009B4A2C">
        <w:t>na své vlastní</w:t>
      </w:r>
      <w:r>
        <w:t xml:space="preserve"> zdroje (7</w:t>
      </w:r>
      <w:r w:rsidR="006B1C05">
        <w:t>4</w:t>
      </w:r>
      <w:r>
        <w:t>,</w:t>
      </w:r>
      <w:r w:rsidR="006B1C05">
        <w:t>5</w:t>
      </w:r>
      <w:r w:rsidRPr="009B4A2C">
        <w:t> %)</w:t>
      </w:r>
      <w:r>
        <w:t xml:space="preserve"> a málo spolupracovaly s jinými podniky. N</w:t>
      </w:r>
      <w:r w:rsidRPr="009B4A2C">
        <w:t xml:space="preserve">aopak u podniků pod zahraniční kontrolou je výrazně vyšší podíl těch, které na vývoji </w:t>
      </w:r>
      <w:r w:rsidR="006B1C05">
        <w:t xml:space="preserve">procesní inovace </w:t>
      </w:r>
      <w:r w:rsidRPr="009B4A2C">
        <w:t>spolupracovaly s </w:t>
      </w:r>
      <w:r>
        <w:t>podnik</w:t>
      </w:r>
      <w:r w:rsidR="006B1C05">
        <w:t>y</w:t>
      </w:r>
      <w:r>
        <w:t xml:space="preserve"> v</w:t>
      </w:r>
      <w:r w:rsidR="006B1C05">
        <w:t xml:space="preserve"> rámci</w:t>
      </w:r>
      <w:r>
        <w:t> podnikové skupin</w:t>
      </w:r>
      <w:r w:rsidR="006B1C05">
        <w:t>y</w:t>
      </w:r>
      <w:r>
        <w:t xml:space="preserve"> (</w:t>
      </w:r>
      <w:r w:rsidR="006B1C05">
        <w:t>46,4</w:t>
      </w:r>
      <w:r w:rsidRPr="009B4A2C">
        <w:t xml:space="preserve"> %).   </w:t>
      </w:r>
    </w:p>
    <w:p w:rsidR="000B713C" w:rsidRDefault="000B713C" w:rsidP="004D0A65">
      <w:pPr>
        <w:jc w:val="both"/>
      </w:pPr>
    </w:p>
    <w:p w:rsidR="000B713C" w:rsidRPr="0033205F" w:rsidRDefault="000B713C" w:rsidP="000B713C">
      <w:pPr>
        <w:pStyle w:val="Nadpis3"/>
        <w:rPr>
          <w:rStyle w:val="st"/>
        </w:rPr>
      </w:pPr>
      <w:r>
        <w:rPr>
          <w:rStyle w:val="st"/>
        </w:rPr>
        <w:t>3.2</w:t>
      </w:r>
      <w:r w:rsidRPr="0033205F">
        <w:rPr>
          <w:rStyle w:val="st"/>
        </w:rPr>
        <w:t>.</w:t>
      </w:r>
      <w:r>
        <w:rPr>
          <w:rStyle w:val="st"/>
        </w:rPr>
        <w:t>5</w:t>
      </w:r>
      <w:r w:rsidRPr="0033205F">
        <w:rPr>
          <w:rStyle w:val="st"/>
        </w:rPr>
        <w:t xml:space="preserve"> Podniky s</w:t>
      </w:r>
      <w:r>
        <w:rPr>
          <w:rStyle w:val="st"/>
        </w:rPr>
        <w:t> marketingovými inovacemi</w:t>
      </w:r>
      <w:r w:rsidRPr="0033205F">
        <w:rPr>
          <w:rStyle w:val="st"/>
        </w:rPr>
        <w:t xml:space="preserve"> v letech 201</w:t>
      </w:r>
      <w:r w:rsidR="000A0991">
        <w:rPr>
          <w:rStyle w:val="st"/>
        </w:rPr>
        <w:t>4</w:t>
      </w:r>
      <w:r w:rsidRPr="0033205F">
        <w:rPr>
          <w:rStyle w:val="st"/>
        </w:rPr>
        <w:t>–201</w:t>
      </w:r>
      <w:r w:rsidR="000A0991">
        <w:rPr>
          <w:rStyle w:val="st"/>
        </w:rPr>
        <w:t>6</w:t>
      </w:r>
    </w:p>
    <w:p w:rsidR="00954BAA" w:rsidRDefault="000A0811" w:rsidP="00052B2A">
      <w:pPr>
        <w:spacing w:after="60"/>
        <w:jc w:val="both"/>
      </w:pPr>
      <w:r>
        <w:t>V ČR v období 201</w:t>
      </w:r>
      <w:r w:rsidR="0019637A">
        <w:t>4</w:t>
      </w:r>
      <w:r>
        <w:t>–201</w:t>
      </w:r>
      <w:r w:rsidR="0019637A">
        <w:t>6</w:t>
      </w:r>
      <w:r w:rsidR="00052B2A" w:rsidRPr="00052B2A">
        <w:t xml:space="preserve"> </w:t>
      </w:r>
      <w:r w:rsidR="00954BAA">
        <w:t>inovovalo marketingové metody 2</w:t>
      </w:r>
      <w:r w:rsidR="0019637A">
        <w:t>6</w:t>
      </w:r>
      <w:r w:rsidR="00954BAA">
        <w:t>,</w:t>
      </w:r>
      <w:r w:rsidR="0019637A">
        <w:t>3</w:t>
      </w:r>
      <w:r w:rsidR="00954BAA">
        <w:t xml:space="preserve"> % podniků. U těch, které netechnicky inovovaly, marketingovou inovaci zavedlo </w:t>
      </w:r>
      <w:r w:rsidR="002A63D7">
        <w:t>80,3</w:t>
      </w:r>
      <w:r w:rsidR="00954BAA">
        <w:t xml:space="preserve"> % podniků. </w:t>
      </w:r>
    </w:p>
    <w:p w:rsidR="00052B2A" w:rsidRPr="00052B2A" w:rsidRDefault="00954BAA" w:rsidP="00052B2A">
      <w:pPr>
        <w:spacing w:after="60"/>
        <w:jc w:val="both"/>
      </w:pPr>
      <w:r>
        <w:t>P</w:t>
      </w:r>
      <w:r w:rsidR="00052B2A" w:rsidRPr="00052B2A">
        <w:t xml:space="preserve">odniky </w:t>
      </w:r>
      <w:r w:rsidR="00097BCC">
        <w:t xml:space="preserve">se </w:t>
      </w:r>
      <w:r w:rsidR="00052B2A" w:rsidRPr="00052B2A">
        <w:t xml:space="preserve">v rámci marketingových inovací soustředily nejvíce na nová média nebo techniky pro propagaci. Tento druh inovace zavedlo </w:t>
      </w:r>
      <w:r w:rsidR="009207F9">
        <w:t>68,3</w:t>
      </w:r>
      <w:r w:rsidR="00052B2A" w:rsidRPr="00052B2A">
        <w:t> % podniků s marketingovou inovací. S výrazným odstupem se umístily zbývající typy marketingové inovace. Významné změny v d</w:t>
      </w:r>
      <w:r w:rsidR="00097BCC">
        <w:t xml:space="preserve">esignu nebo balení provedlo </w:t>
      </w:r>
      <w:r w:rsidR="009207F9">
        <w:t>46,3</w:t>
      </w:r>
      <w:r w:rsidR="00052B2A" w:rsidRPr="00052B2A">
        <w:t xml:space="preserve"> % m</w:t>
      </w:r>
      <w:r w:rsidR="00097BCC">
        <w:t>arketingově inovujících podniků a</w:t>
      </w:r>
      <w:r w:rsidR="00052B2A" w:rsidRPr="00052B2A">
        <w:t xml:space="preserve"> nové metody </w:t>
      </w:r>
      <w:r w:rsidR="009207F9" w:rsidRPr="00052B2A">
        <w:t>ocen</w:t>
      </w:r>
      <w:r w:rsidR="009207F9">
        <w:t>ění výrobků a služeb</w:t>
      </w:r>
      <w:r w:rsidR="00097BCC">
        <w:t xml:space="preserve"> pak zavedlo 40,</w:t>
      </w:r>
      <w:r w:rsidR="009207F9">
        <w:t>5</w:t>
      </w:r>
      <w:r w:rsidR="00052B2A" w:rsidRPr="00052B2A">
        <w:t xml:space="preserve"> % z nich. Nejméně podniky inovovaly metody </w:t>
      </w:r>
      <w:r w:rsidR="009207F9">
        <w:t>způsobu prodeje nebo umístění výrobků/služeb na trh</w:t>
      </w:r>
      <w:r w:rsidR="00097BCC">
        <w:t xml:space="preserve"> (2</w:t>
      </w:r>
      <w:r w:rsidR="009207F9">
        <w:t>5,2</w:t>
      </w:r>
      <w:r w:rsidR="00052B2A" w:rsidRPr="00052B2A">
        <w:t xml:space="preserve"> %). </w:t>
      </w:r>
    </w:p>
    <w:p w:rsidR="00211FE6" w:rsidRDefault="00052B2A" w:rsidP="00052B2A">
      <w:pPr>
        <w:spacing w:after="60"/>
        <w:jc w:val="both"/>
      </w:pPr>
      <w:r w:rsidRPr="00052B2A">
        <w:t xml:space="preserve">Velké a střední podniky ve srovnání s malými podniky kladly větší důraz na změny v designu nebo balení. Podíl tohoto druhu inovace u velkých marketingově inovujících podniků </w:t>
      </w:r>
      <w:r w:rsidR="00211FE6">
        <w:t xml:space="preserve">dosáhl </w:t>
      </w:r>
      <w:r w:rsidR="00933949">
        <w:t>rovných 56</w:t>
      </w:r>
      <w:r w:rsidRPr="00052B2A">
        <w:t> %</w:t>
      </w:r>
      <w:r w:rsidR="00211FE6">
        <w:t>, u středních 5</w:t>
      </w:r>
      <w:r w:rsidR="00933949">
        <w:t>0</w:t>
      </w:r>
      <w:r w:rsidR="00211FE6">
        <w:t>,</w:t>
      </w:r>
      <w:r w:rsidR="00933949">
        <w:t>1</w:t>
      </w:r>
      <w:r w:rsidRPr="00052B2A">
        <w:t xml:space="preserve"> %, zatímco u malých </w:t>
      </w:r>
      <w:r w:rsidR="00211FE6">
        <w:t>pouze 4</w:t>
      </w:r>
      <w:r w:rsidR="00933949">
        <w:t>3,5</w:t>
      </w:r>
      <w:r w:rsidRPr="00052B2A">
        <w:t xml:space="preserve"> %. </w:t>
      </w:r>
    </w:p>
    <w:p w:rsidR="00052B2A" w:rsidRPr="00F02751" w:rsidRDefault="00052B2A" w:rsidP="00F02751">
      <w:pPr>
        <w:spacing w:after="120"/>
        <w:jc w:val="both"/>
      </w:pPr>
      <w:r w:rsidRPr="00052B2A">
        <w:t xml:space="preserve">Podniky pod zahraniční kontrolou </w:t>
      </w:r>
      <w:r w:rsidR="00933949">
        <w:t>více inovovaly metody ocenění výrobků a služeb (46,3 %)</w:t>
      </w:r>
      <w:r w:rsidRPr="00052B2A">
        <w:t>, než tomu bylo u domácích podniků</w:t>
      </w:r>
      <w:r w:rsidR="00211FE6">
        <w:t xml:space="preserve"> (3</w:t>
      </w:r>
      <w:r w:rsidR="00933949">
        <w:t>8</w:t>
      </w:r>
      <w:r w:rsidR="00211FE6">
        <w:t>,</w:t>
      </w:r>
      <w:r w:rsidR="00933949">
        <w:t>8</w:t>
      </w:r>
      <w:r w:rsidR="00F02751">
        <w:t> %)</w:t>
      </w:r>
      <w:r w:rsidR="00933949">
        <w:t>, které se spíše soustředily na inovaci designu nebo balení (46,6 %)</w:t>
      </w:r>
      <w:r w:rsidR="00F02751">
        <w:t>.</w:t>
      </w:r>
    </w:p>
    <w:p w:rsidR="000A0991" w:rsidRDefault="000A0991" w:rsidP="00E30CDC">
      <w:pPr>
        <w:spacing w:after="60" w:line="240" w:lineRule="auto"/>
        <w:ind w:left="1134" w:hanging="1134"/>
        <w:rPr>
          <w:rFonts w:cs="Arial"/>
          <w:b/>
          <w:szCs w:val="20"/>
        </w:rPr>
      </w:pPr>
    </w:p>
    <w:p w:rsidR="00FD7699" w:rsidRDefault="00FD7699" w:rsidP="00E30CDC">
      <w:pPr>
        <w:spacing w:after="60" w:line="240" w:lineRule="auto"/>
        <w:ind w:left="1134" w:hanging="1134"/>
        <w:rPr>
          <w:rFonts w:cs="Arial"/>
          <w:b/>
          <w:szCs w:val="20"/>
        </w:rPr>
      </w:pPr>
    </w:p>
    <w:p w:rsidR="00052B2A" w:rsidRPr="00834843" w:rsidRDefault="00052B2A" w:rsidP="00E30CDC">
      <w:pPr>
        <w:spacing w:after="60" w:line="240" w:lineRule="auto"/>
        <w:ind w:left="1134" w:hanging="1134"/>
        <w:rPr>
          <w:rFonts w:cs="Arial"/>
          <w:b/>
          <w:szCs w:val="20"/>
        </w:rPr>
      </w:pPr>
      <w:r w:rsidRPr="00834843">
        <w:rPr>
          <w:rFonts w:cs="Arial"/>
          <w:b/>
          <w:szCs w:val="20"/>
        </w:rPr>
        <w:lastRenderedPageBreak/>
        <w:t xml:space="preserve">Graf </w:t>
      </w:r>
      <w:r w:rsidR="00834843">
        <w:rPr>
          <w:rFonts w:cs="Arial"/>
          <w:b/>
          <w:szCs w:val="20"/>
        </w:rPr>
        <w:t>3.2.5-1</w:t>
      </w:r>
      <w:r w:rsidRPr="00834843">
        <w:rPr>
          <w:rFonts w:cs="Arial"/>
          <w:b/>
          <w:szCs w:val="20"/>
        </w:rPr>
        <w:t>: Marketingová inovace podle typu, velik</w:t>
      </w:r>
      <w:r w:rsidR="007F5F9B">
        <w:rPr>
          <w:rFonts w:cs="Arial"/>
          <w:b/>
          <w:szCs w:val="20"/>
        </w:rPr>
        <w:t>osti a vlastnictví podniku; 2014–2016</w:t>
      </w:r>
    </w:p>
    <w:p w:rsidR="00052B2A" w:rsidRPr="00834843" w:rsidRDefault="00052B2A" w:rsidP="00E30CDC">
      <w:pPr>
        <w:spacing w:after="60" w:line="240" w:lineRule="auto"/>
        <w:ind w:left="1134" w:hanging="1134"/>
        <w:rPr>
          <w:rFonts w:cs="Arial"/>
          <w:b/>
          <w:szCs w:val="20"/>
        </w:rPr>
      </w:pPr>
      <w:r w:rsidRPr="00834843">
        <w:rPr>
          <w:rFonts w:cs="Arial"/>
          <w:b/>
          <w:szCs w:val="20"/>
        </w:rPr>
        <w:tab/>
        <w:t>(% z marketingově inovujících podniků</w:t>
      </w:r>
      <w:r w:rsidR="00BA437A">
        <w:rPr>
          <w:rFonts w:cs="Arial"/>
          <w:b/>
          <w:szCs w:val="20"/>
        </w:rPr>
        <w:t xml:space="preserve"> v dané skupině</w:t>
      </w:r>
      <w:r w:rsidRPr="00834843">
        <w:rPr>
          <w:rFonts w:cs="Arial"/>
          <w:b/>
          <w:szCs w:val="20"/>
        </w:rPr>
        <w:t>)</w:t>
      </w:r>
    </w:p>
    <w:p w:rsidR="00052B2A" w:rsidRDefault="00A35626" w:rsidP="00052B2A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63B0701E" wp14:editId="3AAC13E6">
            <wp:extent cx="5979030" cy="1917135"/>
            <wp:effectExtent l="0" t="0" r="3175" b="698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F2E16EF9-44F0-4789-B43A-69923F1B43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2B2A" w:rsidRPr="00E9276C" w:rsidRDefault="00F3235A" w:rsidP="00E9276C">
      <w:pPr>
        <w:spacing w:after="120"/>
        <w:jc w:val="both"/>
      </w:pPr>
      <w:r w:rsidRPr="00F3235A">
        <w:t xml:space="preserve">Ve všech odvětvích bylo pro marketingově inovující podniky nejdůležitější využití nových médií nebo technik pro propagaci. </w:t>
      </w:r>
      <w:r w:rsidR="00D44CF1">
        <w:t>Aktivněji</w:t>
      </w:r>
      <w:r w:rsidR="00C238D3">
        <w:t xml:space="preserve"> se tomuto typu inovace věnovaly podniky</w:t>
      </w:r>
      <w:r w:rsidR="00776859">
        <w:t xml:space="preserve"> v odvětvích služeb (7</w:t>
      </w:r>
      <w:r w:rsidR="006E09EC">
        <w:t>4</w:t>
      </w:r>
      <w:r w:rsidR="00776859">
        <w:t>,2 %) než</w:t>
      </w:r>
      <w:r w:rsidR="00C238D3">
        <w:t xml:space="preserve"> </w:t>
      </w:r>
      <w:r w:rsidR="00776859">
        <w:t>v průmyslových odvětvích, kde</w:t>
      </w:r>
      <w:r w:rsidR="00E9276C">
        <w:t xml:space="preserve"> podíl marketingově inovujících podniků s tímto typem inovace </w:t>
      </w:r>
      <w:r w:rsidR="00776859">
        <w:t xml:space="preserve">dosáhl </w:t>
      </w:r>
      <w:r w:rsidR="00E9276C">
        <w:t>6</w:t>
      </w:r>
      <w:r w:rsidR="006E09EC">
        <w:t>3</w:t>
      </w:r>
      <w:r w:rsidR="00E9276C">
        <w:t>,</w:t>
      </w:r>
      <w:r w:rsidR="006E09EC">
        <w:t>9</w:t>
      </w:r>
      <w:r w:rsidR="00E9276C">
        <w:t xml:space="preserve"> %.</w:t>
      </w:r>
    </w:p>
    <w:p w:rsidR="00052B2A" w:rsidRPr="009E0B7F" w:rsidRDefault="00052B2A" w:rsidP="00F3235A">
      <w:pPr>
        <w:spacing w:after="60"/>
        <w:ind w:left="1134" w:hanging="1134"/>
        <w:rPr>
          <w:rFonts w:cs="Arial"/>
          <w:b/>
          <w:szCs w:val="20"/>
        </w:rPr>
      </w:pPr>
      <w:r w:rsidRPr="009E0B7F">
        <w:rPr>
          <w:rFonts w:cs="Arial"/>
          <w:b/>
          <w:szCs w:val="20"/>
        </w:rPr>
        <w:t xml:space="preserve">Graf </w:t>
      </w:r>
      <w:r w:rsidR="009E0B7F">
        <w:rPr>
          <w:rFonts w:cs="Arial"/>
          <w:b/>
          <w:szCs w:val="20"/>
        </w:rPr>
        <w:t>3.2.5-2</w:t>
      </w:r>
      <w:r w:rsidRPr="009E0B7F">
        <w:rPr>
          <w:rFonts w:cs="Arial"/>
          <w:b/>
          <w:szCs w:val="20"/>
        </w:rPr>
        <w:t xml:space="preserve">: Marketingová inovace podle typu </w:t>
      </w:r>
      <w:r w:rsidR="009E0B7F">
        <w:rPr>
          <w:rFonts w:cs="Arial"/>
          <w:b/>
          <w:szCs w:val="20"/>
        </w:rPr>
        <w:t xml:space="preserve">ve vybraných sekcí CZ-NACE </w:t>
      </w:r>
      <w:r w:rsidRPr="009E0B7F">
        <w:rPr>
          <w:rFonts w:cs="Arial"/>
          <w:b/>
          <w:szCs w:val="20"/>
        </w:rPr>
        <w:t>(% z marketingově inovujících podniků</w:t>
      </w:r>
      <w:r w:rsidR="00BA437A">
        <w:rPr>
          <w:rFonts w:cs="Arial"/>
          <w:b/>
          <w:szCs w:val="20"/>
        </w:rPr>
        <w:t xml:space="preserve"> v dané skupině</w:t>
      </w:r>
      <w:r w:rsidRPr="009E0B7F">
        <w:rPr>
          <w:rFonts w:cs="Arial"/>
          <w:b/>
          <w:szCs w:val="20"/>
        </w:rPr>
        <w:t xml:space="preserve">); </w:t>
      </w:r>
      <w:r w:rsidR="007F5F9B">
        <w:rPr>
          <w:rFonts w:cs="Arial"/>
          <w:b/>
          <w:szCs w:val="20"/>
        </w:rPr>
        <w:t>2014–2016</w:t>
      </w:r>
    </w:p>
    <w:p w:rsidR="00052B2A" w:rsidRDefault="009D39E6" w:rsidP="00052B2A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6B2E88DF" wp14:editId="53B730EC">
            <wp:extent cx="6120130" cy="3086100"/>
            <wp:effectExtent l="0" t="0" r="0" b="0"/>
            <wp:docPr id="40" name="Graf 40">
              <a:extLst xmlns:a="http://schemas.openxmlformats.org/drawingml/2006/main">
                <a:ext uri="{FF2B5EF4-FFF2-40B4-BE49-F238E27FC236}">
                  <a16:creationId xmlns:a16="http://schemas.microsoft.com/office/drawing/2014/main" id="{298A8555-2D4B-4631-BF0A-C42A9AF1B1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76859" w:rsidRDefault="00776859" w:rsidP="00776859">
      <w:pPr>
        <w:spacing w:before="60" w:after="60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POZN.: </w:t>
      </w:r>
      <w:r w:rsidRPr="00210640">
        <w:rPr>
          <w:rFonts w:cs="Arial"/>
          <w:i/>
          <w:sz w:val="18"/>
        </w:rPr>
        <w:t xml:space="preserve">Kompletní přehled všech sledovaných sekcí </w:t>
      </w:r>
      <w:r>
        <w:rPr>
          <w:rFonts w:cs="Arial"/>
          <w:i/>
          <w:sz w:val="18"/>
        </w:rPr>
        <w:t>viz tabulka</w:t>
      </w:r>
      <w:r w:rsidRPr="00210640">
        <w:rPr>
          <w:rFonts w:cs="Arial"/>
          <w:i/>
          <w:sz w:val="18"/>
        </w:rPr>
        <w:t xml:space="preserve"> </w:t>
      </w:r>
      <w:r>
        <w:rPr>
          <w:rFonts w:cs="Arial"/>
          <w:i/>
          <w:sz w:val="18"/>
        </w:rPr>
        <w:t>2</w:t>
      </w:r>
      <w:r w:rsidR="009D39E6">
        <w:rPr>
          <w:rFonts w:cs="Arial"/>
          <w:i/>
          <w:sz w:val="18"/>
        </w:rPr>
        <w:t>2</w:t>
      </w:r>
      <w:r>
        <w:rPr>
          <w:rFonts w:cs="Arial"/>
          <w:i/>
          <w:sz w:val="18"/>
        </w:rPr>
        <w:t>A</w:t>
      </w:r>
      <w:r w:rsidRPr="00210640">
        <w:rPr>
          <w:rFonts w:cs="Arial"/>
          <w:i/>
          <w:sz w:val="18"/>
        </w:rPr>
        <w:t>.</w:t>
      </w:r>
    </w:p>
    <w:p w:rsidR="00F3235A" w:rsidRPr="005762E7" w:rsidRDefault="00F3235A" w:rsidP="00C919C4">
      <w:pPr>
        <w:spacing w:before="120" w:after="60"/>
        <w:jc w:val="both"/>
      </w:pPr>
      <w:r w:rsidRPr="005762E7">
        <w:t>Stejně ja</w:t>
      </w:r>
      <w:r w:rsidR="00222EDB">
        <w:t>ko v</w:t>
      </w:r>
      <w:r w:rsidRPr="005762E7">
        <w:t xml:space="preserve"> </w:t>
      </w:r>
      <w:r w:rsidR="00222EDB">
        <w:t>ostatních</w:t>
      </w:r>
      <w:r w:rsidRPr="005762E7">
        <w:t xml:space="preserve"> odvětví, tak u podniků ve zpracovatelském průmyslu nejvýznamnější marketingová inovace spočívala ve využití nových médií ne</w:t>
      </w:r>
      <w:r w:rsidR="00222EDB">
        <w:t>bo technik propagace výrobků (6</w:t>
      </w:r>
      <w:r w:rsidR="001817AB">
        <w:t>3,2</w:t>
      </w:r>
      <w:r w:rsidRPr="005762E7">
        <w:t> %).</w:t>
      </w:r>
      <w:r w:rsidR="00341ECF">
        <w:t xml:space="preserve"> Podíl marketingové inovace ve formě</w:t>
      </w:r>
      <w:r w:rsidRPr="005762E7">
        <w:t xml:space="preserve"> významné změny designu </w:t>
      </w:r>
      <w:r w:rsidR="00222EDB">
        <w:t xml:space="preserve">nebo balení dosáhl </w:t>
      </w:r>
      <w:r w:rsidR="001817AB">
        <w:t xml:space="preserve">rovných </w:t>
      </w:r>
      <w:r w:rsidR="00222EDB">
        <w:t>5</w:t>
      </w:r>
      <w:r w:rsidR="001817AB">
        <w:t>5</w:t>
      </w:r>
      <w:r w:rsidRPr="005762E7">
        <w:t xml:space="preserve"> %. Nejméně se podniky ve zpracovatelském průmyslu zaměřily v rámci marketingových inovací na využití nových </w:t>
      </w:r>
      <w:r w:rsidR="00222EDB">
        <w:t xml:space="preserve">metod </w:t>
      </w:r>
      <w:r w:rsidR="001817AB">
        <w:t>prodeje nebo umístění výrobků/služeb</w:t>
      </w:r>
      <w:r w:rsidR="00222EDB">
        <w:t xml:space="preserve"> (</w:t>
      </w:r>
      <w:r w:rsidR="001817AB">
        <w:t>25</w:t>
      </w:r>
      <w:r w:rsidR="00222EDB">
        <w:t>,</w:t>
      </w:r>
      <w:r w:rsidR="001817AB">
        <w:t>6</w:t>
      </w:r>
      <w:r w:rsidRPr="005762E7">
        <w:t> %).</w:t>
      </w:r>
    </w:p>
    <w:p w:rsidR="000B713C" w:rsidRDefault="004D2A08" w:rsidP="00C04563">
      <w:pPr>
        <w:spacing w:after="60"/>
        <w:jc w:val="both"/>
      </w:pPr>
      <w:r>
        <w:t>Na nové metody ocenění výrobků</w:t>
      </w:r>
      <w:r w:rsidR="00F3235A" w:rsidRPr="005762E7">
        <w:t xml:space="preserve"> a služeb se nejvíce soustředily podniky v</w:t>
      </w:r>
      <w:r w:rsidR="00222EDB">
        <w:t> peněžnictví a pojišťovnictví (</w:t>
      </w:r>
      <w:r w:rsidR="001817AB">
        <w:t>60,5</w:t>
      </w:r>
      <w:r w:rsidR="00C04563">
        <w:t xml:space="preserve"> %). </w:t>
      </w:r>
    </w:p>
    <w:p w:rsidR="000B713C" w:rsidRPr="0033205F" w:rsidRDefault="000B713C" w:rsidP="00C04563">
      <w:pPr>
        <w:pStyle w:val="Nadpis3"/>
        <w:spacing w:before="240"/>
        <w:rPr>
          <w:rStyle w:val="st"/>
        </w:rPr>
      </w:pPr>
      <w:r>
        <w:rPr>
          <w:rStyle w:val="st"/>
        </w:rPr>
        <w:t>3.2</w:t>
      </w:r>
      <w:r w:rsidRPr="0033205F">
        <w:rPr>
          <w:rStyle w:val="st"/>
        </w:rPr>
        <w:t>.</w:t>
      </w:r>
      <w:r>
        <w:rPr>
          <w:rStyle w:val="st"/>
        </w:rPr>
        <w:t>6</w:t>
      </w:r>
      <w:r w:rsidRPr="0033205F">
        <w:rPr>
          <w:rStyle w:val="st"/>
        </w:rPr>
        <w:t xml:space="preserve"> Podniky s</w:t>
      </w:r>
      <w:r>
        <w:rPr>
          <w:rStyle w:val="st"/>
        </w:rPr>
        <w:t> organizačními inovacemi</w:t>
      </w:r>
      <w:r w:rsidRPr="0033205F">
        <w:rPr>
          <w:rStyle w:val="st"/>
        </w:rPr>
        <w:t xml:space="preserve"> v letech 201</w:t>
      </w:r>
      <w:r w:rsidR="00986FC2">
        <w:rPr>
          <w:rStyle w:val="st"/>
        </w:rPr>
        <w:t>4</w:t>
      </w:r>
      <w:r w:rsidRPr="0033205F">
        <w:rPr>
          <w:rStyle w:val="st"/>
        </w:rPr>
        <w:t>–201</w:t>
      </w:r>
      <w:r w:rsidR="00986FC2">
        <w:rPr>
          <w:rStyle w:val="st"/>
        </w:rPr>
        <w:t>6</w:t>
      </w:r>
    </w:p>
    <w:p w:rsidR="00F4733D" w:rsidRDefault="004D2A08" w:rsidP="00F4733D">
      <w:pPr>
        <w:spacing w:after="60"/>
        <w:jc w:val="both"/>
      </w:pPr>
      <w:r>
        <w:t>V ČR v období 201</w:t>
      </w:r>
      <w:r w:rsidR="00986FC2">
        <w:t>4</w:t>
      </w:r>
      <w:r>
        <w:t>–201</w:t>
      </w:r>
      <w:r w:rsidR="00986FC2">
        <w:t>6</w:t>
      </w:r>
      <w:r w:rsidR="00F4733D" w:rsidRPr="00052B2A">
        <w:t xml:space="preserve"> </w:t>
      </w:r>
      <w:r w:rsidR="00F4733D">
        <w:t>inovovalo organizační metody 17,</w:t>
      </w:r>
      <w:r w:rsidR="00986FC2">
        <w:t>6</w:t>
      </w:r>
      <w:r w:rsidR="00F4733D">
        <w:t xml:space="preserve"> % podniků. U těch, které netechnicky inovovaly, </w:t>
      </w:r>
      <w:r w:rsidR="0010669F">
        <w:t>organizační</w:t>
      </w:r>
      <w:r w:rsidR="00F4733D">
        <w:t xml:space="preserve"> inovaci zavedlo </w:t>
      </w:r>
      <w:r w:rsidR="00986FC2">
        <w:t>rovných 54</w:t>
      </w:r>
      <w:r w:rsidR="00F4733D">
        <w:t xml:space="preserve"> % podniků. Je to méně než v případě marketingových inovací. </w:t>
      </w:r>
    </w:p>
    <w:p w:rsidR="008467F2" w:rsidRPr="002E738D" w:rsidRDefault="0010669F" w:rsidP="00184602">
      <w:pPr>
        <w:spacing w:after="60"/>
        <w:jc w:val="both"/>
      </w:pPr>
      <w:r>
        <w:lastRenderedPageBreak/>
        <w:t xml:space="preserve">Podniky se </w:t>
      </w:r>
      <w:r w:rsidR="008467F2" w:rsidRPr="002E738D">
        <w:t>v rámci svých organizačních inovací zaměřily nejvíce na nové metody organizace pracovních povinností a rozhodování. Podíl podniků s</w:t>
      </w:r>
      <w:r w:rsidR="00184602">
        <w:t xml:space="preserve"> tímto typem inovace dosáhl </w:t>
      </w:r>
      <w:r w:rsidR="00986FC2">
        <w:t>69,1</w:t>
      </w:r>
      <w:r w:rsidR="008467F2" w:rsidRPr="002E738D">
        <w:t> % všech podniků s organizační inovací. Nov</w:t>
      </w:r>
      <w:r w:rsidR="00184602">
        <w:t>é obchodní praktiky zavedlo 59,</w:t>
      </w:r>
      <w:r w:rsidR="00986FC2">
        <w:t>6</w:t>
      </w:r>
      <w:r w:rsidR="008467F2" w:rsidRPr="002E738D">
        <w:t xml:space="preserve"> % organizačně inovujících podniků. Nejméně podniky zavedly nové metody organizace </w:t>
      </w:r>
      <w:r w:rsidR="004D2A08">
        <w:t>vnějších vztahů</w:t>
      </w:r>
      <w:r w:rsidR="00184602">
        <w:t xml:space="preserve"> (3</w:t>
      </w:r>
      <w:r w:rsidR="00986FC2">
        <w:t>7,9</w:t>
      </w:r>
      <w:r w:rsidR="008467F2" w:rsidRPr="002E738D">
        <w:t xml:space="preserve"> %). </w:t>
      </w:r>
    </w:p>
    <w:p w:rsidR="008467F2" w:rsidRPr="00184602" w:rsidRDefault="008467F2" w:rsidP="00184602">
      <w:pPr>
        <w:spacing w:after="120"/>
        <w:jc w:val="both"/>
      </w:pPr>
      <w:r w:rsidRPr="00647654">
        <w:t>Pořadí těchto</w:t>
      </w:r>
      <w:r w:rsidRPr="002E738D">
        <w:t xml:space="preserve"> organizačních inovací je stejné u všech velikostních skupin podniků, stejně tak i u domácích podniků a zahraničních afilací. </w:t>
      </w:r>
      <w:r w:rsidR="00F8074E">
        <w:t>Malé podniky se více snažily zavést nové metody organizace vnějších vztahů (3</w:t>
      </w:r>
      <w:r w:rsidR="00647654">
        <w:t>9</w:t>
      </w:r>
      <w:r w:rsidR="00F8074E">
        <w:t>,</w:t>
      </w:r>
      <w:r w:rsidR="00647654">
        <w:t>5</w:t>
      </w:r>
      <w:r w:rsidR="00F8074E">
        <w:t xml:space="preserve"> %) než podniky v ostatních velikostních skupinách, u nichž byl podíl téměř totožný na úrovni </w:t>
      </w:r>
      <w:r w:rsidR="00647654">
        <w:t>3</w:t>
      </w:r>
      <w:r w:rsidR="00F8074E">
        <w:t>7 %.</w:t>
      </w:r>
    </w:p>
    <w:p w:rsidR="008467F2" w:rsidRPr="002E738D" w:rsidRDefault="002E738D" w:rsidP="001B4EE4">
      <w:pPr>
        <w:spacing w:after="60" w:line="240" w:lineRule="auto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3.2.6</w:t>
      </w:r>
      <w:r w:rsidR="008467F2" w:rsidRPr="002E738D">
        <w:rPr>
          <w:rFonts w:cs="Arial"/>
          <w:b/>
          <w:szCs w:val="20"/>
        </w:rPr>
        <w:t>-1: Organizační inovace podle typu, velik</w:t>
      </w:r>
      <w:r>
        <w:rPr>
          <w:rFonts w:cs="Arial"/>
          <w:b/>
          <w:szCs w:val="20"/>
        </w:rPr>
        <w:t>osti a vlastnictví podniku; 201</w:t>
      </w:r>
      <w:r w:rsidR="007F334C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–201</w:t>
      </w:r>
      <w:r w:rsidR="007F334C">
        <w:rPr>
          <w:rFonts w:cs="Arial"/>
          <w:b/>
          <w:szCs w:val="20"/>
        </w:rPr>
        <w:t>6</w:t>
      </w:r>
    </w:p>
    <w:p w:rsidR="008467F2" w:rsidRPr="002E738D" w:rsidRDefault="008467F2" w:rsidP="001B4EE4">
      <w:pPr>
        <w:spacing w:after="60" w:line="240" w:lineRule="auto"/>
        <w:ind w:left="1134" w:hanging="1134"/>
        <w:rPr>
          <w:rFonts w:cs="Arial"/>
          <w:b/>
          <w:szCs w:val="20"/>
        </w:rPr>
      </w:pPr>
      <w:r w:rsidRPr="002E738D">
        <w:rPr>
          <w:rFonts w:cs="Arial"/>
          <w:b/>
          <w:szCs w:val="20"/>
        </w:rPr>
        <w:tab/>
        <w:t>(% z organizačně inovujících podniků</w:t>
      </w:r>
      <w:r w:rsidR="00BA437A">
        <w:rPr>
          <w:rFonts w:cs="Arial"/>
          <w:b/>
          <w:szCs w:val="20"/>
        </w:rPr>
        <w:t xml:space="preserve"> v dané skupině</w:t>
      </w:r>
      <w:r w:rsidRPr="002E738D">
        <w:rPr>
          <w:rFonts w:cs="Arial"/>
          <w:b/>
          <w:szCs w:val="20"/>
        </w:rPr>
        <w:t>)</w:t>
      </w:r>
    </w:p>
    <w:p w:rsidR="008467F2" w:rsidRDefault="004E0ABB" w:rsidP="008467F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7B62A0E3" wp14:editId="03CD639E">
            <wp:extent cx="6120000" cy="1980000"/>
            <wp:effectExtent l="0" t="0" r="0" b="1270"/>
            <wp:docPr id="41" name="Graf 41">
              <a:extLst xmlns:a="http://schemas.openxmlformats.org/drawingml/2006/main">
                <a:ext uri="{FF2B5EF4-FFF2-40B4-BE49-F238E27FC236}">
                  <a16:creationId xmlns:a16="http://schemas.microsoft.com/office/drawing/2014/main" id="{DFDADAFE-92B6-4417-81CA-A4CF24456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8647B" w:rsidRPr="0068647B" w:rsidRDefault="0068647B" w:rsidP="0068647B">
      <w:pPr>
        <w:spacing w:after="60"/>
        <w:jc w:val="both"/>
      </w:pPr>
      <w:r w:rsidRPr="00997901">
        <w:t>Ve všech sledovaných</w:t>
      </w:r>
      <w:r w:rsidRPr="0068647B">
        <w:t xml:space="preserve"> odvětvích se organizačně inovující podniky soustředily zejména na zavedení nových metod organizace pracovních povinností a rozhodování. Nejvíce tento typ organizační inovace zavedly podniky v odvětví pe</w:t>
      </w:r>
      <w:r w:rsidR="00FA3174">
        <w:t>něžnictví a pojišťovnictví (</w:t>
      </w:r>
      <w:r w:rsidR="003E659E">
        <w:t>82</w:t>
      </w:r>
      <w:r w:rsidR="00FA3174">
        <w:t>,</w:t>
      </w:r>
      <w:r w:rsidR="003E659E">
        <w:t>3</w:t>
      </w:r>
      <w:r w:rsidRPr="0068647B">
        <w:t xml:space="preserve"> %) a v informačních a komunikačních činnostech (</w:t>
      </w:r>
      <w:r w:rsidR="003E659E">
        <w:t>79</w:t>
      </w:r>
      <w:r w:rsidR="00FA3174">
        <w:t>,</w:t>
      </w:r>
      <w:r w:rsidR="003E659E">
        <w:t>6</w:t>
      </w:r>
      <w:r w:rsidR="00FA3174">
        <w:t> </w:t>
      </w:r>
      <w:r w:rsidRPr="0068647B">
        <w:t xml:space="preserve">%). </w:t>
      </w:r>
      <w:r w:rsidR="00FA3174">
        <w:t>Tento typ organizační inovace zavádějí spíše podniky v odvětvích služeb (</w:t>
      </w:r>
      <w:r w:rsidR="003E659E">
        <w:t>70,7</w:t>
      </w:r>
      <w:r w:rsidR="00FA3174">
        <w:t> %) než podniky v průmyslových odvětvích (</w:t>
      </w:r>
      <w:r w:rsidR="003E659E">
        <w:t>67,8</w:t>
      </w:r>
      <w:r w:rsidR="00FA3174">
        <w:t xml:space="preserve"> %). </w:t>
      </w:r>
    </w:p>
    <w:p w:rsidR="003B3FE2" w:rsidRDefault="00C61AF5" w:rsidP="00C61AF5">
      <w:pPr>
        <w:spacing w:after="60"/>
        <w:jc w:val="both"/>
      </w:pPr>
      <w:r>
        <w:t>Z</w:t>
      </w:r>
      <w:r w:rsidR="0068647B" w:rsidRPr="0068647B">
        <w:t>av</w:t>
      </w:r>
      <w:r>
        <w:t>á</w:t>
      </w:r>
      <w:r w:rsidR="0068647B" w:rsidRPr="0068647B">
        <w:t>d</w:t>
      </w:r>
      <w:r>
        <w:t>ě</w:t>
      </w:r>
      <w:r w:rsidR="0068647B" w:rsidRPr="0068647B">
        <w:t xml:space="preserve">ní nových obchodních </w:t>
      </w:r>
      <w:r w:rsidR="009100D5">
        <w:t xml:space="preserve">praktik </w:t>
      </w:r>
      <w:r>
        <w:t>se věnovaly spíše</w:t>
      </w:r>
      <w:r w:rsidR="009100D5">
        <w:t xml:space="preserve"> podnik</w:t>
      </w:r>
      <w:r>
        <w:t>y</w:t>
      </w:r>
      <w:r w:rsidR="009100D5">
        <w:t xml:space="preserve"> v</w:t>
      </w:r>
      <w:r>
        <w:t> průmyslových odvětvích</w:t>
      </w:r>
      <w:r w:rsidR="009100D5">
        <w:t xml:space="preserve"> (</w:t>
      </w:r>
      <w:r>
        <w:t>66,8</w:t>
      </w:r>
      <w:r w:rsidR="009100D5">
        <w:t xml:space="preserve"> %) </w:t>
      </w:r>
      <w:r>
        <w:t xml:space="preserve">než ve službách (50,5 %). </w:t>
      </w:r>
    </w:p>
    <w:p w:rsidR="008467F2" w:rsidRPr="0068647B" w:rsidRDefault="0068647B" w:rsidP="00BB1DB3">
      <w:pPr>
        <w:spacing w:after="120"/>
        <w:jc w:val="both"/>
      </w:pPr>
      <w:r w:rsidRPr="0068647B">
        <w:t>Ve všech odvětvích bylo zavedení nových metod organizace vnějších vztahů mezi organizačně inovujícími podniky až poslední v řadě</w:t>
      </w:r>
      <w:r w:rsidR="009D4AED">
        <w:rPr>
          <w:rStyle w:val="Znakapoznpodarou"/>
        </w:rPr>
        <w:footnoteReference w:id="13"/>
      </w:r>
      <w:r w:rsidRPr="0068647B">
        <w:t>.</w:t>
      </w:r>
    </w:p>
    <w:p w:rsidR="008467F2" w:rsidRPr="00F8074E" w:rsidRDefault="00F8074E" w:rsidP="00F8074E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3.2.6</w:t>
      </w:r>
      <w:r w:rsidR="008467F2" w:rsidRPr="00F8074E">
        <w:rPr>
          <w:rFonts w:cs="Arial"/>
          <w:b/>
          <w:szCs w:val="20"/>
        </w:rPr>
        <w:t xml:space="preserve">-2: Organizační inovace podle typu </w:t>
      </w:r>
      <w:r w:rsidR="009D49EB">
        <w:rPr>
          <w:rFonts w:cs="Arial"/>
          <w:b/>
          <w:szCs w:val="20"/>
        </w:rPr>
        <w:t xml:space="preserve">ve vybraných sekcí CZ-NACE </w:t>
      </w:r>
      <w:r w:rsidR="008467F2" w:rsidRPr="00F8074E">
        <w:rPr>
          <w:rFonts w:cs="Arial"/>
          <w:b/>
          <w:szCs w:val="20"/>
        </w:rPr>
        <w:t>(% z organi</w:t>
      </w:r>
      <w:r>
        <w:rPr>
          <w:rFonts w:cs="Arial"/>
          <w:b/>
          <w:szCs w:val="20"/>
        </w:rPr>
        <w:t>začně inovujících podniků</w:t>
      </w:r>
      <w:r w:rsidR="00BA437A">
        <w:rPr>
          <w:rFonts w:cs="Arial"/>
          <w:b/>
          <w:szCs w:val="20"/>
        </w:rPr>
        <w:t xml:space="preserve"> v dané skupině</w:t>
      </w:r>
      <w:r>
        <w:rPr>
          <w:rFonts w:cs="Arial"/>
          <w:b/>
          <w:szCs w:val="20"/>
        </w:rPr>
        <w:t>); 201</w:t>
      </w:r>
      <w:r w:rsidR="00106FEF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–201</w:t>
      </w:r>
      <w:r w:rsidR="00106FEF">
        <w:rPr>
          <w:rFonts w:cs="Arial"/>
          <w:b/>
          <w:szCs w:val="20"/>
        </w:rPr>
        <w:t>6</w:t>
      </w:r>
    </w:p>
    <w:p w:rsidR="008467F2" w:rsidRDefault="00EC63F0" w:rsidP="008467F2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005AA89E" wp14:editId="6B6DC473">
            <wp:extent cx="6120130" cy="27000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36F197B2-04BE-4813-AD78-3B6DB48A28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467F2" w:rsidRPr="00EE4A4F" w:rsidRDefault="008467F2" w:rsidP="008467F2">
      <w:pPr>
        <w:rPr>
          <w:rFonts w:ascii="Calibri" w:hAnsi="Calibri"/>
        </w:rPr>
      </w:pPr>
      <w:r w:rsidRPr="00EE4A4F">
        <w:rPr>
          <w:rFonts w:ascii="Calibri" w:hAnsi="Calibri"/>
        </w:rPr>
        <w:t xml:space="preserve"> </w:t>
      </w:r>
    </w:p>
    <w:p w:rsidR="00B36B2F" w:rsidRPr="0033205F" w:rsidRDefault="00B36B2F" w:rsidP="00B36B2F">
      <w:pPr>
        <w:pStyle w:val="Nadpis3"/>
        <w:rPr>
          <w:rStyle w:val="st"/>
        </w:rPr>
      </w:pPr>
      <w:r>
        <w:rPr>
          <w:rStyle w:val="st"/>
        </w:rPr>
        <w:lastRenderedPageBreak/>
        <w:t>3.2</w:t>
      </w:r>
      <w:r w:rsidRPr="0033205F">
        <w:rPr>
          <w:rStyle w:val="st"/>
        </w:rPr>
        <w:t>.</w:t>
      </w:r>
      <w:r>
        <w:rPr>
          <w:rStyle w:val="st"/>
        </w:rPr>
        <w:t>7</w:t>
      </w:r>
      <w:r w:rsidRPr="0033205F">
        <w:rPr>
          <w:rStyle w:val="st"/>
        </w:rPr>
        <w:t xml:space="preserve"> </w:t>
      </w:r>
      <w:r>
        <w:rPr>
          <w:rStyle w:val="st"/>
        </w:rPr>
        <w:t xml:space="preserve">Náklady na technické inovace v roce </w:t>
      </w:r>
      <w:r w:rsidRPr="0033205F">
        <w:rPr>
          <w:rStyle w:val="st"/>
        </w:rPr>
        <w:t>201</w:t>
      </w:r>
      <w:r w:rsidR="00C61AF5">
        <w:rPr>
          <w:rStyle w:val="st"/>
        </w:rPr>
        <w:t>6</w:t>
      </w:r>
    </w:p>
    <w:p w:rsidR="00535D2B" w:rsidRDefault="00535D2B" w:rsidP="00535D2B">
      <w:pPr>
        <w:spacing w:after="60"/>
        <w:jc w:val="both"/>
      </w:pPr>
      <w:r w:rsidRPr="00535D2B">
        <w:t>Celkové náklady na inovační aktivity</w:t>
      </w:r>
      <w:r w:rsidR="003B4110">
        <w:t>, které souvisely</w:t>
      </w:r>
      <w:r w:rsidRPr="00535D2B">
        <w:t xml:space="preserve"> s technickými inovacemi</w:t>
      </w:r>
      <w:r w:rsidR="003B4110">
        <w:t>,</w:t>
      </w:r>
      <w:r w:rsidRPr="00535D2B">
        <w:t xml:space="preserve"> v </w:t>
      </w:r>
      <w:r w:rsidR="008723CF">
        <w:t>roce 201</w:t>
      </w:r>
      <w:r w:rsidR="00517199">
        <w:t>6</w:t>
      </w:r>
      <w:r w:rsidRPr="00535D2B">
        <w:t xml:space="preserve"> dosáhly </w:t>
      </w:r>
      <w:r w:rsidR="00517199">
        <w:t xml:space="preserve">rovných </w:t>
      </w:r>
      <w:r w:rsidR="00210E65">
        <w:t>1</w:t>
      </w:r>
      <w:r w:rsidR="00517199">
        <w:t>20</w:t>
      </w:r>
      <w:r w:rsidRPr="00535D2B">
        <w:t> </w:t>
      </w:r>
      <w:r w:rsidR="003B4110">
        <w:t>mld. Kč. Více než dvě třetiny</w:t>
      </w:r>
      <w:r w:rsidR="004D2A08">
        <w:t xml:space="preserve"> této částky</w:t>
      </w:r>
      <w:r w:rsidRPr="00535D2B">
        <w:t xml:space="preserve"> </w:t>
      </w:r>
      <w:r w:rsidR="002822A5">
        <w:t>bylo investováno velkými</w:t>
      </w:r>
      <w:r w:rsidR="003B4110">
        <w:t xml:space="preserve"> podniky (</w:t>
      </w:r>
      <w:r w:rsidRPr="00535D2B">
        <w:t xml:space="preserve">konkrétně </w:t>
      </w:r>
      <w:r w:rsidR="00F46BFB">
        <w:t>78,7</w:t>
      </w:r>
      <w:r w:rsidR="002822A5">
        <w:t> </w:t>
      </w:r>
      <w:r w:rsidR="003B4110">
        <w:t>mld. </w:t>
      </w:r>
      <w:r w:rsidRPr="00535D2B">
        <w:t>Kč</w:t>
      </w:r>
      <w:r w:rsidR="003B4110">
        <w:t>)</w:t>
      </w:r>
      <w:r w:rsidRPr="00535D2B">
        <w:t xml:space="preserve">. Střední podniky vynaložily na své technické inovace </w:t>
      </w:r>
      <w:r w:rsidR="00253360">
        <w:t>30</w:t>
      </w:r>
      <w:r w:rsidR="00210E65">
        <w:t>,2</w:t>
      </w:r>
      <w:r w:rsidRPr="00535D2B">
        <w:t> mld. Kč (2</w:t>
      </w:r>
      <w:r w:rsidR="00F46BFB">
        <w:t>0,8</w:t>
      </w:r>
      <w:r w:rsidRPr="00535D2B">
        <w:t xml:space="preserve"> %</w:t>
      </w:r>
      <w:r w:rsidR="004D2A08">
        <w:t xml:space="preserve"> z celkových nákladů na technické inovace</w:t>
      </w:r>
      <w:r w:rsidRPr="00535D2B">
        <w:t>). Malé podniky vy</w:t>
      </w:r>
      <w:r w:rsidR="00210E65">
        <w:t>daly na technické inovace 1</w:t>
      </w:r>
      <w:r w:rsidR="00F46BFB">
        <w:t>6,5</w:t>
      </w:r>
      <w:r w:rsidRPr="00535D2B">
        <w:t> mld. Kč</w:t>
      </w:r>
      <w:r w:rsidR="00253360">
        <w:t>, což odpovídá podílu 1</w:t>
      </w:r>
      <w:r w:rsidR="00F46BFB">
        <w:t>3</w:t>
      </w:r>
      <w:r w:rsidR="00253360">
        <w:t>,</w:t>
      </w:r>
      <w:r w:rsidR="00F46BFB">
        <w:t>7</w:t>
      </w:r>
      <w:r w:rsidRPr="00535D2B">
        <w:t> %.</w:t>
      </w:r>
      <w:r w:rsidR="00253360">
        <w:t xml:space="preserve"> </w:t>
      </w:r>
      <w:r w:rsidRPr="00535D2B">
        <w:t xml:space="preserve">Technicky inovující zahraniční afilace investovaly do zavádění inovací </w:t>
      </w:r>
      <w:r w:rsidR="004D2A08">
        <w:t>téměř dva</w:t>
      </w:r>
      <w:r w:rsidR="00253360">
        <w:t xml:space="preserve">krát </w:t>
      </w:r>
      <w:r w:rsidRPr="00535D2B">
        <w:t>více (</w:t>
      </w:r>
      <w:r w:rsidR="00F46BFB">
        <w:t>71,6</w:t>
      </w:r>
      <w:r w:rsidRPr="00535D2B">
        <w:t> mld. Kč) než domácí podniky</w:t>
      </w:r>
      <w:r w:rsidR="00210E65">
        <w:t xml:space="preserve"> (4</w:t>
      </w:r>
      <w:r w:rsidR="00F46BFB">
        <w:t>8,7</w:t>
      </w:r>
      <w:r w:rsidRPr="00535D2B">
        <w:t xml:space="preserve"> mld. Kč).</w:t>
      </w:r>
    </w:p>
    <w:p w:rsidR="00361836" w:rsidRPr="00535D2B" w:rsidRDefault="00361836" w:rsidP="001A7DC2">
      <w:pPr>
        <w:spacing w:after="120"/>
        <w:jc w:val="both"/>
      </w:pPr>
      <w:r>
        <w:t>Investice do výzkumu a vývoje souvisejícího s technickými inovacemi, jak prováděného uvnitř podniku</w:t>
      </w:r>
      <w:r w:rsidR="00E513B0">
        <w:t>,</w:t>
      </w:r>
      <w:r>
        <w:t xml:space="preserve"> tak nakoupeného od externích dodavatelů, dosáhly v roce 201</w:t>
      </w:r>
      <w:r w:rsidR="006D6684">
        <w:t>6</w:t>
      </w:r>
      <w:r>
        <w:t xml:space="preserve"> částky 5</w:t>
      </w:r>
      <w:r w:rsidR="00E513B0">
        <w:t>4</w:t>
      </w:r>
      <w:r w:rsidR="004D2A08">
        <w:t>,5</w:t>
      </w:r>
      <w:r>
        <w:t xml:space="preserve"> mld. Kč, což představuje podíl 4</w:t>
      </w:r>
      <w:r w:rsidR="00E513B0">
        <w:t>5,3</w:t>
      </w:r>
      <w:r>
        <w:t xml:space="preserve"> % celkových nákladů na technické inovace.  </w:t>
      </w:r>
    </w:p>
    <w:p w:rsidR="00535D2B" w:rsidRPr="00535D2B" w:rsidRDefault="00535D2B" w:rsidP="00535D2B">
      <w:pPr>
        <w:spacing w:after="60"/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3.2.7</w:t>
      </w:r>
      <w:r w:rsidRPr="00535D2B">
        <w:rPr>
          <w:rFonts w:cs="Arial"/>
          <w:b/>
          <w:szCs w:val="20"/>
        </w:rPr>
        <w:t xml:space="preserve">-1: Náklady na technické inovace </w:t>
      </w:r>
      <w:r w:rsidR="00EB4980">
        <w:rPr>
          <w:rFonts w:cs="Arial"/>
          <w:b/>
          <w:szCs w:val="20"/>
        </w:rPr>
        <w:t>podle</w:t>
      </w:r>
      <w:r>
        <w:rPr>
          <w:rFonts w:cs="Arial"/>
          <w:b/>
          <w:szCs w:val="20"/>
        </w:rPr>
        <w:t xml:space="preserve"> </w:t>
      </w:r>
      <w:r w:rsidRPr="00535D2B">
        <w:rPr>
          <w:rFonts w:cs="Arial"/>
          <w:b/>
          <w:szCs w:val="20"/>
        </w:rPr>
        <w:t>velikosti a vlastnictví podniku</w:t>
      </w:r>
      <w:r w:rsidR="00EB4980">
        <w:rPr>
          <w:rFonts w:cs="Arial"/>
          <w:b/>
          <w:szCs w:val="20"/>
        </w:rPr>
        <w:t xml:space="preserve"> v mld. Kč</w:t>
      </w:r>
      <w:r w:rsidRPr="00535D2B">
        <w:rPr>
          <w:rFonts w:cs="Arial"/>
          <w:b/>
          <w:szCs w:val="20"/>
        </w:rPr>
        <w:t xml:space="preserve">; </w:t>
      </w:r>
      <w:r>
        <w:rPr>
          <w:rFonts w:cs="Arial"/>
          <w:b/>
          <w:szCs w:val="20"/>
        </w:rPr>
        <w:t>201</w:t>
      </w:r>
      <w:r w:rsidR="00E513B0">
        <w:rPr>
          <w:rFonts w:cs="Arial"/>
          <w:b/>
          <w:szCs w:val="20"/>
        </w:rPr>
        <w:t>6</w:t>
      </w:r>
    </w:p>
    <w:p w:rsidR="00535D2B" w:rsidRPr="00991AFC" w:rsidRDefault="0074547C" w:rsidP="00535D2B">
      <w:pPr>
        <w:ind w:left="851" w:hanging="851"/>
        <w:rPr>
          <w:rFonts w:ascii="Calibri" w:hAnsi="Calibri"/>
          <w:b/>
          <w:sz w:val="18"/>
        </w:rPr>
      </w:pPr>
      <w:r>
        <w:rPr>
          <w:noProof/>
        </w:rPr>
        <w:drawing>
          <wp:inline distT="0" distB="0" distL="0" distR="0" wp14:anchorId="4BBC33C0" wp14:editId="1A13D9E1">
            <wp:extent cx="5967600" cy="1737135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5FCB25A-6C25-4C42-9506-A2C3AA9B37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35D2B" w:rsidRPr="001A7DC2" w:rsidRDefault="00535D2B" w:rsidP="003951A0">
      <w:pPr>
        <w:spacing w:after="120"/>
        <w:jc w:val="both"/>
      </w:pPr>
      <w:r w:rsidRPr="001A7DC2">
        <w:t xml:space="preserve">Finanční náklady na technické inovace se zjišťují u pěti hlavních </w:t>
      </w:r>
      <w:r w:rsidR="00CE68EA">
        <w:t xml:space="preserve">inovačních </w:t>
      </w:r>
      <w:r w:rsidRPr="001A7DC2">
        <w:t>činností, které jsou pro zavádění technických inovací nejpodstatnější. V rámci svých nákladů na technické inovace podniky dlouhodobě nejvíce investují do pořízení nových strojů, zařízení</w:t>
      </w:r>
      <w:r w:rsidR="00CE68EA">
        <w:t xml:space="preserve">, </w:t>
      </w:r>
      <w:r w:rsidR="00562058">
        <w:t>softwaru</w:t>
      </w:r>
      <w:r w:rsidR="00CE68EA">
        <w:t xml:space="preserve"> a budov</w:t>
      </w:r>
      <w:r w:rsidR="00562058">
        <w:t>. V roce 201</w:t>
      </w:r>
      <w:r w:rsidR="00D92D6A">
        <w:t>6</w:t>
      </w:r>
      <w:r w:rsidRPr="001A7DC2">
        <w:t xml:space="preserve"> </w:t>
      </w:r>
      <w:r w:rsidR="00562058">
        <w:t xml:space="preserve">bylo na tuto položku vydáno </w:t>
      </w:r>
      <w:r w:rsidR="00D92D6A">
        <w:t>52,6</w:t>
      </w:r>
      <w:r w:rsidRPr="001A7DC2">
        <w:t xml:space="preserve"> m</w:t>
      </w:r>
      <w:r w:rsidR="00562058">
        <w:t>ld. Kč, což odpovídá podílu 4</w:t>
      </w:r>
      <w:r w:rsidR="00D92D6A">
        <w:t>3,8</w:t>
      </w:r>
      <w:r w:rsidRPr="001A7DC2">
        <w:t> % celkových nákladů</w:t>
      </w:r>
      <w:r w:rsidR="00CE68EA">
        <w:t xml:space="preserve"> na technické inovace</w:t>
      </w:r>
      <w:r w:rsidRPr="001A7DC2">
        <w:t xml:space="preserve">. Druhou nejvýznamnější nákladovou položkou jsou výdaje na </w:t>
      </w:r>
      <w:r w:rsidR="00562058">
        <w:t>vnitropodnikový VaV. V roce 201</w:t>
      </w:r>
      <w:r w:rsidR="00D92D6A">
        <w:t>6</w:t>
      </w:r>
      <w:r w:rsidRPr="001A7DC2">
        <w:t xml:space="preserve"> podniky vynaložily</w:t>
      </w:r>
      <w:r w:rsidR="00CE68EA">
        <w:t xml:space="preserve"> na provádění VaV v rámci</w:t>
      </w:r>
      <w:r w:rsidRPr="001A7DC2">
        <w:t xml:space="preserve"> technických inovací</w:t>
      </w:r>
      <w:r w:rsidR="00562058">
        <w:t xml:space="preserve"> </w:t>
      </w:r>
      <w:r w:rsidR="00D92D6A">
        <w:t>34,9</w:t>
      </w:r>
      <w:r w:rsidR="00CE68EA">
        <w:t> </w:t>
      </w:r>
      <w:r w:rsidR="00562058">
        <w:t>mld. Kč (2</w:t>
      </w:r>
      <w:r w:rsidR="00D92D6A">
        <w:t>9</w:t>
      </w:r>
      <w:r w:rsidRPr="001A7DC2">
        <w:t> % z celkových nákladů).</w:t>
      </w:r>
      <w:r w:rsidR="00A31C0B">
        <w:t xml:space="preserve"> Firmy také nakoupily služby VaV v hodnotě </w:t>
      </w:r>
      <w:r w:rsidR="00D92D6A">
        <w:t>19,6</w:t>
      </w:r>
      <w:r w:rsidR="00A31C0B">
        <w:t xml:space="preserve"> mld. Kč. Za dalších </w:t>
      </w:r>
      <w:r w:rsidR="00D92D6A">
        <w:t>6,3</w:t>
      </w:r>
      <w:r w:rsidR="00A31C0B">
        <w:t xml:space="preserve"> mld. Kč pořídily externí znalosti</w:t>
      </w:r>
      <w:r w:rsidR="00A31C0B">
        <w:rPr>
          <w:rStyle w:val="Znakapoznpodarou"/>
        </w:rPr>
        <w:footnoteReference w:id="14"/>
      </w:r>
      <w:r w:rsidR="00A31C0B">
        <w:t xml:space="preserve">. </w:t>
      </w:r>
      <w:r w:rsidRPr="001A7DC2">
        <w:t xml:space="preserve">Na ostatní náklady související s technickými </w:t>
      </w:r>
      <w:r w:rsidR="00A31C0B">
        <w:t>inovacemi podniky vynaložily 6,</w:t>
      </w:r>
      <w:r w:rsidR="00D92D6A">
        <w:t>8</w:t>
      </w:r>
      <w:r w:rsidRPr="001A7DC2">
        <w:t xml:space="preserve"> mld. Kč.</w:t>
      </w:r>
      <w:r w:rsidR="00033BC0">
        <w:t xml:space="preserve"> Do tzv. znalostí báze</w:t>
      </w:r>
      <w:r w:rsidR="00D92D6A">
        <w:rPr>
          <w:rStyle w:val="Znakapoznpodarou"/>
        </w:rPr>
        <w:footnoteReference w:id="15"/>
      </w:r>
      <w:r w:rsidR="00033BC0">
        <w:t xml:space="preserve"> nákladů na technické inovace podniky v roce 201</w:t>
      </w:r>
      <w:r w:rsidR="00D92D6A">
        <w:t>6</w:t>
      </w:r>
      <w:r w:rsidR="00033BC0">
        <w:t xml:space="preserve"> investovaly rovných </w:t>
      </w:r>
      <w:r w:rsidR="00E100A3">
        <w:t>60,8</w:t>
      </w:r>
      <w:r w:rsidR="00033BC0">
        <w:t xml:space="preserve"> mld. </w:t>
      </w:r>
      <w:r w:rsidR="002D3AE2">
        <w:t xml:space="preserve">Kč, co představuje </w:t>
      </w:r>
      <w:r w:rsidR="00E100A3">
        <w:t>50,6</w:t>
      </w:r>
      <w:r w:rsidR="002D3AE2">
        <w:t xml:space="preserve"> % celkových nákladů.</w:t>
      </w:r>
      <w:r w:rsidRPr="001A7DC2">
        <w:t xml:space="preserve">   </w:t>
      </w:r>
    </w:p>
    <w:p w:rsidR="00535D2B" w:rsidRPr="00EB4980" w:rsidRDefault="00535D2B" w:rsidP="003951A0">
      <w:pPr>
        <w:spacing w:after="60"/>
        <w:rPr>
          <w:rFonts w:cs="Arial"/>
          <w:b/>
          <w:szCs w:val="20"/>
        </w:rPr>
      </w:pPr>
      <w:r w:rsidRPr="00EB4980">
        <w:rPr>
          <w:rFonts w:cs="Arial"/>
          <w:b/>
          <w:szCs w:val="20"/>
        </w:rPr>
        <w:t xml:space="preserve">Graf </w:t>
      </w:r>
      <w:r w:rsidR="00EB4980">
        <w:rPr>
          <w:rFonts w:cs="Arial"/>
          <w:b/>
          <w:szCs w:val="20"/>
        </w:rPr>
        <w:t>3.2.7-2</w:t>
      </w:r>
      <w:r w:rsidRPr="00EB4980">
        <w:rPr>
          <w:rFonts w:cs="Arial"/>
          <w:b/>
          <w:szCs w:val="20"/>
        </w:rPr>
        <w:t>: Náklady na technické inovace podle typu nákladů</w:t>
      </w:r>
      <w:r w:rsidR="00EB4980">
        <w:rPr>
          <w:rFonts w:cs="Arial"/>
          <w:b/>
          <w:szCs w:val="20"/>
        </w:rPr>
        <w:t xml:space="preserve"> v mld. Kč; 201</w:t>
      </w:r>
      <w:r w:rsidR="00B747C8">
        <w:rPr>
          <w:rFonts w:cs="Arial"/>
          <w:b/>
          <w:szCs w:val="20"/>
        </w:rPr>
        <w:t>6</w:t>
      </w:r>
    </w:p>
    <w:p w:rsidR="00535D2B" w:rsidRDefault="0074547C" w:rsidP="00535D2B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433F5923" wp14:editId="167D8BDE">
            <wp:extent cx="5969505" cy="1737135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7F8D46BC-617C-46F1-8BB9-90B4405D78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31E16" w:rsidRDefault="00535D2B" w:rsidP="003951A0">
      <w:pPr>
        <w:spacing w:after="60"/>
        <w:jc w:val="both"/>
      </w:pPr>
      <w:r w:rsidRPr="003951A0">
        <w:t>Převážná část nákladů na te</w:t>
      </w:r>
      <w:r w:rsidR="003A51EA">
        <w:t xml:space="preserve">chnické inovace (částka </w:t>
      </w:r>
      <w:r w:rsidR="00846D3D">
        <w:t>91</w:t>
      </w:r>
      <w:r w:rsidR="003A51EA">
        <w:t xml:space="preserve"> mld. Kč) byla v roce 201</w:t>
      </w:r>
      <w:r w:rsidR="00846D3D">
        <w:t>6</w:t>
      </w:r>
      <w:r w:rsidRPr="003951A0">
        <w:t xml:space="preserve"> vynaložena podniky v</w:t>
      </w:r>
      <w:r w:rsidR="003A51EA">
        <w:t> průmyslových odvětvích. Z celkových nákladů na technické inovace bylo podniky v průmyslu proinvestováno 7</w:t>
      </w:r>
      <w:r w:rsidR="00846D3D">
        <w:t>5,7</w:t>
      </w:r>
      <w:r w:rsidR="003A51EA">
        <w:t xml:space="preserve"> %. </w:t>
      </w:r>
      <w:r w:rsidR="00A262CE">
        <w:t>V souvislosti se zaváděním techni</w:t>
      </w:r>
      <w:r w:rsidR="00281CA1">
        <w:t>ckých inovací podniky v průmyslových odvětvích</w:t>
      </w:r>
      <w:r w:rsidR="00A262CE">
        <w:t xml:space="preserve"> utratily za vnitropodnikový VaV a nákup služeb VaV v souhrnu 40,</w:t>
      </w:r>
      <w:r w:rsidR="00AA4641">
        <w:t>7</w:t>
      </w:r>
      <w:r w:rsidR="00A262CE">
        <w:t xml:space="preserve"> mld. Kč, což representuje 7</w:t>
      </w:r>
      <w:r w:rsidR="00AA4641">
        <w:t>4</w:t>
      </w:r>
      <w:r w:rsidR="00A262CE">
        <w:t>,</w:t>
      </w:r>
      <w:r w:rsidR="00AA4641">
        <w:t>7</w:t>
      </w:r>
      <w:r w:rsidR="004D2A08">
        <w:t> %</w:t>
      </w:r>
      <w:r w:rsidR="00A262CE">
        <w:t xml:space="preserve"> celkových nákladů na tyto inovační činnosti. </w:t>
      </w:r>
    </w:p>
    <w:p w:rsidR="00535D2B" w:rsidRDefault="00281CA1" w:rsidP="003951A0">
      <w:pPr>
        <w:spacing w:after="60"/>
        <w:jc w:val="both"/>
      </w:pPr>
      <w:r>
        <w:lastRenderedPageBreak/>
        <w:t>V</w:t>
      </w:r>
      <w:r w:rsidR="003A51EA">
        <w:t xml:space="preserve">e </w:t>
      </w:r>
      <w:r w:rsidR="00535D2B" w:rsidRPr="003951A0">
        <w:t>zprac</w:t>
      </w:r>
      <w:r w:rsidR="003A51EA">
        <w:t xml:space="preserve">ovatelském průmyslu </w:t>
      </w:r>
      <w:r w:rsidR="00535D2B" w:rsidRPr="003951A0">
        <w:t xml:space="preserve">dosáhly </w:t>
      </w:r>
      <w:r w:rsidR="003A51EA">
        <w:t>náklady</w:t>
      </w:r>
      <w:r>
        <w:t xml:space="preserve"> na technické inovace</w:t>
      </w:r>
      <w:r w:rsidR="003A51EA">
        <w:t xml:space="preserve"> </w:t>
      </w:r>
      <w:r w:rsidR="00AA4641">
        <w:t>81,3</w:t>
      </w:r>
      <w:r w:rsidR="003A51EA">
        <w:t xml:space="preserve"> mld. Kč, což odpovídá </w:t>
      </w:r>
      <w:r>
        <w:t xml:space="preserve">podílu </w:t>
      </w:r>
      <w:r w:rsidR="003A51EA" w:rsidRPr="00AA4641">
        <w:t>7</w:t>
      </w:r>
      <w:r w:rsidR="00AA4641" w:rsidRPr="00AA4641">
        <w:t>3,5</w:t>
      </w:r>
      <w:r w:rsidRPr="00AA4641">
        <w:t> </w:t>
      </w:r>
      <w:r w:rsidR="00535D2B" w:rsidRPr="00AA4641">
        <w:t>%</w:t>
      </w:r>
      <w:r w:rsidR="00535D2B" w:rsidRPr="003951A0">
        <w:t xml:space="preserve"> všech nákladů na technické inovace. </w:t>
      </w:r>
      <w:r w:rsidR="00E31E16">
        <w:t>Investice do vnitropodnikového VaV a nákupu služeb VaV v</w:t>
      </w:r>
      <w:r>
        <w:t>e zpracovatelském</w:t>
      </w:r>
      <w:r w:rsidR="00E31E16">
        <w:t xml:space="preserve"> průmyslu dosáhly </w:t>
      </w:r>
      <w:r w:rsidR="00AA4641">
        <w:t>rovných</w:t>
      </w:r>
      <w:r w:rsidR="00E31E16">
        <w:t xml:space="preserve"> </w:t>
      </w:r>
      <w:r w:rsidR="003E2E12">
        <w:t>40 </w:t>
      </w:r>
      <w:r w:rsidR="00E31E16">
        <w:t>mld. Kč.</w:t>
      </w:r>
    </w:p>
    <w:p w:rsidR="00535D2B" w:rsidRPr="001E6A8D" w:rsidRDefault="003E2E12" w:rsidP="001E6A8D">
      <w:pPr>
        <w:spacing w:after="120"/>
        <w:jc w:val="both"/>
      </w:pPr>
      <w:r>
        <w:t>V odvět</w:t>
      </w:r>
      <w:r w:rsidR="00281CA1">
        <w:t>ví služeb investovaly podniky do</w:t>
      </w:r>
      <w:r>
        <w:t xml:space="preserve"> zavádění technických inovací třikrát méně než podniky v průmyslu. Celková částka </w:t>
      </w:r>
      <w:r w:rsidR="004D2A08">
        <w:t xml:space="preserve">nákladů </w:t>
      </w:r>
      <w:r>
        <w:t>vynaložených na technické inovace ve sledovaných službách dosáhla 29,</w:t>
      </w:r>
      <w:r w:rsidR="00D54225">
        <w:t>2</w:t>
      </w:r>
      <w:r>
        <w:t xml:space="preserve"> mld. Kč, což odpovídá 2</w:t>
      </w:r>
      <w:r w:rsidR="00D54225">
        <w:t>4,3</w:t>
      </w:r>
      <w:r>
        <w:t xml:space="preserve"> % celkových nákladů na technické inovace.</w:t>
      </w:r>
      <w:r w:rsidR="00675FEA">
        <w:t xml:space="preserve"> Z celkové částky 1</w:t>
      </w:r>
      <w:r w:rsidR="00D54225">
        <w:t>3,8</w:t>
      </w:r>
      <w:r w:rsidR="00675FEA">
        <w:t xml:space="preserve"> mld. Kč vynaložené na vnitropodnikový VaV a nákup služeb VaV </w:t>
      </w:r>
      <w:r w:rsidR="001E6A8D">
        <w:t xml:space="preserve">ve službách </w:t>
      </w:r>
      <w:r w:rsidR="00281CA1">
        <w:t>byla</w:t>
      </w:r>
      <w:r w:rsidR="00675FEA">
        <w:t xml:space="preserve"> utracena </w:t>
      </w:r>
      <w:r w:rsidR="00D54225">
        <w:t xml:space="preserve">téměř </w:t>
      </w:r>
      <w:r w:rsidR="00675FEA">
        <w:t>polovina, konkrétně 6,</w:t>
      </w:r>
      <w:r w:rsidR="00D54225">
        <w:t>5</w:t>
      </w:r>
      <w:r w:rsidR="00675FEA">
        <w:t xml:space="preserve"> mld. Kč, podniky v sekci informačních a komunikačních činností.  </w:t>
      </w:r>
      <w:r>
        <w:t xml:space="preserve">     </w:t>
      </w:r>
    </w:p>
    <w:p w:rsidR="00535D2B" w:rsidRPr="003951A0" w:rsidRDefault="00535D2B" w:rsidP="003951A0">
      <w:pPr>
        <w:spacing w:after="60"/>
        <w:rPr>
          <w:rFonts w:cs="Arial"/>
          <w:b/>
          <w:szCs w:val="20"/>
        </w:rPr>
      </w:pPr>
      <w:r w:rsidRPr="003951A0">
        <w:rPr>
          <w:rFonts w:cs="Arial"/>
          <w:b/>
          <w:szCs w:val="20"/>
        </w:rPr>
        <w:t xml:space="preserve">Graf </w:t>
      </w:r>
      <w:r w:rsidR="00BA5C78">
        <w:rPr>
          <w:rFonts w:cs="Arial"/>
          <w:b/>
          <w:szCs w:val="20"/>
        </w:rPr>
        <w:t>3.2.7-3</w:t>
      </w:r>
      <w:r w:rsidRPr="003951A0">
        <w:rPr>
          <w:rFonts w:cs="Arial"/>
          <w:b/>
          <w:szCs w:val="20"/>
        </w:rPr>
        <w:t>: Náklady na technické inovace</w:t>
      </w:r>
      <w:r w:rsidR="001F2E21">
        <w:rPr>
          <w:rFonts w:cs="Arial"/>
          <w:b/>
          <w:szCs w:val="20"/>
        </w:rPr>
        <w:t xml:space="preserve"> ve</w:t>
      </w:r>
      <w:r w:rsidR="00BA5C78">
        <w:rPr>
          <w:rFonts w:cs="Arial"/>
          <w:b/>
          <w:szCs w:val="20"/>
        </w:rPr>
        <w:t xml:space="preserve"> vybraných sekcí</w:t>
      </w:r>
      <w:r w:rsidR="001F2E21">
        <w:rPr>
          <w:rFonts w:cs="Arial"/>
          <w:b/>
          <w:szCs w:val="20"/>
        </w:rPr>
        <w:t>ch</w:t>
      </w:r>
      <w:r w:rsidR="00BA5C78">
        <w:rPr>
          <w:rFonts w:cs="Arial"/>
          <w:b/>
          <w:szCs w:val="20"/>
        </w:rPr>
        <w:t xml:space="preserve"> CZ-NACE v mld. Kč; 201</w:t>
      </w:r>
      <w:r w:rsidR="00521358">
        <w:rPr>
          <w:rFonts w:cs="Arial"/>
          <w:b/>
          <w:szCs w:val="20"/>
        </w:rPr>
        <w:t>6</w:t>
      </w:r>
    </w:p>
    <w:p w:rsidR="00535D2B" w:rsidRDefault="00553D10" w:rsidP="00535D2B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0D98FCE2" wp14:editId="6D446BC5">
            <wp:extent cx="5954070" cy="2225310"/>
            <wp:effectExtent l="0" t="0" r="8890" b="381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F2780CE5-D6AA-46B6-A051-07FCBF09B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908AC" w:rsidRDefault="00245E86" w:rsidP="00D768AA">
      <w:pPr>
        <w:spacing w:after="60"/>
        <w:jc w:val="both"/>
        <w:rPr>
          <w:rStyle w:val="st"/>
        </w:rPr>
      </w:pPr>
      <w:r w:rsidRPr="00262367">
        <w:t>Ve zpracovatelském</w:t>
      </w:r>
      <w:r>
        <w:t xml:space="preserve"> průmyslu nejvíce do zavádění inovovaných produktů a procesů investovaly podniky v</w:t>
      </w:r>
      <w:r w:rsidR="009A53A8">
        <w:t> automobil</w:t>
      </w:r>
      <w:r w:rsidR="00262367">
        <w:t>ovém průmyslu, které v roce 2016</w:t>
      </w:r>
      <w:r w:rsidR="009A53A8">
        <w:t xml:space="preserve"> vynaložily částku</w:t>
      </w:r>
      <w:r w:rsidR="00262367">
        <w:t xml:space="preserve"> 29,6 mld. Kč, což odpovídá podílu 36,5</w:t>
      </w:r>
      <w:r w:rsidR="009A53A8">
        <w:t> % celkových nákladů na technické inovace ve zpracovatelském průmyslu. V případě výdajů na vnitropodnikový VaV a nákup služeb VaV to byla</w:t>
      </w:r>
      <w:r w:rsidR="00262367">
        <w:t xml:space="preserve"> téměř</w:t>
      </w:r>
      <w:r w:rsidR="009A53A8">
        <w:t xml:space="preserve"> polovina nákladů na tyto činnosti ve zpracovatelském průmyslu.</w:t>
      </w:r>
      <w:r w:rsidR="00262367">
        <w:t xml:space="preserve"> Oproti roku 2014 podniky v automobilovém průmyslu investovaly do inovačních aktivit o 8,8 mld. Kč méně.</w:t>
      </w:r>
      <w:r w:rsidR="009A53A8">
        <w:t xml:space="preserve"> </w:t>
      </w:r>
    </w:p>
    <w:p w:rsidR="009908AC" w:rsidRPr="0033205F" w:rsidRDefault="009908AC" w:rsidP="00CF3468">
      <w:pPr>
        <w:pStyle w:val="Nadpis3"/>
        <w:spacing w:before="240"/>
        <w:rPr>
          <w:rStyle w:val="st"/>
        </w:rPr>
      </w:pPr>
      <w:r>
        <w:rPr>
          <w:rStyle w:val="st"/>
        </w:rPr>
        <w:t>3.2</w:t>
      </w:r>
      <w:r w:rsidRPr="0033205F">
        <w:rPr>
          <w:rStyle w:val="st"/>
        </w:rPr>
        <w:t>.</w:t>
      </w:r>
      <w:r>
        <w:rPr>
          <w:rStyle w:val="st"/>
        </w:rPr>
        <w:t>8</w:t>
      </w:r>
      <w:r w:rsidRPr="0033205F">
        <w:rPr>
          <w:rStyle w:val="st"/>
        </w:rPr>
        <w:t xml:space="preserve"> </w:t>
      </w:r>
      <w:r>
        <w:rPr>
          <w:rStyle w:val="st"/>
        </w:rPr>
        <w:t xml:space="preserve">Tržby za inovované výrobky a služby v roce </w:t>
      </w:r>
      <w:r w:rsidR="00262367">
        <w:rPr>
          <w:rStyle w:val="st"/>
        </w:rPr>
        <w:t>2016</w:t>
      </w:r>
    </w:p>
    <w:p w:rsidR="005A4679" w:rsidRPr="00D317AA" w:rsidRDefault="00357655" w:rsidP="00D317AA">
      <w:pPr>
        <w:spacing w:after="120"/>
        <w:jc w:val="both"/>
      </w:pPr>
      <w:r>
        <w:t>Převážná část</w:t>
      </w:r>
      <w:r w:rsidR="005A4679" w:rsidRPr="001D5485">
        <w:t xml:space="preserve"> tržeb podniků s produktovou inovací pocházela z prodeje neinovovaný</w:t>
      </w:r>
      <w:r w:rsidR="00262367">
        <w:t>ch výrobků a služeb. V roce 2016 tržby za neinovované výrobky a služby dosáhly 3 041</w:t>
      </w:r>
      <w:r w:rsidR="005A4679" w:rsidRPr="001D5485">
        <w:t xml:space="preserve"> mld. Kč, což předsta</w:t>
      </w:r>
      <w:r w:rsidR="00262367">
        <w:t>vuje podíl 72,6</w:t>
      </w:r>
      <w:r w:rsidR="005A4679" w:rsidRPr="001D5485">
        <w:t> % celkových tržeb podniků s produktovou inovací. Za inovované p</w:t>
      </w:r>
      <w:r w:rsidR="00262367">
        <w:t>rodukt</w:t>
      </w:r>
      <w:r w:rsidR="00140073">
        <w:t>y podniky utržily 1 149 mld. Kč, z</w:t>
      </w:r>
      <w:r w:rsidR="00262367">
        <w:t> toho bylo 567</w:t>
      </w:r>
      <w:r w:rsidR="005A4679" w:rsidRPr="001D5485">
        <w:t xml:space="preserve"> mld. Kč za produkty nové n</w:t>
      </w:r>
      <w:r w:rsidR="00262367">
        <w:t>a trhu a 582</w:t>
      </w:r>
      <w:r w:rsidR="005A4679" w:rsidRPr="001D5485">
        <w:t xml:space="preserve"> mld. Kč za produkty nové pouze pro podnik. Podíl obou zmíněných kategorií tržeb na celkových tržbách produktově inovujících p</w:t>
      </w:r>
      <w:r w:rsidR="005342AF">
        <w:t>odniků byl téměř vyrovnaný (13,5</w:t>
      </w:r>
      <w:r w:rsidR="005A4679" w:rsidRPr="001D5485">
        <w:t xml:space="preserve"> % – </w:t>
      </w:r>
      <w:r w:rsidR="005342AF">
        <w:t>nové na trhu a 13,9</w:t>
      </w:r>
      <w:r w:rsidR="005A4679" w:rsidRPr="001D5485">
        <w:t xml:space="preserve"> % – nové pro podnik). </w:t>
      </w:r>
    </w:p>
    <w:p w:rsidR="005A4679" w:rsidRPr="005A4679" w:rsidRDefault="005A4679" w:rsidP="00263056">
      <w:pPr>
        <w:spacing w:after="120"/>
        <w:ind w:left="1276" w:hanging="1276"/>
        <w:jc w:val="both"/>
        <w:rPr>
          <w:rFonts w:cs="Arial"/>
          <w:b/>
          <w:szCs w:val="20"/>
        </w:rPr>
      </w:pPr>
      <w:r w:rsidRPr="005A4679">
        <w:rPr>
          <w:rFonts w:cs="Arial"/>
          <w:b/>
          <w:szCs w:val="20"/>
        </w:rPr>
        <w:t xml:space="preserve">Graf </w:t>
      </w:r>
      <w:r>
        <w:rPr>
          <w:rFonts w:cs="Arial"/>
          <w:b/>
          <w:szCs w:val="20"/>
        </w:rPr>
        <w:t>3.2.8-1</w:t>
      </w:r>
      <w:r w:rsidRPr="005A4679">
        <w:rPr>
          <w:rFonts w:cs="Arial"/>
          <w:b/>
          <w:szCs w:val="20"/>
        </w:rPr>
        <w:t>: T</w:t>
      </w:r>
      <w:r>
        <w:rPr>
          <w:rFonts w:cs="Arial"/>
          <w:b/>
          <w:szCs w:val="20"/>
        </w:rPr>
        <w:t xml:space="preserve">ržby </w:t>
      </w:r>
      <w:r w:rsidR="00263056">
        <w:rPr>
          <w:rFonts w:cs="Arial"/>
          <w:b/>
          <w:szCs w:val="20"/>
        </w:rPr>
        <w:t xml:space="preserve">za </w:t>
      </w:r>
      <w:r w:rsidRPr="005A4679">
        <w:rPr>
          <w:rFonts w:cs="Arial"/>
          <w:b/>
          <w:szCs w:val="20"/>
        </w:rPr>
        <w:t>produkty</w:t>
      </w:r>
      <w:r>
        <w:rPr>
          <w:rFonts w:cs="Arial"/>
          <w:b/>
          <w:szCs w:val="20"/>
        </w:rPr>
        <w:t xml:space="preserve"> podle míry inovativnosti produktu, </w:t>
      </w:r>
      <w:r w:rsidRPr="005A4679">
        <w:rPr>
          <w:rFonts w:cs="Arial"/>
          <w:b/>
          <w:szCs w:val="20"/>
        </w:rPr>
        <w:t xml:space="preserve">velikosti a vlastnictví podniku </w:t>
      </w:r>
      <w:r w:rsidR="008901B4">
        <w:rPr>
          <w:rFonts w:cs="Arial"/>
          <w:b/>
          <w:szCs w:val="20"/>
        </w:rPr>
        <w:t xml:space="preserve">u produktově inovujících podniků </w:t>
      </w:r>
      <w:r w:rsidRPr="005A4679">
        <w:rPr>
          <w:rFonts w:cs="Arial"/>
          <w:b/>
          <w:szCs w:val="20"/>
        </w:rPr>
        <w:t>v mld. Kč; 20</w:t>
      </w:r>
      <w:r w:rsidR="005342AF">
        <w:rPr>
          <w:rFonts w:cs="Arial"/>
          <w:b/>
          <w:szCs w:val="20"/>
        </w:rPr>
        <w:t>16</w:t>
      </w:r>
    </w:p>
    <w:p w:rsidR="005A4679" w:rsidRDefault="009D5043" w:rsidP="005A4679">
      <w:pPr>
        <w:rPr>
          <w:rFonts w:ascii="Calibri" w:hAnsi="Calibri"/>
          <w:color w:val="0070C0"/>
        </w:rPr>
      </w:pPr>
      <w:r>
        <w:rPr>
          <w:noProof/>
        </w:rPr>
        <w:drawing>
          <wp:inline distT="0" distB="0" distL="0" distR="0" wp14:anchorId="133687EE" wp14:editId="3AC0A8B6">
            <wp:extent cx="6120000" cy="18000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F5F9B" w:rsidRDefault="007F5F9B" w:rsidP="00D317AA">
      <w:pPr>
        <w:spacing w:after="60"/>
        <w:jc w:val="both"/>
      </w:pPr>
    </w:p>
    <w:p w:rsidR="008901B4" w:rsidRPr="008901B4" w:rsidRDefault="00D317AA" w:rsidP="00D317AA">
      <w:pPr>
        <w:spacing w:after="60"/>
        <w:jc w:val="both"/>
      </w:pPr>
      <w:r w:rsidRPr="008901B4">
        <w:lastRenderedPageBreak/>
        <w:t>Nejvyšší podíl tržeb za inovované pro</w:t>
      </w:r>
      <w:r w:rsidR="008901B4" w:rsidRPr="008901B4">
        <w:t xml:space="preserve">dukty vykázaly </w:t>
      </w:r>
      <w:r w:rsidR="009D5043">
        <w:t>malé podniky (34,4</w:t>
      </w:r>
      <w:r w:rsidRPr="008901B4">
        <w:t xml:space="preserve"> %)</w:t>
      </w:r>
      <w:r w:rsidR="009D5043">
        <w:t>, následované velkými podniky (27,9 %)</w:t>
      </w:r>
      <w:r w:rsidRPr="008901B4">
        <w:t>. U středních podniků dosáhl podíl tržeb za in</w:t>
      </w:r>
      <w:r w:rsidR="00A63991">
        <w:t xml:space="preserve">ovované produkty </w:t>
      </w:r>
      <w:r w:rsidR="009D5043">
        <w:t>23,2</w:t>
      </w:r>
      <w:r w:rsidR="008901B4" w:rsidRPr="008901B4">
        <w:t xml:space="preserve"> %. </w:t>
      </w:r>
    </w:p>
    <w:p w:rsidR="00D317AA" w:rsidRPr="008901B4" w:rsidRDefault="00D317AA" w:rsidP="00D317AA">
      <w:pPr>
        <w:spacing w:after="60"/>
        <w:jc w:val="both"/>
      </w:pPr>
      <w:r w:rsidRPr="008901B4">
        <w:t>U podniků pod zahraniční kontrolou dosáhl podí</w:t>
      </w:r>
      <w:r w:rsidR="009D5043">
        <w:t>l tržeb za inovované produkty 31,8</w:t>
      </w:r>
      <w:r w:rsidRPr="008901B4">
        <w:t xml:space="preserve"> %, což je </w:t>
      </w:r>
      <w:r w:rsidR="008901B4" w:rsidRPr="008901B4">
        <w:t>v</w:t>
      </w:r>
      <w:r w:rsidR="009D5043">
        <w:t>íce než u domácích podniků (19,9</w:t>
      </w:r>
      <w:r w:rsidRPr="008901B4">
        <w:t xml:space="preserve"> %). </w:t>
      </w:r>
    </w:p>
    <w:p w:rsidR="005A4679" w:rsidRPr="008901B4" w:rsidRDefault="00D317AA" w:rsidP="004B793A">
      <w:pPr>
        <w:spacing w:after="60"/>
        <w:jc w:val="both"/>
      </w:pPr>
      <w:r w:rsidRPr="008901B4">
        <w:t>Největší podíl tržeb za inovované výrobky a služby nové na trh</w:t>
      </w:r>
      <w:r w:rsidR="00D0796B">
        <w:t>u byl zjištěn u</w:t>
      </w:r>
      <w:r w:rsidRPr="008901B4">
        <w:t xml:space="preserve"> produktově inovujících </w:t>
      </w:r>
      <w:r w:rsidR="00D0796B">
        <w:t>malých podniků (15,3</w:t>
      </w:r>
      <w:r w:rsidRPr="008901B4">
        <w:t> %)</w:t>
      </w:r>
      <w:r w:rsidR="00D0796B">
        <w:t xml:space="preserve">, naopak nejmenší podíl </w:t>
      </w:r>
      <w:r w:rsidR="00CC386B">
        <w:t xml:space="preserve">tržeb </w:t>
      </w:r>
      <w:r w:rsidR="00D0796B">
        <w:t>za produkty nové na trhu utržily střední podnik</w:t>
      </w:r>
      <w:r w:rsidR="006E2F59">
        <w:t>y</w:t>
      </w:r>
      <w:r w:rsidRPr="008901B4">
        <w:t xml:space="preserve"> (</w:t>
      </w:r>
      <w:r w:rsidR="00D0796B">
        <w:t>7,9</w:t>
      </w:r>
      <w:r w:rsidRPr="008901B4">
        <w:t xml:space="preserve"> %). </w:t>
      </w:r>
    </w:p>
    <w:p w:rsidR="00CB0001" w:rsidRPr="00DC1785" w:rsidRDefault="00DC1785" w:rsidP="004B793A">
      <w:pPr>
        <w:spacing w:after="60"/>
        <w:jc w:val="both"/>
      </w:pPr>
      <w:r w:rsidRPr="00DC1785">
        <w:t>Podniky v průmyslových odvětvích utržily</w:t>
      </w:r>
      <w:r w:rsidR="00CB0001" w:rsidRPr="00DC1785">
        <w:t xml:space="preserve"> za </w:t>
      </w:r>
      <w:r w:rsidRPr="00DC1785">
        <w:t>inovované výrobky a služby (podíl 28,9</w:t>
      </w:r>
      <w:r w:rsidR="00CB0001" w:rsidRPr="00DC1785">
        <w:t> %</w:t>
      </w:r>
      <w:r w:rsidRPr="00DC1785">
        <w:t xml:space="preserve"> na celkových tržbách</w:t>
      </w:r>
      <w:r w:rsidR="00CB0001" w:rsidRPr="00DC1785">
        <w:t xml:space="preserve">) </w:t>
      </w:r>
      <w:r w:rsidRPr="00DC1785">
        <w:t>téměř shodně jako</w:t>
      </w:r>
      <w:r w:rsidR="00CB0001" w:rsidRPr="00DC1785">
        <w:t xml:space="preserve"> </w:t>
      </w:r>
      <w:r w:rsidRPr="00DC1785">
        <w:t>podniky ve službách (27</w:t>
      </w:r>
      <w:r w:rsidR="00CB0001" w:rsidRPr="00DC1785">
        <w:t xml:space="preserve"> %). </w:t>
      </w:r>
    </w:p>
    <w:p w:rsidR="00A63991" w:rsidRPr="00DC1785" w:rsidRDefault="005A4679" w:rsidP="004B793A">
      <w:pPr>
        <w:spacing w:after="60"/>
        <w:jc w:val="both"/>
      </w:pPr>
      <w:r w:rsidRPr="00DC1785">
        <w:t>Nejvyšší podíl tržeb za inovované produkty na celkových tržbách zaznamenaly podniky v odvět</w:t>
      </w:r>
      <w:r w:rsidR="00CB0001" w:rsidRPr="00DC1785">
        <w:t>ví</w:t>
      </w:r>
      <w:r w:rsidR="00DC1785" w:rsidRPr="00DC1785">
        <w:t xml:space="preserve"> peněžnictví a pojišťovnictví (35,8 %) a ve zpracovatelském průmyslu (30,1</w:t>
      </w:r>
      <w:r w:rsidRPr="00DC1785">
        <w:t> %)</w:t>
      </w:r>
      <w:r w:rsidR="00DC1785" w:rsidRPr="00DC1785">
        <w:t>.</w:t>
      </w:r>
      <w:r w:rsidRPr="00DC1785">
        <w:t xml:space="preserve"> V případě zpracovatelského průmyslu tržby za inovované pro</w:t>
      </w:r>
      <w:r w:rsidR="00DC1785" w:rsidRPr="00DC1785">
        <w:t>dukty nové na trhu (16,7</w:t>
      </w:r>
      <w:r w:rsidRPr="00DC1785">
        <w:t> %) převýšily tržby za pr</w:t>
      </w:r>
      <w:r w:rsidR="00CB0001" w:rsidRPr="00DC1785">
        <w:t>od</w:t>
      </w:r>
      <w:r w:rsidR="00DC1785" w:rsidRPr="00DC1785">
        <w:t>ukty nové pouze pro podnik (13,3</w:t>
      </w:r>
      <w:r w:rsidRPr="00DC1785">
        <w:t xml:space="preserve"> %). </w:t>
      </w:r>
    </w:p>
    <w:p w:rsidR="005A4679" w:rsidRPr="00DC1785" w:rsidRDefault="002E415C" w:rsidP="004B793A">
      <w:pPr>
        <w:spacing w:after="60"/>
        <w:jc w:val="both"/>
      </w:pPr>
      <w:r w:rsidRPr="00DC1785">
        <w:t>O</w:t>
      </w:r>
      <w:r w:rsidR="00CB0001" w:rsidRPr="00DC1785">
        <w:t xml:space="preserve">dvětví zpracovatelského průmyslu </w:t>
      </w:r>
      <w:r w:rsidRPr="00DC1785">
        <w:t xml:space="preserve">jsou uvedena v tabulce </w:t>
      </w:r>
      <w:r w:rsidR="00606227" w:rsidRPr="00DC1785">
        <w:t>32</w:t>
      </w:r>
      <w:r w:rsidR="00CB0001" w:rsidRPr="00DC1785">
        <w:t>B.</w:t>
      </w:r>
    </w:p>
    <w:p w:rsidR="005A4679" w:rsidRDefault="005A4679" w:rsidP="005A4679">
      <w:pPr>
        <w:rPr>
          <w:rFonts w:ascii="Calibri" w:hAnsi="Calibri"/>
          <w:b/>
          <w:color w:val="1F497D"/>
          <w:sz w:val="18"/>
        </w:rPr>
      </w:pPr>
    </w:p>
    <w:p w:rsidR="005A4679" w:rsidRPr="008901B4" w:rsidRDefault="005A4679" w:rsidP="00B31DB7">
      <w:pPr>
        <w:spacing w:after="120"/>
        <w:ind w:left="1276" w:hanging="1276"/>
        <w:jc w:val="both"/>
        <w:rPr>
          <w:rFonts w:cs="Arial"/>
          <w:b/>
          <w:szCs w:val="20"/>
        </w:rPr>
      </w:pPr>
      <w:r w:rsidRPr="008901B4">
        <w:rPr>
          <w:rFonts w:cs="Arial"/>
          <w:b/>
          <w:szCs w:val="20"/>
        </w:rPr>
        <w:t xml:space="preserve">Graf </w:t>
      </w:r>
      <w:r w:rsidR="008901B4">
        <w:rPr>
          <w:rFonts w:cs="Arial"/>
          <w:b/>
          <w:szCs w:val="20"/>
        </w:rPr>
        <w:t>3.2.8-2</w:t>
      </w:r>
      <w:r w:rsidRPr="008901B4">
        <w:rPr>
          <w:rFonts w:cs="Arial"/>
          <w:b/>
          <w:szCs w:val="20"/>
        </w:rPr>
        <w:t>: Struktura tržeb za produkty</w:t>
      </w:r>
      <w:r w:rsidR="008901B4">
        <w:rPr>
          <w:rFonts w:cs="Arial"/>
          <w:b/>
          <w:szCs w:val="20"/>
        </w:rPr>
        <w:t xml:space="preserve"> podle míry inovativnosti produktu ve vybraných sekcích</w:t>
      </w:r>
      <w:r w:rsidRPr="008901B4">
        <w:rPr>
          <w:rFonts w:cs="Arial"/>
          <w:b/>
          <w:szCs w:val="20"/>
        </w:rPr>
        <w:t xml:space="preserve"> CZ-NACE</w:t>
      </w:r>
      <w:r w:rsidR="008901B4">
        <w:rPr>
          <w:rFonts w:cs="Arial"/>
          <w:b/>
          <w:szCs w:val="20"/>
        </w:rPr>
        <w:t xml:space="preserve"> u prod</w:t>
      </w:r>
      <w:r w:rsidR="00606227">
        <w:rPr>
          <w:rFonts w:cs="Arial"/>
          <w:b/>
          <w:szCs w:val="20"/>
        </w:rPr>
        <w:t>uktově inovujících podniků; 2016</w:t>
      </w:r>
    </w:p>
    <w:p w:rsidR="002E415C" w:rsidRDefault="00665D01" w:rsidP="005A4679">
      <w:pPr>
        <w:jc w:val="both"/>
      </w:pPr>
      <w:r>
        <w:rPr>
          <w:noProof/>
        </w:rPr>
        <w:drawing>
          <wp:inline distT="0" distB="0" distL="0" distR="0" wp14:anchorId="66B9586E" wp14:editId="7A02C8B0">
            <wp:extent cx="6120000" cy="25200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415C" w:rsidRDefault="002E415C" w:rsidP="002E415C"/>
    <w:p w:rsidR="002E415C" w:rsidRDefault="002E415C" w:rsidP="002E415C">
      <w:pPr>
        <w:spacing w:before="60" w:after="60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POZN.: </w:t>
      </w:r>
      <w:r w:rsidRPr="00210640">
        <w:rPr>
          <w:rFonts w:cs="Arial"/>
          <w:i/>
          <w:sz w:val="18"/>
        </w:rPr>
        <w:t xml:space="preserve">Kompletní přehled všech sledovaných sekcí </w:t>
      </w:r>
      <w:r>
        <w:rPr>
          <w:rFonts w:cs="Arial"/>
          <w:i/>
          <w:sz w:val="18"/>
        </w:rPr>
        <w:t>viz tabulka</w:t>
      </w:r>
      <w:r w:rsidRPr="00210640">
        <w:rPr>
          <w:rFonts w:cs="Arial"/>
          <w:i/>
          <w:sz w:val="18"/>
        </w:rPr>
        <w:t xml:space="preserve"> </w:t>
      </w:r>
      <w:r w:rsidR="006E2F59">
        <w:rPr>
          <w:rFonts w:cs="Arial"/>
          <w:i/>
          <w:sz w:val="18"/>
        </w:rPr>
        <w:t>32</w:t>
      </w:r>
      <w:r>
        <w:rPr>
          <w:rFonts w:cs="Arial"/>
          <w:i/>
          <w:sz w:val="18"/>
        </w:rPr>
        <w:t>A</w:t>
      </w:r>
      <w:r w:rsidRPr="00210640">
        <w:rPr>
          <w:rFonts w:cs="Arial"/>
          <w:i/>
          <w:sz w:val="18"/>
        </w:rPr>
        <w:t>.</w:t>
      </w:r>
    </w:p>
    <w:p w:rsidR="00DC1785" w:rsidRPr="0033205F" w:rsidRDefault="00DC1785" w:rsidP="00DC1785">
      <w:pPr>
        <w:pStyle w:val="Nadpis3"/>
        <w:spacing w:before="240"/>
        <w:rPr>
          <w:rStyle w:val="st"/>
        </w:rPr>
      </w:pPr>
      <w:r>
        <w:rPr>
          <w:rStyle w:val="st"/>
        </w:rPr>
        <w:t>3.2</w:t>
      </w:r>
      <w:r w:rsidRPr="0033205F">
        <w:rPr>
          <w:rStyle w:val="st"/>
        </w:rPr>
        <w:t>.</w:t>
      </w:r>
      <w:r>
        <w:rPr>
          <w:rStyle w:val="st"/>
        </w:rPr>
        <w:t>9</w:t>
      </w:r>
      <w:r w:rsidRPr="0033205F">
        <w:rPr>
          <w:rStyle w:val="st"/>
        </w:rPr>
        <w:t xml:space="preserve"> </w:t>
      </w:r>
      <w:r>
        <w:rPr>
          <w:rStyle w:val="st"/>
        </w:rPr>
        <w:t>Spolupráce podniků na inovačních aktivitách</w:t>
      </w:r>
      <w:r w:rsidRPr="00DC1785">
        <w:rPr>
          <w:rStyle w:val="st"/>
        </w:rPr>
        <w:t xml:space="preserve"> </w:t>
      </w:r>
      <w:r w:rsidRPr="0033205F">
        <w:rPr>
          <w:rStyle w:val="st"/>
        </w:rPr>
        <w:t>v letech 201</w:t>
      </w:r>
      <w:r>
        <w:rPr>
          <w:rStyle w:val="st"/>
        </w:rPr>
        <w:t>4</w:t>
      </w:r>
      <w:r w:rsidRPr="0033205F">
        <w:rPr>
          <w:rStyle w:val="st"/>
        </w:rPr>
        <w:t>–201</w:t>
      </w:r>
      <w:r>
        <w:rPr>
          <w:rStyle w:val="st"/>
        </w:rPr>
        <w:t>6</w:t>
      </w:r>
    </w:p>
    <w:p w:rsidR="006427F8" w:rsidRDefault="009B3FE8" w:rsidP="007C5565">
      <w:pPr>
        <w:jc w:val="both"/>
      </w:pPr>
      <w:r>
        <w:t xml:space="preserve">Jak již bylo v předchozí části uvedeno, podniky mohou vyvíjet inovace sami ve vlastní režii nebo také ve spolupráci s jinými podniky či organizacemi. </w:t>
      </w:r>
      <w:r w:rsidR="007C5565">
        <w:t xml:space="preserve">V období </w:t>
      </w:r>
      <w:r w:rsidR="00751040">
        <w:t xml:space="preserve">let </w:t>
      </w:r>
      <w:r w:rsidR="007C5565">
        <w:t>2014 až 2016 spolupracovalo na inovačních aktivitách</w:t>
      </w:r>
      <w:r w:rsidR="007C5565">
        <w:rPr>
          <w:rStyle w:val="Znakapoznpodarou"/>
        </w:rPr>
        <w:footnoteReference w:id="16"/>
      </w:r>
      <w:r w:rsidR="007C5565">
        <w:t xml:space="preserve"> 34,6 % podniků.</w:t>
      </w:r>
    </w:p>
    <w:p w:rsidR="001420C7" w:rsidRDefault="001420C7" w:rsidP="007C5565">
      <w:pPr>
        <w:jc w:val="both"/>
      </w:pPr>
      <w:r>
        <w:t>Více spolupracovaly podniky pod zahraniční kontrolu (47,9 %) než podniky domácí (30,2 %). Zahraniční podniky využívají možností</w:t>
      </w:r>
      <w:r w:rsidR="00380CC2">
        <w:t>, které nabízí</w:t>
      </w:r>
      <w:r>
        <w:t xml:space="preserve"> spolupráce v rámci podnikové skupiny </w:t>
      </w:r>
      <w:r w:rsidR="00380CC2">
        <w:t xml:space="preserve">(například </w:t>
      </w:r>
      <w:r w:rsidR="00F50EBA">
        <w:t xml:space="preserve">podílet se </w:t>
      </w:r>
      <w:r w:rsidR="00380CC2">
        <w:t xml:space="preserve">na </w:t>
      </w:r>
      <w:r>
        <w:t>výz</w:t>
      </w:r>
      <w:r w:rsidR="00380CC2">
        <w:t>kumu a vývoji)</w:t>
      </w:r>
      <w:r>
        <w:t>. Domácí podniky mají omezenější možnosti.</w:t>
      </w:r>
    </w:p>
    <w:p w:rsidR="001A26ED" w:rsidRDefault="00364E4D" w:rsidP="007C5565">
      <w:pPr>
        <w:jc w:val="both"/>
      </w:pPr>
      <w:r>
        <w:t>U velkých podniků spolupracovala na inovačních aktivitách více než polovina z nich, konkrétně 59,4 %. V případě středních a malých podniků to bylo méně než 50 %.</w:t>
      </w:r>
    </w:p>
    <w:p w:rsidR="001420C7" w:rsidRDefault="001A26ED" w:rsidP="007C5565">
      <w:pPr>
        <w:jc w:val="both"/>
      </w:pPr>
      <w:r>
        <w:t>Nejvíce spolupracovaly na inovačních aktivitách podniky z odvětví peněžnictví a pojišťovnictví (51,4 %). V ost</w:t>
      </w:r>
      <w:r w:rsidR="00F75C57">
        <w:t>atních odvětvových sekcí to byla</w:t>
      </w:r>
      <w:r>
        <w:t xml:space="preserve"> méně než polovina</w:t>
      </w:r>
      <w:r w:rsidR="00F75C57">
        <w:t xml:space="preserve"> inovujících podniků</w:t>
      </w:r>
      <w:r>
        <w:t>. Ve zpracovatelském průmyslu spolupracovalo 32,1 % podniků.</w:t>
      </w:r>
      <w:r w:rsidR="001420C7">
        <w:t xml:space="preserve">  </w:t>
      </w:r>
    </w:p>
    <w:p w:rsidR="007C5565" w:rsidRDefault="007A6B30" w:rsidP="007C5565">
      <w:pPr>
        <w:jc w:val="both"/>
      </w:pPr>
      <w:r>
        <w:t xml:space="preserve">Podniky nejčastěji </w:t>
      </w:r>
      <w:r w:rsidR="00A9414B">
        <w:t>na svých inovačních aktivitách spolupracovaly s partnerem z</w:t>
      </w:r>
      <w:r w:rsidR="00F75C57">
        <w:t> ČR. Spolupráci s partnerem z Česka</w:t>
      </w:r>
      <w:r w:rsidR="00A9414B">
        <w:t xml:space="preserve"> uvedlo 30,4 % inovujících podniků. O polovinu méně (14,9 %) inovujících podniků spolupracovalo </w:t>
      </w:r>
      <w:r w:rsidR="00A9414B">
        <w:lastRenderedPageBreak/>
        <w:t>na inovacích s partnerem z EU28 či zemí EFTA. S partnerem z ostatních zemí světa spolupracovalo 4,7 % inovujících podniků.</w:t>
      </w:r>
    </w:p>
    <w:p w:rsidR="00A9414B" w:rsidRDefault="00A9414B" w:rsidP="007C5565">
      <w:pPr>
        <w:jc w:val="both"/>
      </w:pPr>
      <w:r>
        <w:t xml:space="preserve">S partnery ze zahraničí více spolupracovaly podniky pod zahraniční kontrolou než domácí podniky, stejně tak </w:t>
      </w:r>
      <w:r w:rsidR="00F75C57">
        <w:t xml:space="preserve">ve větší míře </w:t>
      </w:r>
      <w:r>
        <w:t>velké podniky než malé a střední.</w:t>
      </w:r>
    </w:p>
    <w:p w:rsidR="006022F3" w:rsidRPr="005662B0" w:rsidRDefault="006022F3" w:rsidP="006022F3">
      <w:pPr>
        <w:spacing w:before="120" w:after="60"/>
        <w:ind w:left="1134" w:hanging="1134"/>
        <w:rPr>
          <w:b/>
        </w:rPr>
      </w:pPr>
      <w:r>
        <w:rPr>
          <w:b/>
        </w:rPr>
        <w:t>Graf 3</w:t>
      </w:r>
      <w:r w:rsidRPr="005662B0">
        <w:rPr>
          <w:b/>
        </w:rPr>
        <w:t>.</w:t>
      </w:r>
      <w:r>
        <w:rPr>
          <w:b/>
        </w:rPr>
        <w:t>2.9</w:t>
      </w:r>
      <w:r w:rsidRPr="005662B0">
        <w:rPr>
          <w:b/>
        </w:rPr>
        <w:t xml:space="preserve">-1: </w:t>
      </w:r>
      <w:r>
        <w:rPr>
          <w:b/>
        </w:rPr>
        <w:t xml:space="preserve">Podíl </w:t>
      </w:r>
      <w:r w:rsidR="00593360">
        <w:rPr>
          <w:b/>
        </w:rPr>
        <w:t xml:space="preserve">inovujících </w:t>
      </w:r>
      <w:r>
        <w:rPr>
          <w:b/>
        </w:rPr>
        <w:t>podniků, které spolupracovaly na inovačních aktivitách podle země spolupracujícího partnera</w:t>
      </w:r>
      <w:r w:rsidR="005A6E20">
        <w:rPr>
          <w:b/>
        </w:rPr>
        <w:t xml:space="preserve">, </w:t>
      </w:r>
      <w:r w:rsidR="005A6E20" w:rsidRPr="005A4679">
        <w:rPr>
          <w:rFonts w:cs="Arial"/>
          <w:b/>
          <w:szCs w:val="20"/>
        </w:rPr>
        <w:t>velikosti a vlastnictví podniku</w:t>
      </w:r>
      <w:r>
        <w:rPr>
          <w:b/>
        </w:rPr>
        <w:t>; 2014–2016</w:t>
      </w:r>
    </w:p>
    <w:p w:rsidR="006427F8" w:rsidRDefault="00320BE7" w:rsidP="002E415C">
      <w:r>
        <w:rPr>
          <w:noProof/>
        </w:rPr>
        <w:drawing>
          <wp:inline distT="0" distB="0" distL="0" distR="0" wp14:anchorId="597B71CB" wp14:editId="2B48DCFC">
            <wp:extent cx="6120000" cy="1980000"/>
            <wp:effectExtent l="0" t="0" r="0" b="127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427F8" w:rsidRPr="006E2F59" w:rsidRDefault="00320BE7" w:rsidP="002E415C">
      <w:pPr>
        <w:rPr>
          <w:i/>
          <w:sz w:val="18"/>
        </w:rPr>
      </w:pPr>
      <w:r w:rsidRPr="006E2F59">
        <w:rPr>
          <w:i/>
          <w:sz w:val="18"/>
        </w:rPr>
        <w:t>POZN.: Podniky mohly uvést víc</w:t>
      </w:r>
      <w:r w:rsidR="00F75C57">
        <w:rPr>
          <w:i/>
          <w:sz w:val="18"/>
        </w:rPr>
        <w:t>e</w:t>
      </w:r>
      <w:bookmarkStart w:id="1" w:name="_GoBack"/>
      <w:bookmarkEnd w:id="1"/>
      <w:r w:rsidRPr="006E2F59">
        <w:rPr>
          <w:i/>
          <w:sz w:val="18"/>
        </w:rPr>
        <w:t xml:space="preserve"> jak jednu z uvedených možností.</w:t>
      </w:r>
    </w:p>
    <w:p w:rsidR="006427F8" w:rsidRDefault="006427F8" w:rsidP="002E415C"/>
    <w:p w:rsidR="006427F8" w:rsidRDefault="00593360" w:rsidP="00E1175F">
      <w:pPr>
        <w:jc w:val="both"/>
      </w:pPr>
      <w:r>
        <w:t>Nejvýznamnějším partnerem pro inovační aktivity byly pro podniky d</w:t>
      </w:r>
      <w:r w:rsidRPr="00593360">
        <w:t>odavatelé zaříz</w:t>
      </w:r>
      <w:r>
        <w:t xml:space="preserve">ení, materiálů, součástí nebo softwaru (označilo 29,4 % inovujících podniků). </w:t>
      </w:r>
      <w:r w:rsidR="005D5E79">
        <w:t>Druhým</w:t>
      </w:r>
      <w:r w:rsidR="004159BE">
        <w:t xml:space="preserve"> nejvíce ceněným partnerem byly ostatní podniky uvnitř skupiny podniků (21,6 %). Naopak nejméně významným partnerem pro inovace byly pro podniky veřejné výzkumné instituce (2,5 %).</w:t>
      </w:r>
    </w:p>
    <w:p w:rsidR="006427F8" w:rsidRPr="004E5851" w:rsidRDefault="004E5851" w:rsidP="004E5851">
      <w:pPr>
        <w:spacing w:before="120" w:after="60"/>
        <w:ind w:left="1134" w:hanging="1134"/>
        <w:rPr>
          <w:b/>
        </w:rPr>
      </w:pPr>
      <w:r>
        <w:rPr>
          <w:b/>
        </w:rPr>
        <w:t>Graf 3</w:t>
      </w:r>
      <w:r w:rsidRPr="005662B0">
        <w:rPr>
          <w:b/>
        </w:rPr>
        <w:t>.</w:t>
      </w:r>
      <w:r>
        <w:rPr>
          <w:b/>
        </w:rPr>
        <w:t>2.9-2</w:t>
      </w:r>
      <w:r w:rsidRPr="005662B0">
        <w:rPr>
          <w:b/>
        </w:rPr>
        <w:t xml:space="preserve">: </w:t>
      </w:r>
      <w:r>
        <w:rPr>
          <w:b/>
        </w:rPr>
        <w:t>Nevýznamnější partner pro spolupráci na inovačních aktivitách pro inovující podniky; 2014–2016</w:t>
      </w:r>
    </w:p>
    <w:p w:rsidR="006427F8" w:rsidRDefault="004E5851" w:rsidP="002E415C">
      <w:r>
        <w:rPr>
          <w:noProof/>
        </w:rPr>
        <w:drawing>
          <wp:inline distT="0" distB="0" distL="0" distR="0" wp14:anchorId="27F55532" wp14:editId="607D118F">
            <wp:extent cx="6119495" cy="2409825"/>
            <wp:effectExtent l="0" t="0" r="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427F8" w:rsidRDefault="006427F8" w:rsidP="002E415C"/>
    <w:p w:rsidR="006427F8" w:rsidRPr="006E2F59" w:rsidRDefault="00D07345" w:rsidP="002E415C">
      <w:pPr>
        <w:rPr>
          <w:i/>
          <w:sz w:val="18"/>
          <w:szCs w:val="18"/>
        </w:rPr>
      </w:pPr>
      <w:r w:rsidRPr="006E2F59">
        <w:rPr>
          <w:i/>
          <w:sz w:val="18"/>
          <w:szCs w:val="18"/>
        </w:rPr>
        <w:t>POZN.: Součet podílů je roven 100%. Blíže viz tabulka 42A/42B.</w:t>
      </w:r>
    </w:p>
    <w:p w:rsidR="006427F8" w:rsidRDefault="006427F8" w:rsidP="002E415C"/>
    <w:p w:rsidR="006427F8" w:rsidRDefault="006427F8" w:rsidP="002E415C"/>
    <w:p w:rsidR="00D07345" w:rsidRDefault="00D07345">
      <w:pPr>
        <w:spacing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:rsidR="006427F8" w:rsidRDefault="006427F8" w:rsidP="006427F8">
      <w:pPr>
        <w:pStyle w:val="Nadpis2"/>
        <w:spacing w:before="240" w:after="120"/>
        <w:jc w:val="both"/>
      </w:pPr>
      <w:r>
        <w:lastRenderedPageBreak/>
        <w:t>3.3 Podniky s inovačními aktivitami – mezinárodní srovnání</w:t>
      </w:r>
    </w:p>
    <w:p w:rsidR="006427F8" w:rsidRPr="006427F8" w:rsidRDefault="006427F8" w:rsidP="006427F8">
      <w:pPr>
        <w:spacing w:after="60"/>
        <w:jc w:val="both"/>
      </w:pPr>
      <w:r w:rsidRPr="006427F8">
        <w:t>Ve srovnání s dalšími členským</w:t>
      </w:r>
      <w:r>
        <w:t xml:space="preserve">i státy EU patřily </w:t>
      </w:r>
      <w:r w:rsidRPr="006427F8">
        <w:t xml:space="preserve">podniky v České republice v provádění inovačních aktivit </w:t>
      </w:r>
      <w:r w:rsidR="00DC4034">
        <w:t>v období 2012</w:t>
      </w:r>
      <w:r w:rsidR="00313E77">
        <w:t>–2014</w:t>
      </w:r>
      <w:r w:rsidR="00AE29DE" w:rsidRPr="006427F8">
        <w:t xml:space="preserve"> </w:t>
      </w:r>
      <w:r w:rsidRPr="006427F8">
        <w:t>k </w:t>
      </w:r>
      <w:r>
        <w:t>pod</w:t>
      </w:r>
      <w:r w:rsidRPr="006427F8">
        <w:t>průměru. V tomto období dos</w:t>
      </w:r>
      <w:r w:rsidR="004434A7">
        <w:t>áhl podíl inovujících podniků</w:t>
      </w:r>
      <w:r w:rsidR="00313E77">
        <w:t xml:space="preserve"> v ČR</w:t>
      </w:r>
      <w:r w:rsidR="004434A7">
        <w:t xml:space="preserve"> 42</w:t>
      </w:r>
      <w:r w:rsidRPr="006427F8">
        <w:t xml:space="preserve"> %, zat</w:t>
      </w:r>
      <w:r w:rsidR="008D0B8A">
        <w:t>ímco průměr za členské země EU28</w:t>
      </w:r>
      <w:r w:rsidR="004434A7">
        <w:t xml:space="preserve"> činil 49,1</w:t>
      </w:r>
      <w:r w:rsidRPr="006427F8">
        <w:t> %. Podíl in</w:t>
      </w:r>
      <w:r w:rsidR="004434A7">
        <w:t>ovujících podniků za období 2014–2016</w:t>
      </w:r>
      <w:r w:rsidR="00D9700D">
        <w:t xml:space="preserve"> v případě ČR </w:t>
      </w:r>
      <w:r w:rsidR="004434A7">
        <w:t xml:space="preserve">vzrostl na 46,3 %, lze tedy očekávat </w:t>
      </w:r>
      <w:r w:rsidR="00313E77">
        <w:t xml:space="preserve">možný </w:t>
      </w:r>
      <w:r w:rsidR="004434A7">
        <w:t>vzestup</w:t>
      </w:r>
      <w:r w:rsidRPr="006427F8">
        <w:t xml:space="preserve"> pozice ČR v žebříčku zemí</w:t>
      </w:r>
      <w:r w:rsidR="00AE29DE">
        <w:t xml:space="preserve"> podle inovativnosti</w:t>
      </w:r>
      <w:r w:rsidRPr="006427F8">
        <w:t xml:space="preserve">.   </w:t>
      </w:r>
    </w:p>
    <w:p w:rsidR="006427F8" w:rsidRPr="006427F8" w:rsidRDefault="006427F8" w:rsidP="00DE1B71">
      <w:pPr>
        <w:spacing w:after="120"/>
        <w:jc w:val="both"/>
      </w:pPr>
      <w:r w:rsidRPr="006427F8">
        <w:t xml:space="preserve">Nejvíce inovujících podniků bylo v období </w:t>
      </w:r>
      <w:r w:rsidR="00970CC2">
        <w:t>2012–2014</w:t>
      </w:r>
      <w:r w:rsidRPr="006427F8">
        <w:t xml:space="preserve"> </w:t>
      </w:r>
      <w:r w:rsidR="00970CC2">
        <w:t>zjištěno v Německu (67 %) a Lucembursku (65</w:t>
      </w:r>
      <w:r w:rsidRPr="006427F8">
        <w:t>,1 %), kde je silný bankovní sektor, který je obecně vysoce inovativní. Naopak nejmé</w:t>
      </w:r>
      <w:r w:rsidR="00DE1B71">
        <w:t>ně in</w:t>
      </w:r>
      <w:r w:rsidR="00970CC2">
        <w:t>ovovaly podniky v Rumunsku (12,8 %) a Polsku (21</w:t>
      </w:r>
      <w:r w:rsidRPr="006427F8">
        <w:t xml:space="preserve"> %). </w:t>
      </w:r>
    </w:p>
    <w:p w:rsidR="006427F8" w:rsidRPr="006427F8" w:rsidRDefault="006427F8" w:rsidP="0096108D">
      <w:pPr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3.3</w:t>
      </w:r>
      <w:r w:rsidRPr="006427F8">
        <w:rPr>
          <w:rFonts w:cs="Arial"/>
          <w:b/>
          <w:szCs w:val="20"/>
        </w:rPr>
        <w:t xml:space="preserve">-1: Podíl inovujících podniků na celkovém počtu podniků ve vybraných zemích </w:t>
      </w:r>
      <w:r w:rsidR="00796369">
        <w:rPr>
          <w:rFonts w:cs="Arial"/>
          <w:b/>
          <w:szCs w:val="20"/>
        </w:rPr>
        <w:t>EU28 a přidružených zemích; 2012–2014</w:t>
      </w:r>
    </w:p>
    <w:p w:rsidR="006427F8" w:rsidRDefault="006F5504" w:rsidP="006427F8">
      <w:r>
        <w:rPr>
          <w:noProof/>
        </w:rPr>
        <w:drawing>
          <wp:inline distT="0" distB="0" distL="0" distR="0" wp14:anchorId="0D05A666" wp14:editId="5A0A5C94">
            <wp:extent cx="6120000" cy="2592000"/>
            <wp:effectExtent l="0" t="0" r="0" b="0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427F8" w:rsidRPr="00FB3BAB" w:rsidRDefault="006427F8" w:rsidP="006427F8">
      <w:pPr>
        <w:spacing w:after="60"/>
        <w:jc w:val="both"/>
      </w:pPr>
      <w:r w:rsidRPr="00FB3BAB">
        <w:t xml:space="preserve">V zavádění technických </w:t>
      </w:r>
      <w:r w:rsidR="002130BB" w:rsidRPr="00FB3BAB">
        <w:t>inovací je pozice ČR mírně lepší</w:t>
      </w:r>
      <w:r w:rsidRPr="00FB3BAB">
        <w:t xml:space="preserve"> než v případě celkových inovačních aktivit. Podíl technicky inovuj</w:t>
      </w:r>
      <w:r w:rsidR="002130BB" w:rsidRPr="00FB3BAB">
        <w:t>ících podniků v ČR v období</w:t>
      </w:r>
      <w:r w:rsidR="00BD2D19" w:rsidRPr="00FB3BAB">
        <w:t xml:space="preserve"> 2012–2014</w:t>
      </w:r>
      <w:r w:rsidR="002130BB" w:rsidRPr="00FB3BAB">
        <w:t xml:space="preserve"> dosáhl </w:t>
      </w:r>
      <w:r w:rsidR="00FB3BAB" w:rsidRPr="00FB3BAB">
        <w:t>35,7</w:t>
      </w:r>
      <w:r w:rsidR="002130BB" w:rsidRPr="00FB3BAB">
        <w:t xml:space="preserve"> %, zatímco podíl za EU28 činil </w:t>
      </w:r>
      <w:r w:rsidR="00FB3BAB" w:rsidRPr="00FB3BAB">
        <w:t>36,8</w:t>
      </w:r>
      <w:r w:rsidRPr="00FB3BAB">
        <w:t xml:space="preserve"> %. Technické inovace jsou považovány v rámci inovačních aktivit za primární. </w:t>
      </w:r>
    </w:p>
    <w:p w:rsidR="006427F8" w:rsidRPr="00D9700D" w:rsidRDefault="006427F8" w:rsidP="009E7AB7">
      <w:pPr>
        <w:spacing w:after="120"/>
        <w:jc w:val="both"/>
      </w:pPr>
      <w:r w:rsidRPr="00B21B8C">
        <w:t xml:space="preserve">Nejvíce se </w:t>
      </w:r>
      <w:r w:rsidR="002130BB" w:rsidRPr="00B21B8C">
        <w:t>technickým inovacím v rámci EU28</w:t>
      </w:r>
      <w:r w:rsidRPr="00B21B8C">
        <w:t xml:space="preserve"> věnova</w:t>
      </w:r>
      <w:r w:rsidR="009E7AB7" w:rsidRPr="00B21B8C">
        <w:t>ly podniky v</w:t>
      </w:r>
      <w:r w:rsidR="00FB3BAB" w:rsidRPr="00B21B8C">
        <w:t> Belgii (52,9 %) a Německu (podíl 52,6</w:t>
      </w:r>
      <w:r w:rsidRPr="00B21B8C">
        <w:t xml:space="preserve"> %)</w:t>
      </w:r>
      <w:r w:rsidR="00FB3BAB" w:rsidRPr="00B21B8C">
        <w:t>.</w:t>
      </w:r>
      <w:r w:rsidR="009E7AB7" w:rsidRPr="00B21B8C">
        <w:t xml:space="preserve"> </w:t>
      </w:r>
      <w:r w:rsidR="00F87148">
        <w:t xml:space="preserve">Pouze v těchto zemích překročil podíl technicky inovujících podniků hranici 50 %. </w:t>
      </w:r>
      <w:r w:rsidRPr="00B21B8C">
        <w:t xml:space="preserve">Nejmenší podíl byl naproti tomu </w:t>
      </w:r>
      <w:r w:rsidR="009E7AB7" w:rsidRPr="00B21B8C">
        <w:t>z</w:t>
      </w:r>
      <w:r w:rsidR="00FB3BAB" w:rsidRPr="00B21B8C">
        <w:t>jištěn u podniků v Rumunsku (6,5 %) a Lotyšsku (13,8</w:t>
      </w:r>
      <w:r w:rsidRPr="00B21B8C">
        <w:t xml:space="preserve"> %). </w:t>
      </w:r>
    </w:p>
    <w:p w:rsidR="006427F8" w:rsidRPr="006427F8" w:rsidRDefault="006427F8" w:rsidP="007A76A8">
      <w:pPr>
        <w:ind w:left="1134" w:hanging="1134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3.3</w:t>
      </w:r>
      <w:r w:rsidRPr="006427F8">
        <w:rPr>
          <w:rFonts w:cs="Arial"/>
          <w:b/>
          <w:szCs w:val="20"/>
        </w:rPr>
        <w:t xml:space="preserve">-2: Podíl technicky inovujících podniků na celkovém počtu podniků ve vybraných zemích </w:t>
      </w:r>
      <w:r w:rsidR="00BD2D19">
        <w:rPr>
          <w:rFonts w:cs="Arial"/>
          <w:b/>
          <w:szCs w:val="20"/>
        </w:rPr>
        <w:t>EU28 a přidružených zemích; 2012–2014</w:t>
      </w:r>
    </w:p>
    <w:p w:rsidR="006427F8" w:rsidRPr="006C070D" w:rsidRDefault="00586591" w:rsidP="006427F8">
      <w:pPr>
        <w:ind w:left="851" w:hanging="851"/>
        <w:rPr>
          <w:rFonts w:ascii="Calibri" w:hAnsi="Calibri"/>
          <w:b/>
          <w:color w:val="1F497D"/>
          <w:sz w:val="18"/>
        </w:rPr>
      </w:pPr>
      <w:r>
        <w:rPr>
          <w:noProof/>
        </w:rPr>
        <w:drawing>
          <wp:inline distT="0" distB="0" distL="0" distR="0" wp14:anchorId="638B88CB" wp14:editId="0CBB4663">
            <wp:extent cx="6120000" cy="2592000"/>
            <wp:effectExtent l="0" t="0" r="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427F8" w:rsidRPr="002E415C" w:rsidRDefault="006427F8" w:rsidP="002E415C"/>
    <w:sectPr w:rsidR="006427F8" w:rsidRPr="002E415C" w:rsidSect="00941DD2">
      <w:headerReference w:type="even" r:id="rId35"/>
      <w:headerReference w:type="default" r:id="rId36"/>
      <w:footerReference w:type="even" r:id="rId37"/>
      <w:footerReference w:type="default" r:id="rId38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50" w:rsidRDefault="00EC6650" w:rsidP="00E71A58">
      <w:r>
        <w:separator/>
      </w:r>
    </w:p>
  </w:endnote>
  <w:endnote w:type="continuationSeparator" w:id="0">
    <w:p w:rsidR="00EC6650" w:rsidRDefault="00EC66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D" w:rsidRDefault="00F52C0D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75C57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2014–2016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D" w:rsidRDefault="00F52C0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52C0D" w:rsidRDefault="00F52C0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2014–2016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F75C57">
      <w:rPr>
        <w:rFonts w:ascii="Arial" w:hAnsi="Arial" w:cs="Arial"/>
        <w:noProof/>
        <w:sz w:val="16"/>
        <w:szCs w:val="16"/>
      </w:rPr>
      <w:t>19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50" w:rsidRDefault="00EC6650" w:rsidP="00E71A58">
      <w:r>
        <w:separator/>
      </w:r>
    </w:p>
  </w:footnote>
  <w:footnote w:type="continuationSeparator" w:id="0">
    <w:p w:rsidR="00EC6650" w:rsidRDefault="00EC6650" w:rsidP="00E71A58">
      <w:r>
        <w:continuationSeparator/>
      </w:r>
    </w:p>
  </w:footnote>
  <w:footnote w:id="1">
    <w:p w:rsidR="00F52C0D" w:rsidRPr="005D54BB" w:rsidRDefault="00F52C0D">
      <w:pPr>
        <w:pStyle w:val="Textpoznpodarou"/>
        <w:rPr>
          <w:sz w:val="18"/>
        </w:rPr>
      </w:pPr>
      <w:r w:rsidRPr="005D54BB">
        <w:rPr>
          <w:rStyle w:val="Znakapoznpodarou"/>
          <w:sz w:val="18"/>
        </w:rPr>
        <w:footnoteRef/>
      </w:r>
      <w:r w:rsidRPr="005D54BB">
        <w:rPr>
          <w:sz w:val="18"/>
        </w:rPr>
        <w:t xml:space="preserve"> </w:t>
      </w:r>
      <w:r>
        <w:rPr>
          <w:sz w:val="18"/>
        </w:rPr>
        <w:t xml:space="preserve">Podíl inovujících malých podniků v ČR byl v tomto období o rovných 10 procentních bodů nižší. </w:t>
      </w:r>
    </w:p>
  </w:footnote>
  <w:footnote w:id="2">
    <w:p w:rsidR="00F52C0D" w:rsidRPr="003C63D9" w:rsidRDefault="00F52C0D">
      <w:pPr>
        <w:pStyle w:val="Textpoznpodarou"/>
        <w:rPr>
          <w:sz w:val="18"/>
          <w:szCs w:val="18"/>
        </w:rPr>
      </w:pPr>
      <w:r w:rsidRPr="003C63D9">
        <w:rPr>
          <w:rStyle w:val="Znakapoznpodarou"/>
          <w:sz w:val="18"/>
          <w:szCs w:val="18"/>
        </w:rPr>
        <w:footnoteRef/>
      </w:r>
      <w:r w:rsidRPr="003C63D9">
        <w:rPr>
          <w:sz w:val="18"/>
          <w:szCs w:val="18"/>
        </w:rPr>
        <w:t xml:space="preserve"> </w:t>
      </w:r>
      <w:r w:rsidRPr="003C63D9">
        <w:rPr>
          <w:rFonts w:cs="Arial"/>
          <w:sz w:val="18"/>
          <w:szCs w:val="18"/>
        </w:rPr>
        <w:t xml:space="preserve">Průmysl je vymezen jako NACE B+C+D+E. Blíže viz tabulky 1A/B v tabulkové příloze. </w:t>
      </w:r>
    </w:p>
  </w:footnote>
  <w:footnote w:id="3">
    <w:p w:rsidR="00F52C0D" w:rsidRPr="00031A9F" w:rsidRDefault="00F52C0D">
      <w:pPr>
        <w:pStyle w:val="Textpoznpodarou"/>
        <w:rPr>
          <w:sz w:val="18"/>
        </w:rPr>
      </w:pPr>
      <w:r w:rsidRPr="00031A9F">
        <w:rPr>
          <w:rStyle w:val="Znakapoznpodarou"/>
          <w:sz w:val="18"/>
        </w:rPr>
        <w:footnoteRef/>
      </w:r>
      <w:r w:rsidRPr="00031A9F">
        <w:rPr>
          <w:sz w:val="18"/>
        </w:rPr>
        <w:t xml:space="preserve"> Počet podniků s produktovou inovací = podni</w:t>
      </w:r>
      <w:r>
        <w:rPr>
          <w:sz w:val="18"/>
        </w:rPr>
        <w:t xml:space="preserve">ky pouze s produktovou inovací </w:t>
      </w:r>
      <w:r w:rsidRPr="00031A9F">
        <w:rPr>
          <w:sz w:val="18"/>
        </w:rPr>
        <w:t>+ podniky s produktovou a procesní inovací</w:t>
      </w:r>
    </w:p>
  </w:footnote>
  <w:footnote w:id="4">
    <w:p w:rsidR="00F52C0D" w:rsidRPr="009A5CC8" w:rsidRDefault="00F52C0D">
      <w:pPr>
        <w:pStyle w:val="Textpoznpodarou"/>
        <w:rPr>
          <w:sz w:val="18"/>
        </w:rPr>
      </w:pPr>
      <w:r w:rsidRPr="009A5CC8">
        <w:rPr>
          <w:rStyle w:val="Znakapoznpodarou"/>
          <w:sz w:val="18"/>
        </w:rPr>
        <w:footnoteRef/>
      </w:r>
      <w:r w:rsidRPr="009A5CC8">
        <w:rPr>
          <w:sz w:val="18"/>
        </w:rPr>
        <w:t xml:space="preserve"> </w:t>
      </w:r>
      <w:r>
        <w:rPr>
          <w:sz w:val="18"/>
        </w:rPr>
        <w:t xml:space="preserve">Znalostní báze: součet vnitropodnikového VaV + nákupu služeb VaV + pořízení externích znalostí.  Zbytek nákladů na technické inovace tvoří neznalostní bázi nákladů. </w:t>
      </w:r>
    </w:p>
  </w:footnote>
  <w:footnote w:id="5">
    <w:p w:rsidR="00F52C0D" w:rsidRDefault="00F52C0D" w:rsidP="00D44919">
      <w:pPr>
        <w:pStyle w:val="Textpoznpodarou"/>
      </w:pPr>
      <w:r w:rsidRPr="007B7003">
        <w:rPr>
          <w:rStyle w:val="Znakapoznpodarou"/>
          <w:sz w:val="18"/>
        </w:rPr>
        <w:footnoteRef/>
      </w:r>
      <w:r w:rsidRPr="007B7003">
        <w:rPr>
          <w:sz w:val="18"/>
        </w:rPr>
        <w:t xml:space="preserve"> Jedná se o klíčová odvětví pro inovace dle definice Eurostatu. Blíže viz metodika statistické úlohy.</w:t>
      </w:r>
    </w:p>
  </w:footnote>
  <w:footnote w:id="6">
    <w:p w:rsidR="00F52C0D" w:rsidRPr="002B2AA3" w:rsidRDefault="00F52C0D">
      <w:pPr>
        <w:pStyle w:val="Textpoznpodarou"/>
        <w:rPr>
          <w:rFonts w:cs="Arial"/>
          <w:sz w:val="18"/>
          <w:szCs w:val="18"/>
        </w:rPr>
      </w:pPr>
      <w:r w:rsidRPr="002B2AA3">
        <w:rPr>
          <w:rStyle w:val="Znakapoznpodarou"/>
          <w:rFonts w:cs="Arial"/>
          <w:sz w:val="18"/>
          <w:szCs w:val="18"/>
        </w:rPr>
        <w:footnoteRef/>
      </w:r>
      <w:r w:rsidRPr="002B2AA3">
        <w:rPr>
          <w:rFonts w:cs="Arial"/>
          <w:sz w:val="18"/>
          <w:szCs w:val="18"/>
        </w:rPr>
        <w:t xml:space="preserve"> Uvedené podíly jsou bez ohledu na ostatní inovace. To znamená, že podnik může zavést zároveň technickou i netechnickou inovaci. Podíl podniků, které zavedly oba zmíněné druhy současně,</w:t>
      </w:r>
      <w:r>
        <w:rPr>
          <w:rFonts w:cs="Arial"/>
          <w:sz w:val="18"/>
          <w:szCs w:val="18"/>
        </w:rPr>
        <w:t xml:space="preserve"> dosáhl 23,6</w:t>
      </w:r>
      <w:r w:rsidRPr="002B2AA3">
        <w:rPr>
          <w:rFonts w:cs="Arial"/>
          <w:sz w:val="18"/>
          <w:szCs w:val="18"/>
        </w:rPr>
        <w:t xml:space="preserve"> %. </w:t>
      </w:r>
      <w:r>
        <w:rPr>
          <w:rFonts w:cs="Arial"/>
          <w:sz w:val="18"/>
          <w:szCs w:val="18"/>
        </w:rPr>
        <w:t>Blíže viz tabulka 16</w:t>
      </w:r>
      <w:r w:rsidRPr="002B2AA3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/16</w:t>
      </w:r>
      <w:r w:rsidRPr="002B2AA3">
        <w:rPr>
          <w:rFonts w:cs="Arial"/>
          <w:sz w:val="18"/>
          <w:szCs w:val="18"/>
        </w:rPr>
        <w:t>B, kde je uvedeno jiné členění technických a netechnických inovací.</w:t>
      </w:r>
    </w:p>
  </w:footnote>
  <w:footnote w:id="7">
    <w:p w:rsidR="00F52C0D" w:rsidRPr="00E14AE7" w:rsidRDefault="00F52C0D">
      <w:pPr>
        <w:pStyle w:val="Textpoznpodarou"/>
        <w:rPr>
          <w:rFonts w:cs="Arial"/>
          <w:sz w:val="18"/>
          <w:szCs w:val="18"/>
        </w:rPr>
      </w:pPr>
      <w:r w:rsidRPr="00E14AE7">
        <w:rPr>
          <w:rStyle w:val="Znakapoznpodarou"/>
          <w:rFonts w:cs="Arial"/>
          <w:sz w:val="18"/>
          <w:szCs w:val="18"/>
        </w:rPr>
        <w:footnoteRef/>
      </w:r>
      <w:r w:rsidRPr="00E14AE7">
        <w:rPr>
          <w:rFonts w:cs="Arial"/>
          <w:sz w:val="18"/>
          <w:szCs w:val="18"/>
        </w:rPr>
        <w:t xml:space="preserve"> Technickou i netechnickou inovaci zároveň</w:t>
      </w:r>
      <w:r>
        <w:rPr>
          <w:rFonts w:cs="Arial"/>
          <w:sz w:val="18"/>
          <w:szCs w:val="18"/>
        </w:rPr>
        <w:t xml:space="preserve"> zavedlo </w:t>
      </w:r>
      <w:r w:rsidRPr="00E079D7">
        <w:rPr>
          <w:rFonts w:cs="Arial"/>
          <w:sz w:val="18"/>
          <w:szCs w:val="18"/>
        </w:rPr>
        <w:t>26,3 % podniků</w:t>
      </w:r>
      <w:r w:rsidRPr="00E14AE7">
        <w:rPr>
          <w:rFonts w:cs="Arial"/>
          <w:sz w:val="18"/>
          <w:szCs w:val="18"/>
        </w:rPr>
        <w:t>. Bl</w:t>
      </w:r>
      <w:r>
        <w:rPr>
          <w:rFonts w:cs="Arial"/>
          <w:sz w:val="18"/>
          <w:szCs w:val="18"/>
        </w:rPr>
        <w:t>íže viz tabulka 16</w:t>
      </w:r>
      <w:r w:rsidRPr="00E14AE7">
        <w:rPr>
          <w:rFonts w:cs="Arial"/>
          <w:sz w:val="18"/>
          <w:szCs w:val="18"/>
        </w:rPr>
        <w:t>B.</w:t>
      </w:r>
    </w:p>
  </w:footnote>
  <w:footnote w:id="8">
    <w:p w:rsidR="00F52C0D" w:rsidRPr="004D042F" w:rsidRDefault="00F52C0D">
      <w:pPr>
        <w:pStyle w:val="Textpoznpodarou"/>
        <w:rPr>
          <w:rFonts w:cs="Arial"/>
          <w:sz w:val="18"/>
          <w:szCs w:val="18"/>
        </w:rPr>
      </w:pPr>
      <w:r w:rsidRPr="004D042F">
        <w:rPr>
          <w:rStyle w:val="Znakapoznpodarou"/>
          <w:rFonts w:cs="Arial"/>
          <w:sz w:val="18"/>
          <w:szCs w:val="18"/>
        </w:rPr>
        <w:footnoteRef/>
      </w:r>
      <w:r w:rsidRPr="004D042F">
        <w:rPr>
          <w:rFonts w:cs="Arial"/>
          <w:sz w:val="18"/>
          <w:szCs w:val="18"/>
        </w:rPr>
        <w:t xml:space="preserve"> V období 2006–2008 v době vrcholu ekonomického cyklu těsně před vypuknutím krize podniky také inovovaly více své procesy než produkty. V letech 2008 až 2014 se podniky více soustředily na inovaci produktů. </w:t>
      </w:r>
    </w:p>
  </w:footnote>
  <w:footnote w:id="9">
    <w:p w:rsidR="00F52C0D" w:rsidRPr="000972D2" w:rsidRDefault="00F52C0D">
      <w:pPr>
        <w:pStyle w:val="Textpoznpodarou"/>
        <w:rPr>
          <w:sz w:val="18"/>
          <w:szCs w:val="18"/>
        </w:rPr>
      </w:pPr>
      <w:r w:rsidRPr="004D042F">
        <w:rPr>
          <w:rStyle w:val="Znakapoznpodarou"/>
          <w:rFonts w:cs="Arial"/>
          <w:sz w:val="18"/>
          <w:szCs w:val="18"/>
        </w:rPr>
        <w:footnoteRef/>
      </w:r>
      <w:r w:rsidRPr="004D042F">
        <w:rPr>
          <w:rFonts w:cs="Arial"/>
          <w:sz w:val="18"/>
          <w:szCs w:val="18"/>
        </w:rPr>
        <w:t xml:space="preserve"> Neukončené či zastavené inovační aktivity se sledují pouze u technických inovací. Podíl podniků s neukončenými či zastavenými technickými inovacemi se zahrnuje jak do celkového podílu inovujících podniků, tak i do podílu technicky inovujících podniků. Blíže viz TAB 18A/18B.</w:t>
      </w:r>
      <w:r>
        <w:rPr>
          <w:sz w:val="18"/>
          <w:szCs w:val="18"/>
        </w:rPr>
        <w:t xml:space="preserve"> </w:t>
      </w:r>
    </w:p>
  </w:footnote>
  <w:footnote w:id="10">
    <w:p w:rsidR="00F52C0D" w:rsidRPr="00C44980" w:rsidRDefault="00F52C0D">
      <w:pPr>
        <w:pStyle w:val="Textpoznpodarou"/>
        <w:rPr>
          <w:sz w:val="18"/>
        </w:rPr>
      </w:pPr>
      <w:r w:rsidRPr="00C44980">
        <w:rPr>
          <w:rStyle w:val="Znakapoznpodarou"/>
          <w:sz w:val="18"/>
        </w:rPr>
        <w:footnoteRef/>
      </w:r>
      <w:r w:rsidRPr="00C44980">
        <w:rPr>
          <w:sz w:val="18"/>
        </w:rPr>
        <w:t xml:space="preserve"> </w:t>
      </w:r>
      <w:r>
        <w:rPr>
          <w:sz w:val="18"/>
        </w:rPr>
        <w:t>Blíže k tomu viz tabulka 18B.</w:t>
      </w:r>
    </w:p>
  </w:footnote>
  <w:footnote w:id="11">
    <w:p w:rsidR="00F52C0D" w:rsidRDefault="00F52C0D">
      <w:pPr>
        <w:pStyle w:val="Textpoznpodarou"/>
      </w:pPr>
      <w:r w:rsidRPr="005A7EA7">
        <w:rPr>
          <w:rStyle w:val="Znakapoznpodarou"/>
          <w:sz w:val="18"/>
        </w:rPr>
        <w:footnoteRef/>
      </w:r>
      <w:r w:rsidRPr="005A7EA7">
        <w:rPr>
          <w:sz w:val="18"/>
        </w:rPr>
        <w:t xml:space="preserve"> Ostatní ekonomické sekce a odvětví viz tabulka TAB </w:t>
      </w:r>
      <w:r>
        <w:rPr>
          <w:sz w:val="18"/>
        </w:rPr>
        <w:t>19</w:t>
      </w:r>
      <w:r w:rsidRPr="005A7EA7">
        <w:rPr>
          <w:sz w:val="18"/>
        </w:rPr>
        <w:t>A</w:t>
      </w:r>
      <w:r>
        <w:rPr>
          <w:sz w:val="18"/>
        </w:rPr>
        <w:t>/19B</w:t>
      </w:r>
      <w:r w:rsidRPr="005A7EA7">
        <w:rPr>
          <w:sz w:val="18"/>
        </w:rPr>
        <w:t>.</w:t>
      </w:r>
    </w:p>
  </w:footnote>
  <w:footnote w:id="12">
    <w:p w:rsidR="00F52C0D" w:rsidRPr="001C48A8" w:rsidRDefault="00F52C0D">
      <w:pPr>
        <w:pStyle w:val="Textpoznpodarou"/>
        <w:rPr>
          <w:sz w:val="18"/>
          <w:szCs w:val="18"/>
        </w:rPr>
      </w:pPr>
      <w:r w:rsidRPr="001C48A8">
        <w:rPr>
          <w:rStyle w:val="Znakapoznpodarou"/>
          <w:sz w:val="18"/>
          <w:szCs w:val="18"/>
        </w:rPr>
        <w:footnoteRef/>
      </w:r>
      <w:r w:rsidRPr="001C48A8">
        <w:rPr>
          <w:sz w:val="18"/>
          <w:szCs w:val="18"/>
        </w:rPr>
        <w:t xml:space="preserve"> </w:t>
      </w:r>
      <w:r w:rsidR="00356D35">
        <w:rPr>
          <w:rFonts w:cs="Arial"/>
          <w:sz w:val="18"/>
          <w:szCs w:val="18"/>
        </w:rPr>
        <w:t>Otázka ve výkaze byla koncipována tak, že podnik mohl</w:t>
      </w:r>
      <w:r w:rsidRPr="001C48A8">
        <w:rPr>
          <w:rFonts w:cs="Arial"/>
          <w:sz w:val="18"/>
          <w:szCs w:val="18"/>
        </w:rPr>
        <w:t xml:space="preserve"> označit více variant odpovědí, proto součet podílů není roven 100 %. Podnik může inovovat/vyvíjet výrobky ve svém portfoliu odlišným způsobem. </w:t>
      </w:r>
    </w:p>
  </w:footnote>
  <w:footnote w:id="13">
    <w:p w:rsidR="00F52C0D" w:rsidRPr="009D4AED" w:rsidRDefault="00F52C0D">
      <w:pPr>
        <w:pStyle w:val="Textpoznpodarou"/>
        <w:rPr>
          <w:sz w:val="18"/>
        </w:rPr>
      </w:pPr>
      <w:r w:rsidRPr="009D4AED">
        <w:rPr>
          <w:rStyle w:val="Znakapoznpodarou"/>
          <w:sz w:val="18"/>
        </w:rPr>
        <w:footnoteRef/>
      </w:r>
      <w:r w:rsidRPr="009D4AED">
        <w:rPr>
          <w:sz w:val="18"/>
        </w:rPr>
        <w:t xml:space="preserve"> Kompletní přehled všech </w:t>
      </w:r>
      <w:r>
        <w:rPr>
          <w:sz w:val="18"/>
        </w:rPr>
        <w:t>sledovaných sekcí viz tabulka 23</w:t>
      </w:r>
      <w:r w:rsidRPr="009D4AED">
        <w:rPr>
          <w:sz w:val="18"/>
        </w:rPr>
        <w:t>A.</w:t>
      </w:r>
    </w:p>
  </w:footnote>
  <w:footnote w:id="14">
    <w:p w:rsidR="00F52C0D" w:rsidRDefault="00F52C0D">
      <w:pPr>
        <w:pStyle w:val="Textpoznpodarou"/>
      </w:pPr>
      <w:r w:rsidRPr="00A31C0B">
        <w:rPr>
          <w:rStyle w:val="Znakapoznpodarou"/>
          <w:sz w:val="18"/>
        </w:rPr>
        <w:footnoteRef/>
      </w:r>
      <w:r w:rsidRPr="00A31C0B">
        <w:rPr>
          <w:sz w:val="18"/>
        </w:rPr>
        <w:t xml:space="preserve"> </w:t>
      </w:r>
      <w:r>
        <w:rPr>
          <w:sz w:val="18"/>
        </w:rPr>
        <w:t xml:space="preserve">Jedná se o pořízení následujících průmyslových práv: </w:t>
      </w:r>
      <w:r w:rsidRPr="00A31C0B">
        <w:rPr>
          <w:sz w:val="18"/>
        </w:rPr>
        <w:t>know-how, patent, průmyslových vzor, ochranná známka atd</w:t>
      </w:r>
      <w:r>
        <w:rPr>
          <w:sz w:val="18"/>
        </w:rPr>
        <w:t>.</w:t>
      </w:r>
    </w:p>
  </w:footnote>
  <w:footnote w:id="15">
    <w:p w:rsidR="00F52C0D" w:rsidRDefault="00F52C0D">
      <w:pPr>
        <w:pStyle w:val="Textpoznpodarou"/>
      </w:pPr>
      <w:r w:rsidRPr="00D92D6A">
        <w:rPr>
          <w:rStyle w:val="Znakapoznpodarou"/>
          <w:sz w:val="18"/>
        </w:rPr>
        <w:footnoteRef/>
      </w:r>
      <w:r w:rsidRPr="00D92D6A">
        <w:rPr>
          <w:sz w:val="18"/>
        </w:rPr>
        <w:t xml:space="preserve"> </w:t>
      </w:r>
      <w:r>
        <w:rPr>
          <w:sz w:val="18"/>
        </w:rPr>
        <w:t>v</w:t>
      </w:r>
      <w:r w:rsidRPr="00D92D6A">
        <w:rPr>
          <w:sz w:val="18"/>
        </w:rPr>
        <w:t>nitropodnikový VaV, nákup služeb VaV a pořízení jiných externích znalostí</w:t>
      </w:r>
    </w:p>
  </w:footnote>
  <w:footnote w:id="16">
    <w:p w:rsidR="00F52C0D" w:rsidRDefault="00F52C0D">
      <w:pPr>
        <w:pStyle w:val="Textpoznpodarou"/>
      </w:pPr>
      <w:r w:rsidRPr="007C5565">
        <w:rPr>
          <w:rStyle w:val="Znakapoznpodarou"/>
          <w:sz w:val="18"/>
        </w:rPr>
        <w:footnoteRef/>
      </w:r>
      <w:r w:rsidRPr="007C5565">
        <w:rPr>
          <w:sz w:val="18"/>
        </w:rPr>
        <w:t xml:space="preserve"> zahrnuje procesní, produktové, marketingové i organizační inovace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D" w:rsidRPr="00AD306C" w:rsidRDefault="00F52C0D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0D" w:rsidRPr="00AD306C" w:rsidRDefault="00F52C0D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F52C0D" w:rsidRPr="00DC5B3B" w:rsidRDefault="00F52C0D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1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3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37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35"/>
  </w:num>
  <w:num w:numId="5">
    <w:abstractNumId w:val="24"/>
  </w:num>
  <w:num w:numId="6">
    <w:abstractNumId w:val="10"/>
  </w:num>
  <w:num w:numId="7">
    <w:abstractNumId w:val="7"/>
  </w:num>
  <w:num w:numId="8">
    <w:abstractNumId w:val="20"/>
  </w:num>
  <w:num w:numId="9">
    <w:abstractNumId w:val="6"/>
  </w:num>
  <w:num w:numId="10">
    <w:abstractNumId w:val="17"/>
  </w:num>
  <w:num w:numId="11">
    <w:abstractNumId w:val="21"/>
  </w:num>
  <w:num w:numId="12">
    <w:abstractNumId w:val="23"/>
  </w:num>
  <w:num w:numId="13">
    <w:abstractNumId w:val="29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1"/>
  </w:num>
  <w:num w:numId="17">
    <w:abstractNumId w:val="22"/>
  </w:num>
  <w:num w:numId="18">
    <w:abstractNumId w:val="19"/>
  </w:num>
  <w:num w:numId="19">
    <w:abstractNumId w:val="18"/>
  </w:num>
  <w:num w:numId="20">
    <w:abstractNumId w:val="39"/>
  </w:num>
  <w:num w:numId="21">
    <w:abstractNumId w:val="14"/>
  </w:num>
  <w:num w:numId="22">
    <w:abstractNumId w:val="2"/>
  </w:num>
  <w:num w:numId="23">
    <w:abstractNumId w:val="41"/>
  </w:num>
  <w:num w:numId="24">
    <w:abstractNumId w:val="1"/>
  </w:num>
  <w:num w:numId="25">
    <w:abstractNumId w:val="37"/>
  </w:num>
  <w:num w:numId="26">
    <w:abstractNumId w:val="11"/>
  </w:num>
  <w:num w:numId="27">
    <w:abstractNumId w:val="15"/>
  </w:num>
  <w:num w:numId="28">
    <w:abstractNumId w:val="5"/>
  </w:num>
  <w:num w:numId="29">
    <w:abstractNumId w:val="30"/>
  </w:num>
  <w:num w:numId="30">
    <w:abstractNumId w:val="13"/>
  </w:num>
  <w:num w:numId="31">
    <w:abstractNumId w:val="33"/>
  </w:num>
  <w:num w:numId="32">
    <w:abstractNumId w:val="32"/>
  </w:num>
  <w:num w:numId="33">
    <w:abstractNumId w:val="42"/>
  </w:num>
  <w:num w:numId="34">
    <w:abstractNumId w:val="28"/>
  </w:num>
  <w:num w:numId="35">
    <w:abstractNumId w:val="0"/>
  </w:num>
  <w:num w:numId="36">
    <w:abstractNumId w:val="34"/>
  </w:num>
  <w:num w:numId="37">
    <w:abstractNumId w:val="40"/>
  </w:num>
  <w:num w:numId="38">
    <w:abstractNumId w:val="4"/>
  </w:num>
  <w:num w:numId="39">
    <w:abstractNumId w:val="16"/>
  </w:num>
  <w:num w:numId="40">
    <w:abstractNumId w:val="26"/>
  </w:num>
  <w:num w:numId="41">
    <w:abstractNumId w:val="8"/>
  </w:num>
  <w:num w:numId="42">
    <w:abstractNumId w:val="38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174D"/>
    <w:rsid w:val="000017DB"/>
    <w:rsid w:val="00003277"/>
    <w:rsid w:val="000032BB"/>
    <w:rsid w:val="000049B0"/>
    <w:rsid w:val="00007143"/>
    <w:rsid w:val="0000767A"/>
    <w:rsid w:val="00010702"/>
    <w:rsid w:val="0001372E"/>
    <w:rsid w:val="00014413"/>
    <w:rsid w:val="000158B9"/>
    <w:rsid w:val="00016CCE"/>
    <w:rsid w:val="00017938"/>
    <w:rsid w:val="00020738"/>
    <w:rsid w:val="00020855"/>
    <w:rsid w:val="000227CF"/>
    <w:rsid w:val="00023A06"/>
    <w:rsid w:val="00023DB5"/>
    <w:rsid w:val="000241E9"/>
    <w:rsid w:val="00024229"/>
    <w:rsid w:val="00025F04"/>
    <w:rsid w:val="00026BB4"/>
    <w:rsid w:val="00030C06"/>
    <w:rsid w:val="00031A9F"/>
    <w:rsid w:val="000335DE"/>
    <w:rsid w:val="00033BC0"/>
    <w:rsid w:val="000350E5"/>
    <w:rsid w:val="00035ABC"/>
    <w:rsid w:val="00036694"/>
    <w:rsid w:val="000368A7"/>
    <w:rsid w:val="00041336"/>
    <w:rsid w:val="000415AA"/>
    <w:rsid w:val="000435CC"/>
    <w:rsid w:val="00045F6E"/>
    <w:rsid w:val="0004645B"/>
    <w:rsid w:val="0004694F"/>
    <w:rsid w:val="00046976"/>
    <w:rsid w:val="00046DAC"/>
    <w:rsid w:val="00047444"/>
    <w:rsid w:val="00047927"/>
    <w:rsid w:val="00047A62"/>
    <w:rsid w:val="00047F45"/>
    <w:rsid w:val="0005037C"/>
    <w:rsid w:val="00051C4D"/>
    <w:rsid w:val="00052B2A"/>
    <w:rsid w:val="0005325B"/>
    <w:rsid w:val="00054477"/>
    <w:rsid w:val="00054847"/>
    <w:rsid w:val="0005739C"/>
    <w:rsid w:val="00057709"/>
    <w:rsid w:val="0006102A"/>
    <w:rsid w:val="00062A19"/>
    <w:rsid w:val="00062EC5"/>
    <w:rsid w:val="00063E83"/>
    <w:rsid w:val="00064171"/>
    <w:rsid w:val="000643D1"/>
    <w:rsid w:val="00072D21"/>
    <w:rsid w:val="0007392B"/>
    <w:rsid w:val="00074904"/>
    <w:rsid w:val="0008072A"/>
    <w:rsid w:val="00080B27"/>
    <w:rsid w:val="00080E37"/>
    <w:rsid w:val="0008174F"/>
    <w:rsid w:val="000819B6"/>
    <w:rsid w:val="00081AAC"/>
    <w:rsid w:val="00082212"/>
    <w:rsid w:val="00082307"/>
    <w:rsid w:val="00083CC3"/>
    <w:rsid w:val="00085870"/>
    <w:rsid w:val="00085C23"/>
    <w:rsid w:val="00087634"/>
    <w:rsid w:val="00087A0A"/>
    <w:rsid w:val="00090840"/>
    <w:rsid w:val="000912D2"/>
    <w:rsid w:val="00091BF2"/>
    <w:rsid w:val="00092214"/>
    <w:rsid w:val="000932E5"/>
    <w:rsid w:val="00093B40"/>
    <w:rsid w:val="000946D6"/>
    <w:rsid w:val="00096191"/>
    <w:rsid w:val="000972D2"/>
    <w:rsid w:val="00097BCC"/>
    <w:rsid w:val="000A03DC"/>
    <w:rsid w:val="000A0811"/>
    <w:rsid w:val="000A0991"/>
    <w:rsid w:val="000A1183"/>
    <w:rsid w:val="000A26A6"/>
    <w:rsid w:val="000A3B9D"/>
    <w:rsid w:val="000A4136"/>
    <w:rsid w:val="000B0063"/>
    <w:rsid w:val="000B064B"/>
    <w:rsid w:val="000B0777"/>
    <w:rsid w:val="000B1406"/>
    <w:rsid w:val="000B1F4E"/>
    <w:rsid w:val="000B64CF"/>
    <w:rsid w:val="000B713C"/>
    <w:rsid w:val="000C1011"/>
    <w:rsid w:val="000C1883"/>
    <w:rsid w:val="000C30BD"/>
    <w:rsid w:val="000C3408"/>
    <w:rsid w:val="000C4ABE"/>
    <w:rsid w:val="000C52AF"/>
    <w:rsid w:val="000C5553"/>
    <w:rsid w:val="000C5FBB"/>
    <w:rsid w:val="000C6061"/>
    <w:rsid w:val="000C778A"/>
    <w:rsid w:val="000D0345"/>
    <w:rsid w:val="000D0919"/>
    <w:rsid w:val="000D09E8"/>
    <w:rsid w:val="000D0EBF"/>
    <w:rsid w:val="000D1504"/>
    <w:rsid w:val="000D1A55"/>
    <w:rsid w:val="000D25A1"/>
    <w:rsid w:val="000D441E"/>
    <w:rsid w:val="000D4ED6"/>
    <w:rsid w:val="000D5146"/>
    <w:rsid w:val="000D57B2"/>
    <w:rsid w:val="000E1F26"/>
    <w:rsid w:val="000E276F"/>
    <w:rsid w:val="000E638A"/>
    <w:rsid w:val="000E63E0"/>
    <w:rsid w:val="000E7F32"/>
    <w:rsid w:val="000F07F3"/>
    <w:rsid w:val="000F0B7C"/>
    <w:rsid w:val="000F0F6F"/>
    <w:rsid w:val="000F13FC"/>
    <w:rsid w:val="000F1E62"/>
    <w:rsid w:val="000F41F1"/>
    <w:rsid w:val="000F5FCB"/>
    <w:rsid w:val="000F6A39"/>
    <w:rsid w:val="000F6F58"/>
    <w:rsid w:val="001001FC"/>
    <w:rsid w:val="0010669F"/>
    <w:rsid w:val="00106FEF"/>
    <w:rsid w:val="001074BC"/>
    <w:rsid w:val="001103C6"/>
    <w:rsid w:val="00110C4F"/>
    <w:rsid w:val="001111B2"/>
    <w:rsid w:val="00112CE6"/>
    <w:rsid w:val="00113BFE"/>
    <w:rsid w:val="00114BEA"/>
    <w:rsid w:val="00115241"/>
    <w:rsid w:val="00115759"/>
    <w:rsid w:val="0011629F"/>
    <w:rsid w:val="00120041"/>
    <w:rsid w:val="00120443"/>
    <w:rsid w:val="00120D6D"/>
    <w:rsid w:val="00123446"/>
    <w:rsid w:val="00123452"/>
    <w:rsid w:val="00124165"/>
    <w:rsid w:val="00125C99"/>
    <w:rsid w:val="00125E45"/>
    <w:rsid w:val="0012658C"/>
    <w:rsid w:val="001278F2"/>
    <w:rsid w:val="00127940"/>
    <w:rsid w:val="00134C6A"/>
    <w:rsid w:val="0013621C"/>
    <w:rsid w:val="001365B7"/>
    <w:rsid w:val="00140073"/>
    <w:rsid w:val="001405FA"/>
    <w:rsid w:val="00140A1B"/>
    <w:rsid w:val="00141B7E"/>
    <w:rsid w:val="001420C7"/>
    <w:rsid w:val="001425C3"/>
    <w:rsid w:val="00142C51"/>
    <w:rsid w:val="00143453"/>
    <w:rsid w:val="00143B97"/>
    <w:rsid w:val="00146553"/>
    <w:rsid w:val="00146CF7"/>
    <w:rsid w:val="00147506"/>
    <w:rsid w:val="001475F6"/>
    <w:rsid w:val="00152543"/>
    <w:rsid w:val="00152689"/>
    <w:rsid w:val="00154273"/>
    <w:rsid w:val="001544C2"/>
    <w:rsid w:val="00155181"/>
    <w:rsid w:val="00156A62"/>
    <w:rsid w:val="0015700C"/>
    <w:rsid w:val="001571FD"/>
    <w:rsid w:val="001611FD"/>
    <w:rsid w:val="00161B57"/>
    <w:rsid w:val="0016249A"/>
    <w:rsid w:val="00163793"/>
    <w:rsid w:val="00164279"/>
    <w:rsid w:val="00164B18"/>
    <w:rsid w:val="00165D9D"/>
    <w:rsid w:val="00165F51"/>
    <w:rsid w:val="00166909"/>
    <w:rsid w:val="00170ABD"/>
    <w:rsid w:val="00171425"/>
    <w:rsid w:val="001714F2"/>
    <w:rsid w:val="00171E58"/>
    <w:rsid w:val="0017466E"/>
    <w:rsid w:val="00174C25"/>
    <w:rsid w:val="00174C78"/>
    <w:rsid w:val="00175098"/>
    <w:rsid w:val="001758CB"/>
    <w:rsid w:val="00175F3E"/>
    <w:rsid w:val="001808AF"/>
    <w:rsid w:val="00180C11"/>
    <w:rsid w:val="001817AB"/>
    <w:rsid w:val="001820FF"/>
    <w:rsid w:val="00184602"/>
    <w:rsid w:val="00184689"/>
    <w:rsid w:val="00184A37"/>
    <w:rsid w:val="00185010"/>
    <w:rsid w:val="00186837"/>
    <w:rsid w:val="001871C3"/>
    <w:rsid w:val="00190CD5"/>
    <w:rsid w:val="001914E1"/>
    <w:rsid w:val="00192903"/>
    <w:rsid w:val="00193143"/>
    <w:rsid w:val="00193481"/>
    <w:rsid w:val="001938F0"/>
    <w:rsid w:val="0019608F"/>
    <w:rsid w:val="0019637A"/>
    <w:rsid w:val="00196712"/>
    <w:rsid w:val="001970B2"/>
    <w:rsid w:val="001A1435"/>
    <w:rsid w:val="001A1ABA"/>
    <w:rsid w:val="001A26ED"/>
    <w:rsid w:val="001A30E6"/>
    <w:rsid w:val="001A3161"/>
    <w:rsid w:val="001A51D6"/>
    <w:rsid w:val="001A552F"/>
    <w:rsid w:val="001A5D36"/>
    <w:rsid w:val="001A6373"/>
    <w:rsid w:val="001A7A25"/>
    <w:rsid w:val="001A7DC2"/>
    <w:rsid w:val="001B0AFE"/>
    <w:rsid w:val="001B3110"/>
    <w:rsid w:val="001B3511"/>
    <w:rsid w:val="001B3A0E"/>
    <w:rsid w:val="001B4EE4"/>
    <w:rsid w:val="001B56B7"/>
    <w:rsid w:val="001B6778"/>
    <w:rsid w:val="001B7225"/>
    <w:rsid w:val="001B75ED"/>
    <w:rsid w:val="001B7941"/>
    <w:rsid w:val="001C090A"/>
    <w:rsid w:val="001C0D60"/>
    <w:rsid w:val="001C0F83"/>
    <w:rsid w:val="001C3034"/>
    <w:rsid w:val="001C48A8"/>
    <w:rsid w:val="001C504B"/>
    <w:rsid w:val="001C510E"/>
    <w:rsid w:val="001C522E"/>
    <w:rsid w:val="001C795C"/>
    <w:rsid w:val="001D1415"/>
    <w:rsid w:val="001D1859"/>
    <w:rsid w:val="001D23C7"/>
    <w:rsid w:val="001D2A50"/>
    <w:rsid w:val="001D353E"/>
    <w:rsid w:val="001D4327"/>
    <w:rsid w:val="001D5485"/>
    <w:rsid w:val="001D55C1"/>
    <w:rsid w:val="001D5DE7"/>
    <w:rsid w:val="001D63F4"/>
    <w:rsid w:val="001D67F1"/>
    <w:rsid w:val="001D6CB9"/>
    <w:rsid w:val="001E0E7C"/>
    <w:rsid w:val="001E2E1C"/>
    <w:rsid w:val="001E5CBD"/>
    <w:rsid w:val="001E683C"/>
    <w:rsid w:val="001E6A8D"/>
    <w:rsid w:val="001F0F4F"/>
    <w:rsid w:val="001F199C"/>
    <w:rsid w:val="001F235C"/>
    <w:rsid w:val="001F2C44"/>
    <w:rsid w:val="001F2E21"/>
    <w:rsid w:val="001F4597"/>
    <w:rsid w:val="00201371"/>
    <w:rsid w:val="0020344B"/>
    <w:rsid w:val="00203CB8"/>
    <w:rsid w:val="00204888"/>
    <w:rsid w:val="0020532C"/>
    <w:rsid w:val="00205612"/>
    <w:rsid w:val="0020650B"/>
    <w:rsid w:val="00207A19"/>
    <w:rsid w:val="00210640"/>
    <w:rsid w:val="00210E65"/>
    <w:rsid w:val="00211943"/>
    <w:rsid w:val="00211FE6"/>
    <w:rsid w:val="002130BB"/>
    <w:rsid w:val="00213EC5"/>
    <w:rsid w:val="00214B91"/>
    <w:rsid w:val="00214EBD"/>
    <w:rsid w:val="00215CDE"/>
    <w:rsid w:val="00216EB6"/>
    <w:rsid w:val="00217927"/>
    <w:rsid w:val="002179FE"/>
    <w:rsid w:val="00217ED9"/>
    <w:rsid w:val="00220219"/>
    <w:rsid w:val="00220971"/>
    <w:rsid w:val="00220B6B"/>
    <w:rsid w:val="00221300"/>
    <w:rsid w:val="0022139E"/>
    <w:rsid w:val="002216F1"/>
    <w:rsid w:val="00222EDB"/>
    <w:rsid w:val="00223A34"/>
    <w:rsid w:val="002245E7"/>
    <w:rsid w:val="00224706"/>
    <w:rsid w:val="002252E0"/>
    <w:rsid w:val="002255F6"/>
    <w:rsid w:val="00226958"/>
    <w:rsid w:val="0023004F"/>
    <w:rsid w:val="00230A72"/>
    <w:rsid w:val="00230B35"/>
    <w:rsid w:val="002320A5"/>
    <w:rsid w:val="0023214C"/>
    <w:rsid w:val="002346F8"/>
    <w:rsid w:val="00236443"/>
    <w:rsid w:val="00236678"/>
    <w:rsid w:val="00236AA1"/>
    <w:rsid w:val="00237227"/>
    <w:rsid w:val="00240B34"/>
    <w:rsid w:val="0024246D"/>
    <w:rsid w:val="00242B9B"/>
    <w:rsid w:val="002436BA"/>
    <w:rsid w:val="00243F74"/>
    <w:rsid w:val="00243F77"/>
    <w:rsid w:val="00244A15"/>
    <w:rsid w:val="00245E86"/>
    <w:rsid w:val="00246693"/>
    <w:rsid w:val="0024799E"/>
    <w:rsid w:val="00247C43"/>
    <w:rsid w:val="0025064A"/>
    <w:rsid w:val="00250932"/>
    <w:rsid w:val="0025183D"/>
    <w:rsid w:val="002524DD"/>
    <w:rsid w:val="00253360"/>
    <w:rsid w:val="00254077"/>
    <w:rsid w:val="002545BF"/>
    <w:rsid w:val="00255E70"/>
    <w:rsid w:val="002561A8"/>
    <w:rsid w:val="0025630A"/>
    <w:rsid w:val="00257229"/>
    <w:rsid w:val="0025762A"/>
    <w:rsid w:val="002620B2"/>
    <w:rsid w:val="00262367"/>
    <w:rsid w:val="002623DB"/>
    <w:rsid w:val="00262DE2"/>
    <w:rsid w:val="00263056"/>
    <w:rsid w:val="00264214"/>
    <w:rsid w:val="00264588"/>
    <w:rsid w:val="00264EFE"/>
    <w:rsid w:val="002662F1"/>
    <w:rsid w:val="0026786F"/>
    <w:rsid w:val="002702CD"/>
    <w:rsid w:val="002704E6"/>
    <w:rsid w:val="00272CB1"/>
    <w:rsid w:val="002731CD"/>
    <w:rsid w:val="002734B4"/>
    <w:rsid w:val="002741F8"/>
    <w:rsid w:val="00274DB5"/>
    <w:rsid w:val="002760D2"/>
    <w:rsid w:val="00276B63"/>
    <w:rsid w:val="0027795A"/>
    <w:rsid w:val="00277B21"/>
    <w:rsid w:val="002817BF"/>
    <w:rsid w:val="00281CA1"/>
    <w:rsid w:val="002822A5"/>
    <w:rsid w:val="002829BA"/>
    <w:rsid w:val="00283092"/>
    <w:rsid w:val="00283437"/>
    <w:rsid w:val="00284657"/>
    <w:rsid w:val="002856FF"/>
    <w:rsid w:val="00286723"/>
    <w:rsid w:val="00286DD7"/>
    <w:rsid w:val="00290410"/>
    <w:rsid w:val="00290C0F"/>
    <w:rsid w:val="00291B51"/>
    <w:rsid w:val="00293EA3"/>
    <w:rsid w:val="00293EC4"/>
    <w:rsid w:val="002941F0"/>
    <w:rsid w:val="00294C66"/>
    <w:rsid w:val="002952B7"/>
    <w:rsid w:val="00295694"/>
    <w:rsid w:val="0029633E"/>
    <w:rsid w:val="00296571"/>
    <w:rsid w:val="002965A8"/>
    <w:rsid w:val="002972DA"/>
    <w:rsid w:val="00297EE8"/>
    <w:rsid w:val="002A0975"/>
    <w:rsid w:val="002A0EC4"/>
    <w:rsid w:val="002A1858"/>
    <w:rsid w:val="002A1E1B"/>
    <w:rsid w:val="002A246D"/>
    <w:rsid w:val="002A28B1"/>
    <w:rsid w:val="002A30A5"/>
    <w:rsid w:val="002A31EB"/>
    <w:rsid w:val="002A3C20"/>
    <w:rsid w:val="002A4E39"/>
    <w:rsid w:val="002A4F13"/>
    <w:rsid w:val="002A63D7"/>
    <w:rsid w:val="002A7EF5"/>
    <w:rsid w:val="002B08C4"/>
    <w:rsid w:val="002B0B7D"/>
    <w:rsid w:val="002B2AA3"/>
    <w:rsid w:val="002B3582"/>
    <w:rsid w:val="002B394B"/>
    <w:rsid w:val="002B5FCC"/>
    <w:rsid w:val="002C077E"/>
    <w:rsid w:val="002C31D3"/>
    <w:rsid w:val="002C3789"/>
    <w:rsid w:val="002C43BD"/>
    <w:rsid w:val="002C5037"/>
    <w:rsid w:val="002C6DE2"/>
    <w:rsid w:val="002D15F5"/>
    <w:rsid w:val="002D176C"/>
    <w:rsid w:val="002D1F51"/>
    <w:rsid w:val="002D2D6D"/>
    <w:rsid w:val="002D3AE2"/>
    <w:rsid w:val="002D3DF2"/>
    <w:rsid w:val="002D4653"/>
    <w:rsid w:val="002D47D8"/>
    <w:rsid w:val="002D526C"/>
    <w:rsid w:val="002D5E15"/>
    <w:rsid w:val="002D6D37"/>
    <w:rsid w:val="002E0064"/>
    <w:rsid w:val="002E02A1"/>
    <w:rsid w:val="002E1344"/>
    <w:rsid w:val="002E1696"/>
    <w:rsid w:val="002E2D2E"/>
    <w:rsid w:val="002E378A"/>
    <w:rsid w:val="002E415C"/>
    <w:rsid w:val="002E4175"/>
    <w:rsid w:val="002E54BA"/>
    <w:rsid w:val="002E56EA"/>
    <w:rsid w:val="002E60FD"/>
    <w:rsid w:val="002E738D"/>
    <w:rsid w:val="002F075D"/>
    <w:rsid w:val="002F0E82"/>
    <w:rsid w:val="002F2B14"/>
    <w:rsid w:val="002F3763"/>
    <w:rsid w:val="002F4610"/>
    <w:rsid w:val="002F473A"/>
    <w:rsid w:val="002F4840"/>
    <w:rsid w:val="002F77B1"/>
    <w:rsid w:val="00300C5E"/>
    <w:rsid w:val="0030115C"/>
    <w:rsid w:val="00301C0F"/>
    <w:rsid w:val="00303628"/>
    <w:rsid w:val="00304771"/>
    <w:rsid w:val="003060E9"/>
    <w:rsid w:val="0030627B"/>
    <w:rsid w:val="00306C5B"/>
    <w:rsid w:val="003103E0"/>
    <w:rsid w:val="00310D3B"/>
    <w:rsid w:val="00311DC4"/>
    <w:rsid w:val="003121CB"/>
    <w:rsid w:val="00312A86"/>
    <w:rsid w:val="003136F4"/>
    <w:rsid w:val="00313C1A"/>
    <w:rsid w:val="00313E77"/>
    <w:rsid w:val="003156E7"/>
    <w:rsid w:val="00315836"/>
    <w:rsid w:val="00317C0E"/>
    <w:rsid w:val="00317EEE"/>
    <w:rsid w:val="003209D6"/>
    <w:rsid w:val="00320BE7"/>
    <w:rsid w:val="00321F4E"/>
    <w:rsid w:val="0032237D"/>
    <w:rsid w:val="00322C43"/>
    <w:rsid w:val="00325432"/>
    <w:rsid w:val="003257F5"/>
    <w:rsid w:val="00325DD0"/>
    <w:rsid w:val="0033205F"/>
    <w:rsid w:val="00332CDF"/>
    <w:rsid w:val="0033328F"/>
    <w:rsid w:val="00334173"/>
    <w:rsid w:val="00336397"/>
    <w:rsid w:val="00336DF1"/>
    <w:rsid w:val="0033719B"/>
    <w:rsid w:val="00337388"/>
    <w:rsid w:val="00341ECF"/>
    <w:rsid w:val="00342CAF"/>
    <w:rsid w:val="00342D7F"/>
    <w:rsid w:val="003446EA"/>
    <w:rsid w:val="00345A98"/>
    <w:rsid w:val="00345C77"/>
    <w:rsid w:val="00346D5F"/>
    <w:rsid w:val="003514E7"/>
    <w:rsid w:val="00351E54"/>
    <w:rsid w:val="00354F8F"/>
    <w:rsid w:val="0035559D"/>
    <w:rsid w:val="00356188"/>
    <w:rsid w:val="0035678F"/>
    <w:rsid w:val="0035680A"/>
    <w:rsid w:val="00356A61"/>
    <w:rsid w:val="00356ABD"/>
    <w:rsid w:val="00356B55"/>
    <w:rsid w:val="00356D35"/>
    <w:rsid w:val="0035700E"/>
    <w:rsid w:val="00357655"/>
    <w:rsid w:val="00357CC8"/>
    <w:rsid w:val="00360E7E"/>
    <w:rsid w:val="00361836"/>
    <w:rsid w:val="00361C6F"/>
    <w:rsid w:val="00364AA8"/>
    <w:rsid w:val="00364E4D"/>
    <w:rsid w:val="003657F3"/>
    <w:rsid w:val="0036766A"/>
    <w:rsid w:val="00367752"/>
    <w:rsid w:val="003678FD"/>
    <w:rsid w:val="00367BB0"/>
    <w:rsid w:val="003719DA"/>
    <w:rsid w:val="00371D3C"/>
    <w:rsid w:val="003740E9"/>
    <w:rsid w:val="0037506F"/>
    <w:rsid w:val="0038020A"/>
    <w:rsid w:val="003808B1"/>
    <w:rsid w:val="00380CC2"/>
    <w:rsid w:val="00381C35"/>
    <w:rsid w:val="00383513"/>
    <w:rsid w:val="00385D98"/>
    <w:rsid w:val="00386DF2"/>
    <w:rsid w:val="00386F3B"/>
    <w:rsid w:val="00391AA7"/>
    <w:rsid w:val="0039310B"/>
    <w:rsid w:val="00393347"/>
    <w:rsid w:val="0039379F"/>
    <w:rsid w:val="00393C21"/>
    <w:rsid w:val="00394912"/>
    <w:rsid w:val="00395150"/>
    <w:rsid w:val="003951A0"/>
    <w:rsid w:val="00395CCB"/>
    <w:rsid w:val="00396CEE"/>
    <w:rsid w:val="003A063A"/>
    <w:rsid w:val="003A0D1B"/>
    <w:rsid w:val="003A221E"/>
    <w:rsid w:val="003A23ED"/>
    <w:rsid w:val="003A25FF"/>
    <w:rsid w:val="003A2B4D"/>
    <w:rsid w:val="003A2BD0"/>
    <w:rsid w:val="003A35E8"/>
    <w:rsid w:val="003A3E76"/>
    <w:rsid w:val="003A4439"/>
    <w:rsid w:val="003A478C"/>
    <w:rsid w:val="003A51EA"/>
    <w:rsid w:val="003A5525"/>
    <w:rsid w:val="003A557C"/>
    <w:rsid w:val="003A6051"/>
    <w:rsid w:val="003A678B"/>
    <w:rsid w:val="003A6B38"/>
    <w:rsid w:val="003B07C1"/>
    <w:rsid w:val="003B2BAD"/>
    <w:rsid w:val="003B2C71"/>
    <w:rsid w:val="003B3FE2"/>
    <w:rsid w:val="003B4110"/>
    <w:rsid w:val="003B4725"/>
    <w:rsid w:val="003B4B1C"/>
    <w:rsid w:val="003B5A32"/>
    <w:rsid w:val="003B658C"/>
    <w:rsid w:val="003B6754"/>
    <w:rsid w:val="003C064D"/>
    <w:rsid w:val="003C0B1A"/>
    <w:rsid w:val="003C0B2C"/>
    <w:rsid w:val="003C1606"/>
    <w:rsid w:val="003C1989"/>
    <w:rsid w:val="003C2F6F"/>
    <w:rsid w:val="003C3F7D"/>
    <w:rsid w:val="003C48BB"/>
    <w:rsid w:val="003C59A0"/>
    <w:rsid w:val="003C63D9"/>
    <w:rsid w:val="003C7713"/>
    <w:rsid w:val="003D1EAD"/>
    <w:rsid w:val="003D3D33"/>
    <w:rsid w:val="003D3EC5"/>
    <w:rsid w:val="003D5F99"/>
    <w:rsid w:val="003E126A"/>
    <w:rsid w:val="003E2BEE"/>
    <w:rsid w:val="003E2E12"/>
    <w:rsid w:val="003E40BE"/>
    <w:rsid w:val="003E5F6B"/>
    <w:rsid w:val="003E659E"/>
    <w:rsid w:val="003E79D0"/>
    <w:rsid w:val="003F05BE"/>
    <w:rsid w:val="003F0699"/>
    <w:rsid w:val="003F10C4"/>
    <w:rsid w:val="003F1C9D"/>
    <w:rsid w:val="003F279F"/>
    <w:rsid w:val="003F313C"/>
    <w:rsid w:val="003F6140"/>
    <w:rsid w:val="003F62AA"/>
    <w:rsid w:val="00400042"/>
    <w:rsid w:val="00400045"/>
    <w:rsid w:val="0040160E"/>
    <w:rsid w:val="00401DEB"/>
    <w:rsid w:val="004031C8"/>
    <w:rsid w:val="00406CBE"/>
    <w:rsid w:val="004070A8"/>
    <w:rsid w:val="004076FC"/>
    <w:rsid w:val="00407952"/>
    <w:rsid w:val="00410D5F"/>
    <w:rsid w:val="004116AB"/>
    <w:rsid w:val="004116C5"/>
    <w:rsid w:val="00412853"/>
    <w:rsid w:val="00414240"/>
    <w:rsid w:val="004159BE"/>
    <w:rsid w:val="0042093A"/>
    <w:rsid w:val="00422315"/>
    <w:rsid w:val="00422D29"/>
    <w:rsid w:val="004236B3"/>
    <w:rsid w:val="004251DA"/>
    <w:rsid w:val="00427185"/>
    <w:rsid w:val="00427765"/>
    <w:rsid w:val="004309FF"/>
    <w:rsid w:val="00430F18"/>
    <w:rsid w:val="0043194A"/>
    <w:rsid w:val="00431B48"/>
    <w:rsid w:val="00431B5D"/>
    <w:rsid w:val="00431F9F"/>
    <w:rsid w:val="00433F56"/>
    <w:rsid w:val="00435439"/>
    <w:rsid w:val="00436048"/>
    <w:rsid w:val="004423DA"/>
    <w:rsid w:val="00442AFE"/>
    <w:rsid w:val="004434A7"/>
    <w:rsid w:val="00446BDF"/>
    <w:rsid w:val="004479AD"/>
    <w:rsid w:val="0045122A"/>
    <w:rsid w:val="00453D53"/>
    <w:rsid w:val="00455781"/>
    <w:rsid w:val="00455B9C"/>
    <w:rsid w:val="00455CA7"/>
    <w:rsid w:val="0045641C"/>
    <w:rsid w:val="00456EBB"/>
    <w:rsid w:val="00460471"/>
    <w:rsid w:val="00463478"/>
    <w:rsid w:val="00464380"/>
    <w:rsid w:val="00464A1B"/>
    <w:rsid w:val="00465311"/>
    <w:rsid w:val="00466D51"/>
    <w:rsid w:val="00470CEE"/>
    <w:rsid w:val="0047128A"/>
    <w:rsid w:val="00472688"/>
    <w:rsid w:val="00473C7D"/>
    <w:rsid w:val="004741CD"/>
    <w:rsid w:val="00477806"/>
    <w:rsid w:val="0048139F"/>
    <w:rsid w:val="00481B3C"/>
    <w:rsid w:val="00482A95"/>
    <w:rsid w:val="00483CCC"/>
    <w:rsid w:val="00484D2D"/>
    <w:rsid w:val="00485020"/>
    <w:rsid w:val="0048672E"/>
    <w:rsid w:val="00487D59"/>
    <w:rsid w:val="004935F8"/>
    <w:rsid w:val="00493A9C"/>
    <w:rsid w:val="00495130"/>
    <w:rsid w:val="004971B6"/>
    <w:rsid w:val="00497328"/>
    <w:rsid w:val="004A3DC9"/>
    <w:rsid w:val="004A468E"/>
    <w:rsid w:val="004A51C4"/>
    <w:rsid w:val="004A77A8"/>
    <w:rsid w:val="004A77DF"/>
    <w:rsid w:val="004B12F7"/>
    <w:rsid w:val="004B1B5A"/>
    <w:rsid w:val="004B2E20"/>
    <w:rsid w:val="004B2E8D"/>
    <w:rsid w:val="004B55B7"/>
    <w:rsid w:val="004B793A"/>
    <w:rsid w:val="004C16AD"/>
    <w:rsid w:val="004C1966"/>
    <w:rsid w:val="004C1C5E"/>
    <w:rsid w:val="004C2E6C"/>
    <w:rsid w:val="004C3867"/>
    <w:rsid w:val="004C4CD0"/>
    <w:rsid w:val="004C5519"/>
    <w:rsid w:val="004C678A"/>
    <w:rsid w:val="004C70DC"/>
    <w:rsid w:val="004D0211"/>
    <w:rsid w:val="004D042F"/>
    <w:rsid w:val="004D0A65"/>
    <w:rsid w:val="004D1E50"/>
    <w:rsid w:val="004D2A08"/>
    <w:rsid w:val="004D2A4B"/>
    <w:rsid w:val="004D2C8B"/>
    <w:rsid w:val="004D3701"/>
    <w:rsid w:val="004D61D4"/>
    <w:rsid w:val="004D66D6"/>
    <w:rsid w:val="004D6A27"/>
    <w:rsid w:val="004E09AB"/>
    <w:rsid w:val="004E0A21"/>
    <w:rsid w:val="004E0ABB"/>
    <w:rsid w:val="004E11E1"/>
    <w:rsid w:val="004E1E4B"/>
    <w:rsid w:val="004E22ED"/>
    <w:rsid w:val="004E3005"/>
    <w:rsid w:val="004E3936"/>
    <w:rsid w:val="004E46DF"/>
    <w:rsid w:val="004E4DD2"/>
    <w:rsid w:val="004E511E"/>
    <w:rsid w:val="004E5851"/>
    <w:rsid w:val="004E5A72"/>
    <w:rsid w:val="004E5C31"/>
    <w:rsid w:val="004E7AE1"/>
    <w:rsid w:val="004F0354"/>
    <w:rsid w:val="004F06F5"/>
    <w:rsid w:val="004F15EE"/>
    <w:rsid w:val="004F16EE"/>
    <w:rsid w:val="004F1ECB"/>
    <w:rsid w:val="004F3087"/>
    <w:rsid w:val="004F33A0"/>
    <w:rsid w:val="004F3C0D"/>
    <w:rsid w:val="004F4E78"/>
    <w:rsid w:val="004F5FC4"/>
    <w:rsid w:val="004F6276"/>
    <w:rsid w:val="004F7E2C"/>
    <w:rsid w:val="00502D0B"/>
    <w:rsid w:val="00503A24"/>
    <w:rsid w:val="00503ACA"/>
    <w:rsid w:val="00504084"/>
    <w:rsid w:val="00506563"/>
    <w:rsid w:val="005077B3"/>
    <w:rsid w:val="005108C0"/>
    <w:rsid w:val="0051105A"/>
    <w:rsid w:val="005116AE"/>
    <w:rsid w:val="00511873"/>
    <w:rsid w:val="00512880"/>
    <w:rsid w:val="00512DE2"/>
    <w:rsid w:val="00513211"/>
    <w:rsid w:val="00513B7E"/>
    <w:rsid w:val="0051439D"/>
    <w:rsid w:val="005161B9"/>
    <w:rsid w:val="00516C32"/>
    <w:rsid w:val="005170FE"/>
    <w:rsid w:val="00517199"/>
    <w:rsid w:val="00517B67"/>
    <w:rsid w:val="00520D35"/>
    <w:rsid w:val="00520DE9"/>
    <w:rsid w:val="00521358"/>
    <w:rsid w:val="005227FD"/>
    <w:rsid w:val="00524172"/>
    <w:rsid w:val="00525137"/>
    <w:rsid w:val="005251DD"/>
    <w:rsid w:val="00527020"/>
    <w:rsid w:val="00527B11"/>
    <w:rsid w:val="00530DA1"/>
    <w:rsid w:val="005325E6"/>
    <w:rsid w:val="0053295E"/>
    <w:rsid w:val="0053309F"/>
    <w:rsid w:val="00533F4C"/>
    <w:rsid w:val="005342AF"/>
    <w:rsid w:val="00535D2B"/>
    <w:rsid w:val="005362C2"/>
    <w:rsid w:val="005426BE"/>
    <w:rsid w:val="00543AB1"/>
    <w:rsid w:val="00544E06"/>
    <w:rsid w:val="0054507C"/>
    <w:rsid w:val="00545AFD"/>
    <w:rsid w:val="0054688A"/>
    <w:rsid w:val="00547A35"/>
    <w:rsid w:val="0055195E"/>
    <w:rsid w:val="00553A7D"/>
    <w:rsid w:val="00553D10"/>
    <w:rsid w:val="00553ECF"/>
    <w:rsid w:val="005565F2"/>
    <w:rsid w:val="0056078B"/>
    <w:rsid w:val="0056103D"/>
    <w:rsid w:val="00562058"/>
    <w:rsid w:val="005628B1"/>
    <w:rsid w:val="00562FEE"/>
    <w:rsid w:val="00565CC6"/>
    <w:rsid w:val="00565EF7"/>
    <w:rsid w:val="005662B0"/>
    <w:rsid w:val="00567F78"/>
    <w:rsid w:val="00570286"/>
    <w:rsid w:val="0057043F"/>
    <w:rsid w:val="00571D93"/>
    <w:rsid w:val="005734A4"/>
    <w:rsid w:val="005752A6"/>
    <w:rsid w:val="0057578A"/>
    <w:rsid w:val="005762E7"/>
    <w:rsid w:val="00576FE4"/>
    <w:rsid w:val="00582D33"/>
    <w:rsid w:val="00583F8C"/>
    <w:rsid w:val="00583FFD"/>
    <w:rsid w:val="0058631E"/>
    <w:rsid w:val="0058632D"/>
    <w:rsid w:val="00586591"/>
    <w:rsid w:val="00586B52"/>
    <w:rsid w:val="005872D8"/>
    <w:rsid w:val="00587530"/>
    <w:rsid w:val="00591242"/>
    <w:rsid w:val="00591B72"/>
    <w:rsid w:val="00592078"/>
    <w:rsid w:val="00593152"/>
    <w:rsid w:val="00593360"/>
    <w:rsid w:val="00593616"/>
    <w:rsid w:val="00593FEE"/>
    <w:rsid w:val="00594BC9"/>
    <w:rsid w:val="00594FB0"/>
    <w:rsid w:val="00595DC7"/>
    <w:rsid w:val="0059708A"/>
    <w:rsid w:val="005972BB"/>
    <w:rsid w:val="005977E9"/>
    <w:rsid w:val="00597CF4"/>
    <w:rsid w:val="005A1494"/>
    <w:rsid w:val="005A21E0"/>
    <w:rsid w:val="005A241E"/>
    <w:rsid w:val="005A3E04"/>
    <w:rsid w:val="005A3EA6"/>
    <w:rsid w:val="005A4679"/>
    <w:rsid w:val="005A5899"/>
    <w:rsid w:val="005A670A"/>
    <w:rsid w:val="005A6E20"/>
    <w:rsid w:val="005A7EA7"/>
    <w:rsid w:val="005B15FE"/>
    <w:rsid w:val="005B1853"/>
    <w:rsid w:val="005B3B88"/>
    <w:rsid w:val="005B4204"/>
    <w:rsid w:val="005B4C9B"/>
    <w:rsid w:val="005B7A7A"/>
    <w:rsid w:val="005C42D5"/>
    <w:rsid w:val="005C665F"/>
    <w:rsid w:val="005D014E"/>
    <w:rsid w:val="005D14B9"/>
    <w:rsid w:val="005D1D2F"/>
    <w:rsid w:val="005D2D1C"/>
    <w:rsid w:val="005D44A6"/>
    <w:rsid w:val="005D54BB"/>
    <w:rsid w:val="005D5802"/>
    <w:rsid w:val="005D5C56"/>
    <w:rsid w:val="005D5E5F"/>
    <w:rsid w:val="005D5E79"/>
    <w:rsid w:val="005D63F7"/>
    <w:rsid w:val="005D70D8"/>
    <w:rsid w:val="005E0F32"/>
    <w:rsid w:val="005E229F"/>
    <w:rsid w:val="005E2304"/>
    <w:rsid w:val="005E29BF"/>
    <w:rsid w:val="005E2A43"/>
    <w:rsid w:val="005E2F1E"/>
    <w:rsid w:val="005E35DF"/>
    <w:rsid w:val="005E3777"/>
    <w:rsid w:val="005E5841"/>
    <w:rsid w:val="005E763D"/>
    <w:rsid w:val="005F1D78"/>
    <w:rsid w:val="005F3B4D"/>
    <w:rsid w:val="005F5310"/>
    <w:rsid w:val="005F547B"/>
    <w:rsid w:val="005F547C"/>
    <w:rsid w:val="005F6F7C"/>
    <w:rsid w:val="00601818"/>
    <w:rsid w:val="006022F3"/>
    <w:rsid w:val="00602C17"/>
    <w:rsid w:val="00602F57"/>
    <w:rsid w:val="0060342E"/>
    <w:rsid w:val="00604307"/>
    <w:rsid w:val="0060487F"/>
    <w:rsid w:val="00605309"/>
    <w:rsid w:val="00606227"/>
    <w:rsid w:val="00606465"/>
    <w:rsid w:val="00607283"/>
    <w:rsid w:val="00610EDF"/>
    <w:rsid w:val="00615A40"/>
    <w:rsid w:val="00615C91"/>
    <w:rsid w:val="006179E9"/>
    <w:rsid w:val="00617A29"/>
    <w:rsid w:val="00624093"/>
    <w:rsid w:val="00625011"/>
    <w:rsid w:val="006257D8"/>
    <w:rsid w:val="0062615A"/>
    <w:rsid w:val="0062697B"/>
    <w:rsid w:val="00633681"/>
    <w:rsid w:val="006343AA"/>
    <w:rsid w:val="0063445D"/>
    <w:rsid w:val="00635A64"/>
    <w:rsid w:val="00635B61"/>
    <w:rsid w:val="00635B9F"/>
    <w:rsid w:val="00636B4D"/>
    <w:rsid w:val="00640010"/>
    <w:rsid w:val="006404A7"/>
    <w:rsid w:val="00640655"/>
    <w:rsid w:val="00641532"/>
    <w:rsid w:val="00641F40"/>
    <w:rsid w:val="006427F8"/>
    <w:rsid w:val="006434C5"/>
    <w:rsid w:val="00643EF0"/>
    <w:rsid w:val="006451E4"/>
    <w:rsid w:val="006451F0"/>
    <w:rsid w:val="00645BE1"/>
    <w:rsid w:val="0064634C"/>
    <w:rsid w:val="006469C0"/>
    <w:rsid w:val="00646BC3"/>
    <w:rsid w:val="00647654"/>
    <w:rsid w:val="006501C7"/>
    <w:rsid w:val="00651A62"/>
    <w:rsid w:val="00651FE8"/>
    <w:rsid w:val="006571A0"/>
    <w:rsid w:val="00657290"/>
    <w:rsid w:val="00657E87"/>
    <w:rsid w:val="0066042C"/>
    <w:rsid w:val="00662212"/>
    <w:rsid w:val="0066241C"/>
    <w:rsid w:val="00662635"/>
    <w:rsid w:val="00662983"/>
    <w:rsid w:val="00662987"/>
    <w:rsid w:val="00662BF9"/>
    <w:rsid w:val="00662E57"/>
    <w:rsid w:val="00663FA5"/>
    <w:rsid w:val="00665D01"/>
    <w:rsid w:val="00666AF3"/>
    <w:rsid w:val="00670257"/>
    <w:rsid w:val="00670DB2"/>
    <w:rsid w:val="006710C9"/>
    <w:rsid w:val="00671F3E"/>
    <w:rsid w:val="00673310"/>
    <w:rsid w:val="00673CD6"/>
    <w:rsid w:val="00675902"/>
    <w:rsid w:val="00675E37"/>
    <w:rsid w:val="00675FEA"/>
    <w:rsid w:val="00680988"/>
    <w:rsid w:val="00680E1C"/>
    <w:rsid w:val="00681C45"/>
    <w:rsid w:val="00681D98"/>
    <w:rsid w:val="00681E2C"/>
    <w:rsid w:val="00681EC9"/>
    <w:rsid w:val="0068260E"/>
    <w:rsid w:val="00685EA0"/>
    <w:rsid w:val="0068647B"/>
    <w:rsid w:val="00687495"/>
    <w:rsid w:val="00691EF4"/>
    <w:rsid w:val="006927DD"/>
    <w:rsid w:val="00693C50"/>
    <w:rsid w:val="006945E6"/>
    <w:rsid w:val="00694EC8"/>
    <w:rsid w:val="00695AEB"/>
    <w:rsid w:val="00695BEF"/>
    <w:rsid w:val="0069634D"/>
    <w:rsid w:val="00697444"/>
    <w:rsid w:val="006977F6"/>
    <w:rsid w:val="00697A13"/>
    <w:rsid w:val="006A109C"/>
    <w:rsid w:val="006A117B"/>
    <w:rsid w:val="006A133A"/>
    <w:rsid w:val="006A1571"/>
    <w:rsid w:val="006A1B54"/>
    <w:rsid w:val="006A4411"/>
    <w:rsid w:val="006A4AB4"/>
    <w:rsid w:val="006A5597"/>
    <w:rsid w:val="006A65A1"/>
    <w:rsid w:val="006A6843"/>
    <w:rsid w:val="006A7DE1"/>
    <w:rsid w:val="006A7DEE"/>
    <w:rsid w:val="006B0CEA"/>
    <w:rsid w:val="006B1C05"/>
    <w:rsid w:val="006B3317"/>
    <w:rsid w:val="006B526B"/>
    <w:rsid w:val="006B544A"/>
    <w:rsid w:val="006B6969"/>
    <w:rsid w:val="006B78D8"/>
    <w:rsid w:val="006B79DE"/>
    <w:rsid w:val="006C113F"/>
    <w:rsid w:val="006C3C9F"/>
    <w:rsid w:val="006C588F"/>
    <w:rsid w:val="006C60B2"/>
    <w:rsid w:val="006C738C"/>
    <w:rsid w:val="006D0D80"/>
    <w:rsid w:val="006D1920"/>
    <w:rsid w:val="006D1CB5"/>
    <w:rsid w:val="006D4ED0"/>
    <w:rsid w:val="006D566D"/>
    <w:rsid w:val="006D57D2"/>
    <w:rsid w:val="006D5CE5"/>
    <w:rsid w:val="006D61F6"/>
    <w:rsid w:val="006D6684"/>
    <w:rsid w:val="006D7F8A"/>
    <w:rsid w:val="006E09EC"/>
    <w:rsid w:val="006E279A"/>
    <w:rsid w:val="006E2F59"/>
    <w:rsid w:val="006E313B"/>
    <w:rsid w:val="006E37B6"/>
    <w:rsid w:val="006E4FB0"/>
    <w:rsid w:val="006E6595"/>
    <w:rsid w:val="006F05FB"/>
    <w:rsid w:val="006F18A3"/>
    <w:rsid w:val="006F1D47"/>
    <w:rsid w:val="006F1D69"/>
    <w:rsid w:val="006F4C74"/>
    <w:rsid w:val="006F5504"/>
    <w:rsid w:val="006F7318"/>
    <w:rsid w:val="006F799D"/>
    <w:rsid w:val="006F7AEC"/>
    <w:rsid w:val="00700F86"/>
    <w:rsid w:val="007033D3"/>
    <w:rsid w:val="00704AFC"/>
    <w:rsid w:val="00704F00"/>
    <w:rsid w:val="00707ACC"/>
    <w:rsid w:val="00710016"/>
    <w:rsid w:val="007101C0"/>
    <w:rsid w:val="00710A84"/>
    <w:rsid w:val="00711D64"/>
    <w:rsid w:val="00713360"/>
    <w:rsid w:val="0071349D"/>
    <w:rsid w:val="0071369B"/>
    <w:rsid w:val="00713F10"/>
    <w:rsid w:val="007151FF"/>
    <w:rsid w:val="00717E88"/>
    <w:rsid w:val="0072077E"/>
    <w:rsid w:val="007211F5"/>
    <w:rsid w:val="00721A73"/>
    <w:rsid w:val="00721CC4"/>
    <w:rsid w:val="00722F19"/>
    <w:rsid w:val="00723F05"/>
    <w:rsid w:val="007249CD"/>
    <w:rsid w:val="0072567E"/>
    <w:rsid w:val="007305E3"/>
    <w:rsid w:val="00730645"/>
    <w:rsid w:val="00730AE8"/>
    <w:rsid w:val="00730BCD"/>
    <w:rsid w:val="007325E4"/>
    <w:rsid w:val="00733287"/>
    <w:rsid w:val="0073359E"/>
    <w:rsid w:val="00733953"/>
    <w:rsid w:val="007347B8"/>
    <w:rsid w:val="00735172"/>
    <w:rsid w:val="007351A8"/>
    <w:rsid w:val="007361E0"/>
    <w:rsid w:val="0073738A"/>
    <w:rsid w:val="00737392"/>
    <w:rsid w:val="007412C7"/>
    <w:rsid w:val="00741493"/>
    <w:rsid w:val="00742E47"/>
    <w:rsid w:val="0074547C"/>
    <w:rsid w:val="00747C68"/>
    <w:rsid w:val="00750487"/>
    <w:rsid w:val="00751040"/>
    <w:rsid w:val="0075203E"/>
    <w:rsid w:val="00752180"/>
    <w:rsid w:val="0075342A"/>
    <w:rsid w:val="0075536F"/>
    <w:rsid w:val="00755AFC"/>
    <w:rsid w:val="00755D3A"/>
    <w:rsid w:val="007565BB"/>
    <w:rsid w:val="007609C6"/>
    <w:rsid w:val="00760D47"/>
    <w:rsid w:val="00761B3D"/>
    <w:rsid w:val="007620CA"/>
    <w:rsid w:val="00765317"/>
    <w:rsid w:val="007742A8"/>
    <w:rsid w:val="00774DEB"/>
    <w:rsid w:val="007756E5"/>
    <w:rsid w:val="00776527"/>
    <w:rsid w:val="00776719"/>
    <w:rsid w:val="00776859"/>
    <w:rsid w:val="00776FE1"/>
    <w:rsid w:val="00777823"/>
    <w:rsid w:val="00777D0D"/>
    <w:rsid w:val="0078048D"/>
    <w:rsid w:val="007806D6"/>
    <w:rsid w:val="007870B4"/>
    <w:rsid w:val="0079069E"/>
    <w:rsid w:val="00792227"/>
    <w:rsid w:val="0079384B"/>
    <w:rsid w:val="00793EC8"/>
    <w:rsid w:val="007941FC"/>
    <w:rsid w:val="00796369"/>
    <w:rsid w:val="0079685C"/>
    <w:rsid w:val="00797F5F"/>
    <w:rsid w:val="007A024F"/>
    <w:rsid w:val="007A04D5"/>
    <w:rsid w:val="007A0CD9"/>
    <w:rsid w:val="007A0F2E"/>
    <w:rsid w:val="007A1D16"/>
    <w:rsid w:val="007A4879"/>
    <w:rsid w:val="007A4BF3"/>
    <w:rsid w:val="007A6B30"/>
    <w:rsid w:val="007A76A8"/>
    <w:rsid w:val="007A77B1"/>
    <w:rsid w:val="007B06EC"/>
    <w:rsid w:val="007B185F"/>
    <w:rsid w:val="007B7003"/>
    <w:rsid w:val="007C274A"/>
    <w:rsid w:val="007C330F"/>
    <w:rsid w:val="007C358A"/>
    <w:rsid w:val="007C3C87"/>
    <w:rsid w:val="007C3F6A"/>
    <w:rsid w:val="007C4F26"/>
    <w:rsid w:val="007C500D"/>
    <w:rsid w:val="007C5565"/>
    <w:rsid w:val="007C6577"/>
    <w:rsid w:val="007D10AF"/>
    <w:rsid w:val="007D1312"/>
    <w:rsid w:val="007D1490"/>
    <w:rsid w:val="007D1FB5"/>
    <w:rsid w:val="007D28A7"/>
    <w:rsid w:val="007D34AF"/>
    <w:rsid w:val="007D4256"/>
    <w:rsid w:val="007D4A69"/>
    <w:rsid w:val="007D7163"/>
    <w:rsid w:val="007D78DF"/>
    <w:rsid w:val="007E096B"/>
    <w:rsid w:val="007E1172"/>
    <w:rsid w:val="007E1850"/>
    <w:rsid w:val="007E2CCC"/>
    <w:rsid w:val="007E3C23"/>
    <w:rsid w:val="007E45F6"/>
    <w:rsid w:val="007E48C9"/>
    <w:rsid w:val="007E632F"/>
    <w:rsid w:val="007E6ACF"/>
    <w:rsid w:val="007E7E61"/>
    <w:rsid w:val="007F0845"/>
    <w:rsid w:val="007F146E"/>
    <w:rsid w:val="007F16B1"/>
    <w:rsid w:val="007F2B39"/>
    <w:rsid w:val="007F2EC9"/>
    <w:rsid w:val="007F334C"/>
    <w:rsid w:val="007F39BE"/>
    <w:rsid w:val="007F4F70"/>
    <w:rsid w:val="007F5A1B"/>
    <w:rsid w:val="007F5F9B"/>
    <w:rsid w:val="007F7CD2"/>
    <w:rsid w:val="0080002C"/>
    <w:rsid w:val="0080185D"/>
    <w:rsid w:val="00801E1D"/>
    <w:rsid w:val="008020DE"/>
    <w:rsid w:val="008022F7"/>
    <w:rsid w:val="008035E4"/>
    <w:rsid w:val="00804D39"/>
    <w:rsid w:val="0080521C"/>
    <w:rsid w:val="008058BF"/>
    <w:rsid w:val="0080593D"/>
    <w:rsid w:val="00805CA0"/>
    <w:rsid w:val="00805E10"/>
    <w:rsid w:val="0080605A"/>
    <w:rsid w:val="00807185"/>
    <w:rsid w:val="00807FB8"/>
    <w:rsid w:val="008118E4"/>
    <w:rsid w:val="00811FAF"/>
    <w:rsid w:val="0081296A"/>
    <w:rsid w:val="00813EAF"/>
    <w:rsid w:val="00815862"/>
    <w:rsid w:val="00816405"/>
    <w:rsid w:val="00820863"/>
    <w:rsid w:val="00821FF6"/>
    <w:rsid w:val="00824169"/>
    <w:rsid w:val="00824458"/>
    <w:rsid w:val="00827A65"/>
    <w:rsid w:val="00830465"/>
    <w:rsid w:val="00830A99"/>
    <w:rsid w:val="0083143E"/>
    <w:rsid w:val="0083159F"/>
    <w:rsid w:val="00831B50"/>
    <w:rsid w:val="00831FB0"/>
    <w:rsid w:val="00832F3D"/>
    <w:rsid w:val="00833802"/>
    <w:rsid w:val="00834843"/>
    <w:rsid w:val="00834FAA"/>
    <w:rsid w:val="008352FC"/>
    <w:rsid w:val="00835A6F"/>
    <w:rsid w:val="00836086"/>
    <w:rsid w:val="00837C72"/>
    <w:rsid w:val="00841063"/>
    <w:rsid w:val="008422CE"/>
    <w:rsid w:val="00842E41"/>
    <w:rsid w:val="0084560E"/>
    <w:rsid w:val="008461CD"/>
    <w:rsid w:val="008467F2"/>
    <w:rsid w:val="00846D3D"/>
    <w:rsid w:val="00847287"/>
    <w:rsid w:val="00847B1D"/>
    <w:rsid w:val="008511B6"/>
    <w:rsid w:val="00852A9B"/>
    <w:rsid w:val="00854ECB"/>
    <w:rsid w:val="008552CF"/>
    <w:rsid w:val="008565D1"/>
    <w:rsid w:val="00856B1E"/>
    <w:rsid w:val="00860EAB"/>
    <w:rsid w:val="008616C8"/>
    <w:rsid w:val="00862E91"/>
    <w:rsid w:val="00863027"/>
    <w:rsid w:val="008639C0"/>
    <w:rsid w:val="00863D57"/>
    <w:rsid w:val="008657E2"/>
    <w:rsid w:val="008667B3"/>
    <w:rsid w:val="008669D4"/>
    <w:rsid w:val="00867B97"/>
    <w:rsid w:val="008723CF"/>
    <w:rsid w:val="00874492"/>
    <w:rsid w:val="008750BD"/>
    <w:rsid w:val="008753E0"/>
    <w:rsid w:val="00876086"/>
    <w:rsid w:val="00877604"/>
    <w:rsid w:val="00877B53"/>
    <w:rsid w:val="00881296"/>
    <w:rsid w:val="008828AA"/>
    <w:rsid w:val="00882959"/>
    <w:rsid w:val="00882AA5"/>
    <w:rsid w:val="00882CD6"/>
    <w:rsid w:val="00882DCF"/>
    <w:rsid w:val="00886218"/>
    <w:rsid w:val="008871D7"/>
    <w:rsid w:val="008877F9"/>
    <w:rsid w:val="00890030"/>
    <w:rsid w:val="008901B4"/>
    <w:rsid w:val="0089026B"/>
    <w:rsid w:val="00891DE9"/>
    <w:rsid w:val="008937CB"/>
    <w:rsid w:val="0089503D"/>
    <w:rsid w:val="00895CA2"/>
    <w:rsid w:val="008965E8"/>
    <w:rsid w:val="008A1CCF"/>
    <w:rsid w:val="008A1D33"/>
    <w:rsid w:val="008A25BC"/>
    <w:rsid w:val="008A31DC"/>
    <w:rsid w:val="008A3EFD"/>
    <w:rsid w:val="008A4657"/>
    <w:rsid w:val="008A5856"/>
    <w:rsid w:val="008A67AC"/>
    <w:rsid w:val="008B008C"/>
    <w:rsid w:val="008B07CC"/>
    <w:rsid w:val="008B1F26"/>
    <w:rsid w:val="008B249E"/>
    <w:rsid w:val="008B2742"/>
    <w:rsid w:val="008B3316"/>
    <w:rsid w:val="008B4F9F"/>
    <w:rsid w:val="008B68EE"/>
    <w:rsid w:val="008B6F75"/>
    <w:rsid w:val="008B7C02"/>
    <w:rsid w:val="008C0003"/>
    <w:rsid w:val="008C05E0"/>
    <w:rsid w:val="008C0BAC"/>
    <w:rsid w:val="008C0E88"/>
    <w:rsid w:val="008C1A57"/>
    <w:rsid w:val="008C295A"/>
    <w:rsid w:val="008C7517"/>
    <w:rsid w:val="008D0B8A"/>
    <w:rsid w:val="008D1AF4"/>
    <w:rsid w:val="008D2A16"/>
    <w:rsid w:val="008D3C4A"/>
    <w:rsid w:val="008D5145"/>
    <w:rsid w:val="008D59DE"/>
    <w:rsid w:val="008D5EF6"/>
    <w:rsid w:val="008D6196"/>
    <w:rsid w:val="008D752A"/>
    <w:rsid w:val="008E08A4"/>
    <w:rsid w:val="008E1420"/>
    <w:rsid w:val="008E14DD"/>
    <w:rsid w:val="008E1EFB"/>
    <w:rsid w:val="008E27DA"/>
    <w:rsid w:val="008E31FF"/>
    <w:rsid w:val="008E3273"/>
    <w:rsid w:val="008E5356"/>
    <w:rsid w:val="008E5E50"/>
    <w:rsid w:val="008E6828"/>
    <w:rsid w:val="008E6ABB"/>
    <w:rsid w:val="008E7A02"/>
    <w:rsid w:val="008F0272"/>
    <w:rsid w:val="008F0ED5"/>
    <w:rsid w:val="008F0FD2"/>
    <w:rsid w:val="008F2174"/>
    <w:rsid w:val="008F4D46"/>
    <w:rsid w:val="008F5169"/>
    <w:rsid w:val="008F6FCE"/>
    <w:rsid w:val="008F79C3"/>
    <w:rsid w:val="009003A8"/>
    <w:rsid w:val="0090143F"/>
    <w:rsid w:val="00901EE1"/>
    <w:rsid w:val="00902EFF"/>
    <w:rsid w:val="009052AE"/>
    <w:rsid w:val="00906960"/>
    <w:rsid w:val="009076A9"/>
    <w:rsid w:val="009100D5"/>
    <w:rsid w:val="009101FB"/>
    <w:rsid w:val="00910BD4"/>
    <w:rsid w:val="00913CF5"/>
    <w:rsid w:val="00915220"/>
    <w:rsid w:val="00916CBF"/>
    <w:rsid w:val="00920522"/>
    <w:rsid w:val="009207F9"/>
    <w:rsid w:val="00921F14"/>
    <w:rsid w:val="0092406F"/>
    <w:rsid w:val="009247C8"/>
    <w:rsid w:val="00924FA8"/>
    <w:rsid w:val="00930123"/>
    <w:rsid w:val="00930829"/>
    <w:rsid w:val="00930A66"/>
    <w:rsid w:val="00930D79"/>
    <w:rsid w:val="00931EB0"/>
    <w:rsid w:val="009320A3"/>
    <w:rsid w:val="00932780"/>
    <w:rsid w:val="00932F72"/>
    <w:rsid w:val="009338E5"/>
    <w:rsid w:val="00933949"/>
    <w:rsid w:val="00936618"/>
    <w:rsid w:val="00936898"/>
    <w:rsid w:val="0093753B"/>
    <w:rsid w:val="009379E5"/>
    <w:rsid w:val="0094118A"/>
    <w:rsid w:val="00941770"/>
    <w:rsid w:val="00941DD2"/>
    <w:rsid w:val="00941E09"/>
    <w:rsid w:val="00942F08"/>
    <w:rsid w:val="00943283"/>
    <w:rsid w:val="0094427A"/>
    <w:rsid w:val="00946123"/>
    <w:rsid w:val="00946C40"/>
    <w:rsid w:val="0095130F"/>
    <w:rsid w:val="00951539"/>
    <w:rsid w:val="009519E2"/>
    <w:rsid w:val="00952900"/>
    <w:rsid w:val="00952983"/>
    <w:rsid w:val="0095381B"/>
    <w:rsid w:val="00953AA1"/>
    <w:rsid w:val="00954BAA"/>
    <w:rsid w:val="00955555"/>
    <w:rsid w:val="00955B8B"/>
    <w:rsid w:val="00956574"/>
    <w:rsid w:val="00960870"/>
    <w:rsid w:val="0096108D"/>
    <w:rsid w:val="00961B2B"/>
    <w:rsid w:val="00962503"/>
    <w:rsid w:val="00963F00"/>
    <w:rsid w:val="009665BE"/>
    <w:rsid w:val="0096694B"/>
    <w:rsid w:val="009700FD"/>
    <w:rsid w:val="00970A90"/>
    <w:rsid w:val="00970CC2"/>
    <w:rsid w:val="00972F89"/>
    <w:rsid w:val="00973235"/>
    <w:rsid w:val="00974111"/>
    <w:rsid w:val="00974923"/>
    <w:rsid w:val="00980277"/>
    <w:rsid w:val="00980A92"/>
    <w:rsid w:val="009821D9"/>
    <w:rsid w:val="00982C5C"/>
    <w:rsid w:val="00983089"/>
    <w:rsid w:val="009869A7"/>
    <w:rsid w:val="00986FC2"/>
    <w:rsid w:val="00987E97"/>
    <w:rsid w:val="009908AC"/>
    <w:rsid w:val="009935B9"/>
    <w:rsid w:val="009942B9"/>
    <w:rsid w:val="00997901"/>
    <w:rsid w:val="009A07C2"/>
    <w:rsid w:val="009A282B"/>
    <w:rsid w:val="009A28D4"/>
    <w:rsid w:val="009A2F7D"/>
    <w:rsid w:val="009A53A8"/>
    <w:rsid w:val="009A5806"/>
    <w:rsid w:val="009A5CC8"/>
    <w:rsid w:val="009A7070"/>
    <w:rsid w:val="009A75C8"/>
    <w:rsid w:val="009A76E0"/>
    <w:rsid w:val="009A7C40"/>
    <w:rsid w:val="009B004A"/>
    <w:rsid w:val="009B065C"/>
    <w:rsid w:val="009B13A7"/>
    <w:rsid w:val="009B3FE8"/>
    <w:rsid w:val="009B4A2C"/>
    <w:rsid w:val="009B6CC5"/>
    <w:rsid w:val="009B6FD3"/>
    <w:rsid w:val="009B74C0"/>
    <w:rsid w:val="009C3A34"/>
    <w:rsid w:val="009C3B7E"/>
    <w:rsid w:val="009C44B2"/>
    <w:rsid w:val="009C57E7"/>
    <w:rsid w:val="009C60A7"/>
    <w:rsid w:val="009C6195"/>
    <w:rsid w:val="009C6A78"/>
    <w:rsid w:val="009D0309"/>
    <w:rsid w:val="009D0FE4"/>
    <w:rsid w:val="009D2799"/>
    <w:rsid w:val="009D2BBA"/>
    <w:rsid w:val="009D2EC4"/>
    <w:rsid w:val="009D39E6"/>
    <w:rsid w:val="009D3D37"/>
    <w:rsid w:val="009D41D5"/>
    <w:rsid w:val="009D49EB"/>
    <w:rsid w:val="009D4AED"/>
    <w:rsid w:val="009D5043"/>
    <w:rsid w:val="009E0B3D"/>
    <w:rsid w:val="009E0B7F"/>
    <w:rsid w:val="009E1755"/>
    <w:rsid w:val="009E1F24"/>
    <w:rsid w:val="009E285D"/>
    <w:rsid w:val="009E37BB"/>
    <w:rsid w:val="009E3D29"/>
    <w:rsid w:val="009E3D44"/>
    <w:rsid w:val="009E47AD"/>
    <w:rsid w:val="009E4EA8"/>
    <w:rsid w:val="009E535A"/>
    <w:rsid w:val="009E57A8"/>
    <w:rsid w:val="009E65B8"/>
    <w:rsid w:val="009E7AB7"/>
    <w:rsid w:val="009F3A29"/>
    <w:rsid w:val="009F5488"/>
    <w:rsid w:val="00A06DD9"/>
    <w:rsid w:val="00A07257"/>
    <w:rsid w:val="00A07545"/>
    <w:rsid w:val="00A077AB"/>
    <w:rsid w:val="00A07C0B"/>
    <w:rsid w:val="00A10D66"/>
    <w:rsid w:val="00A1290F"/>
    <w:rsid w:val="00A12C92"/>
    <w:rsid w:val="00A16C4D"/>
    <w:rsid w:val="00A20FE2"/>
    <w:rsid w:val="00A21A2E"/>
    <w:rsid w:val="00A221CE"/>
    <w:rsid w:val="00A22D2E"/>
    <w:rsid w:val="00A23E43"/>
    <w:rsid w:val="00A256C3"/>
    <w:rsid w:val="00A262CE"/>
    <w:rsid w:val="00A265D4"/>
    <w:rsid w:val="00A26DF0"/>
    <w:rsid w:val="00A31C0B"/>
    <w:rsid w:val="00A32F7F"/>
    <w:rsid w:val="00A33820"/>
    <w:rsid w:val="00A33BB6"/>
    <w:rsid w:val="00A35626"/>
    <w:rsid w:val="00A3686F"/>
    <w:rsid w:val="00A4170C"/>
    <w:rsid w:val="00A41EB4"/>
    <w:rsid w:val="00A43A9C"/>
    <w:rsid w:val="00A459EC"/>
    <w:rsid w:val="00A46030"/>
    <w:rsid w:val="00A46DE0"/>
    <w:rsid w:val="00A471A5"/>
    <w:rsid w:val="00A47424"/>
    <w:rsid w:val="00A50233"/>
    <w:rsid w:val="00A5027A"/>
    <w:rsid w:val="00A5287C"/>
    <w:rsid w:val="00A53A7B"/>
    <w:rsid w:val="00A54A05"/>
    <w:rsid w:val="00A54A61"/>
    <w:rsid w:val="00A54E85"/>
    <w:rsid w:val="00A54F1A"/>
    <w:rsid w:val="00A55489"/>
    <w:rsid w:val="00A55FAB"/>
    <w:rsid w:val="00A56914"/>
    <w:rsid w:val="00A57DEF"/>
    <w:rsid w:val="00A61045"/>
    <w:rsid w:val="00A62470"/>
    <w:rsid w:val="00A62CE1"/>
    <w:rsid w:val="00A63804"/>
    <w:rsid w:val="00A63991"/>
    <w:rsid w:val="00A67433"/>
    <w:rsid w:val="00A67964"/>
    <w:rsid w:val="00A703EB"/>
    <w:rsid w:val="00A71E3A"/>
    <w:rsid w:val="00A72BFE"/>
    <w:rsid w:val="00A734BA"/>
    <w:rsid w:val="00A75964"/>
    <w:rsid w:val="00A75E40"/>
    <w:rsid w:val="00A77B0F"/>
    <w:rsid w:val="00A77CC5"/>
    <w:rsid w:val="00A81BA5"/>
    <w:rsid w:val="00A8313F"/>
    <w:rsid w:val="00A8316D"/>
    <w:rsid w:val="00A8323F"/>
    <w:rsid w:val="00A83B0D"/>
    <w:rsid w:val="00A847A0"/>
    <w:rsid w:val="00A857C0"/>
    <w:rsid w:val="00A8587E"/>
    <w:rsid w:val="00A868F2"/>
    <w:rsid w:val="00A87C69"/>
    <w:rsid w:val="00A9414B"/>
    <w:rsid w:val="00A9460A"/>
    <w:rsid w:val="00A94E20"/>
    <w:rsid w:val="00A97646"/>
    <w:rsid w:val="00A97C04"/>
    <w:rsid w:val="00AA2060"/>
    <w:rsid w:val="00AA217B"/>
    <w:rsid w:val="00AA4641"/>
    <w:rsid w:val="00AA46E0"/>
    <w:rsid w:val="00AA559A"/>
    <w:rsid w:val="00AA59E3"/>
    <w:rsid w:val="00AA5DB9"/>
    <w:rsid w:val="00AA7A99"/>
    <w:rsid w:val="00AB2AF1"/>
    <w:rsid w:val="00AB2E43"/>
    <w:rsid w:val="00AB33AE"/>
    <w:rsid w:val="00AB389B"/>
    <w:rsid w:val="00AB41DE"/>
    <w:rsid w:val="00AB59D3"/>
    <w:rsid w:val="00AB7318"/>
    <w:rsid w:val="00AB78C5"/>
    <w:rsid w:val="00AC05DB"/>
    <w:rsid w:val="00AC1176"/>
    <w:rsid w:val="00AC3FD1"/>
    <w:rsid w:val="00AC435B"/>
    <w:rsid w:val="00AC4508"/>
    <w:rsid w:val="00AC62CF"/>
    <w:rsid w:val="00AC6691"/>
    <w:rsid w:val="00AC7F36"/>
    <w:rsid w:val="00AD306C"/>
    <w:rsid w:val="00AD3CE8"/>
    <w:rsid w:val="00AD5118"/>
    <w:rsid w:val="00AD52A8"/>
    <w:rsid w:val="00AD633B"/>
    <w:rsid w:val="00AD6453"/>
    <w:rsid w:val="00AD7B11"/>
    <w:rsid w:val="00AE01E3"/>
    <w:rsid w:val="00AE0F4A"/>
    <w:rsid w:val="00AE119F"/>
    <w:rsid w:val="00AE207C"/>
    <w:rsid w:val="00AE29DE"/>
    <w:rsid w:val="00AE3A2E"/>
    <w:rsid w:val="00AE5A90"/>
    <w:rsid w:val="00AE6027"/>
    <w:rsid w:val="00AF21BD"/>
    <w:rsid w:val="00AF2EC9"/>
    <w:rsid w:val="00AF44AA"/>
    <w:rsid w:val="00AF4542"/>
    <w:rsid w:val="00AF7CC8"/>
    <w:rsid w:val="00B0046C"/>
    <w:rsid w:val="00B00E2A"/>
    <w:rsid w:val="00B00E5C"/>
    <w:rsid w:val="00B021DC"/>
    <w:rsid w:val="00B0293A"/>
    <w:rsid w:val="00B031D4"/>
    <w:rsid w:val="00B04C40"/>
    <w:rsid w:val="00B054ED"/>
    <w:rsid w:val="00B05722"/>
    <w:rsid w:val="00B12489"/>
    <w:rsid w:val="00B129F4"/>
    <w:rsid w:val="00B13282"/>
    <w:rsid w:val="00B17E71"/>
    <w:rsid w:val="00B17FDE"/>
    <w:rsid w:val="00B21B8C"/>
    <w:rsid w:val="00B247D8"/>
    <w:rsid w:val="00B25F29"/>
    <w:rsid w:val="00B27879"/>
    <w:rsid w:val="00B27CC2"/>
    <w:rsid w:val="00B30132"/>
    <w:rsid w:val="00B3057F"/>
    <w:rsid w:val="00B31DB7"/>
    <w:rsid w:val="00B32B8B"/>
    <w:rsid w:val="00B32DDB"/>
    <w:rsid w:val="00B33853"/>
    <w:rsid w:val="00B33C76"/>
    <w:rsid w:val="00B33FEC"/>
    <w:rsid w:val="00B34DAB"/>
    <w:rsid w:val="00B35131"/>
    <w:rsid w:val="00B360DE"/>
    <w:rsid w:val="00B36297"/>
    <w:rsid w:val="00B36B2F"/>
    <w:rsid w:val="00B4079B"/>
    <w:rsid w:val="00B41A0A"/>
    <w:rsid w:val="00B42254"/>
    <w:rsid w:val="00B43764"/>
    <w:rsid w:val="00B4439F"/>
    <w:rsid w:val="00B449C1"/>
    <w:rsid w:val="00B45197"/>
    <w:rsid w:val="00B45667"/>
    <w:rsid w:val="00B46DC2"/>
    <w:rsid w:val="00B5004C"/>
    <w:rsid w:val="00B508DA"/>
    <w:rsid w:val="00B50C8B"/>
    <w:rsid w:val="00B515C6"/>
    <w:rsid w:val="00B51944"/>
    <w:rsid w:val="00B52135"/>
    <w:rsid w:val="00B52757"/>
    <w:rsid w:val="00B537E2"/>
    <w:rsid w:val="00B55082"/>
    <w:rsid w:val="00B55C66"/>
    <w:rsid w:val="00B561B9"/>
    <w:rsid w:val="00B609BE"/>
    <w:rsid w:val="00B60ECF"/>
    <w:rsid w:val="00B6147E"/>
    <w:rsid w:val="00B64260"/>
    <w:rsid w:val="00B65DB6"/>
    <w:rsid w:val="00B6608F"/>
    <w:rsid w:val="00B67D22"/>
    <w:rsid w:val="00B702B7"/>
    <w:rsid w:val="00B71822"/>
    <w:rsid w:val="00B71987"/>
    <w:rsid w:val="00B72398"/>
    <w:rsid w:val="00B737B5"/>
    <w:rsid w:val="00B745E6"/>
    <w:rsid w:val="00B747C8"/>
    <w:rsid w:val="00B75310"/>
    <w:rsid w:val="00B765A7"/>
    <w:rsid w:val="00B76D1E"/>
    <w:rsid w:val="00B804F8"/>
    <w:rsid w:val="00B82631"/>
    <w:rsid w:val="00B8395F"/>
    <w:rsid w:val="00B84108"/>
    <w:rsid w:val="00B849FD"/>
    <w:rsid w:val="00B853CF"/>
    <w:rsid w:val="00B858DD"/>
    <w:rsid w:val="00B868BF"/>
    <w:rsid w:val="00B91E6C"/>
    <w:rsid w:val="00B933B1"/>
    <w:rsid w:val="00B94C93"/>
    <w:rsid w:val="00B95276"/>
    <w:rsid w:val="00B95940"/>
    <w:rsid w:val="00B95FD1"/>
    <w:rsid w:val="00B96320"/>
    <w:rsid w:val="00B96887"/>
    <w:rsid w:val="00B96E42"/>
    <w:rsid w:val="00B977AC"/>
    <w:rsid w:val="00BA0710"/>
    <w:rsid w:val="00BA0F35"/>
    <w:rsid w:val="00BA1262"/>
    <w:rsid w:val="00BA1C37"/>
    <w:rsid w:val="00BA2CDF"/>
    <w:rsid w:val="00BA3499"/>
    <w:rsid w:val="00BA3657"/>
    <w:rsid w:val="00BA437A"/>
    <w:rsid w:val="00BA43A1"/>
    <w:rsid w:val="00BA44C3"/>
    <w:rsid w:val="00BA486D"/>
    <w:rsid w:val="00BA4FCB"/>
    <w:rsid w:val="00BA5329"/>
    <w:rsid w:val="00BA54F8"/>
    <w:rsid w:val="00BA5C78"/>
    <w:rsid w:val="00BA7341"/>
    <w:rsid w:val="00BA7A16"/>
    <w:rsid w:val="00BB1D98"/>
    <w:rsid w:val="00BB1DB3"/>
    <w:rsid w:val="00BB375C"/>
    <w:rsid w:val="00BB3AC8"/>
    <w:rsid w:val="00BB52C7"/>
    <w:rsid w:val="00BB6777"/>
    <w:rsid w:val="00BB6799"/>
    <w:rsid w:val="00BC6AC1"/>
    <w:rsid w:val="00BC7B72"/>
    <w:rsid w:val="00BD0645"/>
    <w:rsid w:val="00BD2D19"/>
    <w:rsid w:val="00BD366B"/>
    <w:rsid w:val="00BD3E29"/>
    <w:rsid w:val="00BD47C9"/>
    <w:rsid w:val="00BD6D50"/>
    <w:rsid w:val="00BD713B"/>
    <w:rsid w:val="00BE0470"/>
    <w:rsid w:val="00BE2E1E"/>
    <w:rsid w:val="00BE7298"/>
    <w:rsid w:val="00BE73BB"/>
    <w:rsid w:val="00BE7F40"/>
    <w:rsid w:val="00BF09A3"/>
    <w:rsid w:val="00BF1395"/>
    <w:rsid w:val="00BF2796"/>
    <w:rsid w:val="00BF2DC9"/>
    <w:rsid w:val="00BF4984"/>
    <w:rsid w:val="00BF51D7"/>
    <w:rsid w:val="00BF5985"/>
    <w:rsid w:val="00BF5D73"/>
    <w:rsid w:val="00BF6041"/>
    <w:rsid w:val="00C01BB8"/>
    <w:rsid w:val="00C04182"/>
    <w:rsid w:val="00C04563"/>
    <w:rsid w:val="00C058F6"/>
    <w:rsid w:val="00C05D9B"/>
    <w:rsid w:val="00C05EE7"/>
    <w:rsid w:val="00C061EF"/>
    <w:rsid w:val="00C12BB5"/>
    <w:rsid w:val="00C15BF2"/>
    <w:rsid w:val="00C15C15"/>
    <w:rsid w:val="00C21823"/>
    <w:rsid w:val="00C21F94"/>
    <w:rsid w:val="00C238D3"/>
    <w:rsid w:val="00C23AD0"/>
    <w:rsid w:val="00C25199"/>
    <w:rsid w:val="00C31499"/>
    <w:rsid w:val="00C32C17"/>
    <w:rsid w:val="00C32CF5"/>
    <w:rsid w:val="00C3509F"/>
    <w:rsid w:val="00C354FF"/>
    <w:rsid w:val="00C356EE"/>
    <w:rsid w:val="00C363FA"/>
    <w:rsid w:val="00C364B9"/>
    <w:rsid w:val="00C36C5C"/>
    <w:rsid w:val="00C37461"/>
    <w:rsid w:val="00C37613"/>
    <w:rsid w:val="00C44980"/>
    <w:rsid w:val="00C45446"/>
    <w:rsid w:val="00C463A9"/>
    <w:rsid w:val="00C47406"/>
    <w:rsid w:val="00C53308"/>
    <w:rsid w:val="00C53991"/>
    <w:rsid w:val="00C549A0"/>
    <w:rsid w:val="00C54C37"/>
    <w:rsid w:val="00C57976"/>
    <w:rsid w:val="00C6126C"/>
    <w:rsid w:val="00C61AF5"/>
    <w:rsid w:val="00C63732"/>
    <w:rsid w:val="00C64473"/>
    <w:rsid w:val="00C65C41"/>
    <w:rsid w:val="00C67030"/>
    <w:rsid w:val="00C713F5"/>
    <w:rsid w:val="00C71A7D"/>
    <w:rsid w:val="00C72D58"/>
    <w:rsid w:val="00C74848"/>
    <w:rsid w:val="00C75024"/>
    <w:rsid w:val="00C75328"/>
    <w:rsid w:val="00C75550"/>
    <w:rsid w:val="00C75A31"/>
    <w:rsid w:val="00C76A45"/>
    <w:rsid w:val="00C774BB"/>
    <w:rsid w:val="00C77721"/>
    <w:rsid w:val="00C7796A"/>
    <w:rsid w:val="00C80D1B"/>
    <w:rsid w:val="00C820B0"/>
    <w:rsid w:val="00C82CA9"/>
    <w:rsid w:val="00C82E31"/>
    <w:rsid w:val="00C85411"/>
    <w:rsid w:val="00C8555B"/>
    <w:rsid w:val="00C866FE"/>
    <w:rsid w:val="00C86840"/>
    <w:rsid w:val="00C86C49"/>
    <w:rsid w:val="00C902C8"/>
    <w:rsid w:val="00C903FE"/>
    <w:rsid w:val="00C90CF4"/>
    <w:rsid w:val="00C9101A"/>
    <w:rsid w:val="00C919C4"/>
    <w:rsid w:val="00C93389"/>
    <w:rsid w:val="00C93954"/>
    <w:rsid w:val="00C95339"/>
    <w:rsid w:val="00C958DA"/>
    <w:rsid w:val="00C95B18"/>
    <w:rsid w:val="00C95E3D"/>
    <w:rsid w:val="00C96297"/>
    <w:rsid w:val="00C96820"/>
    <w:rsid w:val="00CA0C7F"/>
    <w:rsid w:val="00CA0FAE"/>
    <w:rsid w:val="00CA2DD6"/>
    <w:rsid w:val="00CA35BA"/>
    <w:rsid w:val="00CA71AD"/>
    <w:rsid w:val="00CB0001"/>
    <w:rsid w:val="00CB0E00"/>
    <w:rsid w:val="00CB1981"/>
    <w:rsid w:val="00CB29D1"/>
    <w:rsid w:val="00CB4F69"/>
    <w:rsid w:val="00CB62F8"/>
    <w:rsid w:val="00CC01D0"/>
    <w:rsid w:val="00CC0FC5"/>
    <w:rsid w:val="00CC1887"/>
    <w:rsid w:val="00CC386B"/>
    <w:rsid w:val="00CC38DB"/>
    <w:rsid w:val="00CC3B3E"/>
    <w:rsid w:val="00CC5D9D"/>
    <w:rsid w:val="00CC62CA"/>
    <w:rsid w:val="00CC68C2"/>
    <w:rsid w:val="00CC7383"/>
    <w:rsid w:val="00CD0328"/>
    <w:rsid w:val="00CD3C89"/>
    <w:rsid w:val="00CD79FE"/>
    <w:rsid w:val="00CD7BE9"/>
    <w:rsid w:val="00CE00F3"/>
    <w:rsid w:val="00CE0E95"/>
    <w:rsid w:val="00CE1019"/>
    <w:rsid w:val="00CE1280"/>
    <w:rsid w:val="00CE158D"/>
    <w:rsid w:val="00CE1F86"/>
    <w:rsid w:val="00CE24FC"/>
    <w:rsid w:val="00CE276E"/>
    <w:rsid w:val="00CE31DA"/>
    <w:rsid w:val="00CE35FE"/>
    <w:rsid w:val="00CE3B0A"/>
    <w:rsid w:val="00CE47B3"/>
    <w:rsid w:val="00CE4C45"/>
    <w:rsid w:val="00CE4F4B"/>
    <w:rsid w:val="00CE50E8"/>
    <w:rsid w:val="00CE6861"/>
    <w:rsid w:val="00CE68EA"/>
    <w:rsid w:val="00CE7908"/>
    <w:rsid w:val="00CF0173"/>
    <w:rsid w:val="00CF2A7A"/>
    <w:rsid w:val="00CF2C7E"/>
    <w:rsid w:val="00CF2E4E"/>
    <w:rsid w:val="00CF31F6"/>
    <w:rsid w:val="00CF3468"/>
    <w:rsid w:val="00CF47FD"/>
    <w:rsid w:val="00CF4BE2"/>
    <w:rsid w:val="00CF51EC"/>
    <w:rsid w:val="00CF619B"/>
    <w:rsid w:val="00CF6E52"/>
    <w:rsid w:val="00CF7035"/>
    <w:rsid w:val="00D02A33"/>
    <w:rsid w:val="00D03D9E"/>
    <w:rsid w:val="00D040DD"/>
    <w:rsid w:val="00D044EA"/>
    <w:rsid w:val="00D045D0"/>
    <w:rsid w:val="00D04748"/>
    <w:rsid w:val="00D04839"/>
    <w:rsid w:val="00D04A5D"/>
    <w:rsid w:val="00D054F3"/>
    <w:rsid w:val="00D05A86"/>
    <w:rsid w:val="00D07345"/>
    <w:rsid w:val="00D0774F"/>
    <w:rsid w:val="00D0796B"/>
    <w:rsid w:val="00D11DEF"/>
    <w:rsid w:val="00D120A5"/>
    <w:rsid w:val="00D13098"/>
    <w:rsid w:val="00D13328"/>
    <w:rsid w:val="00D13906"/>
    <w:rsid w:val="00D15A54"/>
    <w:rsid w:val="00D16834"/>
    <w:rsid w:val="00D17E3D"/>
    <w:rsid w:val="00D202B5"/>
    <w:rsid w:val="00D20597"/>
    <w:rsid w:val="00D20688"/>
    <w:rsid w:val="00D23446"/>
    <w:rsid w:val="00D24B30"/>
    <w:rsid w:val="00D256C5"/>
    <w:rsid w:val="00D267E2"/>
    <w:rsid w:val="00D27BAA"/>
    <w:rsid w:val="00D317AA"/>
    <w:rsid w:val="00D31B66"/>
    <w:rsid w:val="00D31CF6"/>
    <w:rsid w:val="00D3503E"/>
    <w:rsid w:val="00D355C0"/>
    <w:rsid w:val="00D362C3"/>
    <w:rsid w:val="00D4082D"/>
    <w:rsid w:val="00D40EB6"/>
    <w:rsid w:val="00D41AF1"/>
    <w:rsid w:val="00D42B88"/>
    <w:rsid w:val="00D43C99"/>
    <w:rsid w:val="00D43E8C"/>
    <w:rsid w:val="00D44919"/>
    <w:rsid w:val="00D44CF1"/>
    <w:rsid w:val="00D456A4"/>
    <w:rsid w:val="00D46277"/>
    <w:rsid w:val="00D4701B"/>
    <w:rsid w:val="00D50475"/>
    <w:rsid w:val="00D519AC"/>
    <w:rsid w:val="00D51D55"/>
    <w:rsid w:val="00D52BED"/>
    <w:rsid w:val="00D52F5C"/>
    <w:rsid w:val="00D54225"/>
    <w:rsid w:val="00D55DF8"/>
    <w:rsid w:val="00D579E9"/>
    <w:rsid w:val="00D57D9C"/>
    <w:rsid w:val="00D60199"/>
    <w:rsid w:val="00D6097A"/>
    <w:rsid w:val="00D60C38"/>
    <w:rsid w:val="00D61468"/>
    <w:rsid w:val="00D62884"/>
    <w:rsid w:val="00D62D84"/>
    <w:rsid w:val="00D64A75"/>
    <w:rsid w:val="00D652EC"/>
    <w:rsid w:val="00D676E8"/>
    <w:rsid w:val="00D70113"/>
    <w:rsid w:val="00D703DB"/>
    <w:rsid w:val="00D726A7"/>
    <w:rsid w:val="00D72C5F"/>
    <w:rsid w:val="00D733B6"/>
    <w:rsid w:val="00D73499"/>
    <w:rsid w:val="00D738AE"/>
    <w:rsid w:val="00D73CCD"/>
    <w:rsid w:val="00D758C8"/>
    <w:rsid w:val="00D768AA"/>
    <w:rsid w:val="00D81C3D"/>
    <w:rsid w:val="00D81ED0"/>
    <w:rsid w:val="00D81FA6"/>
    <w:rsid w:val="00D81FAD"/>
    <w:rsid w:val="00D83397"/>
    <w:rsid w:val="00D83A64"/>
    <w:rsid w:val="00D87A8C"/>
    <w:rsid w:val="00D87F49"/>
    <w:rsid w:val="00D90839"/>
    <w:rsid w:val="00D90E79"/>
    <w:rsid w:val="00D911C5"/>
    <w:rsid w:val="00D92C97"/>
    <w:rsid w:val="00D92D6A"/>
    <w:rsid w:val="00D9320F"/>
    <w:rsid w:val="00D943B6"/>
    <w:rsid w:val="00D94B8F"/>
    <w:rsid w:val="00D9565D"/>
    <w:rsid w:val="00D9612F"/>
    <w:rsid w:val="00D961C7"/>
    <w:rsid w:val="00D9700D"/>
    <w:rsid w:val="00DA2C60"/>
    <w:rsid w:val="00DA4844"/>
    <w:rsid w:val="00DA5440"/>
    <w:rsid w:val="00DA55A4"/>
    <w:rsid w:val="00DA6192"/>
    <w:rsid w:val="00DA6934"/>
    <w:rsid w:val="00DB09B8"/>
    <w:rsid w:val="00DB2397"/>
    <w:rsid w:val="00DC1785"/>
    <w:rsid w:val="00DC1B7E"/>
    <w:rsid w:val="00DC2C0B"/>
    <w:rsid w:val="00DC4034"/>
    <w:rsid w:val="00DC4FDB"/>
    <w:rsid w:val="00DC5B3B"/>
    <w:rsid w:val="00DC5F2B"/>
    <w:rsid w:val="00DC701F"/>
    <w:rsid w:val="00DC7F5F"/>
    <w:rsid w:val="00DD1BD7"/>
    <w:rsid w:val="00DD3BD4"/>
    <w:rsid w:val="00DD7047"/>
    <w:rsid w:val="00DD70DE"/>
    <w:rsid w:val="00DD741F"/>
    <w:rsid w:val="00DD7498"/>
    <w:rsid w:val="00DD787B"/>
    <w:rsid w:val="00DD7CF8"/>
    <w:rsid w:val="00DE024D"/>
    <w:rsid w:val="00DE092B"/>
    <w:rsid w:val="00DE1356"/>
    <w:rsid w:val="00DE1B71"/>
    <w:rsid w:val="00DE3179"/>
    <w:rsid w:val="00DE3973"/>
    <w:rsid w:val="00DE4A51"/>
    <w:rsid w:val="00DE539E"/>
    <w:rsid w:val="00DE66BB"/>
    <w:rsid w:val="00DE736E"/>
    <w:rsid w:val="00DF0EDC"/>
    <w:rsid w:val="00DF1241"/>
    <w:rsid w:val="00DF137E"/>
    <w:rsid w:val="00DF1398"/>
    <w:rsid w:val="00DF3F1A"/>
    <w:rsid w:val="00DF4938"/>
    <w:rsid w:val="00DF5D00"/>
    <w:rsid w:val="00DF7587"/>
    <w:rsid w:val="00DF7E65"/>
    <w:rsid w:val="00DF7FCF"/>
    <w:rsid w:val="00E01C0E"/>
    <w:rsid w:val="00E02641"/>
    <w:rsid w:val="00E0428C"/>
    <w:rsid w:val="00E04694"/>
    <w:rsid w:val="00E05426"/>
    <w:rsid w:val="00E05C11"/>
    <w:rsid w:val="00E079D7"/>
    <w:rsid w:val="00E079FB"/>
    <w:rsid w:val="00E100A3"/>
    <w:rsid w:val="00E106F6"/>
    <w:rsid w:val="00E11327"/>
    <w:rsid w:val="00E1175F"/>
    <w:rsid w:val="00E12A52"/>
    <w:rsid w:val="00E12D30"/>
    <w:rsid w:val="00E13FE3"/>
    <w:rsid w:val="00E144EF"/>
    <w:rsid w:val="00E14754"/>
    <w:rsid w:val="00E14AE7"/>
    <w:rsid w:val="00E14C18"/>
    <w:rsid w:val="00E158E3"/>
    <w:rsid w:val="00E22AE6"/>
    <w:rsid w:val="00E30C67"/>
    <w:rsid w:val="00E30CDC"/>
    <w:rsid w:val="00E30F7E"/>
    <w:rsid w:val="00E31E16"/>
    <w:rsid w:val="00E32A90"/>
    <w:rsid w:val="00E32BA0"/>
    <w:rsid w:val="00E33D7D"/>
    <w:rsid w:val="00E33EAE"/>
    <w:rsid w:val="00E340F9"/>
    <w:rsid w:val="00E369B0"/>
    <w:rsid w:val="00E3735A"/>
    <w:rsid w:val="00E443AC"/>
    <w:rsid w:val="00E45F0C"/>
    <w:rsid w:val="00E46C3D"/>
    <w:rsid w:val="00E504C3"/>
    <w:rsid w:val="00E513B0"/>
    <w:rsid w:val="00E528B7"/>
    <w:rsid w:val="00E52C47"/>
    <w:rsid w:val="00E54C11"/>
    <w:rsid w:val="00E55566"/>
    <w:rsid w:val="00E555D7"/>
    <w:rsid w:val="00E56D60"/>
    <w:rsid w:val="00E57564"/>
    <w:rsid w:val="00E60E7C"/>
    <w:rsid w:val="00E6176C"/>
    <w:rsid w:val="00E61C43"/>
    <w:rsid w:val="00E63D3F"/>
    <w:rsid w:val="00E644A7"/>
    <w:rsid w:val="00E64FE4"/>
    <w:rsid w:val="00E651DE"/>
    <w:rsid w:val="00E6616C"/>
    <w:rsid w:val="00E67DC3"/>
    <w:rsid w:val="00E71A58"/>
    <w:rsid w:val="00E72178"/>
    <w:rsid w:val="00E72A9C"/>
    <w:rsid w:val="00E8026B"/>
    <w:rsid w:val="00E81E1F"/>
    <w:rsid w:val="00E82D69"/>
    <w:rsid w:val="00E84E9F"/>
    <w:rsid w:val="00E875B7"/>
    <w:rsid w:val="00E90A06"/>
    <w:rsid w:val="00E9276C"/>
    <w:rsid w:val="00E94CAA"/>
    <w:rsid w:val="00E95AF8"/>
    <w:rsid w:val="00EA0C68"/>
    <w:rsid w:val="00EA2568"/>
    <w:rsid w:val="00EA6979"/>
    <w:rsid w:val="00EB00C7"/>
    <w:rsid w:val="00EB0F76"/>
    <w:rsid w:val="00EB20D3"/>
    <w:rsid w:val="00EB2376"/>
    <w:rsid w:val="00EB3116"/>
    <w:rsid w:val="00EB4980"/>
    <w:rsid w:val="00EB7D19"/>
    <w:rsid w:val="00EB7F5D"/>
    <w:rsid w:val="00EC205E"/>
    <w:rsid w:val="00EC63F0"/>
    <w:rsid w:val="00EC6650"/>
    <w:rsid w:val="00ED2269"/>
    <w:rsid w:val="00ED26B4"/>
    <w:rsid w:val="00ED3025"/>
    <w:rsid w:val="00ED422B"/>
    <w:rsid w:val="00ED48F5"/>
    <w:rsid w:val="00ED5B4F"/>
    <w:rsid w:val="00ED696E"/>
    <w:rsid w:val="00EE01F9"/>
    <w:rsid w:val="00EE25C3"/>
    <w:rsid w:val="00EE3E78"/>
    <w:rsid w:val="00EE4E51"/>
    <w:rsid w:val="00EE52F3"/>
    <w:rsid w:val="00EE52FC"/>
    <w:rsid w:val="00EE5A03"/>
    <w:rsid w:val="00EE7BEA"/>
    <w:rsid w:val="00EF1F5A"/>
    <w:rsid w:val="00EF267A"/>
    <w:rsid w:val="00EF390C"/>
    <w:rsid w:val="00EF472B"/>
    <w:rsid w:val="00EF6170"/>
    <w:rsid w:val="00EF69EB"/>
    <w:rsid w:val="00EF745D"/>
    <w:rsid w:val="00EF7BAC"/>
    <w:rsid w:val="00F02751"/>
    <w:rsid w:val="00F02B19"/>
    <w:rsid w:val="00F02C58"/>
    <w:rsid w:val="00F04811"/>
    <w:rsid w:val="00F0488C"/>
    <w:rsid w:val="00F1001C"/>
    <w:rsid w:val="00F1085F"/>
    <w:rsid w:val="00F10DA0"/>
    <w:rsid w:val="00F11826"/>
    <w:rsid w:val="00F1233C"/>
    <w:rsid w:val="00F12D74"/>
    <w:rsid w:val="00F1307F"/>
    <w:rsid w:val="00F15234"/>
    <w:rsid w:val="00F15BEF"/>
    <w:rsid w:val="00F16380"/>
    <w:rsid w:val="00F17073"/>
    <w:rsid w:val="00F22E88"/>
    <w:rsid w:val="00F22E95"/>
    <w:rsid w:val="00F24469"/>
    <w:rsid w:val="00F24FAA"/>
    <w:rsid w:val="00F25828"/>
    <w:rsid w:val="00F26446"/>
    <w:rsid w:val="00F274C6"/>
    <w:rsid w:val="00F276B5"/>
    <w:rsid w:val="00F309E3"/>
    <w:rsid w:val="00F30D8A"/>
    <w:rsid w:val="00F3235A"/>
    <w:rsid w:val="00F3364D"/>
    <w:rsid w:val="00F33F9B"/>
    <w:rsid w:val="00F35998"/>
    <w:rsid w:val="00F36ACD"/>
    <w:rsid w:val="00F36B49"/>
    <w:rsid w:val="00F36C27"/>
    <w:rsid w:val="00F37C80"/>
    <w:rsid w:val="00F37E2F"/>
    <w:rsid w:val="00F4260E"/>
    <w:rsid w:val="00F42DEA"/>
    <w:rsid w:val="00F46BFB"/>
    <w:rsid w:val="00F4733D"/>
    <w:rsid w:val="00F47D51"/>
    <w:rsid w:val="00F50BEA"/>
    <w:rsid w:val="00F50EBA"/>
    <w:rsid w:val="00F511BD"/>
    <w:rsid w:val="00F5228D"/>
    <w:rsid w:val="00F52794"/>
    <w:rsid w:val="00F52C0D"/>
    <w:rsid w:val="00F543ED"/>
    <w:rsid w:val="00F54C1F"/>
    <w:rsid w:val="00F56B28"/>
    <w:rsid w:val="00F57279"/>
    <w:rsid w:val="00F5744D"/>
    <w:rsid w:val="00F613E9"/>
    <w:rsid w:val="00F61DC8"/>
    <w:rsid w:val="00F61E6A"/>
    <w:rsid w:val="00F63DDE"/>
    <w:rsid w:val="00F63FB7"/>
    <w:rsid w:val="00F66E5A"/>
    <w:rsid w:val="00F702F8"/>
    <w:rsid w:val="00F728AD"/>
    <w:rsid w:val="00F72A84"/>
    <w:rsid w:val="00F73A0C"/>
    <w:rsid w:val="00F746EF"/>
    <w:rsid w:val="00F750F8"/>
    <w:rsid w:val="00F753BE"/>
    <w:rsid w:val="00F75C57"/>
    <w:rsid w:val="00F76803"/>
    <w:rsid w:val="00F77C3D"/>
    <w:rsid w:val="00F8074E"/>
    <w:rsid w:val="00F80FFE"/>
    <w:rsid w:val="00F82398"/>
    <w:rsid w:val="00F8375F"/>
    <w:rsid w:val="00F8413A"/>
    <w:rsid w:val="00F85378"/>
    <w:rsid w:val="00F85A84"/>
    <w:rsid w:val="00F87148"/>
    <w:rsid w:val="00F90D7C"/>
    <w:rsid w:val="00F92CD2"/>
    <w:rsid w:val="00F92EB8"/>
    <w:rsid w:val="00F9409F"/>
    <w:rsid w:val="00F95893"/>
    <w:rsid w:val="00F9678A"/>
    <w:rsid w:val="00FA05E2"/>
    <w:rsid w:val="00FA3174"/>
    <w:rsid w:val="00FA3AAC"/>
    <w:rsid w:val="00FA4E62"/>
    <w:rsid w:val="00FA62C4"/>
    <w:rsid w:val="00FA7E78"/>
    <w:rsid w:val="00FB0DB3"/>
    <w:rsid w:val="00FB1007"/>
    <w:rsid w:val="00FB1074"/>
    <w:rsid w:val="00FB1EAF"/>
    <w:rsid w:val="00FB259D"/>
    <w:rsid w:val="00FB3BAB"/>
    <w:rsid w:val="00FB408F"/>
    <w:rsid w:val="00FB57C8"/>
    <w:rsid w:val="00FB6874"/>
    <w:rsid w:val="00FB6C52"/>
    <w:rsid w:val="00FC075C"/>
    <w:rsid w:val="00FC0E5F"/>
    <w:rsid w:val="00FC489B"/>
    <w:rsid w:val="00FC56DE"/>
    <w:rsid w:val="00FC58DB"/>
    <w:rsid w:val="00FC5975"/>
    <w:rsid w:val="00FD2325"/>
    <w:rsid w:val="00FD293E"/>
    <w:rsid w:val="00FD29E1"/>
    <w:rsid w:val="00FD2BEE"/>
    <w:rsid w:val="00FD32DD"/>
    <w:rsid w:val="00FD40D6"/>
    <w:rsid w:val="00FD605D"/>
    <w:rsid w:val="00FD63DE"/>
    <w:rsid w:val="00FD6C67"/>
    <w:rsid w:val="00FD7699"/>
    <w:rsid w:val="00FE0416"/>
    <w:rsid w:val="00FE0419"/>
    <w:rsid w:val="00FE2F78"/>
    <w:rsid w:val="00FE328B"/>
    <w:rsid w:val="00FE5601"/>
    <w:rsid w:val="00FF0AC6"/>
    <w:rsid w:val="00FF3BF1"/>
    <w:rsid w:val="00FF4035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F94E826"/>
  <w15:docId w15:val="{D9DE0143-2C42-430E-A150-9DC0AA5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1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rk\__PUBLIKACE_INOV2016\2_TEXTY\ANLZ\ana_grafy_2018-05-3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rk\__PUBLIKACE_INOV2016\2_TEXTY\ANLZ\ana_grafy_2018-05-3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rk\__PUBLIKACE_INOV2016\2_TEXTY\ANLZ\ana_grafy_2018-05-3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rk\__PUBLIKACE_INOV2016\2_TEXTY\ANLZ\ana_grafy_2018-05-3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6\1_WEB\2_Texty\ANLZ\ana_grafy_2018-05-3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'GRAF3.2-1'!$B$3</c:f>
              <c:strCache>
                <c:ptCount val="1"/>
                <c:pt idx="0">
                  <c:v>Inovující podniky celkem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'GRAF3.2-1'!$B$4:$B$9</c:f>
              <c:numCache>
                <c:formatCode>0.0%</c:formatCode>
                <c:ptCount val="6"/>
                <c:pt idx="0">
                  <c:v>0.46331646246006197</c:v>
                </c:pt>
                <c:pt idx="1">
                  <c:v>0.406800122873896</c:v>
                </c:pt>
                <c:pt idx="2">
                  <c:v>0.58225175653866301</c:v>
                </c:pt>
                <c:pt idx="3">
                  <c:v>0.77416510456377396</c:v>
                </c:pt>
                <c:pt idx="4">
                  <c:v>0.44032286523547398</c:v>
                </c:pt>
                <c:pt idx="5">
                  <c:v>0.55178652369135806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5-4B31-90FD-D5A81E1E151A}"/>
            </c:ext>
          </c:extLst>
        </c:ser>
        <c:ser>
          <c:idx val="1"/>
          <c:order val="1"/>
          <c:tx>
            <c:strRef>
              <c:f>'GRAF3.2-1'!$C$3</c:f>
              <c:strCache>
                <c:ptCount val="1"/>
                <c:pt idx="0">
                  <c:v>Technicky inovující podniky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'GRAF3.2-1'!$C$4:$C$9</c:f>
              <c:numCache>
                <c:formatCode>0.0%</c:formatCode>
                <c:ptCount val="6"/>
                <c:pt idx="0">
                  <c:v>0.37288235258388203</c:v>
                </c:pt>
                <c:pt idx="1">
                  <c:v>0.319462728928187</c:v>
                </c:pt>
                <c:pt idx="2">
                  <c:v>0.47603116612754198</c:v>
                </c:pt>
                <c:pt idx="3">
                  <c:v>0.70392161452846702</c:v>
                </c:pt>
                <c:pt idx="4">
                  <c:v>0.34992896428185599</c:v>
                </c:pt>
                <c:pt idx="5">
                  <c:v>0.46119770614562999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85-4B31-90FD-D5A81E1E151A}"/>
            </c:ext>
          </c:extLst>
        </c:ser>
        <c:ser>
          <c:idx val="2"/>
          <c:order val="2"/>
          <c:tx>
            <c:strRef>
              <c:f>'GRAF3.2-1'!$D$3</c:f>
              <c:strCache>
                <c:ptCount val="1"/>
                <c:pt idx="0">
                  <c:v>Netechnicky inovující podniky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'GRAF3.2-1'!$D$4:$D$9</c:f>
              <c:numCache>
                <c:formatCode>0.0%</c:formatCode>
                <c:ptCount val="6"/>
                <c:pt idx="0">
                  <c:v>0.32690289416567397</c:v>
                </c:pt>
                <c:pt idx="1">
                  <c:v>0.28660930446488397</c:v>
                </c:pt>
                <c:pt idx="2">
                  <c:v>0.405727662816455</c:v>
                </c:pt>
                <c:pt idx="3">
                  <c:v>0.57249982358956197</c:v>
                </c:pt>
                <c:pt idx="4">
                  <c:v>0.310934979224748</c:v>
                </c:pt>
                <c:pt idx="5">
                  <c:v>0.388340971851457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85-4B31-90FD-D5A81E1E1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49952"/>
        <c:axId val="400753696"/>
      </c:barChart>
      <c:catAx>
        <c:axId val="40074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0753696"/>
        <c:crosses val="autoZero"/>
        <c:auto val="1"/>
        <c:lblAlgn val="ctr"/>
        <c:lblOffset val="100"/>
        <c:noMultiLvlLbl val="0"/>
      </c:catAx>
      <c:valAx>
        <c:axId val="40075369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0074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561369509043926E-2"/>
          <c:y val="9.0779230954339665E-2"/>
          <c:w val="0.95487726098191217"/>
          <c:h val="0.436952923976608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'GRAF3.2-10'!$B$3</c:f>
              <c:strCache>
                <c:ptCount val="1"/>
                <c:pt idx="0">
                  <c:v>Podnik ve vlastní režii</c:v>
                </c:pt>
              </c:strCache>
            </c:strRef>
          </c:tx>
          <c:spPr>
            <a:solidFill>
              <a:schemeClr val="accent5">
                <a:shade val="4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'GRAF3.2-10'!$B$4:$B$9</c:f>
              <c:numCache>
                <c:formatCode>0.0%</c:formatCode>
                <c:ptCount val="6"/>
                <c:pt idx="0">
                  <c:v>0.71601747475368804</c:v>
                </c:pt>
                <c:pt idx="1">
                  <c:v>0.75559360810555198</c:v>
                </c:pt>
                <c:pt idx="2">
                  <c:v>0.65069494836729003</c:v>
                </c:pt>
                <c:pt idx="3">
                  <c:v>0.59061740040501798</c:v>
                </c:pt>
                <c:pt idx="4">
                  <c:v>0.75901187868214104</c:v>
                </c:pt>
                <c:pt idx="5">
                  <c:v>0.580238748643645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0-415E-B2CF-0158E50545C5}"/>
            </c:ext>
          </c:extLst>
        </c:ser>
        <c:ser>
          <c:idx val="1"/>
          <c:order val="1"/>
          <c:tx>
            <c:strRef>
              <c:f>'GRAF3.2-10'!$C$3</c:f>
              <c:strCache>
                <c:ptCount val="1"/>
                <c:pt idx="0">
                  <c:v>Ve spolupráci s podniky v rámci podnikové skupiny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'GRAF3.2-10'!$C$4:$C$9</c:f>
              <c:numCache>
                <c:formatCode>0.0%</c:formatCode>
                <c:ptCount val="6"/>
                <c:pt idx="0">
                  <c:v>0.23358369874191301</c:v>
                </c:pt>
                <c:pt idx="1">
                  <c:v>0.18483210150475801</c:v>
                </c:pt>
                <c:pt idx="2">
                  <c:v>0.32529832232455702</c:v>
                </c:pt>
                <c:pt idx="3">
                  <c:v>0.35901397544747798</c:v>
                </c:pt>
                <c:pt idx="4">
                  <c:v>0.19472416832519299</c:v>
                </c:pt>
                <c:pt idx="5">
                  <c:v>0.35630426363210099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20-415E-B2CF-0158E50545C5}"/>
            </c:ext>
          </c:extLst>
        </c:ser>
        <c:ser>
          <c:idx val="2"/>
          <c:order val="2"/>
          <c:tx>
            <c:strRef>
              <c:f>'GRAF3.2-10'!$D$3</c:f>
              <c:strCache>
                <c:ptCount val="1"/>
                <c:pt idx="0">
                  <c:v>Ve spolupráci s podniky mimo podnikovou skupinu</c:v>
                </c:pt>
              </c:strCache>
            </c:strRef>
          </c:tx>
          <c:spPr>
            <a:solidFill>
              <a:schemeClr val="accent5">
                <a:shade val="8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'GRAF3.2-10'!$D$4:$D$9</c:f>
              <c:numCache>
                <c:formatCode>0.0%</c:formatCode>
                <c:ptCount val="6"/>
                <c:pt idx="0">
                  <c:v>0.24349132101000101</c:v>
                </c:pt>
                <c:pt idx="1">
                  <c:v>0.224634506035574</c:v>
                </c:pt>
                <c:pt idx="2">
                  <c:v>0.27465144044407203</c:v>
                </c:pt>
                <c:pt idx="3">
                  <c:v>0.30314781880363501</c:v>
                </c:pt>
                <c:pt idx="4">
                  <c:v>0.249789359437286</c:v>
                </c:pt>
                <c:pt idx="5">
                  <c:v>0.223601764311601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20-415E-B2CF-0158E50545C5}"/>
            </c:ext>
          </c:extLst>
        </c:ser>
        <c:ser>
          <c:idx val="3"/>
          <c:order val="3"/>
          <c:tx>
            <c:strRef>
              <c:f>'GRAF3.2-10'!$E$3</c:f>
              <c:strCache>
                <c:ptCount val="1"/>
                <c:pt idx="0">
                  <c:v>Ve spolupráci s vysokými školami nebo výzkumnými institucemi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'GRAF3.2-10'!$E$4:$E$9</c:f>
              <c:numCache>
                <c:formatCode>0.0%</c:formatCode>
                <c:ptCount val="6"/>
                <c:pt idx="0">
                  <c:v>0.16674832099647699</c:v>
                </c:pt>
                <c:pt idx="1">
                  <c:v>0.161556872547366</c:v>
                </c:pt>
                <c:pt idx="2">
                  <c:v>0.190555245449189</c:v>
                </c:pt>
                <c:pt idx="3">
                  <c:v>0.14385029863880899</c:v>
                </c:pt>
                <c:pt idx="4">
                  <c:v>0.194430023055819</c:v>
                </c:pt>
                <c:pt idx="5">
                  <c:v>7.9327961629941393E-2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20-415E-B2CF-0158E50545C5}"/>
            </c:ext>
          </c:extLst>
        </c:ser>
        <c:ser>
          <c:idx val="4"/>
          <c:order val="4"/>
          <c:tx>
            <c:strRef>
              <c:f>'GRAF3.2-10'!$F$3</c:f>
              <c:strCache>
                <c:ptCount val="1"/>
                <c:pt idx="0">
                  <c:v>Adaptací služby vyvinuté jiným subjektem</c:v>
                </c:pt>
              </c:strCache>
            </c:strRef>
          </c:tx>
          <c:spPr>
            <a:solidFill>
              <a:schemeClr val="accent5">
                <a:tint val="8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'GRAF3.2-10'!$F$4:$F$9</c:f>
              <c:numCache>
                <c:formatCode>0.0%</c:formatCode>
                <c:ptCount val="6"/>
                <c:pt idx="0">
                  <c:v>0.20048501072267499</c:v>
                </c:pt>
                <c:pt idx="1">
                  <c:v>0.21397015916155501</c:v>
                </c:pt>
                <c:pt idx="2">
                  <c:v>0.179284584612522</c:v>
                </c:pt>
                <c:pt idx="3">
                  <c:v>0.15502553183652201</c:v>
                </c:pt>
                <c:pt idx="4">
                  <c:v>0.22926218410018701</c:v>
                </c:pt>
                <c:pt idx="5">
                  <c:v>0.109605091820936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20-415E-B2CF-0158E50545C5}"/>
            </c:ext>
          </c:extLst>
        </c:ser>
        <c:ser>
          <c:idx val="5"/>
          <c:order val="5"/>
          <c:tx>
            <c:strRef>
              <c:f>'GRAF3.2-10'!$G$3</c:f>
              <c:strCache>
                <c:ptCount val="1"/>
                <c:pt idx="0">
                  <c:v>Zadal vývoj jinému podniku včetně podniků ve skupině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'GRAF3.2-10'!$G$4:$G$9</c:f>
              <c:numCache>
                <c:formatCode>0.0%</c:formatCode>
                <c:ptCount val="6"/>
                <c:pt idx="0">
                  <c:v>0.16827783092943899</c:v>
                </c:pt>
                <c:pt idx="1">
                  <c:v>0.172269174255474</c:v>
                </c:pt>
                <c:pt idx="2">
                  <c:v>0.152059571433002</c:v>
                </c:pt>
                <c:pt idx="3">
                  <c:v>0.18049811303833299</c:v>
                </c:pt>
                <c:pt idx="4">
                  <c:v>0.19066831432693801</c:v>
                </c:pt>
                <c:pt idx="5">
                  <c:v>9.7567435275166495E-2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20-415E-B2CF-0158E50545C5}"/>
            </c:ext>
          </c:extLst>
        </c:ser>
        <c:ser>
          <c:idx val="6"/>
          <c:order val="6"/>
          <c:tx>
            <c:strRef>
              <c:f>'GRAF3.2-10'!$H$3</c:f>
              <c:strCache>
                <c:ptCount val="1"/>
                <c:pt idx="0">
                  <c:v>Zadal vývoj vysoké škole  nebo výzkumné instituci</c:v>
                </c:pt>
              </c:strCache>
            </c:strRef>
          </c:tx>
          <c:spPr>
            <a:solidFill>
              <a:schemeClr val="accent5">
                <a:tint val="4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'GRAF3.2-10'!$A$4:$A$9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'GRAF3.2-10'!$H$4:$H$9</c:f>
              <c:numCache>
                <c:formatCode>0.0%</c:formatCode>
                <c:ptCount val="6"/>
                <c:pt idx="0">
                  <c:v>0.138120989176402</c:v>
                </c:pt>
                <c:pt idx="1">
                  <c:v>0.13780570533209299</c:v>
                </c:pt>
                <c:pt idx="2">
                  <c:v>0.14627965392129499</c:v>
                </c:pt>
                <c:pt idx="3">
                  <c:v>0.11939666872992601</c:v>
                </c:pt>
                <c:pt idx="4">
                  <c:v>0.16516211401271699</c:v>
                </c:pt>
                <c:pt idx="5">
                  <c:v>5.27236084157022E-2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20-415E-B2CF-0158E5054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8325168"/>
        <c:axId val="658326808"/>
      </c:barChart>
      <c:catAx>
        <c:axId val="65832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58326808"/>
        <c:crosses val="autoZero"/>
        <c:auto val="1"/>
        <c:lblAlgn val="ctr"/>
        <c:lblOffset val="100"/>
        <c:noMultiLvlLbl val="0"/>
      </c:catAx>
      <c:valAx>
        <c:axId val="6583268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5832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'GRAF3.2-11'!$B$3</c:f>
              <c:strCache>
                <c:ptCount val="1"/>
                <c:pt idx="0">
                  <c:v>Nové na trhu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'GRAF3.2-11'!$B$4:$B$9</c:f>
              <c:numCache>
                <c:formatCode>0.0%</c:formatCode>
                <c:ptCount val="6"/>
                <c:pt idx="0">
                  <c:v>0.51789726334359398</c:v>
                </c:pt>
                <c:pt idx="1">
                  <c:v>0.49324141261246202</c:v>
                </c:pt>
                <c:pt idx="2">
                  <c:v>0.54614731520167503</c:v>
                </c:pt>
                <c:pt idx="3">
                  <c:v>0.58113136722359104</c:v>
                </c:pt>
                <c:pt idx="4">
                  <c:v>0.51614602416433397</c:v>
                </c:pt>
                <c:pt idx="5">
                  <c:v>0.52279108084415904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2-4850-B2BD-2E9B237A14C9}"/>
            </c:ext>
          </c:extLst>
        </c:ser>
        <c:ser>
          <c:idx val="1"/>
          <c:order val="1"/>
          <c:tx>
            <c:strRef>
              <c:f>'GRAF3.2-11'!$C$3</c:f>
              <c:strCache>
                <c:ptCount val="1"/>
                <c:pt idx="0">
                  <c:v>Nové pouze pro podnik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'GRAF3.2-11'!$A$4:$A$9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'GRAF3.2-11'!$C$4:$C$9</c:f>
              <c:numCache>
                <c:formatCode>0.0%</c:formatCode>
                <c:ptCount val="6"/>
                <c:pt idx="0">
                  <c:v>0.767553253096247</c:v>
                </c:pt>
                <c:pt idx="1">
                  <c:v>0.74016292775519399</c:v>
                </c:pt>
                <c:pt idx="2">
                  <c:v>0.81073539994593602</c:v>
                </c:pt>
                <c:pt idx="3">
                  <c:v>0.80815540071524095</c:v>
                </c:pt>
                <c:pt idx="4">
                  <c:v>0.777866787754112</c:v>
                </c:pt>
                <c:pt idx="5">
                  <c:v>0.73873220055293898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72-4850-B2BD-2E9B237A1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731368"/>
        <c:axId val="683732680"/>
      </c:barChart>
      <c:catAx>
        <c:axId val="683731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83732680"/>
        <c:crosses val="autoZero"/>
        <c:auto val="1"/>
        <c:lblAlgn val="ctr"/>
        <c:lblOffset val="100"/>
        <c:noMultiLvlLbl val="0"/>
      </c:catAx>
      <c:valAx>
        <c:axId val="68373268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83731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'GRAF3.2.3-1'!$B$3</c:f>
              <c:strCache>
                <c:ptCount val="1"/>
                <c:pt idx="0">
                  <c:v>Inovovaná metoda výroby nebo zpracování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'GRAF3.2.3-1'!$A$4:$A$9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'GRAF3.2.3-1'!$B$4:$B$9</c:f>
              <c:numCache>
                <c:formatCode>0.0%</c:formatCode>
                <c:ptCount val="6"/>
                <c:pt idx="0">
                  <c:v>0.73602259397213199</c:v>
                </c:pt>
                <c:pt idx="1">
                  <c:v>0.72305220763075195</c:v>
                </c:pt>
                <c:pt idx="2">
                  <c:v>0.74468963785809095</c:v>
                </c:pt>
                <c:pt idx="3">
                  <c:v>0.78800651980594605</c:v>
                </c:pt>
                <c:pt idx="4">
                  <c:v>0.750144740119427</c:v>
                </c:pt>
                <c:pt idx="5">
                  <c:v>0.69371948135114703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43-422C-9D75-4007F0D8B382}"/>
            </c:ext>
          </c:extLst>
        </c:ser>
        <c:ser>
          <c:idx val="1"/>
          <c:order val="1"/>
          <c:tx>
            <c:strRef>
              <c:f>'GRAF3.2.3-1'!$C$3</c:f>
              <c:strCache>
                <c:ptCount val="1"/>
                <c:pt idx="0">
                  <c:v>Inovované podpůrné činnosti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'GRAF3.2.3-1'!$A$4:$A$9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'GRAF3.2.3-1'!$C$4:$C$9</c:f>
              <c:numCache>
                <c:formatCode>0.0%</c:formatCode>
                <c:ptCount val="6"/>
                <c:pt idx="0">
                  <c:v>0.57717703101794504</c:v>
                </c:pt>
                <c:pt idx="1">
                  <c:v>0.56644669137229997</c:v>
                </c:pt>
                <c:pt idx="2">
                  <c:v>0.58513422091950396</c:v>
                </c:pt>
                <c:pt idx="3">
                  <c:v>0.61820954583417398</c:v>
                </c:pt>
                <c:pt idx="4">
                  <c:v>0.56894457021253797</c:v>
                </c:pt>
                <c:pt idx="5">
                  <c:v>0.60183749784547902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43-422C-9D75-4007F0D8B382}"/>
            </c:ext>
          </c:extLst>
        </c:ser>
        <c:ser>
          <c:idx val="2"/>
          <c:order val="2"/>
          <c:tx>
            <c:strRef>
              <c:f>'GRAF3.2.3-1'!$D$3</c:f>
              <c:strCache>
                <c:ptCount val="1"/>
                <c:pt idx="0">
                  <c:v>Inovovaná metoda logistiky, dodávek nebo distribuce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'GRAF3.2.3-1'!$A$4:$A$9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'GRAF3.2.3-1'!$D$4:$D$9</c:f>
              <c:numCache>
                <c:formatCode>0.0%</c:formatCode>
                <c:ptCount val="6"/>
                <c:pt idx="0">
                  <c:v>0.36159160645479499</c:v>
                </c:pt>
                <c:pt idx="1">
                  <c:v>0.36513332974780999</c:v>
                </c:pt>
                <c:pt idx="2">
                  <c:v>0.32165545932068601</c:v>
                </c:pt>
                <c:pt idx="3">
                  <c:v>0.441610746540119</c:v>
                </c:pt>
                <c:pt idx="4">
                  <c:v>0.339003017133302</c:v>
                </c:pt>
                <c:pt idx="5">
                  <c:v>0.42925608379766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43-422C-9D75-4007F0D8B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683480"/>
        <c:axId val="683680856"/>
      </c:barChart>
      <c:catAx>
        <c:axId val="68368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83680856"/>
        <c:crosses val="autoZero"/>
        <c:auto val="1"/>
        <c:lblAlgn val="ctr"/>
        <c:lblOffset val="100"/>
        <c:noMultiLvlLbl val="0"/>
      </c:catAx>
      <c:valAx>
        <c:axId val="6836808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8368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000223012547391"/>
          <c:y val="0.77282439233658751"/>
          <c:w val="0.78684494256169313"/>
          <c:h val="0.207242782852538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37254901963"/>
          <c:y val="2.6326699834162522E-2"/>
          <c:w val="0.61164183006535944"/>
          <c:h val="0.8059954394693199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'GRAF3.2.4-2'!$B$4</c:f>
              <c:strCache>
                <c:ptCount val="1"/>
                <c:pt idx="0">
                  <c:v>Inovovaná metoda logistiky, dodávek nebo distribuce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'GRAF3.2.4-2'!$B$5:$B$9</c:f>
              <c:numCache>
                <c:formatCode>0.0%</c:formatCode>
                <c:ptCount val="5"/>
                <c:pt idx="0">
                  <c:v>0.218553519565032</c:v>
                </c:pt>
                <c:pt idx="1">
                  <c:v>0.193618428307757</c:v>
                </c:pt>
                <c:pt idx="2">
                  <c:v>0.37895363800514181</c:v>
                </c:pt>
                <c:pt idx="3">
                  <c:v>0.35648470806259003</c:v>
                </c:pt>
                <c:pt idx="4">
                  <c:v>0.35217514352234308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82-4B7B-A0F3-23CC378CD78A}"/>
            </c:ext>
          </c:extLst>
        </c:ser>
        <c:ser>
          <c:idx val="1"/>
          <c:order val="1"/>
          <c:tx>
            <c:strRef>
              <c:f>'GRAF3.2.4-2'!$C$4</c:f>
              <c:strCache>
                <c:ptCount val="1"/>
                <c:pt idx="0">
                  <c:v>Inovované podpůrné činnosti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'GRAF3.2.4-2'!$C$5:$C$9</c:f>
              <c:numCache>
                <c:formatCode>0.0%</c:formatCode>
                <c:ptCount val="5"/>
                <c:pt idx="0">
                  <c:v>0.84620620566293303</c:v>
                </c:pt>
                <c:pt idx="1">
                  <c:v>0.712339734288301</c:v>
                </c:pt>
                <c:pt idx="2">
                  <c:v>0.63181395745588698</c:v>
                </c:pt>
                <c:pt idx="3">
                  <c:v>0.54095820383220095</c:v>
                </c:pt>
                <c:pt idx="4">
                  <c:v>0.54754417434134794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82-4B7B-A0F3-23CC378CD78A}"/>
            </c:ext>
          </c:extLst>
        </c:ser>
        <c:ser>
          <c:idx val="0"/>
          <c:order val="2"/>
          <c:tx>
            <c:strRef>
              <c:f>'GRAF3.2.4-2'!$D$4</c:f>
              <c:strCache>
                <c:ptCount val="1"/>
                <c:pt idx="0">
                  <c:v>Inovovaná metoda výroby nebo zpracování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'GRAF3.2.4-2'!$D$5:$D$9</c:f>
              <c:numCache>
                <c:formatCode>0.0%</c:formatCode>
                <c:ptCount val="5"/>
                <c:pt idx="0">
                  <c:v>0.62697804281082803</c:v>
                </c:pt>
                <c:pt idx="1">
                  <c:v>0.726506998293594</c:v>
                </c:pt>
                <c:pt idx="2">
                  <c:v>0.6654762489916477</c:v>
                </c:pt>
                <c:pt idx="3">
                  <c:v>0.78016997367839502</c:v>
                </c:pt>
                <c:pt idx="4">
                  <c:v>0.77428407510136221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82-4B7B-A0F3-23CC378CD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8494752"/>
        <c:axId val="398289952"/>
      </c:barChart>
      <c:catAx>
        <c:axId val="3984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289952"/>
        <c:crosses val="autoZero"/>
        <c:auto val="1"/>
        <c:lblAlgn val="ctr"/>
        <c:lblOffset val="100"/>
        <c:noMultiLvlLbl val="0"/>
      </c:catAx>
      <c:valAx>
        <c:axId val="3982899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984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93498179685782"/>
          <c:y val="0.84672363965617747"/>
          <c:w val="0.79927610949576888"/>
          <c:h val="0.144396270489704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561369509043926E-2"/>
          <c:y val="9.0779230954339665E-2"/>
          <c:w val="0.95487726098191217"/>
          <c:h val="0.41751657516575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'GRAF3.2.4-3'!$B$3</c:f>
              <c:strCache>
                <c:ptCount val="1"/>
                <c:pt idx="0">
                  <c:v>Podnik ve vlastní režii</c:v>
                </c:pt>
              </c:strCache>
            </c:strRef>
          </c:tx>
          <c:spPr>
            <a:solidFill>
              <a:schemeClr val="accent5">
                <a:shade val="4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'GRAF3.2.4-3'!$B$4:$B$9</c:f>
              <c:numCache>
                <c:formatCode>0.0%</c:formatCode>
                <c:ptCount val="6"/>
                <c:pt idx="0">
                  <c:v>0.67470808777637004</c:v>
                </c:pt>
                <c:pt idx="1">
                  <c:v>0.72540554335673202</c:v>
                </c:pt>
                <c:pt idx="2">
                  <c:v>0.60416695968449696</c:v>
                </c:pt>
                <c:pt idx="3">
                  <c:v>0.563461781230854</c:v>
                </c:pt>
                <c:pt idx="4">
                  <c:v>0.74490933532662795</c:v>
                </c:pt>
                <c:pt idx="5">
                  <c:v>0.46441913804609403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B4-42DA-92D2-F34A64E6668B}"/>
            </c:ext>
          </c:extLst>
        </c:ser>
        <c:ser>
          <c:idx val="1"/>
          <c:order val="1"/>
          <c:tx>
            <c:strRef>
              <c:f>'GRAF3.2.4-3'!$C$3</c:f>
              <c:strCache>
                <c:ptCount val="1"/>
                <c:pt idx="0">
                  <c:v>Ve spolupráci s podniky v rámci podnikové skupiny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'GRAF3.2.4-3'!$C$4:$C$9</c:f>
              <c:numCache>
                <c:formatCode>0.0%</c:formatCode>
                <c:ptCount val="6"/>
                <c:pt idx="0">
                  <c:v>0.17613415358826101</c:v>
                </c:pt>
                <c:pt idx="1">
                  <c:v>0.101601255002063</c:v>
                </c:pt>
                <c:pt idx="2">
                  <c:v>0.21562074538110099</c:v>
                </c:pt>
                <c:pt idx="3">
                  <c:v>0.50072782749408196</c:v>
                </c:pt>
                <c:pt idx="4">
                  <c:v>7.9985841519065001E-2</c:v>
                </c:pt>
                <c:pt idx="5">
                  <c:v>0.46414794634735801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B4-42DA-92D2-F34A64E6668B}"/>
            </c:ext>
          </c:extLst>
        </c:ser>
        <c:ser>
          <c:idx val="2"/>
          <c:order val="2"/>
          <c:tx>
            <c:strRef>
              <c:f>'GRAF3.2.4-3'!$D$3</c:f>
              <c:strCache>
                <c:ptCount val="1"/>
                <c:pt idx="0">
                  <c:v>Ve spolupráci s podniky mimo podnikovou skupinu</c:v>
                </c:pt>
              </c:strCache>
            </c:strRef>
          </c:tx>
          <c:spPr>
            <a:solidFill>
              <a:schemeClr val="accent5">
                <a:shade val="8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'GRAF3.2.4-3'!$D$4:$D$9</c:f>
              <c:numCache>
                <c:formatCode>0.0%</c:formatCode>
                <c:ptCount val="6"/>
                <c:pt idx="0">
                  <c:v>0.18531011269244901</c:v>
                </c:pt>
                <c:pt idx="1">
                  <c:v>0.13729323339377</c:v>
                </c:pt>
                <c:pt idx="2">
                  <c:v>0.242174021179798</c:v>
                </c:pt>
                <c:pt idx="3">
                  <c:v>0.31561980260994998</c:v>
                </c:pt>
                <c:pt idx="4">
                  <c:v>0.17315782942050301</c:v>
                </c:pt>
                <c:pt idx="5">
                  <c:v>0.221712469847891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B4-42DA-92D2-F34A64E6668B}"/>
            </c:ext>
          </c:extLst>
        </c:ser>
        <c:ser>
          <c:idx val="3"/>
          <c:order val="3"/>
          <c:tx>
            <c:strRef>
              <c:f>'GRAF3.2.4-3'!$E$3</c:f>
              <c:strCache>
                <c:ptCount val="1"/>
                <c:pt idx="0">
                  <c:v>Ve spolupráci s vysokými školami nebo výzkumnými institucemi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'GRAF3.2.4-3'!$E$4:$E$9</c:f>
              <c:numCache>
                <c:formatCode>0.0%</c:formatCode>
                <c:ptCount val="6"/>
                <c:pt idx="0">
                  <c:v>5.3756123151442403E-2</c:v>
                </c:pt>
                <c:pt idx="1">
                  <c:v>2.7173783757786899E-2</c:v>
                </c:pt>
                <c:pt idx="2">
                  <c:v>8.1600074262438996E-2</c:v>
                </c:pt>
                <c:pt idx="3">
                  <c:v>0.13501453524044499</c:v>
                </c:pt>
                <c:pt idx="4">
                  <c:v>4.6220419447876797E-2</c:v>
                </c:pt>
                <c:pt idx="5">
                  <c:v>7.6329443036774594E-2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B4-42DA-92D2-F34A64E6668B}"/>
            </c:ext>
          </c:extLst>
        </c:ser>
        <c:ser>
          <c:idx val="4"/>
          <c:order val="4"/>
          <c:tx>
            <c:strRef>
              <c:f>'GRAF3.2.4-3'!$F$3</c:f>
              <c:strCache>
                <c:ptCount val="1"/>
                <c:pt idx="0">
                  <c:v>Adaptací procesu vyvinutého jiným subjektem</c:v>
                </c:pt>
              </c:strCache>
            </c:strRef>
          </c:tx>
          <c:spPr>
            <a:solidFill>
              <a:schemeClr val="accent5">
                <a:tint val="8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'GRAF3.2.4-3'!$F$4:$F$9</c:f>
              <c:numCache>
                <c:formatCode>0.0%</c:formatCode>
                <c:ptCount val="6"/>
                <c:pt idx="0">
                  <c:v>0.107122574313451</c:v>
                </c:pt>
                <c:pt idx="1">
                  <c:v>0.11353946988729401</c:v>
                </c:pt>
                <c:pt idx="2">
                  <c:v>9.3822375404130201E-2</c:v>
                </c:pt>
                <c:pt idx="3">
                  <c:v>0.104004748624329</c:v>
                </c:pt>
                <c:pt idx="4">
                  <c:v>0.113022034002662</c:v>
                </c:pt>
                <c:pt idx="5">
                  <c:v>8.94506493076722E-2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B4-42DA-92D2-F34A64E6668B}"/>
            </c:ext>
          </c:extLst>
        </c:ser>
        <c:ser>
          <c:idx val="5"/>
          <c:order val="5"/>
          <c:tx>
            <c:strRef>
              <c:f>'GRAF3.2.4-3'!$G$3</c:f>
              <c:strCache>
                <c:ptCount val="1"/>
                <c:pt idx="0">
                  <c:v>Zadal vývoj jinému podniku včetně podniků ve skupině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'GRAF3.2.4-3'!$G$4:$G$9</c:f>
              <c:numCache>
                <c:formatCode>0.0%</c:formatCode>
                <c:ptCount val="6"/>
                <c:pt idx="0">
                  <c:v>6.1370276410326503E-2</c:v>
                </c:pt>
                <c:pt idx="1">
                  <c:v>4.3580732708555898E-2</c:v>
                </c:pt>
                <c:pt idx="2">
                  <c:v>8.5561440916353496E-2</c:v>
                </c:pt>
                <c:pt idx="3">
                  <c:v>0.10181413850281699</c:v>
                </c:pt>
                <c:pt idx="4">
                  <c:v>4.0346552216457603E-2</c:v>
                </c:pt>
                <c:pt idx="5">
                  <c:v>0.124347175460198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B4-42DA-92D2-F34A64E6668B}"/>
            </c:ext>
          </c:extLst>
        </c:ser>
        <c:ser>
          <c:idx val="6"/>
          <c:order val="6"/>
          <c:tx>
            <c:strRef>
              <c:f>'GRAF3.2.4-3'!$H$3</c:f>
              <c:strCache>
                <c:ptCount val="1"/>
                <c:pt idx="0">
                  <c:v>Zadal vývoj vysoké škole  nebo výzkumné instituci</c:v>
                </c:pt>
              </c:strCache>
            </c:strRef>
          </c:tx>
          <c:spPr>
            <a:solidFill>
              <a:schemeClr val="accent5">
                <a:tint val="4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'GRAF3.2.4-3'!$A$4:$A$9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'GRAF3.2.4-3'!$H$4:$H$9</c:f>
              <c:numCache>
                <c:formatCode>0.0%</c:formatCode>
                <c:ptCount val="6"/>
                <c:pt idx="0">
                  <c:v>1.18138199007409E-2</c:v>
                </c:pt>
                <c:pt idx="1">
                  <c:v>7.87466217648841E-3</c:v>
                </c:pt>
                <c:pt idx="2">
                  <c:v>1.3149643971615201E-2</c:v>
                </c:pt>
                <c:pt idx="3">
                  <c:v>3.08525376673691E-2</c:v>
                </c:pt>
                <c:pt idx="4">
                  <c:v>1.18027791083966E-2</c:v>
                </c:pt>
                <c:pt idx="5">
                  <c:v>1.1846892769205201E-2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CB4-42DA-92D2-F34A64E66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8325168"/>
        <c:axId val="658326808"/>
      </c:barChart>
      <c:catAx>
        <c:axId val="65832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58326808"/>
        <c:crosses val="autoZero"/>
        <c:auto val="1"/>
        <c:lblAlgn val="ctr"/>
        <c:lblOffset val="100"/>
        <c:noMultiLvlLbl val="0"/>
      </c:catAx>
      <c:valAx>
        <c:axId val="6583268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5832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6797385620917E-2"/>
          <c:y val="0.12828282828282828"/>
          <c:w val="0.95434640522875813"/>
          <c:h val="0.46282864795645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'GRAF3.2.5-1'!$B$3</c:f>
              <c:strCache>
                <c:ptCount val="1"/>
                <c:pt idx="0">
                  <c:v>Nová média nebo techniky pro propagaci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'GRAF3.2.5-1'!$B$4:$B$9</c:f>
              <c:numCache>
                <c:formatCode>0.0%</c:formatCode>
                <c:ptCount val="6"/>
                <c:pt idx="0">
                  <c:v>0.683175503972277</c:v>
                </c:pt>
                <c:pt idx="1">
                  <c:v>0.68671209536103694</c:v>
                </c:pt>
                <c:pt idx="2">
                  <c:v>0.67423973380767899</c:v>
                </c:pt>
                <c:pt idx="3">
                  <c:v>0.68315996769772003</c:v>
                </c:pt>
                <c:pt idx="4">
                  <c:v>0.68812477681349704</c:v>
                </c:pt>
                <c:pt idx="5">
                  <c:v>0.66611789998923998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3-4CE2-90A3-75F391E3FCA0}"/>
            </c:ext>
          </c:extLst>
        </c:ser>
        <c:ser>
          <c:idx val="1"/>
          <c:order val="1"/>
          <c:tx>
            <c:strRef>
              <c:f>'GRAF3.2.5-1'!$C$3</c:f>
              <c:strCache>
                <c:ptCount val="1"/>
                <c:pt idx="0">
                  <c:v>Významné změny designu nebo balení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'GRAF3.2.5-1'!$C$4:$C$9</c:f>
              <c:numCache>
                <c:formatCode>0.0%</c:formatCode>
                <c:ptCount val="6"/>
                <c:pt idx="0">
                  <c:v>0.46254956635761701</c:v>
                </c:pt>
                <c:pt idx="1">
                  <c:v>0.43496013374567999</c:v>
                </c:pt>
                <c:pt idx="2">
                  <c:v>0.50145690576312796</c:v>
                </c:pt>
                <c:pt idx="3">
                  <c:v>0.55964536862589997</c:v>
                </c:pt>
                <c:pt idx="4">
                  <c:v>0.46611899258028899</c:v>
                </c:pt>
                <c:pt idx="5">
                  <c:v>0.45024758566140199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D3-4CE2-90A3-75F391E3FCA0}"/>
            </c:ext>
          </c:extLst>
        </c:ser>
        <c:ser>
          <c:idx val="2"/>
          <c:order val="2"/>
          <c:tx>
            <c:strRef>
              <c:f>'GRAF3.2.5-1'!$D$3</c:f>
              <c:strCache>
                <c:ptCount val="1"/>
                <c:pt idx="0">
                  <c:v>Nové metody ocenění výrobků a služeb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'GRAF3.2.5-1'!$D$4:$D$9</c:f>
              <c:numCache>
                <c:formatCode>0.0%</c:formatCode>
                <c:ptCount val="6"/>
                <c:pt idx="0">
                  <c:v>0.40484197131214</c:v>
                </c:pt>
                <c:pt idx="1">
                  <c:v>0.42543887768636401</c:v>
                </c:pt>
                <c:pt idx="2">
                  <c:v>0.36007748994079802</c:v>
                </c:pt>
                <c:pt idx="3">
                  <c:v>0.381841229967669</c:v>
                </c:pt>
                <c:pt idx="4">
                  <c:v>0.38789409233140698</c:v>
                </c:pt>
                <c:pt idx="5">
                  <c:v>0.463252614103556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D3-4CE2-90A3-75F391E3FCA0}"/>
            </c:ext>
          </c:extLst>
        </c:ser>
        <c:ser>
          <c:idx val="3"/>
          <c:order val="3"/>
          <c:tx>
            <c:strRef>
              <c:f>'GRAF3.2.5-1'!$E$3</c:f>
              <c:strCache>
                <c:ptCount val="1"/>
                <c:pt idx="0">
                  <c:v>Nový způsob prodeje nebo umístění výrobků/služeb na trh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'GRAF3.2.5-1'!$E$4:$E$9</c:f>
              <c:numCache>
                <c:formatCode>0.0%</c:formatCode>
                <c:ptCount val="6"/>
                <c:pt idx="0">
                  <c:v>0.25249552129778402</c:v>
                </c:pt>
                <c:pt idx="1">
                  <c:v>0.254473909843482</c:v>
                </c:pt>
                <c:pt idx="2">
                  <c:v>0.229889891856777</c:v>
                </c:pt>
                <c:pt idx="3">
                  <c:v>0.30791936345410797</c:v>
                </c:pt>
                <c:pt idx="4">
                  <c:v>0.25590389106813699</c:v>
                </c:pt>
                <c:pt idx="5">
                  <c:v>0.24074861955370699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D3-4CE2-90A3-75F391E3F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683480"/>
        <c:axId val="683680856"/>
      </c:barChart>
      <c:catAx>
        <c:axId val="68368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83680856"/>
        <c:crosses val="autoZero"/>
        <c:auto val="1"/>
        <c:lblAlgn val="ctr"/>
        <c:lblOffset val="100"/>
        <c:noMultiLvlLbl val="0"/>
      </c:catAx>
      <c:valAx>
        <c:axId val="6836808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8368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969178947086737"/>
          <c:y val="0.70267821514916795"/>
          <c:w val="0.65512733670846268"/>
          <c:h val="0.284072848286636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37254901963"/>
          <c:y val="2.6326699834162522E-2"/>
          <c:w val="0.61164183006535944"/>
          <c:h val="0.8059954394693199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'GRAF3.2.5-2'!$B$4</c:f>
              <c:strCache>
                <c:ptCount val="1"/>
                <c:pt idx="0">
                  <c:v>Nový způsob prodeje nebo umístění výrobků/služeb na trh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'GRAF3.2.5-2'!$B$5:$B$9</c:f>
              <c:numCache>
                <c:formatCode>0.0%</c:formatCode>
                <c:ptCount val="5"/>
                <c:pt idx="0">
                  <c:v>0.40671631429383098</c:v>
                </c:pt>
                <c:pt idx="1">
                  <c:v>0.27578043347710102</c:v>
                </c:pt>
                <c:pt idx="2">
                  <c:v>0.25132361715082235</c:v>
                </c:pt>
                <c:pt idx="3">
                  <c:v>0.25648103177056097</c:v>
                </c:pt>
                <c:pt idx="4">
                  <c:v>0.25337806439109817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9-4128-A559-3F5158036D05}"/>
            </c:ext>
          </c:extLst>
        </c:ser>
        <c:ser>
          <c:idx val="1"/>
          <c:order val="1"/>
          <c:tx>
            <c:strRef>
              <c:f>'GRAF3.2.5-2'!$C$4</c:f>
              <c:strCache>
                <c:ptCount val="1"/>
                <c:pt idx="0">
                  <c:v>Nové metody ocenění výrobků a služeb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'GRAF3.2.5-2'!$C$5:$C$9</c:f>
              <c:numCache>
                <c:formatCode>0.0%</c:formatCode>
                <c:ptCount val="5"/>
                <c:pt idx="0">
                  <c:v>0.60463775009238596</c:v>
                </c:pt>
                <c:pt idx="1">
                  <c:v>0.46939811537817999</c:v>
                </c:pt>
                <c:pt idx="2">
                  <c:v>0.43093879305573152</c:v>
                </c:pt>
                <c:pt idx="3">
                  <c:v>0.38728008156883498</c:v>
                </c:pt>
                <c:pt idx="4">
                  <c:v>0.38518885390746338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19-4128-A559-3F5158036D05}"/>
            </c:ext>
          </c:extLst>
        </c:ser>
        <c:ser>
          <c:idx val="0"/>
          <c:order val="2"/>
          <c:tx>
            <c:strRef>
              <c:f>'GRAF3.2.5-2'!$D$4</c:f>
              <c:strCache>
                <c:ptCount val="1"/>
                <c:pt idx="0">
                  <c:v>Významné změny designu nebo balení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'GRAF3.2.5-2'!$D$5:$D$9</c:f>
              <c:numCache>
                <c:formatCode>0.0%</c:formatCode>
                <c:ptCount val="5"/>
                <c:pt idx="0">
                  <c:v>0.34747880102333201</c:v>
                </c:pt>
                <c:pt idx="1">
                  <c:v>0.44100925143234398</c:v>
                </c:pt>
                <c:pt idx="2">
                  <c:v>0.37119656088831127</c:v>
                </c:pt>
                <c:pt idx="3">
                  <c:v>0.54984885796581795</c:v>
                </c:pt>
                <c:pt idx="4">
                  <c:v>0.53134611788402364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19-4128-A559-3F5158036D05}"/>
            </c:ext>
          </c:extLst>
        </c:ser>
        <c:ser>
          <c:idx val="3"/>
          <c:order val="3"/>
          <c:tx>
            <c:strRef>
              <c:f>'GRAF3.2.5-2'!$E$4</c:f>
              <c:strCache>
                <c:ptCount val="1"/>
                <c:pt idx="0">
                  <c:v>Nová média nebo techniky pro propagaci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'GRAF3.2.5-2'!$A$5:$A$9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'GRAF3.2.5-2'!$E$5:$E$9</c:f>
              <c:numCache>
                <c:formatCode>0.0%</c:formatCode>
                <c:ptCount val="5"/>
                <c:pt idx="0">
                  <c:v>0.76696185145443196</c:v>
                </c:pt>
                <c:pt idx="1">
                  <c:v>0.77041536721557402</c:v>
                </c:pt>
                <c:pt idx="2">
                  <c:v>0.74223220664891709</c:v>
                </c:pt>
                <c:pt idx="3">
                  <c:v>0.63214053506790802</c:v>
                </c:pt>
                <c:pt idx="4">
                  <c:v>0.63870080423140996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19-4128-A559-3F5158036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8494752"/>
        <c:axId val="398289952"/>
      </c:barChart>
      <c:catAx>
        <c:axId val="3984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289952"/>
        <c:crosses val="autoZero"/>
        <c:auto val="1"/>
        <c:lblAlgn val="ctr"/>
        <c:lblOffset val="100"/>
        <c:noMultiLvlLbl val="0"/>
      </c:catAx>
      <c:valAx>
        <c:axId val="3982899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984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4863409764172"/>
          <c:y val="0.84672363965617747"/>
          <c:w val="0.85140936548733426"/>
          <c:h val="0.14802558409717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6797385620917E-2"/>
          <c:y val="0.12828282828282828"/>
          <c:w val="0.95434640522875813"/>
          <c:h val="0.52244898989898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'GRAF3.2.6-1'!$B$3</c:f>
              <c:strCache>
                <c:ptCount val="1"/>
                <c:pt idx="0">
                  <c:v>Nové metody organizace pracovních povinností a rozhodování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'GRAF3.2.6-1'!$A$4:$A$9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'GRAF3.2.6-1'!$B$4:$B$9</c:f>
              <c:numCache>
                <c:formatCode>0.0%</c:formatCode>
                <c:ptCount val="6"/>
                <c:pt idx="0">
                  <c:v>0.69078787954799103</c:v>
                </c:pt>
                <c:pt idx="1">
                  <c:v>0.64971310339944199</c:v>
                </c:pt>
                <c:pt idx="2">
                  <c:v>0.740527055877232</c:v>
                </c:pt>
                <c:pt idx="3">
                  <c:v>0.76992143319950002</c:v>
                </c:pt>
                <c:pt idx="4">
                  <c:v>0.68469244223547499</c:v>
                </c:pt>
                <c:pt idx="5">
                  <c:v>0.70391845385377505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C-4289-8A5E-FAFA2E64404D}"/>
            </c:ext>
          </c:extLst>
        </c:ser>
        <c:ser>
          <c:idx val="1"/>
          <c:order val="1"/>
          <c:tx>
            <c:strRef>
              <c:f>'GRAF3.2.6-1'!$C$3</c:f>
              <c:strCache>
                <c:ptCount val="1"/>
                <c:pt idx="0">
                  <c:v>Nové obchodní praktiky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'GRAF3.2.6-1'!$A$4:$A$9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'GRAF3.2.6-1'!$C$4:$C$9</c:f>
              <c:numCache>
                <c:formatCode>0.0%</c:formatCode>
                <c:ptCount val="6"/>
                <c:pt idx="0">
                  <c:v>0.59648991007487495</c:v>
                </c:pt>
                <c:pt idx="1">
                  <c:v>0.59087284262351703</c:v>
                </c:pt>
                <c:pt idx="2">
                  <c:v>0.59741973466153897</c:v>
                </c:pt>
                <c:pt idx="3">
                  <c:v>0.62085122990968999</c:v>
                </c:pt>
                <c:pt idx="4">
                  <c:v>0.60197799419388998</c:v>
                </c:pt>
                <c:pt idx="5">
                  <c:v>0.58466767442114398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CC-4289-8A5E-FAFA2E64404D}"/>
            </c:ext>
          </c:extLst>
        </c:ser>
        <c:ser>
          <c:idx val="2"/>
          <c:order val="2"/>
          <c:tx>
            <c:strRef>
              <c:f>'GRAF3.2.6-1'!$D$3</c:f>
              <c:strCache>
                <c:ptCount val="1"/>
                <c:pt idx="0">
                  <c:v>Nové metody organizace vnějších vztahů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'GRAF3.2.6-1'!$A$4:$A$9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'GRAF3.2.6-1'!$D$4:$D$9</c:f>
              <c:numCache>
                <c:formatCode>0.0%</c:formatCode>
                <c:ptCount val="6"/>
                <c:pt idx="0">
                  <c:v>0.37934090025459999</c:v>
                </c:pt>
                <c:pt idx="1">
                  <c:v>0.39464516554220702</c:v>
                </c:pt>
                <c:pt idx="2">
                  <c:v>0.36313173620912498</c:v>
                </c:pt>
                <c:pt idx="3">
                  <c:v>0.344498904919739</c:v>
                </c:pt>
                <c:pt idx="4">
                  <c:v>0.38050961432727298</c:v>
                </c:pt>
                <c:pt idx="5">
                  <c:v>0.37682329795854602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CC-4289-8A5E-FAFA2E644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3683480"/>
        <c:axId val="683680856"/>
      </c:barChart>
      <c:catAx>
        <c:axId val="68368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83680856"/>
        <c:crosses val="autoZero"/>
        <c:auto val="1"/>
        <c:lblAlgn val="ctr"/>
        <c:lblOffset val="100"/>
        <c:noMultiLvlLbl val="0"/>
      </c:catAx>
      <c:valAx>
        <c:axId val="6836808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8368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01029411764706"/>
          <c:y val="0.78809747474747471"/>
          <c:w val="0.70670147058823529"/>
          <c:h val="0.173417676767676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37254901963"/>
          <c:y val="2.6326699834162522E-2"/>
          <c:w val="0.61164183006535944"/>
          <c:h val="0.8059954394693199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'GRAF3.2.6-2'!$B$4</c:f>
              <c:strCache>
                <c:ptCount val="1"/>
                <c:pt idx="0">
                  <c:v>Nové metody organizace vnějších vztahů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'GRAF3.2.6-2'!$A$5:$A$9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'GRAF3.2.6-2'!$B$5:$B$9</c:f>
              <c:numCache>
                <c:formatCode>0.0%</c:formatCode>
                <c:ptCount val="5"/>
                <c:pt idx="0">
                  <c:v>0.440187327663633</c:v>
                </c:pt>
                <c:pt idx="1">
                  <c:v>0.44204630896830199</c:v>
                </c:pt>
                <c:pt idx="2">
                  <c:v>0.44554460137265212</c:v>
                </c:pt>
                <c:pt idx="3">
                  <c:v>0.32776106065445798</c:v>
                </c:pt>
                <c:pt idx="4">
                  <c:v>0.32745952537609363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B-4DCA-88CF-B47F00535487}"/>
            </c:ext>
          </c:extLst>
        </c:ser>
        <c:ser>
          <c:idx val="1"/>
          <c:order val="1"/>
          <c:tx>
            <c:strRef>
              <c:f>'GRAF3.2.6-2'!$C$4</c:f>
              <c:strCache>
                <c:ptCount val="1"/>
                <c:pt idx="0">
                  <c:v>Nové obchodní praktiky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'GRAF3.2.6-2'!$A$5:$A$9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'GRAF3.2.6-2'!$C$5:$C$9</c:f>
              <c:numCache>
                <c:formatCode>0.0%</c:formatCode>
                <c:ptCount val="5"/>
                <c:pt idx="0">
                  <c:v>0.46828526676882798</c:v>
                </c:pt>
                <c:pt idx="1">
                  <c:v>0.484881008702788</c:v>
                </c:pt>
                <c:pt idx="2">
                  <c:v>0.5054500615509091</c:v>
                </c:pt>
                <c:pt idx="3">
                  <c:v>0.68225250700398798</c:v>
                </c:pt>
                <c:pt idx="4">
                  <c:v>0.66783444867902153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FB-4DCA-88CF-B47F00535487}"/>
            </c:ext>
          </c:extLst>
        </c:ser>
        <c:ser>
          <c:idx val="0"/>
          <c:order val="2"/>
          <c:tx>
            <c:strRef>
              <c:f>'GRAF3.2.6-2'!$D$4</c:f>
              <c:strCache>
                <c:ptCount val="1"/>
                <c:pt idx="0">
                  <c:v>Nové metody organizace pracovních povinností a rozhodování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'GRAF3.2.6-2'!$A$5:$A$9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'GRAF3.2.6-2'!$D$5:$D$9</c:f>
              <c:numCache>
                <c:formatCode>0.0%</c:formatCode>
                <c:ptCount val="5"/>
                <c:pt idx="0">
                  <c:v>0.82349608906900196</c:v>
                </c:pt>
                <c:pt idx="1">
                  <c:v>0.79581437697501001</c:v>
                </c:pt>
                <c:pt idx="2">
                  <c:v>0.7071333969947442</c:v>
                </c:pt>
                <c:pt idx="3">
                  <c:v>0.67861996908633604</c:v>
                </c:pt>
                <c:pt idx="4">
                  <c:v>0.67797850629669931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FB-4DCA-88CF-B47F00535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8494752"/>
        <c:axId val="398289952"/>
      </c:barChart>
      <c:catAx>
        <c:axId val="3984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289952"/>
        <c:crosses val="autoZero"/>
        <c:auto val="1"/>
        <c:lblAlgn val="ctr"/>
        <c:lblOffset val="100"/>
        <c:noMultiLvlLbl val="0"/>
      </c:catAx>
      <c:valAx>
        <c:axId val="3982899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984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69797384050368"/>
          <c:y val="0.84672363965617747"/>
          <c:w val="0.86386006818630612"/>
          <c:h val="0.14802558409717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'GRAF3.2.7-1'!$B$4</c:f>
              <c:strCache>
                <c:ptCount val="1"/>
                <c:pt idx="0">
                  <c:v>Náklady celkem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'GRAF3.2.7-1'!$A$5:$A$10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'GRAF3.2.7-1'!$B$5:$B$10</c:f>
              <c:numCache>
                <c:formatCode>#\ ##0.0</c:formatCode>
                <c:ptCount val="6"/>
                <c:pt idx="0">
                  <c:v>120.2226574317</c:v>
                </c:pt>
                <c:pt idx="1">
                  <c:v>16.491466094700002</c:v>
                </c:pt>
                <c:pt idx="2">
                  <c:v>25.0125480982</c:v>
                </c:pt>
                <c:pt idx="3">
                  <c:v>78.718643238799999</c:v>
                </c:pt>
                <c:pt idx="4">
                  <c:v>48.6611606811</c:v>
                </c:pt>
                <c:pt idx="5">
                  <c:v>71.5614967506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6-4257-8008-110F1C23156A}"/>
            </c:ext>
          </c:extLst>
        </c:ser>
        <c:ser>
          <c:idx val="1"/>
          <c:order val="1"/>
          <c:tx>
            <c:strRef>
              <c:f>'GRAF3.2.7-1'!$C$4</c:f>
              <c:strCache>
                <c:ptCount val="1"/>
                <c:pt idx="0">
                  <c:v>Náklady na vnitropodnikový VaV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'GRAF3.2.7-1'!$A$5:$A$10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'GRAF3.2.7-1'!$C$5:$C$10</c:f>
              <c:numCache>
                <c:formatCode>#\ ##0.0</c:formatCode>
                <c:ptCount val="6"/>
                <c:pt idx="0">
                  <c:v>34.909543488299995</c:v>
                </c:pt>
                <c:pt idx="1">
                  <c:v>4.3963055232999997</c:v>
                </c:pt>
                <c:pt idx="2">
                  <c:v>9.5922520099999993</c:v>
                </c:pt>
                <c:pt idx="3">
                  <c:v>20.920985954999999</c:v>
                </c:pt>
                <c:pt idx="4">
                  <c:v>13.4788111714</c:v>
                </c:pt>
                <c:pt idx="5">
                  <c:v>21.430732316900002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6-4257-8008-110F1C231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4879320"/>
        <c:axId val="674883256"/>
      </c:barChart>
      <c:catAx>
        <c:axId val="674879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74883256"/>
        <c:crosses val="autoZero"/>
        <c:auto val="1"/>
        <c:lblAlgn val="ctr"/>
        <c:lblOffset val="100"/>
        <c:noMultiLvlLbl val="0"/>
      </c:catAx>
      <c:valAx>
        <c:axId val="674883256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extTo"/>
        <c:crossAx val="674879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37254901963"/>
          <c:y val="2.6326699834162522E-2"/>
          <c:w val="0.61164183006535944"/>
          <c:h val="0.8059954394693199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'GRAF3.2-2'!$D$4</c:f>
              <c:strCache>
                <c:ptCount val="1"/>
                <c:pt idx="0">
                  <c:v>Netechnicky inovující podniky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'GRAF3.2-2'!$D$5:$D$9</c:f>
              <c:numCache>
                <c:formatCode>0.0%</c:formatCode>
                <c:ptCount val="5"/>
                <c:pt idx="0">
                  <c:v>0.41295059366516101</c:v>
                </c:pt>
                <c:pt idx="1">
                  <c:v>0.51741158022856004</c:v>
                </c:pt>
                <c:pt idx="2">
                  <c:v>0.32690289416567359</c:v>
                </c:pt>
                <c:pt idx="3">
                  <c:v>0.34168613644475299</c:v>
                </c:pt>
                <c:pt idx="4">
                  <c:v>0.33382845049525661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D-4DB4-9BF2-4A3EFFA33CFA}"/>
            </c:ext>
          </c:extLst>
        </c:ser>
        <c:ser>
          <c:idx val="1"/>
          <c:order val="1"/>
          <c:tx>
            <c:strRef>
              <c:f>'GRAF3.2-2'!$C$4</c:f>
              <c:strCache>
                <c:ptCount val="1"/>
                <c:pt idx="0">
                  <c:v>Technicky inovující podniky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'GRAF3.2-2'!$C$5:$C$9</c:f>
              <c:numCache>
                <c:formatCode>0.0%</c:formatCode>
                <c:ptCount val="5"/>
                <c:pt idx="0">
                  <c:v>0.434568452404345</c:v>
                </c:pt>
                <c:pt idx="1">
                  <c:v>0.59569835553883999</c:v>
                </c:pt>
                <c:pt idx="2">
                  <c:v>0.37288235258388241</c:v>
                </c:pt>
                <c:pt idx="3">
                  <c:v>0.43865667779421103</c:v>
                </c:pt>
                <c:pt idx="4">
                  <c:v>0.42588708325926683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5D-4DB4-9BF2-4A3EFFA33CFA}"/>
            </c:ext>
          </c:extLst>
        </c:ser>
        <c:ser>
          <c:idx val="0"/>
          <c:order val="2"/>
          <c:tx>
            <c:strRef>
              <c:f>'GRAF3.2-2'!$B$4</c:f>
              <c:strCache>
                <c:ptCount val="1"/>
                <c:pt idx="0">
                  <c:v>Inovující podniky celkem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'GRAF3.2-2'!$A$5:$A$9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'GRAF3.2-2'!$B$5:$B$9</c:f>
              <c:numCache>
                <c:formatCode>0.0%</c:formatCode>
                <c:ptCount val="5"/>
                <c:pt idx="0">
                  <c:v>0.53996648499606203</c:v>
                </c:pt>
                <c:pt idx="1">
                  <c:v>0.67594238907364701</c:v>
                </c:pt>
                <c:pt idx="2">
                  <c:v>0.41075810887066583</c:v>
                </c:pt>
                <c:pt idx="3">
                  <c:v>0.51711877312482102</c:v>
                </c:pt>
                <c:pt idx="4">
                  <c:v>0.50518559601216695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5D-4DB4-9BF2-4A3EFFA33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8494752"/>
        <c:axId val="398289952"/>
      </c:barChart>
      <c:catAx>
        <c:axId val="3984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289952"/>
        <c:crosses val="autoZero"/>
        <c:auto val="1"/>
        <c:lblAlgn val="ctr"/>
        <c:lblOffset val="100"/>
        <c:noMultiLvlLbl val="0"/>
      </c:catAx>
      <c:valAx>
        <c:axId val="3982899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984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'GRAF3.2.7-2'!$A$14</c:f>
              <c:strCache>
                <c:ptCount val="1"/>
                <c:pt idx="0">
                  <c:v>ČR celkem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'GRAF3.2.7-2'!$B$12:$F$13</c:f>
              <c:strCache>
                <c:ptCount val="5"/>
                <c:pt idx="0">
                  <c:v>Vnitropodnikový výzkum a vývoj</c:v>
                </c:pt>
                <c:pt idx="1">
                  <c:v>Nákup služeb výzkumu a vývoje</c:v>
                </c:pt>
                <c:pt idx="2">
                  <c:v>Pořízení strojů, zařízení a softwaru</c:v>
                </c:pt>
                <c:pt idx="3">
                  <c:v>Pořízení jiných externích znalostí</c:v>
                </c:pt>
                <c:pt idx="4">
                  <c:v>Náklady na ostatní inovační činnosti</c:v>
                </c:pt>
              </c:strCache>
            </c:strRef>
          </c:cat>
          <c:val>
            <c:numRef>
              <c:f>'GRAF3.2.7-2'!$B$14:$F$14</c:f>
              <c:numCache>
                <c:formatCode>#\ ##0.0</c:formatCode>
                <c:ptCount val="5"/>
                <c:pt idx="0">
                  <c:v>34.909543488299995</c:v>
                </c:pt>
                <c:pt idx="1">
                  <c:v>19.5586125781</c:v>
                </c:pt>
                <c:pt idx="2">
                  <c:v>52.639994093599995</c:v>
                </c:pt>
                <c:pt idx="3">
                  <c:v>6.3324722158000002</c:v>
                </c:pt>
                <c:pt idx="4">
                  <c:v>6.7820350558999998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A5-4196-AE9C-9EBA8F1B80C2}"/>
            </c:ext>
          </c:extLst>
        </c:ser>
        <c:ser>
          <c:idx val="1"/>
          <c:order val="1"/>
          <c:tx>
            <c:strRef>
              <c:f>'GRAF3.2.7-2'!$A$15</c:f>
              <c:strCache>
                <c:ptCount val="1"/>
                <c:pt idx="0">
                  <c:v>Zahraniční afilace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'GRAF3.2.7-2'!$B$12:$F$13</c:f>
              <c:strCache>
                <c:ptCount val="5"/>
                <c:pt idx="0">
                  <c:v>Vnitropodnikový výzkum a vývoj</c:v>
                </c:pt>
                <c:pt idx="1">
                  <c:v>Nákup služeb výzkumu a vývoje</c:v>
                </c:pt>
                <c:pt idx="2">
                  <c:v>Pořízení strojů, zařízení a softwaru</c:v>
                </c:pt>
                <c:pt idx="3">
                  <c:v>Pořízení jiných externích znalostí</c:v>
                </c:pt>
                <c:pt idx="4">
                  <c:v>Náklady na ostatní inovační činnosti</c:v>
                </c:pt>
              </c:strCache>
            </c:strRef>
          </c:cat>
          <c:val>
            <c:numRef>
              <c:f>'GRAF3.2.7-2'!$B$15:$F$15</c:f>
              <c:numCache>
                <c:formatCode>#\ ##0.0</c:formatCode>
                <c:ptCount val="5"/>
                <c:pt idx="0">
                  <c:v>21.430732316900002</c:v>
                </c:pt>
                <c:pt idx="1">
                  <c:v>16.583022442200001</c:v>
                </c:pt>
                <c:pt idx="2">
                  <c:v>23.713949516100001</c:v>
                </c:pt>
                <c:pt idx="3">
                  <c:v>5.7309983400000002</c:v>
                </c:pt>
                <c:pt idx="4">
                  <c:v>4.1027941354000008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A5-4196-AE9C-9EBA8F1B8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6360816"/>
        <c:axId val="646358848"/>
      </c:barChart>
      <c:catAx>
        <c:axId val="64636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46358848"/>
        <c:crosses val="autoZero"/>
        <c:auto val="1"/>
        <c:lblAlgn val="ctr"/>
        <c:lblOffset val="100"/>
        <c:noMultiLvlLbl val="0"/>
      </c:catAx>
      <c:valAx>
        <c:axId val="646358848"/>
        <c:scaling>
          <c:orientation val="minMax"/>
        </c:scaling>
        <c:delete val="1"/>
        <c:axPos val="l"/>
        <c:numFmt formatCode="#\ ##0.0" sourceLinked="1"/>
        <c:majorTickMark val="none"/>
        <c:minorTickMark val="none"/>
        <c:tickLblPos val="nextTo"/>
        <c:crossAx val="64636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'GRAF3.2.7-3'!$C$4</c:f>
              <c:strCache>
                <c:ptCount val="1"/>
                <c:pt idx="0">
                  <c:v>Náklady na VaV (vnitropodnikový VaV + nákup služeb VaV)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'GRAF3.2.7-3'!$A$5:$A$9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'GRAF3.2.7-3'!$C$5:$C$9</c:f>
              <c:numCache>
                <c:formatCode>#\ ##0.0</c:formatCode>
                <c:ptCount val="5"/>
                <c:pt idx="0">
                  <c:v>1.9185982530999999</c:v>
                </c:pt>
                <c:pt idx="1">
                  <c:v>6.5087700661000003</c:v>
                </c:pt>
                <c:pt idx="2">
                  <c:v>13.775578509200004</c:v>
                </c:pt>
                <c:pt idx="3">
                  <c:v>40.042403197200002</c:v>
                </c:pt>
                <c:pt idx="4">
                  <c:v>40.692577557200011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3-4CCD-8537-3B7C65F09690}"/>
            </c:ext>
          </c:extLst>
        </c:ser>
        <c:ser>
          <c:idx val="0"/>
          <c:order val="1"/>
          <c:tx>
            <c:strRef>
              <c:f>'GRAF3.2.7-3'!$B$4</c:f>
              <c:strCache>
                <c:ptCount val="1"/>
                <c:pt idx="0">
                  <c:v>Náklady celkem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'GRAF3.2.7-3'!$A$5:$A$9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'GRAF3.2.7-3'!$B$5:$B$9</c:f>
              <c:numCache>
                <c:formatCode>#\ ##0.0</c:formatCode>
                <c:ptCount val="5"/>
                <c:pt idx="0">
                  <c:v>5.8393894170000005</c:v>
                </c:pt>
                <c:pt idx="1">
                  <c:v>12.206374241400001</c:v>
                </c:pt>
                <c:pt idx="2">
                  <c:v>29.247246184000012</c:v>
                </c:pt>
                <c:pt idx="3">
                  <c:v>81.313504483299994</c:v>
                </c:pt>
                <c:pt idx="4">
                  <c:v>90.975411247699995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3-4CCD-8537-3B7C65F09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7619920"/>
        <c:axId val="647620248"/>
      </c:barChart>
      <c:catAx>
        <c:axId val="64761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47620248"/>
        <c:crosses val="autoZero"/>
        <c:auto val="1"/>
        <c:lblAlgn val="ctr"/>
        <c:lblOffset val="100"/>
        <c:noMultiLvlLbl val="0"/>
      </c:catAx>
      <c:valAx>
        <c:axId val="647620248"/>
        <c:scaling>
          <c:orientation val="minMax"/>
        </c:scaling>
        <c:delete val="1"/>
        <c:axPos val="b"/>
        <c:numFmt formatCode="#\ ##0.0" sourceLinked="1"/>
        <c:majorTickMark val="none"/>
        <c:minorTickMark val="none"/>
        <c:tickLblPos val="nextTo"/>
        <c:crossAx val="64761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'GRAF3.2.8-1'!$B$11</c:f>
              <c:strCache>
                <c:ptCount val="1"/>
                <c:pt idx="0">
                  <c:v>Tržby za produkty nové nové na trhu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'GRAF3.2.8-1'!$A$12:$A$17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'GRAF3.2.8-1'!$B$12:$B$17</c:f>
              <c:numCache>
                <c:formatCode>#,##0</c:formatCode>
                <c:ptCount val="6"/>
                <c:pt idx="0">
                  <c:v>567.04453062613004</c:v>
                </c:pt>
                <c:pt idx="1">
                  <c:v>41.293047341693999</c:v>
                </c:pt>
                <c:pt idx="2">
                  <c:v>61.689902258323997</c:v>
                </c:pt>
                <c:pt idx="3">
                  <c:v>464.06158102611204</c:v>
                </c:pt>
                <c:pt idx="4">
                  <c:v>89.238820972832997</c:v>
                </c:pt>
                <c:pt idx="5">
                  <c:v>477.80570965329696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8-4E1A-8877-8F441809F565}"/>
            </c:ext>
          </c:extLst>
        </c:ser>
        <c:ser>
          <c:idx val="1"/>
          <c:order val="1"/>
          <c:tx>
            <c:strRef>
              <c:f>'GRAF3.2.8-1'!$C$11</c:f>
              <c:strCache>
                <c:ptCount val="1"/>
                <c:pt idx="0">
                  <c:v>Tržby za produkty nové pouze pro podnik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'GRAF3.2.8-1'!$A$12:$A$17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'GRAF3.2.8-1'!$C$12:$C$17</c:f>
              <c:numCache>
                <c:formatCode>#,##0</c:formatCode>
                <c:ptCount val="6"/>
                <c:pt idx="0">
                  <c:v>582.33693900648905</c:v>
                </c:pt>
                <c:pt idx="1">
                  <c:v>51.851264614855999</c:v>
                </c:pt>
                <c:pt idx="2">
                  <c:v>120.7430066986</c:v>
                </c:pt>
                <c:pt idx="3">
                  <c:v>409.74266769303301</c:v>
                </c:pt>
                <c:pt idx="4">
                  <c:v>193.60540024240802</c:v>
                </c:pt>
                <c:pt idx="5">
                  <c:v>388.73153876408099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08-4E1A-8877-8F441809F565}"/>
            </c:ext>
          </c:extLst>
        </c:ser>
        <c:ser>
          <c:idx val="2"/>
          <c:order val="2"/>
          <c:tx>
            <c:strRef>
              <c:f>'GRAF3.2.8-1'!$D$11</c:f>
              <c:strCache>
                <c:ptCount val="1"/>
                <c:pt idx="0">
                  <c:v>Tržby za produkty nezměněné nebo málo modifikované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'GRAF3.2.8-1'!$A$12:$A$17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'GRAF3.2.8-1'!$D$12:$D$17</c:f>
              <c:numCache>
                <c:formatCode>#,##0</c:formatCode>
                <c:ptCount val="6"/>
                <c:pt idx="0">
                  <c:v>3041.1241559578798</c:v>
                </c:pt>
                <c:pt idx="1">
                  <c:v>177.29599981785</c:v>
                </c:pt>
                <c:pt idx="2">
                  <c:v>602.78848497297599</c:v>
                </c:pt>
                <c:pt idx="3">
                  <c:v>2261.0396711670596</c:v>
                </c:pt>
                <c:pt idx="4">
                  <c:v>1137.6383329738599</c:v>
                </c:pt>
                <c:pt idx="5">
                  <c:v>1903.4858229840199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08-4E1A-8877-8F441809F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741632"/>
        <c:axId val="234338352"/>
      </c:barChart>
      <c:catAx>
        <c:axId val="3337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34338352"/>
        <c:crosses val="autoZero"/>
        <c:auto val="1"/>
        <c:lblAlgn val="ctr"/>
        <c:lblOffset val="100"/>
        <c:noMultiLvlLbl val="0"/>
      </c:catAx>
      <c:valAx>
        <c:axId val="23433835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337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39460784313725"/>
          <c:y val="0.75876222222222223"/>
          <c:w val="0.79324019607843133"/>
          <c:h val="0.220071111111111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20915032677"/>
          <c:y val="3.4139784946236561E-2"/>
          <c:w val="0.58348202614379086"/>
          <c:h val="0.6560255376344085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'GRAF3.2.8-2'!$B$25</c:f>
              <c:strCache>
                <c:ptCount val="1"/>
                <c:pt idx="0">
                  <c:v>Tržby za produkty nové nové na trhu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'GRAF3.2.8-2'!$A$26:$A$30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'GRAF3.2.8-2'!$B$26:$B$30</c:f>
              <c:numCache>
                <c:formatCode>0.0%</c:formatCode>
                <c:ptCount val="5"/>
                <c:pt idx="0">
                  <c:v>7.0610496704264794E-2</c:v>
                </c:pt>
                <c:pt idx="1">
                  <c:v>0.145697675773133</c:v>
                </c:pt>
                <c:pt idx="2">
                  <c:v>0.10082707297774052</c:v>
                </c:pt>
                <c:pt idx="3">
                  <c:v>0.16720781850382799</c:v>
                </c:pt>
                <c:pt idx="4">
                  <c:v>0.14485034710156797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0-40F6-9641-CAB32728E5F0}"/>
            </c:ext>
          </c:extLst>
        </c:ser>
        <c:ser>
          <c:idx val="1"/>
          <c:order val="1"/>
          <c:tx>
            <c:strRef>
              <c:f>'GRAF3.2.8-2'!$C$25</c:f>
              <c:strCache>
                <c:ptCount val="1"/>
                <c:pt idx="0">
                  <c:v>Tržby za produkty nové pouze pro podnik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'GRAF3.2.8-2'!$A$26:$A$30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'GRAF3.2.8-2'!$C$26:$C$30</c:f>
              <c:numCache>
                <c:formatCode>0.0%</c:formatCode>
                <c:ptCount val="5"/>
                <c:pt idx="0">
                  <c:v>0.28756362739329799</c:v>
                </c:pt>
                <c:pt idx="1">
                  <c:v>0.14601149695782301</c:v>
                </c:pt>
                <c:pt idx="2">
                  <c:v>0.18865524194514258</c:v>
                </c:pt>
                <c:pt idx="3">
                  <c:v>0.133454805389011</c:v>
                </c:pt>
                <c:pt idx="4">
                  <c:v>0.12523022261736716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C0-40F6-9641-CAB32728E5F0}"/>
            </c:ext>
          </c:extLst>
        </c:ser>
        <c:ser>
          <c:idx val="2"/>
          <c:order val="2"/>
          <c:tx>
            <c:strRef>
              <c:f>'GRAF3.2.8-2'!$D$25</c:f>
              <c:strCache>
                <c:ptCount val="1"/>
                <c:pt idx="0">
                  <c:v>Tržby za produkty nezměněné nebo málo modifikované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'GRAF3.2.8-2'!$A$26:$A$30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'GRAF3.2.8-2'!$D$26:$D$30</c:f>
              <c:numCache>
                <c:formatCode>0.0%</c:formatCode>
                <c:ptCount val="5"/>
                <c:pt idx="0">
                  <c:v>0.641825875902437</c:v>
                </c:pt>
                <c:pt idx="1">
                  <c:v>0.70829082726904402</c:v>
                </c:pt>
                <c:pt idx="2">
                  <c:v>0.71051768507711688</c:v>
                </c:pt>
                <c:pt idx="3">
                  <c:v>0.69933737610716096</c:v>
                </c:pt>
                <c:pt idx="4">
                  <c:v>0.72991943028106487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C0-40F6-9641-CAB32728E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364665232"/>
        <c:axId val="364663984"/>
      </c:barChart>
      <c:catAx>
        <c:axId val="36466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64663984"/>
        <c:crosses val="autoZero"/>
        <c:auto val="1"/>
        <c:lblAlgn val="ctr"/>
        <c:lblOffset val="100"/>
        <c:noMultiLvlLbl val="0"/>
      </c:catAx>
      <c:valAx>
        <c:axId val="3646639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6466523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49264705882353"/>
          <c:y val="0.79896851851851847"/>
          <c:w val="0.81814215686274527"/>
          <c:h val="0.201031481481481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'GRAF3.2.9-1'!$B$3</c:f>
              <c:strCache>
                <c:ptCount val="1"/>
                <c:pt idx="0">
                  <c:v>Spolupracující celkem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'GRAF3.2.9-1'!$A$4:$A$9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'GRAF3.2.9-1'!$B$4:$B$9</c:f>
              <c:numCache>
                <c:formatCode>0.0%</c:formatCode>
                <c:ptCount val="6"/>
                <c:pt idx="0">
                  <c:v>0.34582563742038802</c:v>
                </c:pt>
                <c:pt idx="1">
                  <c:v>0.28179729477811799</c:v>
                </c:pt>
                <c:pt idx="2">
                  <c:v>0.419038964656479</c:v>
                </c:pt>
                <c:pt idx="3">
                  <c:v>0.59408278841884199</c:v>
                </c:pt>
                <c:pt idx="4">
                  <c:v>0.30229201929681798</c:v>
                </c:pt>
                <c:pt idx="5">
                  <c:v>0.47948959640133598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4-4774-92AB-74AFCE95C056}"/>
            </c:ext>
          </c:extLst>
        </c:ser>
        <c:ser>
          <c:idx val="1"/>
          <c:order val="1"/>
          <c:tx>
            <c:strRef>
              <c:f>'GRAF3.2.9-1'!$C$3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'GRAF3.2.9-1'!$A$4:$A$9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'GRAF3.2.9-1'!$C$4:$C$9</c:f>
              <c:numCache>
                <c:formatCode>0.0%</c:formatCode>
                <c:ptCount val="6"/>
                <c:pt idx="0">
                  <c:v>0.303556400013967</c:v>
                </c:pt>
                <c:pt idx="1">
                  <c:v>0.25774900040070797</c:v>
                </c:pt>
                <c:pt idx="2">
                  <c:v>0.35388794805167001</c:v>
                </c:pt>
                <c:pt idx="3">
                  <c:v>0.48734772009467803</c:v>
                </c:pt>
                <c:pt idx="4">
                  <c:v>0.27832438835548901</c:v>
                </c:pt>
                <c:pt idx="5">
                  <c:v>0.38102780525652002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D4-4774-92AB-74AFCE95C056}"/>
            </c:ext>
          </c:extLst>
        </c:ser>
        <c:ser>
          <c:idx val="2"/>
          <c:order val="2"/>
          <c:tx>
            <c:strRef>
              <c:f>'GRAF3.2.9-1'!$D$3</c:f>
              <c:strCache>
                <c:ptCount val="1"/>
                <c:pt idx="0">
                  <c:v>Ostatní evropské státy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'GRAF3.2.9-1'!$A$4:$A$9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'GRAF3.2.9-1'!$D$4:$D$9</c:f>
              <c:numCache>
                <c:formatCode>0.0%</c:formatCode>
                <c:ptCount val="6"/>
                <c:pt idx="0">
                  <c:v>0.14856793262829299</c:v>
                </c:pt>
                <c:pt idx="1">
                  <c:v>8.6448870575474901E-2</c:v>
                </c:pt>
                <c:pt idx="2">
                  <c:v>0.21157744985500701</c:v>
                </c:pt>
                <c:pt idx="3">
                  <c:v>0.413645671133822</c:v>
                </c:pt>
                <c:pt idx="4">
                  <c:v>9.0139969196604594E-2</c:v>
                </c:pt>
                <c:pt idx="5">
                  <c:v>0.32796292077987899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D4-4774-92AB-74AFCE95C056}"/>
            </c:ext>
          </c:extLst>
        </c:ser>
        <c:ser>
          <c:idx val="3"/>
          <c:order val="3"/>
          <c:tx>
            <c:strRef>
              <c:f>'GRAF3.2.9-1'!$E$3</c:f>
              <c:strCache>
                <c:ptCount val="1"/>
                <c:pt idx="0">
                  <c:v>Ostatní státy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'GRAF3.2.9-1'!$A$4:$A$9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'GRAF3.2.9-1'!$E$4:$E$9</c:f>
              <c:numCache>
                <c:formatCode>0.0%</c:formatCode>
                <c:ptCount val="6"/>
                <c:pt idx="0">
                  <c:v>4.7481765390065003E-2</c:v>
                </c:pt>
                <c:pt idx="1">
                  <c:v>3.3547235746823598E-2</c:v>
                </c:pt>
                <c:pt idx="2">
                  <c:v>4.45617238279854E-2</c:v>
                </c:pt>
                <c:pt idx="3">
                  <c:v>0.158450328325138</c:v>
                </c:pt>
                <c:pt idx="4">
                  <c:v>2.6465353040951101E-2</c:v>
                </c:pt>
                <c:pt idx="5">
                  <c:v>0.11200975546396399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D4-4774-92AB-74AFCE95C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49952"/>
        <c:axId val="400753696"/>
      </c:barChart>
      <c:catAx>
        <c:axId val="40074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0753696"/>
        <c:crosses val="autoZero"/>
        <c:auto val="1"/>
        <c:lblAlgn val="ctr"/>
        <c:lblOffset val="100"/>
        <c:noMultiLvlLbl val="0"/>
      </c:catAx>
      <c:valAx>
        <c:axId val="40075369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0074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'GRAF3.2.9-2'!$B$5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'GRAF3.2.9-2'!$A$6:$A$14</c:f>
              <c:strCache>
                <c:ptCount val="9"/>
                <c:pt idx="0">
                  <c:v>Dodavatelé zařízení, materiálů, součástí nebo SW</c:v>
                </c:pt>
                <c:pt idx="1">
                  <c:v>Ostatní podniky uvnitř skupiny podniků</c:v>
                </c:pt>
                <c:pt idx="2">
                  <c:v>Klienti nebo zákazníci  ze soukromého sektoru</c:v>
                </c:pt>
                <c:pt idx="3">
                  <c:v>Univerzity nebo ostatní instituce vyššího vzdělávání</c:v>
                </c:pt>
                <c:pt idx="4">
                  <c:v>Konzultanti, komerční laboratoře nebo soukromé VaV instituce</c:v>
                </c:pt>
                <c:pt idx="5">
                  <c:v>Konkurenční a jiné podniky z téhož odvětví</c:v>
                </c:pt>
                <c:pt idx="6">
                  <c:v>Klienti nebo zákazníci z veřejného sektoru</c:v>
                </c:pt>
                <c:pt idx="7">
                  <c:v>Soukromé výzkumné organizace</c:v>
                </c:pt>
                <c:pt idx="8">
                  <c:v>Veřejné výzkumné instituce</c:v>
                </c:pt>
              </c:strCache>
            </c:strRef>
          </c:cat>
          <c:val>
            <c:numRef>
              <c:f>'GRAF3.2.9-2'!$B$6:$B$14</c:f>
              <c:numCache>
                <c:formatCode>0.0%</c:formatCode>
                <c:ptCount val="9"/>
                <c:pt idx="0">
                  <c:v>0.294468885027873</c:v>
                </c:pt>
                <c:pt idx="1">
                  <c:v>0.21626876447052601</c:v>
                </c:pt>
                <c:pt idx="2">
                  <c:v>0.145614439359743</c:v>
                </c:pt>
                <c:pt idx="3">
                  <c:v>0.116752103789759</c:v>
                </c:pt>
                <c:pt idx="4">
                  <c:v>0.101198510769981</c:v>
                </c:pt>
                <c:pt idx="5">
                  <c:v>4.4983457049291603E-2</c:v>
                </c:pt>
                <c:pt idx="6">
                  <c:v>2.8429655516989599E-2</c:v>
                </c:pt>
                <c:pt idx="7">
                  <c:v>2.74502099040798E-2</c:v>
                </c:pt>
                <c:pt idx="8">
                  <c:v>2.4833974111756502E-2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7-47A5-9DEC-1ECE1C200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532720"/>
        <c:axId val="363532304"/>
      </c:barChart>
      <c:catAx>
        <c:axId val="36353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63532304"/>
        <c:crosses val="autoZero"/>
        <c:auto val="1"/>
        <c:lblAlgn val="ctr"/>
        <c:lblOffset val="100"/>
        <c:noMultiLvlLbl val="0"/>
      </c:catAx>
      <c:valAx>
        <c:axId val="36353230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36353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6797385620917E-2"/>
          <c:y val="0.10289351851851852"/>
          <c:w val="0.95434640522875813"/>
          <c:h val="0.511091049382715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F5C-4BB9-AE8C-B0D39A1B300D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F5C-4BB9-AE8C-B0D39A1B30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'GRAF3.3-1'!$C$3:$C$33</c:f>
              <c:strCache>
                <c:ptCount val="31"/>
                <c:pt idx="0">
                  <c:v>Německo</c:v>
                </c:pt>
                <c:pt idx="1">
                  <c:v>Lucembursko</c:v>
                </c:pt>
                <c:pt idx="2">
                  <c:v>Belgie</c:v>
                </c:pt>
                <c:pt idx="3">
                  <c:v>Irsko</c:v>
                </c:pt>
                <c:pt idx="4">
                  <c:v>Spojené království</c:v>
                </c:pt>
                <c:pt idx="5">
                  <c:v>Rakousko</c:v>
                </c:pt>
                <c:pt idx="6">
                  <c:v>Francie</c:v>
                </c:pt>
                <c:pt idx="7">
                  <c:v>Nizozemsko</c:v>
                </c:pt>
                <c:pt idx="8">
                  <c:v>Finsko</c:v>
                </c:pt>
                <c:pt idx="9">
                  <c:v>Švédsko</c:v>
                </c:pt>
                <c:pt idx="10">
                  <c:v>Portugalsko</c:v>
                </c:pt>
                <c:pt idx="11">
                  <c:v>Turecko</c:v>
                </c:pt>
                <c:pt idx="12">
                  <c:v>Řecko</c:v>
                </c:pt>
                <c:pt idx="13">
                  <c:v>Dánsko</c:v>
                </c:pt>
                <c:pt idx="14">
                  <c:v>EU28</c:v>
                </c:pt>
                <c:pt idx="15">
                  <c:v>Itálie</c:v>
                </c:pt>
                <c:pt idx="16">
                  <c:v>Slovinsko</c:v>
                </c:pt>
                <c:pt idx="17">
                  <c:v>Litva</c:v>
                </c:pt>
                <c:pt idx="18">
                  <c:v>Srbsko</c:v>
                </c:pt>
                <c:pt idx="19">
                  <c:v>Česká republika</c:v>
                </c:pt>
                <c:pt idx="20">
                  <c:v>Kypr</c:v>
                </c:pt>
                <c:pt idx="21">
                  <c:v>Malta</c:v>
                </c:pt>
                <c:pt idx="22">
                  <c:v>Chorvatsko</c:v>
                </c:pt>
                <c:pt idx="23">
                  <c:v>Španělsko</c:v>
                </c:pt>
                <c:pt idx="24">
                  <c:v>Slovensko</c:v>
                </c:pt>
                <c:pt idx="25">
                  <c:v>Estonsko</c:v>
                </c:pt>
                <c:pt idx="26">
                  <c:v>Bulharsko</c:v>
                </c:pt>
                <c:pt idx="27">
                  <c:v>Maďarsko</c:v>
                </c:pt>
                <c:pt idx="28">
                  <c:v>Lotyšsko</c:v>
                </c:pt>
                <c:pt idx="29">
                  <c:v>Polsko</c:v>
                </c:pt>
                <c:pt idx="30">
                  <c:v>Rumunsko</c:v>
                </c:pt>
              </c:strCache>
            </c:strRef>
          </c:cat>
          <c:val>
            <c:numRef>
              <c:f>'GRAF3.3-1'!$D$3:$D$33</c:f>
              <c:numCache>
                <c:formatCode>0.0%</c:formatCode>
                <c:ptCount val="31"/>
                <c:pt idx="0">
                  <c:v>0.67</c:v>
                </c:pt>
                <c:pt idx="1">
                  <c:v>0.65099999999999991</c:v>
                </c:pt>
                <c:pt idx="2">
                  <c:v>0.64200000000000002</c:v>
                </c:pt>
                <c:pt idx="3">
                  <c:v>0.61</c:v>
                </c:pt>
                <c:pt idx="4">
                  <c:v>0.60199999999999998</c:v>
                </c:pt>
                <c:pt idx="5">
                  <c:v>0.59499999999999997</c:v>
                </c:pt>
                <c:pt idx="6">
                  <c:v>0.56399999999999995</c:v>
                </c:pt>
                <c:pt idx="7">
                  <c:v>0.55299999999999994</c:v>
                </c:pt>
                <c:pt idx="8">
                  <c:v>0.55299999999999994</c:v>
                </c:pt>
                <c:pt idx="9">
                  <c:v>0.54200000000000004</c:v>
                </c:pt>
                <c:pt idx="10">
                  <c:v>0.54</c:v>
                </c:pt>
                <c:pt idx="11">
                  <c:v>0.51300000000000001</c:v>
                </c:pt>
                <c:pt idx="12">
                  <c:v>0.51</c:v>
                </c:pt>
                <c:pt idx="13">
                  <c:v>0.495</c:v>
                </c:pt>
                <c:pt idx="14">
                  <c:v>0.49099999999999999</c:v>
                </c:pt>
                <c:pt idx="15">
                  <c:v>0.48700000000000004</c:v>
                </c:pt>
                <c:pt idx="16">
                  <c:v>0.45899999999999996</c:v>
                </c:pt>
                <c:pt idx="17">
                  <c:v>0.433</c:v>
                </c:pt>
                <c:pt idx="18">
                  <c:v>0.42200000000000004</c:v>
                </c:pt>
                <c:pt idx="19">
                  <c:v>0.42</c:v>
                </c:pt>
                <c:pt idx="20">
                  <c:v>0.41799999999999998</c:v>
                </c:pt>
                <c:pt idx="21">
                  <c:v>0.41200000000000003</c:v>
                </c:pt>
                <c:pt idx="22">
                  <c:v>0.39700000000000002</c:v>
                </c:pt>
                <c:pt idx="23">
                  <c:v>0.36399999999999999</c:v>
                </c:pt>
                <c:pt idx="24">
                  <c:v>0.318</c:v>
                </c:pt>
                <c:pt idx="25">
                  <c:v>0.26500000000000001</c:v>
                </c:pt>
                <c:pt idx="26">
                  <c:v>0.26100000000000001</c:v>
                </c:pt>
                <c:pt idx="27">
                  <c:v>0.25600000000000001</c:v>
                </c:pt>
                <c:pt idx="28">
                  <c:v>0.255</c:v>
                </c:pt>
                <c:pt idx="29">
                  <c:v>0.21</c:v>
                </c:pt>
                <c:pt idx="30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5C-4BB9-AE8C-B0D39A1B3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414063728"/>
        <c:axId val="408367408"/>
      </c:barChart>
      <c:catAx>
        <c:axId val="41406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8367408"/>
        <c:crosses val="autoZero"/>
        <c:auto val="1"/>
        <c:lblAlgn val="ctr"/>
        <c:lblOffset val="100"/>
        <c:noMultiLvlLbl val="0"/>
      </c:catAx>
      <c:valAx>
        <c:axId val="4083674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1406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6797385620917E-2"/>
          <c:y val="0.10289351851851852"/>
          <c:w val="0.95434640522875813"/>
          <c:h val="0.511091049382715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D0-4D1D-BC5B-3D9B9C501FC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ED0-4D1D-BC5B-3D9B9C501FC7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ED0-4D1D-BC5B-3D9B9C501FC7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D0-4D1D-BC5B-3D9B9C501F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'GRAF3.3-2'!$C$2:$C$32</c:f>
              <c:strCache>
                <c:ptCount val="31"/>
                <c:pt idx="0">
                  <c:v>Belgie</c:v>
                </c:pt>
                <c:pt idx="1">
                  <c:v>Německo</c:v>
                </c:pt>
                <c:pt idx="2">
                  <c:v>Irsko</c:v>
                </c:pt>
                <c:pt idx="3">
                  <c:v>Finsko</c:v>
                </c:pt>
                <c:pt idx="4">
                  <c:v>Nizozemsko</c:v>
                </c:pt>
                <c:pt idx="5">
                  <c:v>Portugalsko</c:v>
                </c:pt>
                <c:pt idx="6">
                  <c:v>Rakousko</c:v>
                </c:pt>
                <c:pt idx="7">
                  <c:v>Švédsko</c:v>
                </c:pt>
                <c:pt idx="8">
                  <c:v>Lucembursko</c:v>
                </c:pt>
                <c:pt idx="9">
                  <c:v>Francie</c:v>
                </c:pt>
                <c:pt idx="10">
                  <c:v>Spojené království</c:v>
                </c:pt>
                <c:pt idx="11">
                  <c:v>Řecko</c:v>
                </c:pt>
                <c:pt idx="12">
                  <c:v>Dánsko</c:v>
                </c:pt>
                <c:pt idx="13">
                  <c:v>Turecko</c:v>
                </c:pt>
                <c:pt idx="14">
                  <c:v>Itálie</c:v>
                </c:pt>
                <c:pt idx="15">
                  <c:v>EU28</c:v>
                </c:pt>
                <c:pt idx="16">
                  <c:v>Litva</c:v>
                </c:pt>
                <c:pt idx="17">
                  <c:v>Česká republika</c:v>
                </c:pt>
                <c:pt idx="18">
                  <c:v>Kypr</c:v>
                </c:pt>
                <c:pt idx="19">
                  <c:v>Slovinsko</c:v>
                </c:pt>
                <c:pt idx="20">
                  <c:v>Malta</c:v>
                </c:pt>
                <c:pt idx="21">
                  <c:v>Srbsko</c:v>
                </c:pt>
                <c:pt idx="22">
                  <c:v>Chorvatsko</c:v>
                </c:pt>
                <c:pt idx="23">
                  <c:v>Španělsko</c:v>
                </c:pt>
                <c:pt idx="24">
                  <c:v>Estonsko</c:v>
                </c:pt>
                <c:pt idx="25">
                  <c:v>Slovensko</c:v>
                </c:pt>
                <c:pt idx="26">
                  <c:v>Maďarsko</c:v>
                </c:pt>
                <c:pt idx="27">
                  <c:v>Bulharsko</c:v>
                </c:pt>
                <c:pt idx="28">
                  <c:v>Polsko</c:v>
                </c:pt>
                <c:pt idx="29">
                  <c:v>Lotyšsko</c:v>
                </c:pt>
                <c:pt idx="30">
                  <c:v>Rumunsko</c:v>
                </c:pt>
              </c:strCache>
            </c:strRef>
          </c:cat>
          <c:val>
            <c:numRef>
              <c:f>'GRAF3.3-2'!$D$2:$D$32</c:f>
              <c:numCache>
                <c:formatCode>0.0%</c:formatCode>
                <c:ptCount val="31"/>
                <c:pt idx="0">
                  <c:v>0.52900000000000003</c:v>
                </c:pt>
                <c:pt idx="1">
                  <c:v>0.52600000000000002</c:v>
                </c:pt>
                <c:pt idx="2">
                  <c:v>0.48799999999999999</c:v>
                </c:pt>
                <c:pt idx="3">
                  <c:v>0.48299999999999998</c:v>
                </c:pt>
                <c:pt idx="4">
                  <c:v>0.47299999999999998</c:v>
                </c:pt>
                <c:pt idx="5">
                  <c:v>0.44799999999999995</c:v>
                </c:pt>
                <c:pt idx="6">
                  <c:v>0.44400000000000001</c:v>
                </c:pt>
                <c:pt idx="7">
                  <c:v>0.44299999999999995</c:v>
                </c:pt>
                <c:pt idx="8">
                  <c:v>0.42</c:v>
                </c:pt>
                <c:pt idx="9">
                  <c:v>0.40899999999999997</c:v>
                </c:pt>
                <c:pt idx="10">
                  <c:v>0.40899999999999997</c:v>
                </c:pt>
                <c:pt idx="11">
                  <c:v>0.38700000000000001</c:v>
                </c:pt>
                <c:pt idx="12">
                  <c:v>0.38</c:v>
                </c:pt>
                <c:pt idx="13">
                  <c:v>0.38</c:v>
                </c:pt>
                <c:pt idx="14">
                  <c:v>0.37</c:v>
                </c:pt>
                <c:pt idx="15">
                  <c:v>0.36799999999999999</c:v>
                </c:pt>
                <c:pt idx="16">
                  <c:v>0.36799999999999999</c:v>
                </c:pt>
                <c:pt idx="17">
                  <c:v>0.35700000000000004</c:v>
                </c:pt>
                <c:pt idx="18">
                  <c:v>0.33600000000000002</c:v>
                </c:pt>
                <c:pt idx="19">
                  <c:v>0.33</c:v>
                </c:pt>
                <c:pt idx="20">
                  <c:v>0.307</c:v>
                </c:pt>
                <c:pt idx="21">
                  <c:v>0.307</c:v>
                </c:pt>
                <c:pt idx="22">
                  <c:v>0.26899999999999996</c:v>
                </c:pt>
                <c:pt idx="23">
                  <c:v>0.23499999999999999</c:v>
                </c:pt>
                <c:pt idx="24">
                  <c:v>0.20800000000000002</c:v>
                </c:pt>
                <c:pt idx="25">
                  <c:v>0.20300000000000001</c:v>
                </c:pt>
                <c:pt idx="26">
                  <c:v>0.182</c:v>
                </c:pt>
                <c:pt idx="27">
                  <c:v>0.17100000000000001</c:v>
                </c:pt>
                <c:pt idx="28">
                  <c:v>0.158</c:v>
                </c:pt>
                <c:pt idx="29">
                  <c:v>0.13800000000000001</c:v>
                </c:pt>
                <c:pt idx="30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D0-4D1D-BC5B-3D9B9C501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414063728"/>
        <c:axId val="408367408"/>
      </c:barChart>
      <c:catAx>
        <c:axId val="41406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8367408"/>
        <c:crosses val="autoZero"/>
        <c:auto val="1"/>
        <c:lblAlgn val="ctr"/>
        <c:lblOffset val="100"/>
        <c:noMultiLvlLbl val="0"/>
      </c:catAx>
      <c:valAx>
        <c:axId val="4083674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1406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200424836601309"/>
          <c:y val="1.8405797101449274E-2"/>
          <c:w val="0.48516895424836604"/>
          <c:h val="0.89310652173913041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'GRAF3.2-3'!$K$2</c:f>
              <c:strCache>
                <c:ptCount val="1"/>
                <c:pt idx="0">
                  <c:v>Netechnicky inovující podniky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'GRAF3.2-3'!$H$3:$H$16</c:f>
              <c:strCache>
                <c:ptCount val="14"/>
                <c:pt idx="0">
                  <c:v>Textilní, oděvní, kožedělný a obuvnický průmysl /13–15/</c:v>
                </c:pt>
                <c:pt idx="1">
                  <c:v>Výroba nábytku; Ost. zpracovatelský průmysl; Opravy a instalace strojů a zařízení /31–33/</c:v>
                </c:pt>
                <c:pt idx="2">
                  <c:v>Dřevozpracující a papírenský průmysl /16–18/</c:v>
                </c:pt>
                <c:pt idx="3">
                  <c:v>Výroba kovů, hutních a kovodělných výrobků /24–25/ </c:v>
                </c:pt>
                <c:pt idx="4">
                  <c:v>Výroba elektrických zařízení /27/</c:v>
                </c:pt>
                <c:pt idx="5">
                  <c:v>Automobilový průmysl /29/</c:v>
                </c:pt>
                <c:pt idx="6">
                  <c:v>Gumárenský a plastový průmysl /22/</c:v>
                </c:pt>
                <c:pt idx="7">
                  <c:v>Potravinářský, nápojový a tabákový průmysl /10–12/</c:v>
                </c:pt>
                <c:pt idx="8">
                  <c:v>Průmysl skla, keramiky, porcelánu a staveb. hmot /23/</c:v>
                </c:pt>
                <c:pt idx="9">
                  <c:v>Výroba ostatních dopravních prostředků/zařízení /30/</c:v>
                </c:pt>
                <c:pt idx="10">
                  <c:v>Farmaceutický průmysl /21/</c:v>
                </c:pt>
                <c:pt idx="11">
                  <c:v>Výroba počítačů, elektronických a optických přístrojů a zařízení /26/</c:v>
                </c:pt>
                <c:pt idx="12">
                  <c:v>Strojírenský průmysl - výroba strojů/zařízení j.n. /28/</c:v>
                </c:pt>
                <c:pt idx="13">
                  <c:v>Petrochemický a chemický průmysl /19-20/</c:v>
                </c:pt>
              </c:strCache>
            </c:strRef>
          </c:cat>
          <c:val>
            <c:numRef>
              <c:f>'GRAF3.2-3'!$K$3:$K$16</c:f>
              <c:numCache>
                <c:formatCode>0.0%</c:formatCode>
                <c:ptCount val="14"/>
                <c:pt idx="0">
                  <c:v>0.30666820341239398</c:v>
                </c:pt>
                <c:pt idx="1">
                  <c:v>0.285301669085884</c:v>
                </c:pt>
                <c:pt idx="2">
                  <c:v>0.30584259107808698</c:v>
                </c:pt>
                <c:pt idx="3">
                  <c:v>0.275079310280825</c:v>
                </c:pt>
                <c:pt idx="4">
                  <c:v>0.34629669604629398</c:v>
                </c:pt>
                <c:pt idx="5">
                  <c:v>0.284956821896168</c:v>
                </c:pt>
                <c:pt idx="6">
                  <c:v>0.37047041623061799</c:v>
                </c:pt>
                <c:pt idx="7">
                  <c:v>0.405893285933901</c:v>
                </c:pt>
                <c:pt idx="8">
                  <c:v>0.41264861160607602</c:v>
                </c:pt>
                <c:pt idx="9">
                  <c:v>0.48727424620123</c:v>
                </c:pt>
                <c:pt idx="10">
                  <c:v>0.44099240992409899</c:v>
                </c:pt>
                <c:pt idx="11">
                  <c:v>0.42030162001425497</c:v>
                </c:pt>
                <c:pt idx="12">
                  <c:v>0.42634514531457302</c:v>
                </c:pt>
                <c:pt idx="13">
                  <c:v>0.542515640316095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3-4A5B-88F8-8F32EB7958DD}"/>
            </c:ext>
          </c:extLst>
        </c:ser>
        <c:ser>
          <c:idx val="1"/>
          <c:order val="1"/>
          <c:tx>
            <c:strRef>
              <c:f>'GRAF3.2-3'!$J$2</c:f>
              <c:strCache>
                <c:ptCount val="1"/>
                <c:pt idx="0">
                  <c:v>Technicky inovující podniky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'GRAF3.2-3'!$H$3:$H$16</c:f>
              <c:strCache>
                <c:ptCount val="14"/>
                <c:pt idx="0">
                  <c:v>Textilní, oděvní, kožedělný a obuvnický průmysl /13–15/</c:v>
                </c:pt>
                <c:pt idx="1">
                  <c:v>Výroba nábytku; Ost. zpracovatelský průmysl; Opravy a instalace strojů a zařízení /31–33/</c:v>
                </c:pt>
                <c:pt idx="2">
                  <c:v>Dřevozpracující a papírenský průmysl /16–18/</c:v>
                </c:pt>
                <c:pt idx="3">
                  <c:v>Výroba kovů, hutních a kovodělných výrobků /24–25/ </c:v>
                </c:pt>
                <c:pt idx="4">
                  <c:v>Výroba elektrických zařízení /27/</c:v>
                </c:pt>
                <c:pt idx="5">
                  <c:v>Automobilový průmysl /29/</c:v>
                </c:pt>
                <c:pt idx="6">
                  <c:v>Gumárenský a plastový průmysl /22/</c:v>
                </c:pt>
                <c:pt idx="7">
                  <c:v>Potravinářský, nápojový a tabákový průmysl /10–12/</c:v>
                </c:pt>
                <c:pt idx="8">
                  <c:v>Průmysl skla, keramiky, porcelánu a staveb. hmot /23/</c:v>
                </c:pt>
                <c:pt idx="9">
                  <c:v>Výroba ostatních dopravních prostředků/zařízení /30/</c:v>
                </c:pt>
                <c:pt idx="10">
                  <c:v>Farmaceutický průmysl /21/</c:v>
                </c:pt>
                <c:pt idx="11">
                  <c:v>Výroba počítačů, elektronických a optických přístrojů a zařízení /26/</c:v>
                </c:pt>
                <c:pt idx="12">
                  <c:v>Strojírenský průmysl - výroba strojů/zařízení j.n. /28/</c:v>
                </c:pt>
                <c:pt idx="13">
                  <c:v>Petrochemický a chemický průmysl /19-20/</c:v>
                </c:pt>
              </c:strCache>
            </c:strRef>
          </c:cat>
          <c:val>
            <c:numRef>
              <c:f>'GRAF3.2-3'!$J$3:$J$16</c:f>
              <c:numCache>
                <c:formatCode>0.0%</c:formatCode>
                <c:ptCount val="14"/>
                <c:pt idx="0">
                  <c:v>0.339606029317289</c:v>
                </c:pt>
                <c:pt idx="1">
                  <c:v>0.31959393460093399</c:v>
                </c:pt>
                <c:pt idx="2">
                  <c:v>0.32737806305764999</c:v>
                </c:pt>
                <c:pt idx="3">
                  <c:v>0.41167448076173502</c:v>
                </c:pt>
                <c:pt idx="4">
                  <c:v>0.465693330709399</c:v>
                </c:pt>
                <c:pt idx="5">
                  <c:v>0.46721083896096099</c:v>
                </c:pt>
                <c:pt idx="6">
                  <c:v>0.45454814549713801</c:v>
                </c:pt>
                <c:pt idx="7">
                  <c:v>0.43844024505949097</c:v>
                </c:pt>
                <c:pt idx="8">
                  <c:v>0.49289237760054</c:v>
                </c:pt>
                <c:pt idx="9">
                  <c:v>0.611801601707056</c:v>
                </c:pt>
                <c:pt idx="10">
                  <c:v>0.56366563665636604</c:v>
                </c:pt>
                <c:pt idx="11">
                  <c:v>0.64207941069280405</c:v>
                </c:pt>
                <c:pt idx="12">
                  <c:v>0.61838839918546595</c:v>
                </c:pt>
                <c:pt idx="13">
                  <c:v>0.68486910900518905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63-4A5B-88F8-8F32EB7958DD}"/>
            </c:ext>
          </c:extLst>
        </c:ser>
        <c:ser>
          <c:idx val="0"/>
          <c:order val="2"/>
          <c:tx>
            <c:strRef>
              <c:f>'GRAF3.2-3'!$I$2</c:f>
              <c:strCache>
                <c:ptCount val="1"/>
                <c:pt idx="0">
                  <c:v>Inovující podniky celkem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'GRAF3.2-3'!$H$3:$H$16</c:f>
              <c:strCache>
                <c:ptCount val="14"/>
                <c:pt idx="0">
                  <c:v>Textilní, oděvní, kožedělný a obuvnický průmysl /13–15/</c:v>
                </c:pt>
                <c:pt idx="1">
                  <c:v>Výroba nábytku; Ost. zpracovatelský průmysl; Opravy a instalace strojů a zařízení /31–33/</c:v>
                </c:pt>
                <c:pt idx="2">
                  <c:v>Dřevozpracující a papírenský průmysl /16–18/</c:v>
                </c:pt>
                <c:pt idx="3">
                  <c:v>Výroba kovů, hutních a kovodělných výrobků /24–25/ </c:v>
                </c:pt>
                <c:pt idx="4">
                  <c:v>Výroba elektrických zařízení /27/</c:v>
                </c:pt>
                <c:pt idx="5">
                  <c:v>Automobilový průmysl /29/</c:v>
                </c:pt>
                <c:pt idx="6">
                  <c:v>Gumárenský a plastový průmysl /22/</c:v>
                </c:pt>
                <c:pt idx="7">
                  <c:v>Potravinářský, nápojový a tabákový průmysl /10–12/</c:v>
                </c:pt>
                <c:pt idx="8">
                  <c:v>Průmysl skla, keramiky, porcelánu a staveb. hmot /23/</c:v>
                </c:pt>
                <c:pt idx="9">
                  <c:v>Výroba ostatních dopravních prostředků/zařízení /30/</c:v>
                </c:pt>
                <c:pt idx="10">
                  <c:v>Farmaceutický průmysl /21/</c:v>
                </c:pt>
                <c:pt idx="11">
                  <c:v>Výroba počítačů, elektronických a optických přístrojů a zařízení /26/</c:v>
                </c:pt>
                <c:pt idx="12">
                  <c:v>Strojírenský průmysl - výroba strojů/zařízení j.n. /28/</c:v>
                </c:pt>
                <c:pt idx="13">
                  <c:v>Petrochemický a chemický průmysl /19-20/</c:v>
                </c:pt>
              </c:strCache>
            </c:strRef>
          </c:cat>
          <c:val>
            <c:numRef>
              <c:f>'GRAF3.2-3'!$I$3:$I$16</c:f>
              <c:numCache>
                <c:formatCode>0.0%</c:formatCode>
                <c:ptCount val="14"/>
                <c:pt idx="0">
                  <c:v>0.39702639701780401</c:v>
                </c:pt>
                <c:pt idx="1">
                  <c:v>0.40568980535079002</c:v>
                </c:pt>
                <c:pt idx="2">
                  <c:v>0.43944763549249999</c:v>
                </c:pt>
                <c:pt idx="3">
                  <c:v>0.49656551032908303</c:v>
                </c:pt>
                <c:pt idx="4">
                  <c:v>0.51669358596467996</c:v>
                </c:pt>
                <c:pt idx="5">
                  <c:v>0.52728760771484695</c:v>
                </c:pt>
                <c:pt idx="6">
                  <c:v>0.52959382237105102</c:v>
                </c:pt>
                <c:pt idx="7">
                  <c:v>0.53577524026733703</c:v>
                </c:pt>
                <c:pt idx="8">
                  <c:v>0.54849491578597598</c:v>
                </c:pt>
                <c:pt idx="9">
                  <c:v>0.65449310031302699</c:v>
                </c:pt>
                <c:pt idx="10">
                  <c:v>0.66729867298672996</c:v>
                </c:pt>
                <c:pt idx="11">
                  <c:v>0.67786389042085504</c:v>
                </c:pt>
                <c:pt idx="12">
                  <c:v>0.68949621045773901</c:v>
                </c:pt>
                <c:pt idx="13">
                  <c:v>0.71561012369882204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63-4A5B-88F8-8F32EB795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5226864"/>
        <c:axId val="564502912"/>
      </c:barChart>
      <c:catAx>
        <c:axId val="56522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64502912"/>
        <c:crosses val="autoZero"/>
        <c:auto val="1"/>
        <c:lblAlgn val="ctr"/>
        <c:lblOffset val="100"/>
        <c:noMultiLvlLbl val="0"/>
      </c:catAx>
      <c:valAx>
        <c:axId val="56450291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6522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6797385620917E-2"/>
          <c:y val="0.10904040404040403"/>
          <c:w val="0.95434640522875813"/>
          <c:h val="0.62729191919191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'GRAF3.2-4'!$B$3</c:f>
              <c:strCache>
                <c:ptCount val="1"/>
                <c:pt idx="0">
                  <c:v>Technická inovace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'GRAF3.2-4'!$A$4:$A$9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'GRAF3.2-4'!$B$4:$B$9</c:f>
              <c:numCache>
                <c:formatCode>0.0%</c:formatCode>
                <c:ptCount val="6"/>
                <c:pt idx="0">
                  <c:v>0.37288235258388203</c:v>
                </c:pt>
                <c:pt idx="1">
                  <c:v>0.319462728928187</c:v>
                </c:pt>
                <c:pt idx="2">
                  <c:v>0.47603116612754198</c:v>
                </c:pt>
                <c:pt idx="3">
                  <c:v>0.70392161452846702</c:v>
                </c:pt>
                <c:pt idx="4">
                  <c:v>0.34992896428185599</c:v>
                </c:pt>
                <c:pt idx="5">
                  <c:v>0.46119770614562999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F-4755-846F-3E0411A75659}"/>
            </c:ext>
          </c:extLst>
        </c:ser>
        <c:ser>
          <c:idx val="1"/>
          <c:order val="1"/>
          <c:tx>
            <c:strRef>
              <c:f>'GRAF3.2-4'!$C$3</c:f>
              <c:strCache>
                <c:ptCount val="1"/>
                <c:pt idx="0">
                  <c:v>Produktová inovace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'GRAF3.2-4'!$A$4:$A$9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'GRAF3.2-4'!$C$4:$C$9</c:f>
              <c:numCache>
                <c:formatCode>0.0%</c:formatCode>
                <c:ptCount val="6"/>
                <c:pt idx="0">
                  <c:v>0.25690635139753398</c:v>
                </c:pt>
                <c:pt idx="1">
                  <c:v>0.212286776125476</c:v>
                </c:pt>
                <c:pt idx="2">
                  <c:v>0.340411126048353</c:v>
                </c:pt>
                <c:pt idx="3">
                  <c:v>0.54406095066641202</c:v>
                </c:pt>
                <c:pt idx="4">
                  <c:v>0.23837509921359801</c:v>
                </c:pt>
                <c:pt idx="5">
                  <c:v>0.32820711392686502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6F-4755-846F-3E0411A75659}"/>
            </c:ext>
          </c:extLst>
        </c:ser>
        <c:ser>
          <c:idx val="2"/>
          <c:order val="2"/>
          <c:tx>
            <c:strRef>
              <c:f>'GRAF3.2-4'!$D$3</c:f>
              <c:strCache>
                <c:ptCount val="1"/>
                <c:pt idx="0">
                  <c:v>Procesní inovace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'GRAF3.2-4'!$A$4:$A$9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'GRAF3.2-4'!$D$4:$D$9</c:f>
              <c:numCache>
                <c:formatCode>0.0%</c:formatCode>
                <c:ptCount val="6"/>
                <c:pt idx="0">
                  <c:v>0.27668093991565101</c:v>
                </c:pt>
                <c:pt idx="1">
                  <c:v>0.23260058571093301</c:v>
                </c:pt>
                <c:pt idx="2">
                  <c:v>0.35654518620658598</c:v>
                </c:pt>
                <c:pt idx="3">
                  <c:v>0.57093188929328298</c:v>
                </c:pt>
                <c:pt idx="4">
                  <c:v>0.26134546711623202</c:v>
                </c:pt>
                <c:pt idx="5">
                  <c:v>0.33568563606318402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6F-4755-846F-3E0411A75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749952"/>
        <c:axId val="400753696"/>
      </c:barChart>
      <c:catAx>
        <c:axId val="40074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0753696"/>
        <c:crosses val="autoZero"/>
        <c:auto val="1"/>
        <c:lblAlgn val="ctr"/>
        <c:lblOffset val="100"/>
        <c:noMultiLvlLbl val="0"/>
      </c:catAx>
      <c:valAx>
        <c:axId val="40075369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0074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37254901963"/>
          <c:y val="2.6326699834162522E-2"/>
          <c:w val="0.61164183006535944"/>
          <c:h val="0.8059954394693199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'GRAF3.2-5'!$B$5</c:f>
              <c:strCache>
                <c:ptCount val="1"/>
                <c:pt idx="0">
                  <c:v>Procesní inovace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'GRAF3.2-5'!$A$6:$A$10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'GRAF3.2-5'!$B$6:$B$10</c:f>
              <c:numCache>
                <c:formatCode>0.0%</c:formatCode>
                <c:ptCount val="5"/>
                <c:pt idx="0">
                  <c:v>0.34757590000833199</c:v>
                </c:pt>
                <c:pt idx="1">
                  <c:v>0.40817936561053503</c:v>
                </c:pt>
                <c:pt idx="2">
                  <c:v>0.21942461532978741</c:v>
                </c:pt>
                <c:pt idx="3">
                  <c:v>0.33117770549707098</c:v>
                </c:pt>
                <c:pt idx="4">
                  <c:v>0.32229257987523469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70-476F-81CA-223297C4E159}"/>
            </c:ext>
          </c:extLst>
        </c:ser>
        <c:ser>
          <c:idx val="1"/>
          <c:order val="1"/>
          <c:tx>
            <c:strRef>
              <c:f>'GRAF3.2-5'!$C$5</c:f>
              <c:strCache>
                <c:ptCount val="1"/>
                <c:pt idx="0">
                  <c:v>Produktová inovace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'GRAF3.2-5'!$A$6:$A$10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'GRAF3.2-5'!$C$6:$C$10</c:f>
              <c:numCache>
                <c:formatCode>0.0%</c:formatCode>
                <c:ptCount val="5"/>
                <c:pt idx="0">
                  <c:v>0.316748751178344</c:v>
                </c:pt>
                <c:pt idx="1">
                  <c:v>0.48808698497685699</c:v>
                </c:pt>
                <c:pt idx="2">
                  <c:v>0.20593695063557044</c:v>
                </c:pt>
                <c:pt idx="3">
                  <c:v>0.31086219233411899</c:v>
                </c:pt>
                <c:pt idx="4">
                  <c:v>0.29750969038804165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70-476F-81CA-223297C4E159}"/>
            </c:ext>
          </c:extLst>
        </c:ser>
        <c:ser>
          <c:idx val="0"/>
          <c:order val="2"/>
          <c:tx>
            <c:strRef>
              <c:f>'GRAF3.2-5'!$D$5</c:f>
              <c:strCache>
                <c:ptCount val="1"/>
                <c:pt idx="0">
                  <c:v>Technická inovace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'GRAF3.2-5'!$A$6:$A$10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'GRAF3.2-5'!$D$6:$D$10</c:f>
              <c:numCache>
                <c:formatCode>0.0%</c:formatCode>
                <c:ptCount val="5"/>
                <c:pt idx="0">
                  <c:v>0.434568452404345</c:v>
                </c:pt>
                <c:pt idx="1">
                  <c:v>0.59569835553883999</c:v>
                </c:pt>
                <c:pt idx="2">
                  <c:v>0.30634547588255695</c:v>
                </c:pt>
                <c:pt idx="3">
                  <c:v>0.43865667779421103</c:v>
                </c:pt>
                <c:pt idx="4">
                  <c:v>0.42588708325926683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70-476F-81CA-223297C4E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8494752"/>
        <c:axId val="398289952"/>
      </c:barChart>
      <c:catAx>
        <c:axId val="3984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289952"/>
        <c:crosses val="autoZero"/>
        <c:auto val="1"/>
        <c:lblAlgn val="ctr"/>
        <c:lblOffset val="100"/>
        <c:noMultiLvlLbl val="0"/>
      </c:catAx>
      <c:valAx>
        <c:axId val="3982899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9849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200424836601309"/>
          <c:y val="1.8405797101449274E-2"/>
          <c:w val="0.48516895424836604"/>
          <c:h val="0.89310652173913041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'GRAF3.2-6'!$I$2</c:f>
              <c:strCache>
                <c:ptCount val="1"/>
                <c:pt idx="0">
                  <c:v>Procesní inovace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'GRAF3.2-6'!$H$3:$H$16</c:f>
              <c:strCache>
                <c:ptCount val="14"/>
                <c:pt idx="0">
                  <c:v>Výroba nábytku; Ost. zpracovatelský průmysl; Opravy a instalace strojů a zařízení /31–33/</c:v>
                </c:pt>
                <c:pt idx="1">
                  <c:v>Dřevozpracující a papírenský průmysl /16–18/</c:v>
                </c:pt>
                <c:pt idx="2">
                  <c:v>Textilní, oděvní, kožedělný a obuvnický průmysl /13–15/</c:v>
                </c:pt>
                <c:pt idx="3">
                  <c:v>Výroba kovů, hutních a kovodělných výrobků /24–25/ </c:v>
                </c:pt>
                <c:pt idx="4">
                  <c:v>Potravinářský, nápojový a tabákový průmysl /10–12/</c:v>
                </c:pt>
                <c:pt idx="5">
                  <c:v>Gumárenský a plastový průmysl /22/</c:v>
                </c:pt>
                <c:pt idx="6">
                  <c:v>Výroba elektrických zařízení /27/</c:v>
                </c:pt>
                <c:pt idx="7">
                  <c:v>Automobilový průmysl /29/</c:v>
                </c:pt>
                <c:pt idx="8">
                  <c:v>Průmysl skla, keramiky, porcelánu a staveb. hmot /23/</c:v>
                </c:pt>
                <c:pt idx="9">
                  <c:v>Farmaceutický průmysl /21/</c:v>
                </c:pt>
                <c:pt idx="10">
                  <c:v>Výroba ostatních dopravních prostředků/zařízení /30/</c:v>
                </c:pt>
                <c:pt idx="11">
                  <c:v>Strojírenský průmysl - výroba strojů/zařízení j.n. /28/</c:v>
                </c:pt>
                <c:pt idx="12">
                  <c:v>Výroba počítačů, elektronických a optických přístrojů a zařízení /26/</c:v>
                </c:pt>
                <c:pt idx="13">
                  <c:v>Petrochemický a chemický průmysl /19-20/</c:v>
                </c:pt>
              </c:strCache>
            </c:strRef>
          </c:cat>
          <c:val>
            <c:numRef>
              <c:f>'GRAF3.2-6'!$I$3:$I$16</c:f>
              <c:numCache>
                <c:formatCode>0.0%</c:formatCode>
                <c:ptCount val="14"/>
                <c:pt idx="0">
                  <c:v>0.225467432952418</c:v>
                </c:pt>
                <c:pt idx="1">
                  <c:v>0.26692177406391598</c:v>
                </c:pt>
                <c:pt idx="2">
                  <c:v>0.23693713846124501</c:v>
                </c:pt>
                <c:pt idx="3">
                  <c:v>0.37302667186368899</c:v>
                </c:pt>
                <c:pt idx="4">
                  <c:v>0.31274343122610399</c:v>
                </c:pt>
                <c:pt idx="5">
                  <c:v>0.33587383543100102</c:v>
                </c:pt>
                <c:pt idx="6">
                  <c:v>0.316108265128487</c:v>
                </c:pt>
                <c:pt idx="7">
                  <c:v>0.34612966172947002</c:v>
                </c:pt>
                <c:pt idx="8">
                  <c:v>0.36030899106067898</c:v>
                </c:pt>
                <c:pt idx="9">
                  <c:v>0.327021270212702</c:v>
                </c:pt>
                <c:pt idx="10">
                  <c:v>0.37717114511653799</c:v>
                </c:pt>
                <c:pt idx="11">
                  <c:v>0.42583602017419803</c:v>
                </c:pt>
                <c:pt idx="12">
                  <c:v>0.40340064310340901</c:v>
                </c:pt>
                <c:pt idx="13">
                  <c:v>0.51003426714298095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7-4B8D-ADA4-A438ED0062CE}"/>
            </c:ext>
          </c:extLst>
        </c:ser>
        <c:ser>
          <c:idx val="1"/>
          <c:order val="1"/>
          <c:tx>
            <c:strRef>
              <c:f>'GRAF3.2-6'!$J$2</c:f>
              <c:strCache>
                <c:ptCount val="1"/>
                <c:pt idx="0">
                  <c:v>Produktová inovace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'GRAF3.2-6'!$H$3:$H$16</c:f>
              <c:strCache>
                <c:ptCount val="14"/>
                <c:pt idx="0">
                  <c:v>Výroba nábytku; Ost. zpracovatelský průmysl; Opravy a instalace strojů a zařízení /31–33/</c:v>
                </c:pt>
                <c:pt idx="1">
                  <c:v>Dřevozpracující a papírenský průmysl /16–18/</c:v>
                </c:pt>
                <c:pt idx="2">
                  <c:v>Textilní, oděvní, kožedělný a obuvnický průmysl /13–15/</c:v>
                </c:pt>
                <c:pt idx="3">
                  <c:v>Výroba kovů, hutních a kovodělných výrobků /24–25/ </c:v>
                </c:pt>
                <c:pt idx="4">
                  <c:v>Potravinářský, nápojový a tabákový průmysl /10–12/</c:v>
                </c:pt>
                <c:pt idx="5">
                  <c:v>Gumárenský a plastový průmysl /22/</c:v>
                </c:pt>
                <c:pt idx="6">
                  <c:v>Výroba elektrických zařízení /27/</c:v>
                </c:pt>
                <c:pt idx="7">
                  <c:v>Automobilový průmysl /29/</c:v>
                </c:pt>
                <c:pt idx="8">
                  <c:v>Průmysl skla, keramiky, porcelánu a staveb. hmot /23/</c:v>
                </c:pt>
                <c:pt idx="9">
                  <c:v>Farmaceutický průmysl /21/</c:v>
                </c:pt>
                <c:pt idx="10">
                  <c:v>Výroba ostatních dopravních prostředků/zařízení /30/</c:v>
                </c:pt>
                <c:pt idx="11">
                  <c:v>Strojírenský průmysl - výroba strojů/zařízení j.n. /28/</c:v>
                </c:pt>
                <c:pt idx="12">
                  <c:v>Výroba počítačů, elektronických a optických přístrojů a zařízení /26/</c:v>
                </c:pt>
                <c:pt idx="13">
                  <c:v>Petrochemický a chemický průmysl /19-20/</c:v>
                </c:pt>
              </c:strCache>
            </c:strRef>
          </c:cat>
          <c:val>
            <c:numRef>
              <c:f>'GRAF3.2-6'!$J$3:$J$16</c:f>
              <c:numCache>
                <c:formatCode>0.0%</c:formatCode>
                <c:ptCount val="14"/>
                <c:pt idx="0">
                  <c:v>0.24026964592647501</c:v>
                </c:pt>
                <c:pt idx="1">
                  <c:v>0.19498035877719899</c:v>
                </c:pt>
                <c:pt idx="2">
                  <c:v>0.26175535462680899</c:v>
                </c:pt>
                <c:pt idx="3">
                  <c:v>0.23741552053752099</c:v>
                </c:pt>
                <c:pt idx="4">
                  <c:v>0.357800569065087</c:v>
                </c:pt>
                <c:pt idx="5">
                  <c:v>0.33933083505379102</c:v>
                </c:pt>
                <c:pt idx="6">
                  <c:v>0.35009082429949001</c:v>
                </c:pt>
                <c:pt idx="7">
                  <c:v>0.31797835369063998</c:v>
                </c:pt>
                <c:pt idx="8">
                  <c:v>0.40106945641547997</c:v>
                </c:pt>
                <c:pt idx="9">
                  <c:v>0.39923399233992302</c:v>
                </c:pt>
                <c:pt idx="10">
                  <c:v>0.48563949177506299</c:v>
                </c:pt>
                <c:pt idx="11">
                  <c:v>0.43802917116095003</c:v>
                </c:pt>
                <c:pt idx="12">
                  <c:v>0.52953695909488196</c:v>
                </c:pt>
                <c:pt idx="13">
                  <c:v>0.53831897898969205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37-4B8D-ADA4-A438ED0062CE}"/>
            </c:ext>
          </c:extLst>
        </c:ser>
        <c:ser>
          <c:idx val="0"/>
          <c:order val="2"/>
          <c:tx>
            <c:strRef>
              <c:f>'GRAF3.2-6'!$K$2</c:f>
              <c:strCache>
                <c:ptCount val="1"/>
                <c:pt idx="0">
                  <c:v>Technická inovace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'GRAF3.2-6'!$H$3:$H$16</c:f>
              <c:strCache>
                <c:ptCount val="14"/>
                <c:pt idx="0">
                  <c:v>Výroba nábytku; Ost. zpracovatelský průmysl; Opravy a instalace strojů a zařízení /31–33/</c:v>
                </c:pt>
                <c:pt idx="1">
                  <c:v>Dřevozpracující a papírenský průmysl /16–18/</c:v>
                </c:pt>
                <c:pt idx="2">
                  <c:v>Textilní, oděvní, kožedělný a obuvnický průmysl /13–15/</c:v>
                </c:pt>
                <c:pt idx="3">
                  <c:v>Výroba kovů, hutních a kovodělných výrobků /24–25/ </c:v>
                </c:pt>
                <c:pt idx="4">
                  <c:v>Potravinářský, nápojový a tabákový průmysl /10–12/</c:v>
                </c:pt>
                <c:pt idx="5">
                  <c:v>Gumárenský a plastový průmysl /22/</c:v>
                </c:pt>
                <c:pt idx="6">
                  <c:v>Výroba elektrických zařízení /27/</c:v>
                </c:pt>
                <c:pt idx="7">
                  <c:v>Automobilový průmysl /29/</c:v>
                </c:pt>
                <c:pt idx="8">
                  <c:v>Průmysl skla, keramiky, porcelánu a staveb. hmot /23/</c:v>
                </c:pt>
                <c:pt idx="9">
                  <c:v>Farmaceutický průmysl /21/</c:v>
                </c:pt>
                <c:pt idx="10">
                  <c:v>Výroba ostatních dopravních prostředků/zařízení /30/</c:v>
                </c:pt>
                <c:pt idx="11">
                  <c:v>Strojírenský průmysl - výroba strojů/zařízení j.n. /28/</c:v>
                </c:pt>
                <c:pt idx="12">
                  <c:v>Výroba počítačů, elektronických a optických přístrojů a zařízení /26/</c:v>
                </c:pt>
                <c:pt idx="13">
                  <c:v>Petrochemický a chemický průmysl /19-20/</c:v>
                </c:pt>
              </c:strCache>
            </c:strRef>
          </c:cat>
          <c:val>
            <c:numRef>
              <c:f>'GRAF3.2-6'!$K$3:$K$16</c:f>
              <c:numCache>
                <c:formatCode>0.0%</c:formatCode>
                <c:ptCount val="14"/>
                <c:pt idx="0">
                  <c:v>0.31959393460093399</c:v>
                </c:pt>
                <c:pt idx="1">
                  <c:v>0.32737806305764999</c:v>
                </c:pt>
                <c:pt idx="2">
                  <c:v>0.339606029317289</c:v>
                </c:pt>
                <c:pt idx="3">
                  <c:v>0.41167448076173502</c:v>
                </c:pt>
                <c:pt idx="4">
                  <c:v>0.43844024505949097</c:v>
                </c:pt>
                <c:pt idx="5">
                  <c:v>0.45454814549713801</c:v>
                </c:pt>
                <c:pt idx="6">
                  <c:v>0.465693330709399</c:v>
                </c:pt>
                <c:pt idx="7">
                  <c:v>0.46721083896096099</c:v>
                </c:pt>
                <c:pt idx="8">
                  <c:v>0.49289237760054</c:v>
                </c:pt>
                <c:pt idx="9">
                  <c:v>0.56366563665636604</c:v>
                </c:pt>
                <c:pt idx="10">
                  <c:v>0.611801601707056</c:v>
                </c:pt>
                <c:pt idx="11">
                  <c:v>0.61838839918546595</c:v>
                </c:pt>
                <c:pt idx="12">
                  <c:v>0.64207941069280405</c:v>
                </c:pt>
                <c:pt idx="13">
                  <c:v>0.68486910900518905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37-4B8D-ADA4-A438ED006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5226864"/>
        <c:axId val="564502912"/>
      </c:barChart>
      <c:catAx>
        <c:axId val="56522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64502912"/>
        <c:crosses val="autoZero"/>
        <c:auto val="1"/>
        <c:lblAlgn val="ctr"/>
        <c:lblOffset val="100"/>
        <c:noMultiLvlLbl val="0"/>
      </c:catAx>
      <c:valAx>
        <c:axId val="56450291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6522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'GRAF3.2-7'!$B$4</c:f>
              <c:strCache>
                <c:ptCount val="1"/>
                <c:pt idx="0">
                  <c:v>Pouze inovovaný výrobek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'GRAF3.2-7'!$A$5:$A$10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'GRAF3.2-7'!$B$5:$B$10</c:f>
              <c:numCache>
                <c:formatCode>0.0%</c:formatCode>
                <c:ptCount val="6"/>
                <c:pt idx="0">
                  <c:v>0.52634647530828704</c:v>
                </c:pt>
                <c:pt idx="1">
                  <c:v>0.47419351996428599</c:v>
                </c:pt>
                <c:pt idx="2">
                  <c:v>0.60412854387019799</c:v>
                </c:pt>
                <c:pt idx="3">
                  <c:v>0.61480993232363401</c:v>
                </c:pt>
                <c:pt idx="4">
                  <c:v>0.51152630740888205</c:v>
                </c:pt>
                <c:pt idx="5">
                  <c:v>0.56776126198412902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0-4945-8CAD-63D4706C4C90}"/>
            </c:ext>
          </c:extLst>
        </c:ser>
        <c:ser>
          <c:idx val="1"/>
          <c:order val="1"/>
          <c:tx>
            <c:strRef>
              <c:f>'GRAF3.2-7'!$C$4</c:f>
              <c:strCache>
                <c:ptCount val="1"/>
                <c:pt idx="0">
                  <c:v>Pouze inovovaná služba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'GRAF3.2-7'!$A$5:$A$10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'GRAF3.2-7'!$C$5:$C$10</c:f>
              <c:numCache>
                <c:formatCode>0.0%</c:formatCode>
                <c:ptCount val="6"/>
                <c:pt idx="0">
                  <c:v>0.23185247146157101</c:v>
                </c:pt>
                <c:pt idx="1">
                  <c:v>0.27687422745533702</c:v>
                </c:pt>
                <c:pt idx="2">
                  <c:v>0.17107859902728101</c:v>
                </c:pt>
                <c:pt idx="3">
                  <c:v>0.139474106692177</c:v>
                </c:pt>
                <c:pt idx="4">
                  <c:v>0.24613242287046899</c:v>
                </c:pt>
                <c:pt idx="5">
                  <c:v>0.191947313479881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10-4945-8CAD-63D4706C4C90}"/>
            </c:ext>
          </c:extLst>
        </c:ser>
        <c:ser>
          <c:idx val="2"/>
          <c:order val="2"/>
          <c:tx>
            <c:strRef>
              <c:f>'GRAF3.2-7'!$D$4</c:f>
              <c:strCache>
                <c:ptCount val="1"/>
                <c:pt idx="0">
                  <c:v>Inovovaný výrobek a služba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'GRAF3.2-7'!$A$5:$A$10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'GRAF3.2-7'!$D$5:$D$10</c:f>
              <c:numCache>
                <c:formatCode>0.0%</c:formatCode>
                <c:ptCount val="6"/>
                <c:pt idx="0">
                  <c:v>0.241801053230142</c:v>
                </c:pt>
                <c:pt idx="1">
                  <c:v>0.24893225258037599</c:v>
                </c:pt>
                <c:pt idx="2">
                  <c:v>0.224792857102521</c:v>
                </c:pt>
                <c:pt idx="3">
                  <c:v>0.24571596098418899</c:v>
                </c:pt>
                <c:pt idx="4">
                  <c:v>0.24234126972064901</c:v>
                </c:pt>
                <c:pt idx="5">
                  <c:v>0.24029142453599001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10-4945-8CAD-63D4706C4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8743808"/>
        <c:axId val="403387920"/>
      </c:barChart>
      <c:catAx>
        <c:axId val="39874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3387920"/>
        <c:crosses val="autoZero"/>
        <c:auto val="1"/>
        <c:lblAlgn val="ctr"/>
        <c:lblOffset val="100"/>
        <c:noMultiLvlLbl val="0"/>
      </c:catAx>
      <c:valAx>
        <c:axId val="40338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74380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553137254901963"/>
          <c:y val="2.6326699834162522E-2"/>
          <c:w val="0.61164183006535944"/>
          <c:h val="0.7661657706093190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'GRAF3.2-8'!$D$4</c:f>
              <c:strCache>
                <c:ptCount val="1"/>
                <c:pt idx="0">
                  <c:v>Pouze inovovaný výrobek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509803921568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B-4F76-B25C-633A2E3F7E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'GRAF3.2-8'!$A$5:$A$9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'GRAF3.2-8'!$D$5:$D$9</c:f>
              <c:numCache>
                <c:formatCode>0.0%</c:formatCode>
                <c:ptCount val="5"/>
                <c:pt idx="0">
                  <c:v>4.1073942526092498E-2</c:v>
                </c:pt>
                <c:pt idx="1">
                  <c:v>0.13186601663150399</c:v>
                </c:pt>
                <c:pt idx="2">
                  <c:v>0.26682859581172469</c:v>
                </c:pt>
                <c:pt idx="3">
                  <c:v>0.68459007638173996</c:v>
                </c:pt>
                <c:pt idx="4">
                  <c:v>0.66945076981977991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EB-4F76-B25C-633A2E3F7EAE}"/>
            </c:ext>
          </c:extLst>
        </c:ser>
        <c:ser>
          <c:idx val="1"/>
          <c:order val="1"/>
          <c:tx>
            <c:strRef>
              <c:f>'GRAF3.2-8'!$C$4</c:f>
              <c:strCache>
                <c:ptCount val="1"/>
                <c:pt idx="0">
                  <c:v>Pouze inovovaná služba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'GRAF3.2-8'!$A$5:$A$9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'GRAF3.2-8'!$C$5:$C$9</c:f>
              <c:numCache>
                <c:formatCode>0.0%</c:formatCode>
                <c:ptCount val="5"/>
                <c:pt idx="0">
                  <c:v>0.79552278558702205</c:v>
                </c:pt>
                <c:pt idx="1">
                  <c:v>0.52839403889380798</c:v>
                </c:pt>
                <c:pt idx="2">
                  <c:v>0.47526435009639928</c:v>
                </c:pt>
                <c:pt idx="3">
                  <c:v>8.12434200038714E-2</c:v>
                </c:pt>
                <c:pt idx="4">
                  <c:v>9.7629406617917663E-2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EB-4F76-B25C-633A2E3F7EAE}"/>
            </c:ext>
          </c:extLst>
        </c:ser>
        <c:ser>
          <c:idx val="2"/>
          <c:order val="2"/>
          <c:tx>
            <c:strRef>
              <c:f>'GRAF3.2-8'!$B$4</c:f>
              <c:strCache>
                <c:ptCount val="1"/>
                <c:pt idx="0">
                  <c:v>Inovovaný výrobek a služba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'GRAF3.2-8'!$A$5:$A$9</c:f>
              <c:strCache>
                <c:ptCount val="5"/>
                <c:pt idx="0">
                  <c:v>Peněžnictví a pojišťovnictví – /NACE K/</c:v>
                </c:pt>
                <c:pt idx="1">
                  <c:v>Informační a komunikační činnosti – /NACE J/</c:v>
                </c:pt>
                <c:pt idx="2">
                  <c:v>SLUŽBY /G46+H+J+K+M71-73/</c:v>
                </c:pt>
                <c:pt idx="3">
                  <c:v>Zpracovatelský průmysl – /NACE C/</c:v>
                </c:pt>
                <c:pt idx="4">
                  <c:v>PRŮMYSL  /NACE B+C+D+E/</c:v>
                </c:pt>
              </c:strCache>
            </c:strRef>
          </c:cat>
          <c:val>
            <c:numRef>
              <c:f>'GRAF3.2-8'!$B$5:$B$9</c:f>
              <c:numCache>
                <c:formatCode>0.0%</c:formatCode>
                <c:ptCount val="5"/>
                <c:pt idx="0">
                  <c:v>0.163403271886885</c:v>
                </c:pt>
                <c:pt idx="1">
                  <c:v>0.33973994447468803</c:v>
                </c:pt>
                <c:pt idx="2">
                  <c:v>0.25790705409187648</c:v>
                </c:pt>
                <c:pt idx="3">
                  <c:v>0.23416650361438901</c:v>
                </c:pt>
                <c:pt idx="4">
                  <c:v>0.23291982356230098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EB-4F76-B25C-633A2E3F7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398494752"/>
        <c:axId val="398289952"/>
      </c:barChart>
      <c:catAx>
        <c:axId val="39849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289952"/>
        <c:crosses val="autoZero"/>
        <c:auto val="1"/>
        <c:lblAlgn val="ctr"/>
        <c:lblOffset val="100"/>
        <c:noMultiLvlLbl val="0"/>
      </c:catAx>
      <c:valAx>
        <c:axId val="398289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9849475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430956968529224E-2"/>
          <c:y val="7.7410277777777772E-2"/>
          <c:w val="0.95513808606294159"/>
          <c:h val="0.45348216374269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'GRAF3.2-9'!$B$3</c:f>
              <c:strCache>
                <c:ptCount val="1"/>
                <c:pt idx="0">
                  <c:v>Podnik ve vlastní režii</c:v>
                </c:pt>
              </c:strCache>
            </c:strRef>
          </c:tx>
          <c:spPr>
            <a:solidFill>
              <a:schemeClr val="accent5">
                <a:shade val="4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'GRAF3.2-9'!$B$4:$B$9</c:f>
              <c:numCache>
                <c:formatCode>0.0%</c:formatCode>
                <c:ptCount val="6"/>
                <c:pt idx="0">
                  <c:v>0.72464350643937003</c:v>
                </c:pt>
                <c:pt idx="1">
                  <c:v>0.77756033376050304</c:v>
                </c:pt>
                <c:pt idx="2">
                  <c:v>0.68942483538263799</c:v>
                </c:pt>
                <c:pt idx="3">
                  <c:v>0.56782438409285996</c:v>
                </c:pt>
                <c:pt idx="4">
                  <c:v>0.82906440697164496</c:v>
                </c:pt>
                <c:pt idx="5">
                  <c:v>0.45240777541876698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8-4145-A2CD-AF8333FDDE56}"/>
            </c:ext>
          </c:extLst>
        </c:ser>
        <c:ser>
          <c:idx val="1"/>
          <c:order val="1"/>
          <c:tx>
            <c:strRef>
              <c:f>'GRAF3.2-9'!$C$3</c:f>
              <c:strCache>
                <c:ptCount val="1"/>
                <c:pt idx="0">
                  <c:v>Ve spolupráci s podniky v rámci podnikové skupiny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'GRAF3.2-9'!$C$4:$C$9</c:f>
              <c:numCache>
                <c:formatCode>0.0%</c:formatCode>
                <c:ptCount val="6"/>
                <c:pt idx="0">
                  <c:v>0.206770782275327</c:v>
                </c:pt>
                <c:pt idx="1">
                  <c:v>0.112025237923913</c:v>
                </c:pt>
                <c:pt idx="2">
                  <c:v>0.25711431427407999</c:v>
                </c:pt>
                <c:pt idx="3">
                  <c:v>0.51832044501482899</c:v>
                </c:pt>
                <c:pt idx="4">
                  <c:v>0.104882570084346</c:v>
                </c:pt>
                <c:pt idx="5">
                  <c:v>0.47240354149119601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B8-4145-A2CD-AF8333FDDE56}"/>
            </c:ext>
          </c:extLst>
        </c:ser>
        <c:ser>
          <c:idx val="2"/>
          <c:order val="2"/>
          <c:tx>
            <c:strRef>
              <c:f>'GRAF3.2-9'!$D$3</c:f>
              <c:strCache>
                <c:ptCount val="1"/>
                <c:pt idx="0">
                  <c:v>Ve spolupráci s podniky mimo podnikovou skupinu</c:v>
                </c:pt>
              </c:strCache>
            </c:strRef>
          </c:tx>
          <c:spPr>
            <a:solidFill>
              <a:schemeClr val="accent5">
                <a:shade val="8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'GRAF3.2-9'!$D$4:$D$9</c:f>
              <c:numCache>
                <c:formatCode>0.0%</c:formatCode>
                <c:ptCount val="6"/>
                <c:pt idx="0">
                  <c:v>0.15954156289176499</c:v>
                </c:pt>
                <c:pt idx="1">
                  <c:v>0.15212669455983699</c:v>
                </c:pt>
                <c:pt idx="2">
                  <c:v>0.14983924986776601</c:v>
                </c:pt>
                <c:pt idx="3">
                  <c:v>0.21694096571257401</c:v>
                </c:pt>
                <c:pt idx="4">
                  <c:v>0.133376462145674</c:v>
                </c:pt>
                <c:pt idx="5">
                  <c:v>0.22775659735834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B8-4145-A2CD-AF8333FDDE56}"/>
            </c:ext>
          </c:extLst>
        </c:ser>
        <c:ser>
          <c:idx val="3"/>
          <c:order val="3"/>
          <c:tx>
            <c:strRef>
              <c:f>'GRAF3.2-9'!$E$3</c:f>
              <c:strCache>
                <c:ptCount val="1"/>
                <c:pt idx="0">
                  <c:v>Ve spolupráci s vysokými školami nebo výzkumnými institucemi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'GRAF3.2-9'!$E$4:$E$9</c:f>
              <c:numCache>
                <c:formatCode>0.0%</c:formatCode>
                <c:ptCount val="6"/>
                <c:pt idx="0">
                  <c:v>0.149325676200698</c:v>
                </c:pt>
                <c:pt idx="1">
                  <c:v>8.9933121664315704E-2</c:v>
                </c:pt>
                <c:pt idx="2">
                  <c:v>0.200173512545708</c:v>
                </c:pt>
                <c:pt idx="3">
                  <c:v>0.29794050351451501</c:v>
                </c:pt>
                <c:pt idx="4">
                  <c:v>0.15385755104128401</c:v>
                </c:pt>
                <c:pt idx="5">
                  <c:v>0.13751062524986299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B8-4145-A2CD-AF8333FDDE56}"/>
            </c:ext>
          </c:extLst>
        </c:ser>
        <c:ser>
          <c:idx val="4"/>
          <c:order val="4"/>
          <c:tx>
            <c:strRef>
              <c:f>'GRAF3.2-9'!$F$3</c:f>
              <c:strCache>
                <c:ptCount val="1"/>
                <c:pt idx="0">
                  <c:v>Adaptoval výrobky vyvinuté jinými subjekty</c:v>
                </c:pt>
              </c:strCache>
            </c:strRef>
          </c:tx>
          <c:spPr>
            <a:solidFill>
              <a:schemeClr val="accent5">
                <a:tint val="8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'GRAF3.2-9'!$F$4:$F$9</c:f>
              <c:numCache>
                <c:formatCode>0.0%</c:formatCode>
                <c:ptCount val="6"/>
                <c:pt idx="0">
                  <c:v>8.3148918306868894E-2</c:v>
                </c:pt>
                <c:pt idx="1">
                  <c:v>8.4772567858303005E-2</c:v>
                </c:pt>
                <c:pt idx="2">
                  <c:v>7.5689960804913997E-2</c:v>
                </c:pt>
                <c:pt idx="3">
                  <c:v>9.3774233363244502E-2</c:v>
                </c:pt>
                <c:pt idx="4">
                  <c:v>8.1234342142886398E-2</c:v>
                </c:pt>
                <c:pt idx="5">
                  <c:v>8.8140409846776499E-2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B8-4145-A2CD-AF8333FDDE56}"/>
            </c:ext>
          </c:extLst>
        </c:ser>
        <c:ser>
          <c:idx val="5"/>
          <c:order val="5"/>
          <c:tx>
            <c:strRef>
              <c:f>'GRAF3.2-9'!$G$3</c:f>
              <c:strCache>
                <c:ptCount val="1"/>
                <c:pt idx="0">
                  <c:v>Zadal vývoj jinému podniku včetně podniků ve skupině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'GRAF3.2-9'!$G$4:$G$9</c:f>
              <c:numCache>
                <c:formatCode>0.0%</c:formatCode>
                <c:ptCount val="6"/>
                <c:pt idx="0">
                  <c:v>5.1069592208548197E-2</c:v>
                </c:pt>
                <c:pt idx="1">
                  <c:v>3.1441660494978603E-2</c:v>
                </c:pt>
                <c:pt idx="2">
                  <c:v>4.2834836005393499E-2</c:v>
                </c:pt>
                <c:pt idx="3">
                  <c:v>0.16078309505670299</c:v>
                </c:pt>
                <c:pt idx="4">
                  <c:v>2.1299167489651001E-2</c:v>
                </c:pt>
                <c:pt idx="5">
                  <c:v>0.128684066847538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B8-4145-A2CD-AF8333FDDE56}"/>
            </c:ext>
          </c:extLst>
        </c:ser>
        <c:ser>
          <c:idx val="6"/>
          <c:order val="6"/>
          <c:tx>
            <c:strRef>
              <c:f>'GRAF3.2-9'!$H$3</c:f>
              <c:strCache>
                <c:ptCount val="1"/>
                <c:pt idx="0">
                  <c:v>Zadal vývoj vysoké škole  nebo výzkumné instituci</c:v>
                </c:pt>
              </c:strCache>
            </c:strRef>
          </c:tx>
          <c:spPr>
            <a:solidFill>
              <a:schemeClr val="accent5">
                <a:tint val="4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'GRAF3.2-9'!$A$4:$A$9</c:f>
              <c:strCache>
                <c:ptCount val="6"/>
                <c:pt idx="0">
                  <c:v>ČR</c:v>
                </c:pt>
                <c:pt idx="1">
                  <c:v>malé </c:v>
                </c:pt>
                <c:pt idx="2">
                  <c:v>střední  </c:v>
                </c:pt>
                <c:pt idx="3">
                  <c:v>velké  </c:v>
                </c:pt>
                <c:pt idx="4">
                  <c:v>domácí podniky</c:v>
                </c:pt>
                <c:pt idx="5">
                  <c:v>zahraniční afilace</c:v>
                </c:pt>
              </c:strCache>
            </c:strRef>
          </c:cat>
          <c:val>
            <c:numRef>
              <c:f>'GRAF3.2-9'!$H$4:$H$9</c:f>
              <c:numCache>
                <c:formatCode>0.0%</c:formatCode>
                <c:ptCount val="6"/>
                <c:pt idx="0">
                  <c:v>2.6727705411984101E-2</c:v>
                </c:pt>
                <c:pt idx="1">
                  <c:v>1.7777204195721399E-2</c:v>
                </c:pt>
                <c:pt idx="2">
                  <c:v>2.2959903954970901E-2</c:v>
                </c:pt>
                <c:pt idx="3">
                  <c:v>7.6788678710340202E-2</c:v>
                </c:pt>
                <c:pt idx="4">
                  <c:v>2.76331664371533E-2</c:v>
                </c:pt>
                <c:pt idx="5">
                  <c:v>2.4367077962487899E-2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B8-4145-A2CD-AF8333FDD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287072"/>
        <c:axId val="655288384"/>
      </c:barChart>
      <c:catAx>
        <c:axId val="6552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55288384"/>
        <c:crosses val="autoZero"/>
        <c:auto val="1"/>
        <c:lblAlgn val="ctr"/>
        <c:lblOffset val="100"/>
        <c:noMultiLvlLbl val="0"/>
      </c:catAx>
      <c:valAx>
        <c:axId val="65528838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5528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EC5D-00BC-4670-A349-986AADE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642</TotalTime>
  <Pages>20</Pages>
  <Words>6012</Words>
  <Characters>35477</Characters>
  <Application>Microsoft Office Word</Application>
  <DocSecurity>0</DocSecurity>
  <Lines>295</Lines>
  <Paragraphs>82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116</cp:revision>
  <cp:lastPrinted>2018-06-04T12:34:00Z</cp:lastPrinted>
  <dcterms:created xsi:type="dcterms:W3CDTF">2018-06-02T19:28:00Z</dcterms:created>
  <dcterms:modified xsi:type="dcterms:W3CDTF">2018-06-05T09:22:00Z</dcterms:modified>
</cp:coreProperties>
</file>