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64650C" w:rsidRDefault="004A6501" w:rsidP="00554481">
      <w:pPr>
        <w:spacing w:after="120"/>
        <w:jc w:val="center"/>
        <w:rPr>
          <w:rFonts w:ascii="Arial" w:hAnsi="Arial" w:cs="Arial"/>
          <w:b/>
          <w:bCs/>
          <w:sz w:val="20"/>
          <w:szCs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33.75pt">
            <v:imagedata r:id="rId9" o:title=""/>
          </v:shape>
        </w:pict>
      </w:r>
    </w:p>
    <w:p w:rsidR="00F03E13" w:rsidRPr="006A3D8E" w:rsidRDefault="00F03E13"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 xml:space="preserve">Orientační hodnota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lastRenderedPageBreak/>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lastRenderedPageBreak/>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 </w:t>
      </w:r>
      <w:r w:rsidRPr="00F96E11">
        <w:rPr>
          <w:rFonts w:cs="Arial"/>
          <w:bCs/>
        </w:rPr>
        <w:t>jsou od ledna 2018 počítány na nových váhových schématech odvozených z tržeb zprůměrovaných za roky 2014, 2015 a 2016. Indexy jsou počítány k novému cenovému základu průměr roku 2015 = 100.</w:t>
      </w:r>
    </w:p>
    <w:p w:rsidR="00B73E2E" w:rsidRDefault="00B73E2E" w:rsidP="006A3D8E">
      <w:pPr>
        <w:pStyle w:val="Rbntext"/>
        <w:spacing w:before="0" w:after="120"/>
        <w:rPr>
          <w:rFonts w:cs="Arial"/>
        </w:rPr>
      </w:pPr>
      <w:r w:rsidRPr="00EB372D">
        <w:rPr>
          <w:rFonts w:cs="Arial"/>
          <w:b/>
          <w:bCs/>
        </w:rPr>
        <w:t xml:space="preserve">Indexy cen průmyslových výrobců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Pr>
          <w:rFonts w:cs="Arial"/>
          <w:color w:val="000000"/>
        </w:rPr>
        <w:t xml:space="preserve"> </w:t>
      </w:r>
      <w:r w:rsidR="00A34793">
        <w:rPr>
          <w:rFonts w:cs="Arial"/>
          <w:color w:val="000000"/>
        </w:rPr>
        <w:t>= 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4170D2" w:rsidRPr="00BE642F" w:rsidRDefault="004170D2" w:rsidP="004170D2">
      <w:pPr>
        <w:pStyle w:val="Rbntext"/>
        <w:spacing w:before="0" w:line="228" w:lineRule="auto"/>
        <w:rPr>
          <w:rFonts w:cs="Arial"/>
          <w:b/>
          <w:bCs/>
          <w:sz w:val="24"/>
          <w:szCs w:val="24"/>
        </w:rPr>
      </w:pPr>
      <w:r>
        <w:rPr>
          <w:rFonts w:cs="Arial"/>
          <w:b/>
          <w:bCs/>
          <w:sz w:val="24"/>
          <w:szCs w:val="24"/>
        </w:rPr>
        <w:lastRenderedPageBreak/>
        <w:t>PRACOVNÍ</w:t>
      </w:r>
      <w:r w:rsidRPr="00BE642F">
        <w:rPr>
          <w:rFonts w:cs="Arial"/>
          <w:b/>
          <w:bCs/>
          <w:sz w:val="24"/>
          <w:szCs w:val="24"/>
        </w:rPr>
        <w:t xml:space="preserve"> NESCHOPNOST</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4170D2" w:rsidRPr="0076316A" w:rsidRDefault="004170D2" w:rsidP="004170D2">
      <w:pPr>
        <w:spacing w:before="120" w:after="120"/>
        <w:jc w:val="both"/>
        <w:rPr>
          <w:rFonts w:ascii="Arial" w:hAnsi="Arial" w:cs="Arial"/>
          <w:sz w:val="20"/>
          <w:szCs w:val="20"/>
        </w:rPr>
      </w:pPr>
    </w:p>
    <w:p w:rsidR="004170D2" w:rsidRPr="0076316A" w:rsidRDefault="004170D2" w:rsidP="004170D2">
      <w:pPr>
        <w:pStyle w:val="Zkladntextodsazen"/>
        <w:spacing w:before="120" w:after="120"/>
        <w:ind w:firstLine="0"/>
        <w:jc w:val="left"/>
        <w:rPr>
          <w:rFonts w:cs="Arial"/>
        </w:rPr>
      </w:pPr>
      <w:r w:rsidRPr="0076316A">
        <w:rPr>
          <w:rFonts w:cs="Arial"/>
          <w:b/>
        </w:rPr>
        <w:t>Způsob výpočtu relativních ukazatelů:</w:t>
      </w:r>
    </w:p>
    <w:p w:rsidR="004170D2" w:rsidRPr="0076316A" w:rsidRDefault="004170D2" w:rsidP="004170D2">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4170D2" w:rsidRPr="0076316A" w:rsidRDefault="004170D2" w:rsidP="004170D2">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4170D2" w:rsidRPr="0076316A" w:rsidRDefault="004170D2" w:rsidP="004170D2">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4170D2" w:rsidRPr="00EF3F7E" w:rsidRDefault="004170D2" w:rsidP="004170D2">
      <w:pPr>
        <w:pStyle w:val="Zkladntextodsazen"/>
        <w:spacing w:before="120" w:after="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p>
    <w:p w:rsidR="00331C29" w:rsidRPr="00331C29" w:rsidRDefault="00331C29" w:rsidP="00331C29">
      <w:pPr>
        <w:pStyle w:val="Nadpis8"/>
        <w:spacing w:before="40" w:after="120" w:line="233" w:lineRule="auto"/>
        <w:rPr>
          <w:rStyle w:val="Siln"/>
          <w:rFonts w:cs="Arial"/>
          <w:b/>
          <w:szCs w:val="24"/>
        </w:rPr>
      </w:pPr>
      <w:r w:rsidRPr="00331C29">
        <w:rPr>
          <w:rStyle w:val="Siln"/>
          <w:rFonts w:cs="Arial"/>
          <w:b/>
          <w:szCs w:val="24"/>
        </w:rPr>
        <w:t>ŽIVOTNÍ PODMÍNKY</w:t>
      </w:r>
    </w:p>
    <w:p w:rsidR="00331C29" w:rsidRPr="00331C29" w:rsidRDefault="00331C29" w:rsidP="00331C29">
      <w:pPr>
        <w:pStyle w:val="Rtextmetodika"/>
        <w:spacing w:before="120"/>
        <w:rPr>
          <w:rFonts w:cs="Arial"/>
          <w:sz w:val="20"/>
        </w:rPr>
      </w:pPr>
      <w:r w:rsidRPr="00331C29">
        <w:rPr>
          <w:rFonts w:cs="Arial"/>
          <w:sz w:val="20"/>
        </w:rPr>
        <w:t>Na základě členství v Evropské unii provedl Český statistický úřad další ročník výběrového šetření EU-SILC o příjmech a životních podmínkách domácností pod názvem „</w:t>
      </w:r>
      <w:r w:rsidRPr="00331C29">
        <w:rPr>
          <w:rFonts w:cs="Arial"/>
          <w:b/>
          <w:bCs/>
          <w:sz w:val="20"/>
        </w:rPr>
        <w:t>Životní podmínky 2017</w:t>
      </w:r>
      <w:r w:rsidRPr="00331C29">
        <w:rPr>
          <w:rFonts w:cs="Arial"/>
          <w:sz w:val="20"/>
        </w:rPr>
        <w:t>“. Cílem tohoto šetření je dlouhodobě získávat srovnatelná data o sociální situaci domácností, která jsou díky jednotné metodice porovnatelná i s dalšími zeměmi EU.</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331C29">
        <w:rPr>
          <w:rFonts w:ascii="Arial" w:hAnsi="Arial" w:cs="Arial"/>
          <w:b/>
          <w:bCs/>
          <w:sz w:val="20"/>
          <w:szCs w:val="20"/>
        </w:rPr>
        <w:t xml:space="preserve"> Při interpretaci výsledků šetření je třeba mít na paměti, že vznikly zpracováním dat získaných z výběrového šetření a jsou zatíženy určitou statistickou chybou (výběrovou i nevýběrovou).</w:t>
      </w:r>
      <w:r w:rsidRPr="00331C29">
        <w:rPr>
          <w:rFonts w:ascii="Arial" w:hAnsi="Arial" w:cs="Arial"/>
          <w:sz w:val="20"/>
          <w:szCs w:val="20"/>
        </w:rPr>
        <w:t xml:space="preserve"> </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Do šetření byly zahrnuty všechny osoby, které v době š</w:t>
      </w:r>
      <w:bookmarkStart w:id="0" w:name="_GoBack"/>
      <w:bookmarkEnd w:id="0"/>
      <w:r w:rsidRPr="00331C29">
        <w:rPr>
          <w:rFonts w:ascii="Arial" w:hAnsi="Arial" w:cs="Arial"/>
          <w:sz w:val="20"/>
          <w:szCs w:val="20"/>
        </w:rPr>
        <w:t xml:space="preserve">etření měly ve vybraném bytě obvyklé bydliště, a to včetně osob dočasně nepřítomných. Toto se vztahovalo i na cizí státní příslušníky a podnájemníky. </w:t>
      </w:r>
      <w:r w:rsidRPr="00331C29">
        <w:rPr>
          <w:rFonts w:ascii="Arial" w:hAnsi="Arial" w:cs="Arial"/>
          <w:b/>
          <w:bCs/>
          <w:sz w:val="20"/>
          <w:szCs w:val="20"/>
        </w:rPr>
        <w:t>Hospodařící domácnost</w:t>
      </w:r>
      <w:r w:rsidRPr="00331C29">
        <w:rPr>
          <w:rFonts w:ascii="Arial" w:hAnsi="Arial" w:cs="Arial"/>
          <w:sz w:val="20"/>
          <w:szCs w:val="20"/>
        </w:rPr>
        <w:t xml:space="preserve"> tvoří jedinec nebo skupina osob, které spolu trvale žijí a společně hradí základní a provozní výdaje domácnosti. </w:t>
      </w:r>
      <w:r w:rsidRPr="00331C29">
        <w:rPr>
          <w:rFonts w:ascii="Arial" w:hAnsi="Arial" w:cs="Arial"/>
          <w:b/>
          <w:bCs/>
          <w:sz w:val="20"/>
          <w:szCs w:val="20"/>
        </w:rPr>
        <w:t>Příjmy osob a domácností</w:t>
      </w:r>
      <w:r w:rsidRPr="00331C29">
        <w:rPr>
          <w:rFonts w:ascii="Arial" w:hAnsi="Arial" w:cs="Arial"/>
          <w:sz w:val="20"/>
          <w:szCs w:val="20"/>
        </w:rPr>
        <w:t xml:space="preserve"> jsou zjišťovány vždy za kalendářní rok předcházející šetření (2016).</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Podrobné výsledky šetření, metodika a tabulky s odhady 95% intervalu spolehlivosti, jsou uvedeny ve zdrojové publikaci „</w:t>
      </w:r>
      <w:hyperlink r:id="rId10" w:history="1">
        <w:r w:rsidRPr="004A6501">
          <w:rPr>
            <w:rStyle w:val="Hypertextovodkaz"/>
            <w:rFonts w:ascii="Arial" w:hAnsi="Arial" w:cs="Arial"/>
            <w:b/>
            <w:bCs/>
            <w:color w:val="auto"/>
            <w:sz w:val="20"/>
            <w:szCs w:val="20"/>
          </w:rPr>
          <w:t>Příjmy a životní podmínky domácností v roce 2017</w:t>
        </w:r>
      </w:hyperlink>
      <w:r w:rsidRPr="00331C29">
        <w:rPr>
          <w:rFonts w:ascii="Arial" w:hAnsi="Arial" w:cs="Arial"/>
          <w:sz w:val="20"/>
          <w:szCs w:val="20"/>
        </w:rPr>
        <w:t>“, která je dostupná na internetových stránkách ČSÚ.</w:t>
      </w:r>
    </w:p>
    <w:p w:rsidR="004170D2" w:rsidRDefault="004170D2" w:rsidP="00331C29">
      <w:pPr>
        <w:pStyle w:val="Rbntext"/>
        <w:spacing w:after="120"/>
        <w:rPr>
          <w:rFonts w:cs="Arial"/>
          <w:szCs w:val="18"/>
        </w:rPr>
      </w:pP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lastRenderedPageBreak/>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4A6501">
      <w:rPr>
        <w:rStyle w:val="slostrnky"/>
        <w:noProof/>
      </w:rPr>
      <w:t>7</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A6501"/>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rn2to6gtkz"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A72E-6FA5-42C9-A49C-6D563DB7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4154</Words>
  <Characters>24510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28607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Ondřej Beneš</cp:lastModifiedBy>
  <cp:revision>10</cp:revision>
  <cp:lastPrinted>2018-06-22T14:46:00Z</cp:lastPrinted>
  <dcterms:created xsi:type="dcterms:W3CDTF">2018-06-20T15:35:00Z</dcterms:created>
  <dcterms:modified xsi:type="dcterms:W3CDTF">2018-09-27T11:04:00Z</dcterms:modified>
</cp:coreProperties>
</file>