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B5" w:rsidRPr="004B49B5" w:rsidRDefault="004B49B5" w:rsidP="00D24863">
      <w:pPr>
        <w:tabs>
          <w:tab w:val="center" w:pos="426"/>
        </w:tabs>
      </w:pPr>
    </w:p>
    <w:p w:rsidR="00A0255A" w:rsidRDefault="00A0255A" w:rsidP="00D24863">
      <w:pPr>
        <w:pStyle w:val="Nadpis4"/>
        <w:tabs>
          <w:tab w:val="clear" w:pos="708"/>
          <w:tab w:val="clear" w:pos="1416"/>
          <w:tab w:val="clear" w:pos="2124"/>
          <w:tab w:val="left" w:pos="142"/>
          <w:tab w:val="center" w:pos="426"/>
          <w:tab w:val="left" w:pos="709"/>
          <w:tab w:val="left" w:pos="1418"/>
          <w:tab w:val="left" w:pos="2126"/>
        </w:tabs>
        <w:jc w:val="left"/>
        <w:rPr>
          <w:rFonts w:cs="Arial"/>
        </w:rPr>
      </w:pPr>
      <w:r>
        <w:rPr>
          <w:rFonts w:cs="Arial"/>
        </w:rPr>
        <w:t>Metodické vysvětlivky</w:t>
      </w:r>
    </w:p>
    <w:p w:rsidR="00610AEC" w:rsidRPr="00610AEC" w:rsidRDefault="00610AEC" w:rsidP="00D24863">
      <w:pPr>
        <w:tabs>
          <w:tab w:val="center" w:pos="426"/>
        </w:tabs>
      </w:pPr>
    </w:p>
    <w:p w:rsidR="00610AEC" w:rsidRPr="00610AEC" w:rsidRDefault="00610AEC" w:rsidP="00D24863">
      <w:pPr>
        <w:tabs>
          <w:tab w:val="center" w:pos="426"/>
        </w:tabs>
      </w:pPr>
    </w:p>
    <w:p w:rsidR="00A0255A" w:rsidRDefault="00A83F9E"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426"/>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w:t>
      </w:r>
      <w:r w:rsidR="005F2066">
        <w:rPr>
          <w:rFonts w:ascii="Arial" w:hAnsi="Arial" w:cs="Arial"/>
          <w:szCs w:val="24"/>
        </w:rPr>
        <w:t>odvětví finančního</w:t>
      </w:r>
      <w:r w:rsidR="00A0255A">
        <w:rPr>
          <w:rFonts w:ascii="Arial" w:hAnsi="Arial" w:cs="Arial"/>
          <w:szCs w:val="24"/>
        </w:rPr>
        <w:t xml:space="preserve">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kace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rsidP="00D24863">
      <w:pPr>
        <w:pStyle w:val="Zkladntextodsazen"/>
        <w:tabs>
          <w:tab w:val="center" w:pos="426"/>
        </w:tabs>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D24863">
      <w:pPr>
        <w:pStyle w:val="Zkladntextodsazen"/>
        <w:tabs>
          <w:tab w:val="center" w:pos="426"/>
        </w:tabs>
        <w:spacing w:before="120"/>
        <w:ind w:left="426" w:firstLine="0"/>
        <w:jc w:val="both"/>
        <w:rPr>
          <w:rFonts w:ascii="Arial" w:hAnsi="Arial" w:cs="Arial"/>
          <w:sz w:val="20"/>
          <w:szCs w:val="20"/>
        </w:rPr>
      </w:pPr>
      <w:r>
        <w:rPr>
          <w:rFonts w:ascii="Arial" w:hAnsi="Arial" w:cs="Arial"/>
          <w:b/>
          <w:bCs/>
          <w:sz w:val="20"/>
          <w:szCs w:val="20"/>
        </w:rPr>
        <w:t xml:space="preserve">Pen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w:t>
      </w:r>
      <w:r w:rsidR="00794AF2">
        <w:rPr>
          <w:rFonts w:ascii="Arial" w:hAnsi="Arial" w:cs="Arial"/>
          <w:sz w:val="20"/>
          <w:szCs w:val="20"/>
        </w:rPr>
        <w:t>(</w:t>
      </w:r>
      <w:r w:rsidR="00595710">
        <w:rPr>
          <w:rFonts w:ascii="Arial" w:hAnsi="Arial" w:cs="Arial"/>
          <w:sz w:val="20"/>
          <w:szCs w:val="20"/>
        </w:rPr>
        <w:t>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w:t>
      </w:r>
      <w:r w:rsidR="009A693E">
        <w:rPr>
          <w:rFonts w:ascii="Arial" w:hAnsi="Arial" w:cs="Arial"/>
          <w:sz w:val="20"/>
          <w:szCs w:val="20"/>
        </w:rPr>
        <w:br/>
      </w:r>
      <w:r>
        <w:rPr>
          <w:rFonts w:ascii="Arial" w:hAnsi="Arial" w:cs="Arial"/>
          <w:sz w:val="20"/>
          <w:szCs w:val="20"/>
        </w:rPr>
        <w:t xml:space="preserve">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a zároveň účtující jako banky tedy investiční společnosti a jimi spravované fondy, a licencov</w:t>
      </w:r>
      <w:r w:rsidR="006A2B97">
        <w:rPr>
          <w:rFonts w:ascii="Arial" w:hAnsi="Arial" w:cs="Arial"/>
          <w:sz w:val="20"/>
          <w:szCs w:val="20"/>
        </w:rPr>
        <w:t>aní obchodní</w:t>
      </w:r>
      <w:r w:rsidR="0084300B">
        <w:rPr>
          <w:rFonts w:ascii="Arial" w:hAnsi="Arial" w:cs="Arial"/>
          <w:sz w:val="20"/>
          <w:szCs w:val="20"/>
        </w:rPr>
        <w:t xml:space="preserve">ci s </w:t>
      </w:r>
      <w:r w:rsidR="007D09F8">
        <w:rPr>
          <w:rFonts w:ascii="Arial" w:hAnsi="Arial" w:cs="Arial"/>
          <w:sz w:val="20"/>
          <w:szCs w:val="20"/>
        </w:rPr>
        <w:t xml:space="preserve">cennými papíry, pojišťovny (CZ-NACE </w:t>
      </w:r>
      <w:r w:rsidR="0084300B">
        <w:rPr>
          <w:rFonts w:ascii="Arial" w:hAnsi="Arial" w:cs="Arial"/>
          <w:sz w:val="20"/>
          <w:szCs w:val="20"/>
        </w:rPr>
        <w:t>6</w:t>
      </w:r>
      <w:r w:rsidR="007D09F8">
        <w:rPr>
          <w:rFonts w:ascii="Arial" w:hAnsi="Arial" w:cs="Arial"/>
          <w:sz w:val="20"/>
          <w:szCs w:val="20"/>
        </w:rPr>
        <w:t>5.11 a</w:t>
      </w:r>
      <w:r w:rsidR="009A693E">
        <w:rPr>
          <w:rFonts w:ascii="Arial" w:hAnsi="Arial" w:cs="Arial"/>
          <w:sz w:val="20"/>
          <w:szCs w:val="20"/>
        </w:rPr>
        <w:t xml:space="preserve"> </w:t>
      </w:r>
      <w:r w:rsidR="007D09F8">
        <w:rPr>
          <w:rFonts w:ascii="Arial" w:hAnsi="Arial" w:cs="Arial"/>
          <w:sz w:val="20"/>
          <w:szCs w:val="20"/>
        </w:rPr>
        <w:t xml:space="preserve">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jc w:val="both"/>
        <w:rPr>
          <w:rFonts w:ascii="Arial" w:hAnsi="Arial" w:cs="Arial"/>
          <w:b/>
          <w:bCs/>
          <w:szCs w:val="24"/>
        </w:rPr>
      </w:pPr>
      <w:r>
        <w:rPr>
          <w:rFonts w:ascii="Arial" w:hAnsi="Arial" w:cs="Arial"/>
          <w:b/>
          <w:bCs/>
        </w:rPr>
        <w:t>Pen 3c-04</w:t>
      </w:r>
      <w:r>
        <w:rPr>
          <w:rFonts w:ascii="Arial" w:hAnsi="Arial" w:cs="Arial"/>
        </w:rPr>
        <w:t xml:space="preserve"> – výkaznickou povinnost k tomuto výkazu mají ekonomické subjekty zapsané </w:t>
      </w:r>
      <w:r w:rsidR="00184D1F">
        <w:rPr>
          <w:rFonts w:ascii="Arial" w:hAnsi="Arial" w:cs="Arial"/>
        </w:rPr>
        <w:br/>
      </w:r>
      <w:r>
        <w:rPr>
          <w:rFonts w:ascii="Arial" w:hAnsi="Arial" w:cs="Arial"/>
        </w:rPr>
        <w:t xml:space="preserve">do obchodního rejstříku a spadající podle převažující činnosti do skupiny </w:t>
      </w:r>
      <w:r w:rsidR="00F8770A">
        <w:rPr>
          <w:rFonts w:ascii="Arial" w:hAnsi="Arial" w:cs="Arial"/>
        </w:rPr>
        <w:t>CZ-NACE 64.2, 64.3, 64.9, 66</w:t>
      </w:r>
      <w:r w:rsidR="0084300B">
        <w:rPr>
          <w:rFonts w:ascii="Arial" w:hAnsi="Arial" w:cs="Arial"/>
        </w:rPr>
        <w:t xml:space="preserve"> </w:t>
      </w:r>
      <w:r>
        <w:rPr>
          <w:rFonts w:ascii="Arial" w:hAnsi="Arial" w:cs="Arial"/>
        </w:rPr>
        <w:t>a zároveň účtující jako podnikatelé, tj. finanční leasingové společnosti, zastavárny, faktoringové společnosti, burzy, směnárny a pojišťovací zprostředkovatelé</w:t>
      </w:r>
      <w:r w:rsidR="00782C99">
        <w:rPr>
          <w:rFonts w:ascii="Arial" w:hAnsi="Arial" w:cs="Arial"/>
        </w:rPr>
        <w:t>.</w:t>
      </w:r>
    </w:p>
    <w:p w:rsidR="007D09F8" w:rsidRDefault="007D09F8"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matematicko-statistických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w:t>
      </w:r>
      <w:r w:rsidR="00184D1F">
        <w:rPr>
          <w:rFonts w:ascii="Arial" w:hAnsi="Arial" w:cs="Arial"/>
          <w:szCs w:val="24"/>
        </w:rPr>
        <w:br/>
      </w:r>
      <w:r>
        <w:rPr>
          <w:rFonts w:ascii="Arial" w:hAnsi="Arial" w:cs="Arial"/>
          <w:szCs w:val="24"/>
        </w:rPr>
        <w:t xml:space="preserve">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rsidP="00D24863">
      <w:pPr>
        <w:pStyle w:val="Zkladntext2"/>
        <w:tabs>
          <w:tab w:val="center" w:pos="426"/>
        </w:tabs>
        <w:ind w:firstLine="426"/>
        <w:rPr>
          <w:b/>
          <w:bCs/>
          <w:i/>
          <w:iCs/>
          <w:sz w:val="28"/>
        </w:rPr>
      </w:pPr>
      <w:r>
        <w:t>Souhrnná tabulka za odvětví finančního zprostředkování má pořadové číslo 1. Ukazatele bank jsou zařazeny v tabulkách 2 až 4, ukazatele nebankovních peněžních institucí v tabulkách 5 až 7,</w:t>
      </w:r>
      <w:r w:rsidR="00B14DA2">
        <w:br/>
      </w:r>
      <w:r>
        <w:t xml:space="preserve"> ukazatele investičních</w:t>
      </w:r>
      <w:r w:rsidR="002A3787">
        <w:t xml:space="preserve"> společností a fondů v </w:t>
      </w:r>
      <w:r w:rsidR="003D2801">
        <w:t>tabulce</w:t>
      </w:r>
      <w:r>
        <w:t xml:space="preserve"> 8, ukazatele finanč</w:t>
      </w:r>
      <w:r w:rsidR="002A3787">
        <w:t xml:space="preserve">ních leasingových společností v </w:t>
      </w:r>
      <w:r>
        <w:t xml:space="preserve">tabulkách </w:t>
      </w:r>
      <w:r w:rsidR="003D2801">
        <w:t>9 až 11</w:t>
      </w:r>
      <w:r>
        <w:t>, ukazatele p</w:t>
      </w:r>
      <w:r w:rsidR="002A3787">
        <w:t xml:space="preserve">ojišťoven v </w:t>
      </w:r>
      <w:r w:rsidR="003D2801">
        <w:t>tabulkách 12 až 16</w:t>
      </w:r>
      <w:r w:rsidR="00EC64B1">
        <w:t xml:space="preserve"> a </w:t>
      </w:r>
      <w:r>
        <w:t xml:space="preserve">ukazatele penzijních </w:t>
      </w:r>
      <w:r w:rsidR="003C08A3">
        <w:t>společností/</w:t>
      </w:r>
      <w:r>
        <w:t>fondů jsou v tabul</w:t>
      </w:r>
      <w:r w:rsidR="003D2801">
        <w:t>kách 17 až 20</w:t>
      </w:r>
      <w:r>
        <w:t>.</w:t>
      </w:r>
    </w:p>
    <w:p w:rsidR="00A0255A" w:rsidRDefault="00A0255A" w:rsidP="00D24863">
      <w:pPr>
        <w:pStyle w:val="Zkladntextodsazen"/>
        <w:numPr>
          <w:ilvl w:val="0"/>
          <w:numId w:val="16"/>
        </w:numPr>
        <w:tabs>
          <w:tab w:val="center" w:pos="426"/>
        </w:tabs>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rsidP="00D24863">
      <w:pPr>
        <w:pStyle w:val="Zkladntextodsazen"/>
        <w:numPr>
          <w:ilvl w:val="0"/>
          <w:numId w:val="16"/>
        </w:numPr>
        <w:tabs>
          <w:tab w:val="center" w:pos="426"/>
        </w:tabs>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Pr="00EA555E" w:rsidRDefault="00A0255A" w:rsidP="00D24863">
      <w:pPr>
        <w:pStyle w:val="Zkladntextodsazen"/>
        <w:numPr>
          <w:ilvl w:val="0"/>
          <w:numId w:val="16"/>
        </w:numPr>
        <w:tabs>
          <w:tab w:val="center" w:pos="426"/>
        </w:tabs>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w:t>
      </w:r>
      <w:r w:rsidR="002A3787">
        <w:rPr>
          <w:rFonts w:ascii="Arial" w:hAnsi="Arial" w:cs="Arial"/>
          <w:sz w:val="20"/>
          <w:szCs w:val="20"/>
        </w:rPr>
        <w:t xml:space="preserve"> jestliže příslušný údaj není k </w:t>
      </w:r>
      <w:r>
        <w:rPr>
          <w:rFonts w:ascii="Arial" w:hAnsi="Arial" w:cs="Arial"/>
          <w:sz w:val="20"/>
          <w:szCs w:val="20"/>
        </w:rPr>
        <w:t xml:space="preserve">dispozici resp. </w:t>
      </w:r>
      <w:r w:rsidR="0020523A">
        <w:rPr>
          <w:rFonts w:ascii="Arial" w:hAnsi="Arial" w:cs="Arial"/>
          <w:sz w:val="20"/>
          <w:szCs w:val="20"/>
        </w:rPr>
        <w:t>je nespo</w:t>
      </w:r>
      <w:r w:rsidR="000A0013">
        <w:rPr>
          <w:rFonts w:ascii="Arial" w:hAnsi="Arial" w:cs="Arial"/>
          <w:sz w:val="20"/>
          <w:szCs w:val="20"/>
        </w:rPr>
        <w:t>lehlivý</w:t>
      </w:r>
      <w:r w:rsidR="0020523A">
        <w:rPr>
          <w:rFonts w:ascii="Arial" w:hAnsi="Arial" w:cs="Arial"/>
          <w:sz w:val="20"/>
          <w:szCs w:val="20"/>
        </w:rPr>
        <w:t xml:space="preserve">, nebo </w:t>
      </w:r>
      <w:r w:rsidR="002A3787">
        <w:rPr>
          <w:rFonts w:ascii="Arial" w:hAnsi="Arial" w:cs="Arial"/>
          <w:sz w:val="20"/>
          <w:szCs w:val="20"/>
        </w:rPr>
        <w:t xml:space="preserve">se v </w:t>
      </w:r>
      <w:r>
        <w:rPr>
          <w:rFonts w:ascii="Arial" w:hAnsi="Arial" w:cs="Arial"/>
          <w:sz w:val="20"/>
          <w:szCs w:val="20"/>
        </w:rPr>
        <w:t xml:space="preserve">příslušné kategorii nebo subkategorii vyskytuje nižší počet jednotek, než odpovídá podmínkám </w:t>
      </w:r>
      <w:r w:rsidR="00B14DA2">
        <w:rPr>
          <w:rFonts w:ascii="Arial" w:hAnsi="Arial" w:cs="Arial"/>
          <w:sz w:val="20"/>
          <w:szCs w:val="20"/>
        </w:rPr>
        <w:br/>
      </w:r>
      <w:r>
        <w:rPr>
          <w:rFonts w:ascii="Arial" w:hAnsi="Arial" w:cs="Arial"/>
          <w:sz w:val="20"/>
          <w:szCs w:val="20"/>
        </w:rPr>
        <w:t>pro poskytování statistických informací</w:t>
      </w:r>
    </w:p>
    <w:p w:rsidR="00A0255A" w:rsidRDefault="00A0255A" w:rsidP="00D24863">
      <w:pPr>
        <w:numPr>
          <w:ilvl w:val="0"/>
          <w:numId w:val="16"/>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r>
        <w:rPr>
          <w:rFonts w:ascii="Arial" w:hAnsi="Arial" w:cs="Arial"/>
          <w:i/>
          <w:iCs/>
        </w:rPr>
        <w:t>znak ( x )</w:t>
      </w:r>
      <w:r w:rsidR="002A3787">
        <w:rPr>
          <w:rFonts w:ascii="Arial" w:hAnsi="Arial" w:cs="Arial"/>
        </w:rPr>
        <w:t xml:space="preserve"> – údaj se nemůže vyskytnout z logických důvodů (např. v indexu, pro který v </w:t>
      </w:r>
      <w:r>
        <w:rPr>
          <w:rFonts w:ascii="Arial" w:hAnsi="Arial" w:cs="Arial"/>
        </w:rPr>
        <w:t>základním období hodnota dosahov</w:t>
      </w:r>
      <w:r w:rsidR="002A3787">
        <w:rPr>
          <w:rFonts w:ascii="Arial" w:hAnsi="Arial" w:cs="Arial"/>
        </w:rPr>
        <w:t xml:space="preserve">ala „0“ nebo se vyskytl údaj se </w:t>
      </w:r>
      <w:r>
        <w:rPr>
          <w:rFonts w:ascii="Arial" w:hAnsi="Arial" w:cs="Arial"/>
        </w:rPr>
        <w:t>záporným znaménkem, případně index byl vyšší než 999,9)</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3A5F06"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činné (podnikatelé, živnostníci, svobodná povolání), nezapsané v obchodním rejstříku.</w:t>
      </w:r>
    </w:p>
    <w:p w:rsidR="00267B87" w:rsidRPr="003A5F06" w:rsidRDefault="003A5F06" w:rsidP="00D24863">
      <w:pPr>
        <w:tabs>
          <w:tab w:val="center" w:pos="426"/>
        </w:tabs>
      </w:pPr>
      <w:r>
        <w:br w:type="page"/>
      </w:r>
    </w:p>
    <w:p w:rsidR="000F6A11" w:rsidRDefault="000F6A11"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t xml:space="preserve">Finanční zprostředkování celkem </w:t>
      </w:r>
    </w:p>
    <w:p w:rsidR="00D21556" w:rsidRDefault="00D21556"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rsidP="00D24863">
      <w:pPr>
        <w:pStyle w:val="Nadpis7"/>
        <w:tabs>
          <w:tab w:val="center" w:pos="426"/>
        </w:tabs>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Default="00903CD0" w:rsidP="00D24863">
      <w:pPr>
        <w:tabs>
          <w:tab w:val="center" w:pos="426"/>
        </w:tabs>
      </w:pPr>
    </w:p>
    <w:p w:rsidR="00267B87" w:rsidRPr="00903CD0" w:rsidRDefault="00267B87" w:rsidP="00D24863">
      <w:pPr>
        <w:tabs>
          <w:tab w:val="center" w:pos="426"/>
        </w:tabs>
      </w:pPr>
    </w:p>
    <w:p w:rsidR="00A0255A" w:rsidRDefault="00A0255A" w:rsidP="00D24863">
      <w:pPr>
        <w:pStyle w:val="Nadpis6"/>
        <w:tabs>
          <w:tab w:val="center" w:pos="426"/>
        </w:tabs>
      </w:pPr>
      <w:r>
        <w:t>Zaměstnanci, mzdy</w:t>
      </w:r>
    </w:p>
    <w:p w:rsidR="0091286A" w:rsidRPr="0091286A" w:rsidRDefault="0091286A" w:rsidP="00D24863">
      <w:pPr>
        <w:tabs>
          <w:tab w:val="center" w:pos="426"/>
        </w:tabs>
      </w:pPr>
    </w:p>
    <w:p w:rsidR="00610AEC" w:rsidRPr="00610AEC" w:rsidRDefault="00610AEC" w:rsidP="00D24863">
      <w:pPr>
        <w:tabs>
          <w:tab w:val="center" w:pos="426"/>
        </w:tabs>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w:t>
      </w:r>
      <w:r w:rsidR="00B14DA2">
        <w:rPr>
          <w:rFonts w:ascii="Arial" w:hAnsi="Arial" w:cs="Arial"/>
          <w:szCs w:val="24"/>
        </w:rPr>
        <w:br/>
      </w:r>
      <w:r>
        <w:rPr>
          <w:rFonts w:ascii="Arial" w:hAnsi="Arial" w:cs="Arial"/>
          <w:szCs w:val="24"/>
        </w:rPr>
        <w:t xml:space="preserve">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Průměrný evidenční počet zaměstnanců ve fyzických osobách se vypočítává jako aritmetický průměr průměrného počtu zaměstnanců za jednotlivé měsíce. Přepočet na plně zaměstnané </w:t>
      </w:r>
      <w:r w:rsidR="00B14DA2">
        <w:rPr>
          <w:rFonts w:ascii="Arial" w:hAnsi="Arial" w:cs="Arial"/>
          <w:szCs w:val="24"/>
        </w:rPr>
        <w:br/>
      </w:r>
      <w:bookmarkStart w:id="0" w:name="_GoBack"/>
      <w:bookmarkEnd w:id="0"/>
      <w:r>
        <w:rPr>
          <w:rFonts w:ascii="Arial" w:hAnsi="Arial" w:cs="Arial"/>
          <w:szCs w:val="24"/>
        </w:rPr>
        <w:t>se provede u zaměstnanců s kratší pracovní dobou vykonávající práci jen příležitostně na výzvu a dle potřeb zaměstnavatele nebo vykonávající vedlejší činnost v souběžném pracovním poměru.</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w:t>
      </w:r>
      <w:r w:rsidR="00BC12B5">
        <w:rPr>
          <w:rFonts w:ascii="Arial" w:hAnsi="Arial" w:cs="Arial"/>
          <w:szCs w:val="24"/>
        </w:rPr>
        <w:br/>
      </w:r>
      <w:r>
        <w:rPr>
          <w:rFonts w:ascii="Arial" w:hAnsi="Arial" w:cs="Arial"/>
          <w:szCs w:val="24"/>
        </w:rPr>
        <w:t>k používání pro služební i soukromé účely. Do mezd se zahrnují ta</w:t>
      </w:r>
      <w:r w:rsidR="00D460F3">
        <w:rPr>
          <w:rFonts w:ascii="Arial" w:hAnsi="Arial" w:cs="Arial"/>
          <w:szCs w:val="24"/>
        </w:rPr>
        <w:t xml:space="preserve">ké plnění mající charakter </w:t>
      </w:r>
      <w:r>
        <w:rPr>
          <w:rFonts w:ascii="Arial" w:hAnsi="Arial" w:cs="Arial"/>
          <w:szCs w:val="24"/>
        </w:rPr>
        <w:t xml:space="preserve">mezd (odměn za práci), u nichž zaměstnavatel rozhodl, že budou hrazeny z použitelného zisku, fondu odměn nebo jiného fondu vytvořeného z použitelného zisku. Ostatní osobní náklady (OON) se </w:t>
      </w:r>
      <w:r w:rsidR="00BC12B5">
        <w:rPr>
          <w:rFonts w:ascii="Arial" w:hAnsi="Arial" w:cs="Arial"/>
          <w:szCs w:val="24"/>
        </w:rPr>
        <w:br/>
      </w:r>
      <w:r>
        <w:rPr>
          <w:rFonts w:ascii="Arial" w:hAnsi="Arial" w:cs="Arial"/>
          <w:szCs w:val="24"/>
        </w:rPr>
        <w:t>do mezd nezahrnují. Mzdy se uvádějí v hrubých částkách ve sledovaném období zúčtované k výplatě.</w:t>
      </w:r>
    </w:p>
    <w:p w:rsidR="003A5F06"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sidR="00F31D02">
        <w:rPr>
          <w:rFonts w:ascii="Arial" w:hAnsi="Arial" w:cs="Arial"/>
          <w:szCs w:val="24"/>
        </w:rPr>
        <w:t xml:space="preserve">- jde o odměny za práce </w:t>
      </w:r>
      <w:r>
        <w:rPr>
          <w:rFonts w:ascii="Arial" w:hAnsi="Arial" w:cs="Arial"/>
          <w:szCs w:val="24"/>
        </w:rPr>
        <w:t>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267B87" w:rsidRPr="003A5F06" w:rsidRDefault="003A5F06" w:rsidP="00D24863">
      <w:pPr>
        <w:tabs>
          <w:tab w:val="center" w:pos="426"/>
        </w:tabs>
      </w:pPr>
      <w:r>
        <w:br w:type="page"/>
      </w:r>
    </w:p>
    <w:p w:rsidR="00A0255A" w:rsidRDefault="00A0255A" w:rsidP="00D24863">
      <w:pPr>
        <w:pStyle w:val="Nadpis6"/>
        <w:tabs>
          <w:tab w:val="clear" w:pos="142"/>
          <w:tab w:val="center" w:pos="426"/>
        </w:tabs>
      </w:pPr>
      <w:r>
        <w:lastRenderedPageBreak/>
        <w:t>Aktiva a pasiva</w:t>
      </w:r>
    </w:p>
    <w:p w:rsidR="00610AEC" w:rsidRPr="00610AEC" w:rsidRDefault="00610AEC" w:rsidP="00D24863">
      <w:pPr>
        <w:tabs>
          <w:tab w:val="center" w:pos="426"/>
        </w:tabs>
      </w:pPr>
    </w:p>
    <w:p w:rsidR="00A0255A" w:rsidRDefault="00374E26"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632B21">
        <w:rPr>
          <w:rFonts w:ascii="Arial" w:hAnsi="Arial" w:cs="Arial"/>
          <w:szCs w:val="24"/>
        </w:rPr>
        <w:t xml:space="preserve">v </w:t>
      </w:r>
      <w:r w:rsidR="0048199C">
        <w:rPr>
          <w:rFonts w:ascii="Arial" w:hAnsi="Arial" w:cs="Arial"/>
          <w:szCs w:val="24"/>
        </w:rPr>
        <w:t>tabulkách 13 a 18</w:t>
      </w:r>
      <w:r w:rsidR="00A0255A">
        <w:rPr>
          <w:rFonts w:ascii="Arial" w:hAnsi="Arial" w:cs="Arial"/>
          <w:szCs w:val="24"/>
        </w:rPr>
        <w:t xml:space="preserve"> </w:t>
      </w:r>
      <w:r w:rsidR="009A693E">
        <w:rPr>
          <w:rFonts w:ascii="Arial" w:hAnsi="Arial" w:cs="Arial"/>
          <w:szCs w:val="24"/>
        </w:rPr>
        <w:br/>
      </w:r>
      <w:r w:rsidR="00632B21">
        <w:rPr>
          <w:rFonts w:ascii="Arial" w:hAnsi="Arial" w:cs="Arial"/>
          <w:szCs w:val="24"/>
        </w:rPr>
        <w:t xml:space="preserve">(a v </w:t>
      </w:r>
      <w:r w:rsidR="00A0255A">
        <w:rPr>
          <w:rFonts w:ascii="Arial" w:hAnsi="Arial" w:cs="Arial"/>
          <w:szCs w:val="24"/>
        </w:rPr>
        <w:t>souhrnné tabulce 1) se od 1</w:t>
      </w:r>
      <w:r w:rsidR="00632B21">
        <w:rPr>
          <w:rFonts w:ascii="Arial" w:hAnsi="Arial" w:cs="Arial"/>
          <w:szCs w:val="24"/>
        </w:rPr>
        <w:t xml:space="preserve">. čtvrtletí roku 2008 vytváří z </w:t>
      </w:r>
      <w:r w:rsidR="00A0255A">
        <w:rPr>
          <w:rFonts w:ascii="Arial" w:hAnsi="Arial" w:cs="Arial"/>
          <w:szCs w:val="24"/>
        </w:rPr>
        <w:t xml:space="preserve">údajů poskytovaných Českou národní bankou. </w:t>
      </w:r>
    </w:p>
    <w:p w:rsidR="0091286A" w:rsidRDefault="0091286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rsidP="00D24863">
      <w:pPr>
        <w:pStyle w:val="Nadpis6"/>
        <w:tabs>
          <w:tab w:val="clear" w:pos="142"/>
          <w:tab w:val="center" w:pos="426"/>
        </w:tabs>
      </w:pPr>
      <w:r>
        <w:t>Základní údaje o dlouhodobém nehmotném a hmotném majetku</w:t>
      </w:r>
    </w:p>
    <w:p w:rsidR="005C2CEE" w:rsidRDefault="005C2CEE" w:rsidP="00D24863">
      <w:pPr>
        <w:tabs>
          <w:tab w:val="center" w:pos="426"/>
        </w:tabs>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w:t>
      </w:r>
      <w:r w:rsidR="00BC12B5">
        <w:rPr>
          <w:rFonts w:ascii="Arial" w:hAnsi="Arial" w:cs="Arial"/>
          <w:szCs w:val="24"/>
        </w:rPr>
        <w:br/>
      </w:r>
      <w:r>
        <w:rPr>
          <w:rFonts w:ascii="Arial" w:hAnsi="Arial" w:cs="Arial"/>
          <w:szCs w:val="24"/>
        </w:rPr>
        <w:t>v průběhu sledovaného čtvrtletí na získání dlouhodobého nehmotného a hmotného majetku:</w:t>
      </w:r>
    </w:p>
    <w:p w:rsidR="00A0255A"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hanging="294"/>
        <w:jc w:val="both"/>
        <w:rPr>
          <w:rFonts w:ascii="Arial" w:hAnsi="Arial" w:cs="Arial"/>
          <w:szCs w:val="24"/>
        </w:rPr>
      </w:pPr>
      <w:r>
        <w:rPr>
          <w:rFonts w:ascii="Arial" w:hAnsi="Arial" w:cs="Arial"/>
          <w:szCs w:val="24"/>
        </w:rPr>
        <w:t>formou koupě nebo vytvořením vlastní činnosti (ve vlastní režii),</w:t>
      </w:r>
    </w:p>
    <w:p w:rsidR="00610AEC"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294"/>
        <w:jc w:val="both"/>
        <w:rPr>
          <w:rFonts w:ascii="Arial" w:hAnsi="Arial" w:cs="Arial"/>
          <w:szCs w:val="24"/>
        </w:rPr>
      </w:pPr>
      <w:r>
        <w:rPr>
          <w:rFonts w:ascii="Arial" w:hAnsi="Arial" w:cs="Arial"/>
          <w:szCs w:val="24"/>
        </w:rPr>
        <w:t>nabytím práv k výsledkům duševní tvořivé činnosti,</w:t>
      </w:r>
    </w:p>
    <w:p w:rsidR="00A0255A"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hanging="294"/>
        <w:jc w:val="both"/>
        <w:rPr>
          <w:rFonts w:ascii="Arial" w:hAnsi="Arial" w:cs="Arial"/>
          <w:szCs w:val="24"/>
        </w:rPr>
      </w:pPr>
      <w:r>
        <w:rPr>
          <w:rFonts w:ascii="Arial" w:hAnsi="Arial" w:cs="Arial"/>
        </w:rPr>
        <w:t>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w:t>
      </w:r>
      <w:r w:rsidR="00632B21">
        <w:rPr>
          <w:rFonts w:ascii="Arial" w:hAnsi="Arial" w:cs="Arial"/>
        </w:rPr>
        <w:t xml:space="preserve"> </w:t>
      </w:r>
      <w:r>
        <w:rPr>
          <w:rFonts w:ascii="Arial" w:hAnsi="Arial" w:cs="Arial"/>
        </w:rPr>
        <w:t xml:space="preserve">Do hodnoty pořízeného dlouhodobého nehmotného a hmotného majetku je zahrnuta též hodnota majetku užívaného formou nájmu, prostřednictvím smlouvy </w:t>
      </w:r>
      <w:r w:rsidR="00BC12B5">
        <w:rPr>
          <w:rFonts w:ascii="Arial" w:hAnsi="Arial" w:cs="Arial"/>
        </w:rPr>
        <w:br/>
      </w:r>
      <w:r>
        <w:rPr>
          <w:rFonts w:ascii="Arial" w:hAnsi="Arial" w:cs="Arial"/>
        </w:rPr>
        <w:t xml:space="preserve">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nevykazují, bez ohledu na to, že jsou podle stávající legislativy vlastníky tohoto majetku.</w:t>
      </w:r>
    </w:p>
    <w:p w:rsidR="00A0255A" w:rsidRDefault="00A0255A" w:rsidP="008D6E89">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w:t>
      </w:r>
      <w:r w:rsidR="009470CF">
        <w:rPr>
          <w:rFonts w:ascii="Arial" w:hAnsi="Arial" w:cs="Arial"/>
        </w:rPr>
        <w:br/>
      </w:r>
      <w:r>
        <w:rPr>
          <w:rFonts w:ascii="Arial" w:hAnsi="Arial" w:cs="Arial"/>
        </w:rPr>
        <w:t>Má</w:t>
      </w:r>
      <w:r w:rsidR="009470CF">
        <w:rPr>
          <w:rFonts w:ascii="Arial" w:hAnsi="Arial" w:cs="Arial"/>
        </w:rPr>
        <w:t xml:space="preserve"> </w:t>
      </w:r>
      <w:r>
        <w:rPr>
          <w:rFonts w:ascii="Arial" w:hAnsi="Arial" w:cs="Arial"/>
        </w:rPr>
        <w:t xml:space="preserve">dáti účtů evidujících pořízení dlouhodobého nehmotného majetku (v závislosti na účtové osnově </w:t>
      </w:r>
      <w:r w:rsidR="00BC12B5">
        <w:rPr>
          <w:rFonts w:ascii="Arial" w:hAnsi="Arial" w:cs="Arial"/>
        </w:rPr>
        <w:br/>
      </w:r>
      <w:r>
        <w:rPr>
          <w:rFonts w:ascii="Arial" w:hAnsi="Arial" w:cs="Arial"/>
        </w:rPr>
        <w:t>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hanging="284"/>
        <w:jc w:val="both"/>
        <w:rPr>
          <w:rFonts w:ascii="Arial" w:hAnsi="Arial" w:cs="Arial"/>
          <w:szCs w:val="24"/>
        </w:rPr>
      </w:pPr>
      <w:r>
        <w:rPr>
          <w:rFonts w:ascii="Arial" w:hAnsi="Arial" w:cs="Arial"/>
          <w:szCs w:val="24"/>
        </w:rPr>
        <w:t xml:space="preserve">nehmotné výsledky výzkumné a obdobné činnosti, které nejsou předmětem průmyslových </w:t>
      </w:r>
      <w:r w:rsidR="00BC12B5">
        <w:rPr>
          <w:rFonts w:ascii="Arial" w:hAnsi="Arial" w:cs="Arial"/>
          <w:szCs w:val="24"/>
        </w:rPr>
        <w:br/>
      </w:r>
      <w:r w:rsidR="00210460">
        <w:rPr>
          <w:rFonts w:ascii="Arial" w:hAnsi="Arial" w:cs="Arial"/>
          <w:szCs w:val="24"/>
        </w:rPr>
        <w:t>a jiných</w:t>
      </w:r>
      <w:r>
        <w:rPr>
          <w:rFonts w:ascii="Arial" w:hAnsi="Arial" w:cs="Arial"/>
          <w:szCs w:val="24"/>
        </w:rPr>
        <w:t xml:space="preserve"> ocenitelných práv,</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hanging="284"/>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w:t>
      </w:r>
      <w:r w:rsidR="00BC12B5">
        <w:rPr>
          <w:rFonts w:ascii="Arial" w:hAnsi="Arial" w:cs="Arial"/>
          <w:szCs w:val="24"/>
        </w:rPr>
        <w:br/>
      </w:r>
      <w:r>
        <w:rPr>
          <w:rFonts w:ascii="Arial" w:hAnsi="Arial" w:cs="Arial"/>
          <w:szCs w:val="24"/>
        </w:rPr>
        <w:t>ve sledovaném čtvrtletí (nikoli celý obrat od počátku roku). Do dlouhodobého hmotného majetku patří:</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položkách.</w:t>
      </w:r>
    </w:p>
    <w:p w:rsidR="00A0255A" w:rsidRPr="00F95DC8" w:rsidRDefault="00A0255A" w:rsidP="00965B79">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w:t>
      </w:r>
      <w:r w:rsidR="00BC12B5">
        <w:rPr>
          <w:rFonts w:ascii="Arial" w:hAnsi="Arial" w:cs="Arial"/>
          <w:szCs w:val="24"/>
        </w:rPr>
        <w:br/>
      </w:r>
      <w:r>
        <w:rPr>
          <w:rFonts w:ascii="Arial" w:hAnsi="Arial" w:cs="Arial"/>
          <w:szCs w:val="24"/>
        </w:rPr>
        <w:t>V případech, že dlouhodobý nehmotný či hmotný majetek byl předán jinému uživateli bezúplatně, zahrne se jeho zůstatková cena. Zůstatková cena je rozdíl mezi pořizovací cenou a oprávkami.</w:t>
      </w:r>
    </w:p>
    <w:sectPr w:rsidR="00A0255A" w:rsidRPr="00F95DC8" w:rsidSect="00267B87">
      <w:footnotePr>
        <w:numRestart w:val="eachSect"/>
      </w:footnotePr>
      <w:type w:val="continuous"/>
      <w:pgSz w:w="11905" w:h="16837"/>
      <w:pgMar w:top="1418" w:right="1418" w:bottom="1418"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9C" w:rsidRDefault="00CA7F9C" w:rsidP="003A5F06">
      <w:r>
        <w:separator/>
      </w:r>
    </w:p>
  </w:endnote>
  <w:endnote w:type="continuationSeparator" w:id="0">
    <w:p w:rsidR="00CA7F9C" w:rsidRDefault="00CA7F9C" w:rsidP="003A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9C" w:rsidRDefault="00CA7F9C" w:rsidP="003A5F06">
      <w:r>
        <w:separator/>
      </w:r>
    </w:p>
  </w:footnote>
  <w:footnote w:type="continuationSeparator" w:id="0">
    <w:p w:rsidR="00CA7F9C" w:rsidRDefault="00CA7F9C" w:rsidP="003A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15:restartNumberingAfterBreak="0">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15:restartNumberingAfterBreak="0">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15:restartNumberingAfterBreak="0">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15:restartNumberingAfterBreak="0">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15:restartNumberingAfterBreak="0">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15:restartNumberingAfterBreak="0">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15:restartNumberingAfterBreak="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15:restartNumberingAfterBreak="0">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15:restartNumberingAfterBreak="0">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15:restartNumberingAfterBreak="0">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15:restartNumberingAfterBreak="0">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15:restartNumberingAfterBreak="0">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15:restartNumberingAfterBreak="0">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15:restartNumberingAfterBreak="0">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15:restartNumberingAfterBreak="0">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A0013"/>
    <w:rsid w:val="000B5929"/>
    <w:rsid w:val="000F6A11"/>
    <w:rsid w:val="00111EC6"/>
    <w:rsid w:val="001714B1"/>
    <w:rsid w:val="00184D1F"/>
    <w:rsid w:val="0020523A"/>
    <w:rsid w:val="00210460"/>
    <w:rsid w:val="00243BA3"/>
    <w:rsid w:val="00267B87"/>
    <w:rsid w:val="00276A51"/>
    <w:rsid w:val="002A3787"/>
    <w:rsid w:val="00320523"/>
    <w:rsid w:val="00374E26"/>
    <w:rsid w:val="003A5928"/>
    <w:rsid w:val="003A5F06"/>
    <w:rsid w:val="003C08A3"/>
    <w:rsid w:val="003D2801"/>
    <w:rsid w:val="003D569C"/>
    <w:rsid w:val="00431BEC"/>
    <w:rsid w:val="0048199C"/>
    <w:rsid w:val="004B49B5"/>
    <w:rsid w:val="00530290"/>
    <w:rsid w:val="00536C31"/>
    <w:rsid w:val="00547279"/>
    <w:rsid w:val="00562E9E"/>
    <w:rsid w:val="00595710"/>
    <w:rsid w:val="005C2CEE"/>
    <w:rsid w:val="005F2066"/>
    <w:rsid w:val="00610AEC"/>
    <w:rsid w:val="00632B21"/>
    <w:rsid w:val="00664817"/>
    <w:rsid w:val="006735A6"/>
    <w:rsid w:val="006925B7"/>
    <w:rsid w:val="006A2B97"/>
    <w:rsid w:val="007152B4"/>
    <w:rsid w:val="0076494D"/>
    <w:rsid w:val="00764DE6"/>
    <w:rsid w:val="00782C99"/>
    <w:rsid w:val="00794AF2"/>
    <w:rsid w:val="007B0734"/>
    <w:rsid w:val="007D09F8"/>
    <w:rsid w:val="00823041"/>
    <w:rsid w:val="0084300B"/>
    <w:rsid w:val="008D6817"/>
    <w:rsid w:val="008D6E89"/>
    <w:rsid w:val="00903CD0"/>
    <w:rsid w:val="0091286A"/>
    <w:rsid w:val="00914E81"/>
    <w:rsid w:val="009470CF"/>
    <w:rsid w:val="00963A0F"/>
    <w:rsid w:val="00965B79"/>
    <w:rsid w:val="009A693E"/>
    <w:rsid w:val="00A0255A"/>
    <w:rsid w:val="00A27680"/>
    <w:rsid w:val="00A30D47"/>
    <w:rsid w:val="00A83C52"/>
    <w:rsid w:val="00A83F9E"/>
    <w:rsid w:val="00A959A0"/>
    <w:rsid w:val="00AE6C8F"/>
    <w:rsid w:val="00B14DA2"/>
    <w:rsid w:val="00B15FB1"/>
    <w:rsid w:val="00B55D6F"/>
    <w:rsid w:val="00BC12B5"/>
    <w:rsid w:val="00C81B4B"/>
    <w:rsid w:val="00C8454A"/>
    <w:rsid w:val="00CA7F9C"/>
    <w:rsid w:val="00D21556"/>
    <w:rsid w:val="00D24863"/>
    <w:rsid w:val="00D460F3"/>
    <w:rsid w:val="00D66EA6"/>
    <w:rsid w:val="00D7652A"/>
    <w:rsid w:val="00DB6C38"/>
    <w:rsid w:val="00DE7A34"/>
    <w:rsid w:val="00DE7E95"/>
    <w:rsid w:val="00EA555E"/>
    <w:rsid w:val="00EC64B1"/>
    <w:rsid w:val="00F21641"/>
    <w:rsid w:val="00F31D02"/>
    <w:rsid w:val="00F86CB8"/>
    <w:rsid w:val="00F8770A"/>
    <w:rsid w:val="00F95DC8"/>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C46F7"/>
  <w15:docId w15:val="{87163ED7-9D06-4631-A062-D14BB30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 w:type="paragraph" w:styleId="Zhlav">
    <w:name w:val="header"/>
    <w:basedOn w:val="Normln"/>
    <w:link w:val="ZhlavChar"/>
    <w:rsid w:val="003A5F06"/>
    <w:pPr>
      <w:tabs>
        <w:tab w:val="center" w:pos="4536"/>
        <w:tab w:val="right" w:pos="9072"/>
      </w:tabs>
    </w:pPr>
  </w:style>
  <w:style w:type="character" w:customStyle="1" w:styleId="ZhlavChar">
    <w:name w:val="Záhlaví Char"/>
    <w:basedOn w:val="Standardnpsmoodstavce"/>
    <w:link w:val="Zhlav"/>
    <w:rsid w:val="003A5F06"/>
    <w:rPr>
      <w:rFonts w:ascii="Courier" w:hAnsi="Courier"/>
    </w:rPr>
  </w:style>
  <w:style w:type="paragraph" w:styleId="Zpat">
    <w:name w:val="footer"/>
    <w:basedOn w:val="Normln"/>
    <w:link w:val="ZpatChar"/>
    <w:rsid w:val="003A5F06"/>
    <w:pPr>
      <w:tabs>
        <w:tab w:val="center" w:pos="4536"/>
        <w:tab w:val="right" w:pos="9072"/>
      </w:tabs>
    </w:pPr>
  </w:style>
  <w:style w:type="character" w:customStyle="1" w:styleId="ZpatChar">
    <w:name w:val="Zápatí Char"/>
    <w:basedOn w:val="Standardnpsmoodstavce"/>
    <w:link w:val="Zpat"/>
    <w:rsid w:val="003A5F0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D432-5C45-4DF7-B7DC-ECACC764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1404</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36</cp:revision>
  <cp:lastPrinted>2008-06-26T07:33:00Z</cp:lastPrinted>
  <dcterms:created xsi:type="dcterms:W3CDTF">2017-04-26T12:01:00Z</dcterms:created>
  <dcterms:modified xsi:type="dcterms:W3CDTF">2018-12-12T16:39:00Z</dcterms:modified>
</cp:coreProperties>
</file>