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6" w:rsidRPr="00ED7AA7" w:rsidRDefault="00ED7AA7" w:rsidP="00280D8A">
      <w:pPr>
        <w:pStyle w:val="Nadpis1"/>
        <w:numPr>
          <w:ilvl w:val="0"/>
          <w:numId w:val="25"/>
        </w:numPr>
        <w:jc w:val="both"/>
        <w:rPr>
          <w:lang w:val="en-GB"/>
        </w:rPr>
      </w:pPr>
      <w:bookmarkStart w:id="0" w:name="_Toc493683637"/>
      <w:bookmarkStart w:id="1" w:name="_Toc454185153"/>
      <w:r>
        <w:rPr>
          <w:lang w:val="en-GB"/>
        </w:rPr>
        <w:t>Prices</w:t>
      </w:r>
      <w:bookmarkEnd w:id="0"/>
    </w:p>
    <w:tbl>
      <w:tblPr>
        <w:tblW w:w="4963" w:type="pct"/>
        <w:tblInd w:w="108" w:type="dxa"/>
        <w:tblLayout w:type="fixed"/>
        <w:tblLook w:val="00A0"/>
      </w:tblPr>
      <w:tblGrid>
        <w:gridCol w:w="1985"/>
        <w:gridCol w:w="282"/>
        <w:gridCol w:w="1135"/>
        <w:gridCol w:w="6379"/>
      </w:tblGrid>
      <w:tr w:rsidR="009B0676" w:rsidRPr="00A74192" w:rsidTr="006C3DC1">
        <w:tc>
          <w:tcPr>
            <w:tcW w:w="1015" w:type="pct"/>
          </w:tcPr>
          <w:p w:rsidR="009B0676" w:rsidRPr="00424F18" w:rsidRDefault="00424F18" w:rsidP="00DF18C6">
            <w:pPr>
              <w:spacing w:line="240" w:lineRule="auto"/>
              <w:ind w:right="-19"/>
              <w:rPr>
                <w:sz w:val="16"/>
                <w:szCs w:val="16"/>
                <w:lang w:val="en-GB"/>
              </w:rPr>
            </w:pPr>
            <w:r w:rsidRPr="00424F18">
              <w:rPr>
                <w:sz w:val="16"/>
                <w:szCs w:val="16"/>
                <w:lang w:val="en-GB"/>
              </w:rPr>
              <w:t xml:space="preserve">Total price level went up. </w:t>
            </w:r>
          </w:p>
        </w:tc>
        <w:tc>
          <w:tcPr>
            <w:tcW w:w="144" w:type="pct"/>
          </w:tcPr>
          <w:p w:rsidR="009B0676" w:rsidRPr="00424F18" w:rsidRDefault="009B0676" w:rsidP="006E4368">
            <w:pPr>
              <w:pStyle w:val="Textpoznpodarou"/>
              <w:jc w:val="both"/>
              <w:rPr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424F18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  <w:r w:rsidRPr="002133D5">
              <w:rPr>
                <w:spacing w:val="-4"/>
                <w:lang w:val="en-GB"/>
              </w:rPr>
              <w:t>Growth of the total price level gauged by the GDP deflator attained 1.3% in year 2</w:t>
            </w:r>
            <w:r w:rsidR="009B0676" w:rsidRPr="002133D5">
              <w:rPr>
                <w:spacing w:val="-4"/>
                <w:lang w:val="en-GB"/>
              </w:rPr>
              <w:t>017</w:t>
            </w:r>
            <w:r w:rsidRPr="002133D5">
              <w:rPr>
                <w:spacing w:val="-4"/>
                <w:lang w:val="en-GB"/>
              </w:rPr>
              <w:t xml:space="preserve">. Growth of the total price level thus did not reflect the increase of prices of goods consumed by households </w:t>
            </w:r>
            <w:r w:rsidR="009B0676" w:rsidRPr="002133D5">
              <w:rPr>
                <w:spacing w:val="-4"/>
                <w:lang w:val="en-GB"/>
              </w:rPr>
              <w:t>(2</w:t>
            </w:r>
            <w:r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5%) a</w:t>
            </w:r>
            <w:r w:rsidRPr="002133D5">
              <w:rPr>
                <w:spacing w:val="-4"/>
                <w:lang w:val="en-GB"/>
              </w:rPr>
              <w:t xml:space="preserve">nd the government sector </w:t>
            </w:r>
            <w:r w:rsidR="009B0676" w:rsidRPr="002133D5">
              <w:rPr>
                <w:spacing w:val="-4"/>
                <w:lang w:val="en-GB"/>
              </w:rPr>
              <w:t>(</w:t>
            </w:r>
            <w:r w:rsidR="00EE450E" w:rsidRPr="002133D5">
              <w:rPr>
                <w:spacing w:val="-4"/>
                <w:lang w:val="en-GB"/>
              </w:rPr>
              <w:t>3.3%). Prices</w:t>
            </w:r>
            <w:r w:rsidRPr="002133D5">
              <w:rPr>
                <w:spacing w:val="-4"/>
                <w:lang w:val="en-GB"/>
              </w:rPr>
              <w:t xml:space="preserve"> of the investment products also increased slightly </w:t>
            </w:r>
            <w:r w:rsidR="009B0676" w:rsidRPr="002133D5">
              <w:rPr>
                <w:spacing w:val="-4"/>
                <w:lang w:val="en-GB"/>
              </w:rPr>
              <w:t>(1</w:t>
            </w:r>
            <w:r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1%). </w:t>
            </w:r>
            <w:r w:rsidRPr="002133D5">
              <w:rPr>
                <w:spacing w:val="-4"/>
                <w:lang w:val="en-GB"/>
              </w:rPr>
              <w:t xml:space="preserve">Total growth of the price level was however softened by the negative terms of trade </w:t>
            </w:r>
            <w:r w:rsidR="009B0676" w:rsidRPr="002133D5">
              <w:rPr>
                <w:spacing w:val="-4"/>
                <w:lang w:val="en-GB"/>
              </w:rPr>
              <w:t>(99</w:t>
            </w:r>
            <w:r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0%).</w:t>
            </w:r>
          </w:p>
          <w:p w:rsidR="009B0676" w:rsidRPr="002133D5" w:rsidRDefault="009B0676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424F18" w:rsidRDefault="00424F18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>
              <w:rPr>
                <w:spacing w:val="-4"/>
                <w:sz w:val="16"/>
                <w:szCs w:val="16"/>
                <w:lang w:val="en-GB"/>
              </w:rPr>
              <w:t xml:space="preserve">Growth of consumer prices was the highest since </w:t>
            </w:r>
            <w:r w:rsidR="00184DE8" w:rsidRPr="00424F18">
              <w:rPr>
                <w:spacing w:val="-4"/>
                <w:sz w:val="16"/>
                <w:szCs w:val="16"/>
                <w:lang w:val="en-GB"/>
              </w:rPr>
              <w:t>2012</w:t>
            </w:r>
            <w:r w:rsidR="009B0676" w:rsidRPr="00424F18">
              <w:rPr>
                <w:spacing w:val="-4"/>
                <w:sz w:val="16"/>
                <w:szCs w:val="16"/>
                <w:lang w:val="en-GB"/>
              </w:rPr>
              <w:t>.</w:t>
            </w:r>
          </w:p>
        </w:tc>
        <w:tc>
          <w:tcPr>
            <w:tcW w:w="144" w:type="pct"/>
          </w:tcPr>
          <w:p w:rsidR="009B0676" w:rsidRPr="00424F18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5D1E78" w:rsidP="006E4368">
            <w:pPr>
              <w:pStyle w:val="Textpoznpodarou"/>
              <w:jc w:val="both"/>
              <w:rPr>
                <w:spacing w:val="-4"/>
                <w:sz w:val="16"/>
                <w:szCs w:val="16"/>
                <w:lang w:val="en-GB"/>
              </w:rPr>
            </w:pPr>
            <w:r w:rsidRPr="002133D5">
              <w:rPr>
                <w:spacing w:val="-4"/>
                <w:lang w:val="en-GB"/>
              </w:rPr>
              <w:t xml:space="preserve">Year 2017 significantly differed with respect to the development of the consumer prices from the preceding three years. The consumer price index rose by 2.5% compared to year 2016. That is the most since year </w:t>
            </w:r>
            <w:r w:rsidR="009B0676" w:rsidRPr="002133D5">
              <w:rPr>
                <w:spacing w:val="-4"/>
                <w:lang w:val="en-GB"/>
              </w:rPr>
              <w:t>2012 (3</w:t>
            </w:r>
            <w:r w:rsidR="00B17335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3%). </w:t>
            </w:r>
            <w:r w:rsidR="006C1AA9" w:rsidRPr="002133D5">
              <w:rPr>
                <w:spacing w:val="-4"/>
                <w:lang w:val="en-GB"/>
              </w:rPr>
              <w:t>Viewed in the individual quarters, the year-on-year rate of growth of prices gradually accelerat</w:t>
            </w:r>
            <w:r w:rsidR="00EE450E" w:rsidRPr="002133D5">
              <w:rPr>
                <w:spacing w:val="-4"/>
                <w:lang w:val="en-GB"/>
              </w:rPr>
              <w:t xml:space="preserve">ed </w:t>
            </w:r>
            <w:r w:rsidR="006C1AA9" w:rsidRPr="002133D5">
              <w:rPr>
                <w:spacing w:val="-4"/>
                <w:lang w:val="en-GB"/>
              </w:rPr>
              <w:t>(with the exception of Q2</w:t>
            </w:r>
            <w:r w:rsidR="009B0676" w:rsidRPr="002133D5">
              <w:rPr>
                <w:spacing w:val="-4"/>
                <w:lang w:val="en-GB"/>
              </w:rPr>
              <w:t xml:space="preserve">). </w:t>
            </w:r>
            <w:r w:rsidR="00021B1D" w:rsidRPr="002133D5">
              <w:rPr>
                <w:spacing w:val="-4"/>
                <w:lang w:val="en-GB"/>
              </w:rPr>
              <w:t xml:space="preserve">Already in Q1, the sharp acceleration was impacted by the marked increase of the prices of transport, </w:t>
            </w:r>
            <w:r w:rsidR="007C3289" w:rsidRPr="002133D5">
              <w:rPr>
                <w:spacing w:val="-4"/>
                <w:lang w:val="en-GB"/>
              </w:rPr>
              <w:t xml:space="preserve">in the rest of the year the main determinants of the dynamics of the consumer price index </w:t>
            </w:r>
            <w:r w:rsidR="0004442E" w:rsidRPr="002133D5">
              <w:rPr>
                <w:spacing w:val="-4"/>
                <w:lang w:val="en-GB"/>
              </w:rPr>
              <w:t xml:space="preserve">was </w:t>
            </w:r>
            <w:r w:rsidR="007C3289" w:rsidRPr="002133D5">
              <w:rPr>
                <w:spacing w:val="-4"/>
                <w:lang w:val="en-GB"/>
              </w:rPr>
              <w:t xml:space="preserve">the food. Food and non-alcoholic beverages added to the yearly increase of prices </w:t>
            </w:r>
            <w:r w:rsidR="009B0676" w:rsidRPr="002133D5">
              <w:rPr>
                <w:spacing w:val="-4"/>
                <w:lang w:val="en-GB"/>
              </w:rPr>
              <w:t>0</w:t>
            </w:r>
            <w:r w:rsidR="007C3289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9</w:t>
            </w:r>
            <w:r w:rsidR="00184DE8" w:rsidRPr="002133D5">
              <w:rPr>
                <w:spacing w:val="-4"/>
                <w:lang w:val="en-GB"/>
              </w:rPr>
              <w:t> </w:t>
            </w:r>
            <w:r w:rsidR="0030607B" w:rsidRPr="002133D5">
              <w:rPr>
                <w:spacing w:val="-4"/>
                <w:lang w:val="en-GB"/>
              </w:rPr>
              <w:t>p.p.</w:t>
            </w:r>
            <w:r w:rsidR="009B0676" w:rsidRPr="002133D5">
              <w:rPr>
                <w:spacing w:val="-4"/>
                <w:lang w:val="en-GB"/>
              </w:rPr>
              <w:t xml:space="preserve"> </w:t>
            </w:r>
            <w:r w:rsidR="007C3289" w:rsidRPr="002133D5">
              <w:rPr>
                <w:spacing w:val="-4"/>
                <w:lang w:val="en-GB"/>
              </w:rPr>
              <w:t xml:space="preserve">Items housing, water, energies and fuels and transport in the order of the size of their addition ranked behind them </w:t>
            </w:r>
            <w:r w:rsidR="009B0676" w:rsidRPr="002133D5">
              <w:rPr>
                <w:spacing w:val="-4"/>
                <w:lang w:val="en-GB"/>
              </w:rPr>
              <w:t>(0</w:t>
            </w:r>
            <w:r w:rsidR="007C3289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4</w:t>
            </w:r>
            <w:r w:rsidR="00184DE8" w:rsidRPr="002133D5">
              <w:rPr>
                <w:spacing w:val="-4"/>
                <w:lang w:val="en-GB"/>
              </w:rPr>
              <w:t> </w:t>
            </w:r>
            <w:r w:rsidR="0030607B" w:rsidRPr="002133D5">
              <w:rPr>
                <w:spacing w:val="-4"/>
                <w:lang w:val="en-GB"/>
              </w:rPr>
              <w:t>p.p.</w:t>
            </w:r>
            <w:r w:rsidR="009B0676" w:rsidRPr="002133D5">
              <w:rPr>
                <w:spacing w:val="-4"/>
                <w:lang w:val="en-GB"/>
              </w:rPr>
              <w:t xml:space="preserve">). </w:t>
            </w:r>
            <w:r w:rsidR="00AA0CDE" w:rsidRPr="002133D5">
              <w:rPr>
                <w:spacing w:val="-4"/>
                <w:lang w:val="en-GB"/>
              </w:rPr>
              <w:t>Influence of costs of housing however strengthened during the year</w:t>
            </w:r>
            <w:r w:rsidR="009B0676" w:rsidRPr="002133D5">
              <w:rPr>
                <w:spacing w:val="-4"/>
                <w:lang w:val="en-GB"/>
              </w:rPr>
              <w:t xml:space="preserve">, </w:t>
            </w:r>
            <w:r w:rsidR="00AA0CDE" w:rsidRPr="002133D5">
              <w:rPr>
                <w:spacing w:val="-4"/>
                <w:lang w:val="en-GB"/>
              </w:rPr>
              <w:t xml:space="preserve">mainly due to the accelerating growth of the imputed rent. </w:t>
            </w:r>
          </w:p>
          <w:p w:rsidR="009B0676" w:rsidRPr="002133D5" w:rsidRDefault="009B0676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AA0CDE" w:rsidRDefault="00136B6B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>
              <w:rPr>
                <w:spacing w:val="-4"/>
                <w:sz w:val="16"/>
                <w:szCs w:val="16"/>
                <w:lang w:val="en-GB"/>
              </w:rPr>
              <w:t xml:space="preserve">The effect of the low comparative basis of year 2016 was evaporating </w:t>
            </w:r>
            <w:r w:rsidR="0097242E">
              <w:rPr>
                <w:spacing w:val="-4"/>
                <w:sz w:val="16"/>
                <w:szCs w:val="16"/>
                <w:lang w:val="en-GB"/>
              </w:rPr>
              <w:t>at the end of the year and the year-on-year pace of growth of prices weakened.</w:t>
            </w:r>
          </w:p>
        </w:tc>
        <w:tc>
          <w:tcPr>
            <w:tcW w:w="144" w:type="pct"/>
          </w:tcPr>
          <w:p w:rsidR="009B0676" w:rsidRPr="00AA0CDE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97242E" w:rsidP="006E4368">
            <w:pPr>
              <w:pStyle w:val="Textpoznpodarou"/>
              <w:jc w:val="both"/>
              <w:rPr>
                <w:spacing w:val="-2"/>
                <w:sz w:val="16"/>
                <w:szCs w:val="16"/>
                <w:lang w:val="en-GB"/>
              </w:rPr>
            </w:pPr>
            <w:r w:rsidRPr="002133D5">
              <w:rPr>
                <w:spacing w:val="-2"/>
                <w:lang w:val="en-GB"/>
              </w:rPr>
              <w:t>Year-on-year increase of prices was 2.6% in Q</w:t>
            </w:r>
            <w:r w:rsidR="009B0676" w:rsidRPr="002133D5">
              <w:rPr>
                <w:spacing w:val="-2"/>
                <w:lang w:val="en-GB"/>
              </w:rPr>
              <w:t xml:space="preserve">4. </w:t>
            </w:r>
            <w:r w:rsidRPr="002133D5">
              <w:rPr>
                <w:spacing w:val="-2"/>
                <w:lang w:val="en-GB"/>
              </w:rPr>
              <w:t>A</w:t>
            </w:r>
            <w:r w:rsidR="00426B7F" w:rsidRPr="002133D5">
              <w:rPr>
                <w:spacing w:val="-2"/>
                <w:lang w:val="en-GB"/>
              </w:rPr>
              <w:t>t</w:t>
            </w:r>
            <w:r w:rsidRPr="002133D5">
              <w:rPr>
                <w:spacing w:val="-2"/>
                <w:lang w:val="en-GB"/>
              </w:rPr>
              <w:t xml:space="preserve"> the same time the year-on-year rate of growth was weakening during the last three months</w:t>
            </w:r>
            <w:r w:rsidR="009B0676" w:rsidRPr="002133D5">
              <w:rPr>
                <w:spacing w:val="-2"/>
                <w:lang w:val="en-GB"/>
              </w:rPr>
              <w:t>.</w:t>
            </w:r>
            <w:r w:rsidR="00426B7F" w:rsidRPr="002133D5">
              <w:rPr>
                <w:spacing w:val="-2"/>
                <w:lang w:val="en-GB"/>
              </w:rPr>
              <w:t xml:space="preserve"> Because the effect of the low basis of year 2016 was evaporating. In October, the year-on-year addition thus neared the 3% boundary, in December it fell below 2.5%. The impact of food and non-alcoholic beverages (contribution 1.1 </w:t>
            </w:r>
            <w:r w:rsidR="0030607B" w:rsidRPr="002133D5">
              <w:rPr>
                <w:spacing w:val="-2"/>
                <w:lang w:val="en-GB"/>
              </w:rPr>
              <w:t>p.p.</w:t>
            </w:r>
            <w:r w:rsidR="00426B7F" w:rsidRPr="002133D5">
              <w:rPr>
                <w:spacing w:val="-2"/>
                <w:lang w:val="en-GB"/>
              </w:rPr>
              <w:t>) even more than in the preceding quarters strengthened in the last quarter of 2017</w:t>
            </w:r>
            <w:r w:rsidR="009B0676" w:rsidRPr="002133D5">
              <w:rPr>
                <w:spacing w:val="-2"/>
                <w:lang w:val="en-GB"/>
              </w:rPr>
              <w:t xml:space="preserve">. </w:t>
            </w:r>
            <w:r w:rsidR="00930CD7" w:rsidRPr="002133D5">
              <w:rPr>
                <w:spacing w:val="-2"/>
                <w:lang w:val="en-GB"/>
              </w:rPr>
              <w:t>Growing of prices of housing and energies also continued,</w:t>
            </w:r>
            <w:r w:rsidR="007904B2" w:rsidRPr="002133D5">
              <w:rPr>
                <w:spacing w:val="-2"/>
                <w:lang w:val="en-GB"/>
              </w:rPr>
              <w:t xml:space="preserve"> at the end</w:t>
            </w:r>
            <w:r w:rsidR="00930CD7" w:rsidRPr="002133D5">
              <w:rPr>
                <w:spacing w:val="-2"/>
                <w:lang w:val="en-GB"/>
              </w:rPr>
              <w:t xml:space="preserve"> they contributed to the growth of the total index</w:t>
            </w:r>
            <w:r w:rsidR="007904B2" w:rsidRPr="002133D5">
              <w:rPr>
                <w:spacing w:val="-2"/>
                <w:lang w:val="en-GB"/>
              </w:rPr>
              <w:t xml:space="preserve"> by</w:t>
            </w:r>
            <w:r w:rsidR="00930CD7" w:rsidRPr="002133D5">
              <w:rPr>
                <w:spacing w:val="-2"/>
                <w:lang w:val="en-GB"/>
              </w:rPr>
              <w:t xml:space="preserve"> 0.6 </w:t>
            </w:r>
            <w:r w:rsidR="0030607B" w:rsidRPr="002133D5">
              <w:rPr>
                <w:spacing w:val="-2"/>
                <w:lang w:val="en-GB"/>
              </w:rPr>
              <w:t>p.p.</w:t>
            </w:r>
            <w:r w:rsidR="00930CD7" w:rsidRPr="002133D5">
              <w:rPr>
                <w:spacing w:val="-2"/>
                <w:lang w:val="en-GB"/>
              </w:rPr>
              <w:t xml:space="preserve"> Transportation, as well as food service and accommodation added to the growth </w:t>
            </w:r>
            <w:proofErr w:type="gramStart"/>
            <w:r w:rsidR="00930CD7" w:rsidRPr="002133D5">
              <w:rPr>
                <w:spacing w:val="-2"/>
                <w:lang w:val="en-GB"/>
              </w:rPr>
              <w:t xml:space="preserve">0.3 </w:t>
            </w:r>
            <w:r w:rsidR="0030607B" w:rsidRPr="002133D5">
              <w:rPr>
                <w:spacing w:val="-2"/>
                <w:lang w:val="en-GB"/>
              </w:rPr>
              <w:t>p.p</w:t>
            </w:r>
            <w:proofErr w:type="gramEnd"/>
            <w:r w:rsidR="0030607B" w:rsidRPr="002133D5">
              <w:rPr>
                <w:spacing w:val="-2"/>
                <w:lang w:val="en-GB"/>
              </w:rPr>
              <w:t>.</w:t>
            </w:r>
            <w:r w:rsidR="00930CD7" w:rsidRPr="002133D5">
              <w:rPr>
                <w:spacing w:val="-2"/>
                <w:lang w:val="en-GB"/>
              </w:rPr>
              <w:t xml:space="preserve"> </w:t>
            </w:r>
          </w:p>
          <w:p w:rsidR="002133D5" w:rsidRPr="002133D5" w:rsidRDefault="002133D5" w:rsidP="006E4368">
            <w:pPr>
              <w:pStyle w:val="Textpoznpodarou"/>
              <w:jc w:val="both"/>
              <w:rPr>
                <w:spacing w:val="-4"/>
                <w:sz w:val="16"/>
                <w:szCs w:val="16"/>
                <w:lang w:val="en-GB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AA0CDE" w:rsidRDefault="00DD0726" w:rsidP="006C3DC1">
            <w:pPr>
              <w:spacing w:line="240" w:lineRule="auto"/>
              <w:ind w:right="-19"/>
              <w:jc w:val="center"/>
              <w:rPr>
                <w:spacing w:val="-4"/>
                <w:szCs w:val="20"/>
                <w:lang w:val="en-GB"/>
              </w:rPr>
            </w:pPr>
          </w:p>
        </w:tc>
        <w:tc>
          <w:tcPr>
            <w:tcW w:w="144" w:type="pct"/>
          </w:tcPr>
          <w:p w:rsidR="00DD0726" w:rsidRPr="00AA0CDE" w:rsidRDefault="00DD0726" w:rsidP="006C3DC1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580" w:type="pct"/>
          </w:tcPr>
          <w:p w:rsidR="00DD0726" w:rsidRPr="00AA0CDE" w:rsidRDefault="005D1E78" w:rsidP="006C3DC1">
            <w:pPr>
              <w:pStyle w:val="Textpoznpodarou"/>
              <w:jc w:val="both"/>
              <w:rPr>
                <w:spacing w:val="-4"/>
                <w:lang w:val="en-GB"/>
              </w:rPr>
            </w:pPr>
            <w:r w:rsidRPr="00AA0CDE">
              <w:rPr>
                <w:spacing w:val="-4"/>
                <w:lang w:val="en-GB"/>
              </w:rPr>
              <w:t>Chart 11</w:t>
            </w:r>
          </w:p>
        </w:tc>
        <w:tc>
          <w:tcPr>
            <w:tcW w:w="3261" w:type="pct"/>
          </w:tcPr>
          <w:p w:rsidR="00AA7C35" w:rsidRDefault="00930CD7" w:rsidP="006C3DC1">
            <w:pPr>
              <w:pStyle w:val="Textpoznpodarou"/>
              <w:rPr>
                <w:b/>
                <w:spacing w:val="-4"/>
                <w:lang w:val="en-GB"/>
              </w:rPr>
            </w:pPr>
            <w:r>
              <w:rPr>
                <w:b/>
                <w:spacing w:val="-4"/>
                <w:lang w:val="en-GB"/>
              </w:rPr>
              <w:t xml:space="preserve">Prices in the selected divisions of the consumer price index </w:t>
            </w:r>
          </w:p>
          <w:p w:rsidR="00DD0726" w:rsidRPr="00AA0CDE" w:rsidRDefault="00930CD7" w:rsidP="006C3DC1">
            <w:pPr>
              <w:pStyle w:val="Textpoznpodarou"/>
              <w:rPr>
                <w:spacing w:val="-4"/>
                <w:lang w:val="en-GB"/>
              </w:rPr>
            </w:pPr>
            <w:r w:rsidRPr="00AA7C35">
              <w:rPr>
                <w:spacing w:val="-4"/>
                <w:lang w:val="en-GB"/>
              </w:rPr>
              <w:t>(</w:t>
            </w:r>
            <w:r w:rsidRPr="00930CD7">
              <w:rPr>
                <w:spacing w:val="-4"/>
                <w:lang w:val="en-GB"/>
              </w:rPr>
              <w:t>year-on-year change, in</w:t>
            </w:r>
            <w:r w:rsidR="00DD0726" w:rsidRPr="00930CD7">
              <w:rPr>
                <w:spacing w:val="-4"/>
                <w:lang w:val="en-GB"/>
              </w:rPr>
              <w:t xml:space="preserve"> %)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BD345F" w:rsidP="006C3DC1">
            <w:pPr>
              <w:pStyle w:val="Textpoznpodarou"/>
              <w:ind w:left="-54"/>
              <w:jc w:val="both"/>
              <w:rPr>
                <w:spacing w:val="-4"/>
              </w:rPr>
            </w:pPr>
            <w:r w:rsidRPr="00BD345F">
              <w:rPr>
                <w:noProof/>
                <w:spacing w:val="-4"/>
              </w:rPr>
              <w:drawing>
                <wp:inline distT="0" distB="0" distL="0" distR="0">
                  <wp:extent cx="4735902" cy="3420000"/>
                  <wp:effectExtent l="0" t="0" r="0" b="0"/>
                  <wp:docPr id="1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D0726" w:rsidRDefault="00930CD7" w:rsidP="006C3DC1">
            <w:pPr>
              <w:pStyle w:val="Textpoznpodarou"/>
              <w:ind w:left="-54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Source</w:t>
            </w:r>
            <w:r w:rsidR="00DD0726" w:rsidRPr="00F81A26">
              <w:rPr>
                <w:spacing w:val="-4"/>
                <w:sz w:val="14"/>
                <w:szCs w:val="14"/>
              </w:rPr>
              <w:t xml:space="preserve">: </w:t>
            </w:r>
            <w:r>
              <w:rPr>
                <w:spacing w:val="-4"/>
                <w:sz w:val="14"/>
                <w:szCs w:val="14"/>
              </w:rPr>
              <w:t>CZSO</w:t>
            </w:r>
          </w:p>
          <w:p w:rsidR="00DD0726" w:rsidRPr="00F81A26" w:rsidRDefault="00DD0726" w:rsidP="006C3DC1">
            <w:pPr>
              <w:pStyle w:val="Textpoznpodarou"/>
              <w:ind w:left="-54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C027C8" w:rsidRDefault="00C027C8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 w:rsidRPr="00C027C8">
              <w:rPr>
                <w:spacing w:val="-4"/>
                <w:sz w:val="16"/>
                <w:szCs w:val="16"/>
                <w:lang w:val="en-GB"/>
              </w:rPr>
              <w:t xml:space="preserve">Food and non-alcoholic beverages contributed the most to the growth of consumer prices. </w:t>
            </w:r>
            <w:r w:rsidR="009B0676" w:rsidRPr="00C027C8">
              <w:rPr>
                <w:spacing w:val="-4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4" w:type="pct"/>
          </w:tcPr>
          <w:p w:rsidR="009B0676" w:rsidRPr="00C027C8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C027C8" w:rsidP="006E4368">
            <w:pPr>
              <w:pStyle w:val="Textpoznpodarou"/>
              <w:jc w:val="both"/>
              <w:rPr>
                <w:spacing w:val="-3"/>
                <w:sz w:val="16"/>
                <w:szCs w:val="16"/>
                <w:lang w:val="en-GB"/>
              </w:rPr>
            </w:pPr>
            <w:r w:rsidRPr="002133D5">
              <w:rPr>
                <w:spacing w:val="-3"/>
                <w:lang w:val="en-GB"/>
              </w:rPr>
              <w:t xml:space="preserve">Prices of food and non-alcoholic beverages were raised by 5.2% in 2017. It is the most since year 2012. Prices grew relatively </w:t>
            </w:r>
            <w:r w:rsidR="0014514D" w:rsidRPr="002133D5">
              <w:rPr>
                <w:spacing w:val="-3"/>
                <w:lang w:val="en-GB"/>
              </w:rPr>
              <w:t xml:space="preserve">significantly for most of the divisions of the classification, however the </w:t>
            </w:r>
            <w:r w:rsidR="00BF1907" w:rsidRPr="002133D5">
              <w:rPr>
                <w:spacing w:val="-3"/>
                <w:lang w:val="en-GB"/>
              </w:rPr>
              <w:t>raising of prices of baking products and cereals by 5.1%, milk, cheese and eggs by 10.8% and meat by 4.4% played a key role</w:t>
            </w:r>
            <w:r w:rsidR="009B0676" w:rsidRPr="002133D5">
              <w:rPr>
                <w:spacing w:val="-3"/>
                <w:lang w:val="en-GB"/>
              </w:rPr>
              <w:t>. T</w:t>
            </w:r>
            <w:r w:rsidR="00BF1907" w:rsidRPr="002133D5">
              <w:rPr>
                <w:spacing w:val="-3"/>
                <w:lang w:val="en-GB"/>
              </w:rPr>
              <w:t xml:space="preserve">hese three items together comprise more than 10% of the consumer basket weight. </w:t>
            </w:r>
            <w:r w:rsidR="00BF1907" w:rsidRPr="002133D5">
              <w:rPr>
                <w:spacing w:val="-3"/>
                <w:lang w:val="en-GB"/>
              </w:rPr>
              <w:lastRenderedPageBreak/>
              <w:t xml:space="preserve">Increased prices of oils and fats (mostly butter) by 14.2% presented a somewhat lesser burden on consumers. </w:t>
            </w:r>
            <w:r w:rsidR="00CB49F6" w:rsidRPr="002133D5">
              <w:rPr>
                <w:spacing w:val="-3"/>
                <w:lang w:val="en-GB"/>
              </w:rPr>
              <w:t>Development</w:t>
            </w:r>
            <w:r w:rsidR="00BA622C" w:rsidRPr="002133D5">
              <w:rPr>
                <w:spacing w:val="-3"/>
                <w:lang w:val="en-GB"/>
              </w:rPr>
              <w:t xml:space="preserve"> in Q4 did not differ much from the rest of the year. </w:t>
            </w:r>
            <w:r w:rsidR="00471B64" w:rsidRPr="002133D5">
              <w:rPr>
                <w:spacing w:val="-3"/>
                <w:lang w:val="en-GB"/>
              </w:rPr>
              <w:t xml:space="preserve">The prices of food and non-alcoholic beverages rose by 6.3% year-on-year towards the end of the </w:t>
            </w:r>
            <w:r w:rsidR="00B079BC" w:rsidRPr="002133D5">
              <w:rPr>
                <w:spacing w:val="-3"/>
                <w:lang w:val="en-GB"/>
              </w:rPr>
              <w:t>year and</w:t>
            </w:r>
            <w:r w:rsidR="00471B64" w:rsidRPr="002133D5">
              <w:rPr>
                <w:spacing w:val="-3"/>
                <w:lang w:val="en-GB"/>
              </w:rPr>
              <w:t xml:space="preserve"> especially the </w:t>
            </w:r>
            <w:r w:rsidR="00B079BC" w:rsidRPr="002133D5">
              <w:rPr>
                <w:spacing w:val="-3"/>
                <w:lang w:val="en-GB"/>
              </w:rPr>
              <w:t>above-mentioned</w:t>
            </w:r>
            <w:r w:rsidR="00471B64" w:rsidRPr="002133D5">
              <w:rPr>
                <w:spacing w:val="-3"/>
                <w:lang w:val="en-GB"/>
              </w:rPr>
              <w:t xml:space="preserve"> groups of goods participated. </w:t>
            </w:r>
          </w:p>
          <w:p w:rsidR="009B0676" w:rsidRPr="002133D5" w:rsidRDefault="009B0676" w:rsidP="006E4368">
            <w:pPr>
              <w:pStyle w:val="Textpoznpodarou"/>
              <w:jc w:val="both"/>
              <w:rPr>
                <w:spacing w:val="-3"/>
                <w:sz w:val="16"/>
                <w:szCs w:val="16"/>
                <w:lang w:val="en-GB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B079BC" w:rsidRDefault="00B079BC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 w:rsidRPr="00B079BC">
              <w:rPr>
                <w:spacing w:val="-4"/>
                <w:sz w:val="16"/>
                <w:szCs w:val="16"/>
                <w:lang w:val="en-GB"/>
              </w:rPr>
              <w:lastRenderedPageBreak/>
              <w:t xml:space="preserve">Prices of housing accelerated during the year. </w:t>
            </w:r>
          </w:p>
          <w:p w:rsidR="009B0676" w:rsidRPr="00B079BC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</w:p>
          <w:p w:rsidR="009B0676" w:rsidRPr="00B079BC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</w:p>
          <w:p w:rsidR="009B0676" w:rsidRPr="00B079BC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</w:tcPr>
          <w:p w:rsidR="009B0676" w:rsidRPr="00B079BC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B079BC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szCs w:val="16"/>
                <w:lang w:val="en-GB"/>
              </w:rPr>
            </w:pPr>
            <w:r w:rsidRPr="002133D5">
              <w:rPr>
                <w:spacing w:val="-3"/>
                <w:lang w:val="en-GB"/>
              </w:rPr>
              <w:t>Prices of housing, water, energies and fuels in total grew by 1.7% for year 2017, but the growth accelerated during the year.</w:t>
            </w:r>
            <w:r w:rsidR="009B0676" w:rsidRPr="002133D5">
              <w:rPr>
                <w:spacing w:val="-3"/>
                <w:lang w:val="en-GB"/>
              </w:rPr>
              <w:t xml:space="preserve"> </w:t>
            </w:r>
            <w:r w:rsidR="008D5BAD" w:rsidRPr="002133D5">
              <w:rPr>
                <w:spacing w:val="-3"/>
                <w:lang w:val="en-GB"/>
              </w:rPr>
              <w:t xml:space="preserve">Especially imputed rents increased </w:t>
            </w:r>
            <w:r w:rsidR="009B0676" w:rsidRPr="002133D5">
              <w:rPr>
                <w:spacing w:val="-3"/>
                <w:lang w:val="en-GB"/>
              </w:rPr>
              <w:t>(4</w:t>
            </w:r>
            <w:r w:rsidR="008D5BAD" w:rsidRPr="002133D5">
              <w:rPr>
                <w:spacing w:val="-3"/>
                <w:lang w:val="en-GB"/>
              </w:rPr>
              <w:t>.</w:t>
            </w:r>
            <w:r w:rsidR="009B0676" w:rsidRPr="002133D5">
              <w:rPr>
                <w:spacing w:val="-3"/>
                <w:lang w:val="en-GB"/>
              </w:rPr>
              <w:t xml:space="preserve">2%), </w:t>
            </w:r>
            <w:r w:rsidR="008D5BAD" w:rsidRPr="002133D5">
              <w:rPr>
                <w:spacing w:val="-3"/>
                <w:lang w:val="en-GB"/>
              </w:rPr>
              <w:t xml:space="preserve">however the conditions on the real estate market affected the prices of rents from flats as well </w:t>
            </w:r>
            <w:r w:rsidR="009B0676" w:rsidRPr="002133D5">
              <w:rPr>
                <w:spacing w:val="-3"/>
                <w:lang w:val="en-GB"/>
              </w:rPr>
              <w:t>(2</w:t>
            </w:r>
            <w:r w:rsidR="008D5BAD" w:rsidRPr="002133D5">
              <w:rPr>
                <w:spacing w:val="-3"/>
                <w:lang w:val="en-GB"/>
              </w:rPr>
              <w:t>.</w:t>
            </w:r>
            <w:r w:rsidR="009B0676" w:rsidRPr="002133D5">
              <w:rPr>
                <w:spacing w:val="-3"/>
                <w:lang w:val="en-GB"/>
              </w:rPr>
              <w:t xml:space="preserve">2%). </w:t>
            </w:r>
            <w:r w:rsidR="008D5BAD" w:rsidRPr="002133D5">
              <w:rPr>
                <w:spacing w:val="-3"/>
                <w:lang w:val="en-GB"/>
              </w:rPr>
              <w:t>The prices of electricity, heat, gas and also other fuels mildly decreased during the whole year (</w:t>
            </w:r>
            <w:r w:rsidR="0092465F" w:rsidRPr="002133D5">
              <w:rPr>
                <w:spacing w:val="-3"/>
                <w:lang w:val="en-GB"/>
              </w:rPr>
              <w:t>-</w:t>
            </w:r>
            <w:r w:rsidR="009B0676" w:rsidRPr="002133D5">
              <w:rPr>
                <w:spacing w:val="-3"/>
                <w:lang w:val="en-GB"/>
              </w:rPr>
              <w:t>0</w:t>
            </w:r>
            <w:r w:rsidR="008D5BAD" w:rsidRPr="002133D5">
              <w:rPr>
                <w:spacing w:val="-3"/>
                <w:lang w:val="en-GB"/>
              </w:rPr>
              <w:t>.</w:t>
            </w:r>
            <w:r w:rsidR="009B0676" w:rsidRPr="002133D5">
              <w:rPr>
                <w:spacing w:val="-3"/>
                <w:lang w:val="en-GB"/>
              </w:rPr>
              <w:t xml:space="preserve">7%). </w:t>
            </w:r>
            <w:r w:rsidR="008D5BAD" w:rsidRPr="002133D5">
              <w:rPr>
                <w:spacing w:val="-3"/>
                <w:lang w:val="en-GB"/>
              </w:rPr>
              <w:t>In Q4 itself, the prices of housing and energies rose by 2.2% yea</w:t>
            </w:r>
            <w:r w:rsidR="001663DE" w:rsidRPr="002133D5">
              <w:rPr>
                <w:spacing w:val="-3"/>
                <w:lang w:val="en-GB"/>
              </w:rPr>
              <w:t>r-</w:t>
            </w:r>
            <w:r w:rsidR="008D5BAD" w:rsidRPr="002133D5">
              <w:rPr>
                <w:spacing w:val="-3"/>
                <w:lang w:val="en-GB"/>
              </w:rPr>
              <w:t>on-year (</w:t>
            </w:r>
            <w:r w:rsidR="001663DE" w:rsidRPr="002133D5">
              <w:rPr>
                <w:spacing w:val="-3"/>
                <w:lang w:val="en-GB"/>
              </w:rPr>
              <w:t>in that imputed rent</w:t>
            </w:r>
            <w:r w:rsidR="0004442E" w:rsidRPr="002133D5">
              <w:rPr>
                <w:spacing w:val="-3"/>
                <w:lang w:val="en-GB"/>
              </w:rPr>
              <w:t xml:space="preserve"> </w:t>
            </w:r>
            <w:r w:rsidR="001663DE" w:rsidRPr="002133D5">
              <w:rPr>
                <w:spacing w:val="-3"/>
                <w:lang w:val="en-GB"/>
              </w:rPr>
              <w:t>by 5.</w:t>
            </w:r>
            <w:r w:rsidR="009B0676" w:rsidRPr="002133D5">
              <w:rPr>
                <w:spacing w:val="-3"/>
                <w:lang w:val="en-GB"/>
              </w:rPr>
              <w:t xml:space="preserve">1%). </w:t>
            </w:r>
            <w:r w:rsidR="000A1B31" w:rsidRPr="002133D5">
              <w:rPr>
                <w:spacing w:val="-3"/>
                <w:lang w:val="en-GB"/>
              </w:rPr>
              <w:t xml:space="preserve">Prices of transport increased by 3.7% in 2017. In the first half of the year, their growth was driven by the year-on-year increase of the prices of fuels, heightened by the extraordinarily low comparative basis of year </w:t>
            </w:r>
            <w:r w:rsidR="009B0676" w:rsidRPr="002133D5">
              <w:rPr>
                <w:spacing w:val="-3"/>
                <w:lang w:val="en-GB"/>
              </w:rPr>
              <w:t xml:space="preserve">2016. </w:t>
            </w:r>
            <w:r w:rsidR="000A1B31" w:rsidRPr="002133D5">
              <w:rPr>
                <w:spacing w:val="-3"/>
                <w:lang w:val="en-GB"/>
              </w:rPr>
              <w:t>In H2, the prices of personal transportation vehicles grew faster.</w:t>
            </w:r>
          </w:p>
          <w:p w:rsidR="009B0676" w:rsidRPr="002133D5" w:rsidRDefault="009B0676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szCs w:val="16"/>
                <w:lang w:val="en-GB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E46F78" w:rsidRDefault="00E46F78" w:rsidP="00DF18C6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 w:rsidRPr="00E46F78">
              <w:rPr>
                <w:spacing w:val="-4"/>
                <w:sz w:val="16"/>
                <w:szCs w:val="16"/>
                <w:lang w:val="en-GB"/>
              </w:rPr>
              <w:t xml:space="preserve">Prices </w:t>
            </w:r>
            <w:r w:rsidR="00DF18C6">
              <w:rPr>
                <w:spacing w:val="-4"/>
                <w:sz w:val="16"/>
                <w:szCs w:val="16"/>
                <w:lang w:val="en-GB"/>
              </w:rPr>
              <w:t>in restaurants</w:t>
            </w:r>
            <w:r w:rsidRPr="00E46F78">
              <w:rPr>
                <w:spacing w:val="-4"/>
                <w:sz w:val="16"/>
                <w:szCs w:val="16"/>
                <w:lang w:val="en-GB"/>
              </w:rPr>
              <w:t xml:space="preserve"> markedly increased.</w:t>
            </w:r>
          </w:p>
        </w:tc>
        <w:tc>
          <w:tcPr>
            <w:tcW w:w="144" w:type="pct"/>
          </w:tcPr>
          <w:p w:rsidR="009B0676" w:rsidRPr="00E46F78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56303C" w:rsidP="00766F78">
            <w:pPr>
              <w:pStyle w:val="Textpoznpodarou"/>
              <w:ind w:right="-35"/>
              <w:jc w:val="both"/>
              <w:rPr>
                <w:spacing w:val="-3"/>
                <w:sz w:val="16"/>
                <w:szCs w:val="16"/>
                <w:lang w:val="en-GB"/>
              </w:rPr>
            </w:pPr>
            <w:r w:rsidRPr="002133D5">
              <w:rPr>
                <w:spacing w:val="-3"/>
                <w:lang w:val="en-GB"/>
              </w:rPr>
              <w:t xml:space="preserve">The fourth item, which considerably affected the growth of the consumer price index throughout the whole </w:t>
            </w:r>
            <w:r w:rsidR="00DF18C6" w:rsidRPr="002133D5">
              <w:rPr>
                <w:spacing w:val="-3"/>
                <w:lang w:val="en-GB"/>
              </w:rPr>
              <w:t>year,</w:t>
            </w:r>
            <w:r w:rsidRPr="002133D5">
              <w:rPr>
                <w:spacing w:val="-3"/>
                <w:lang w:val="en-GB"/>
              </w:rPr>
              <w:t xml:space="preserve"> was </w:t>
            </w:r>
            <w:r w:rsidR="00DF18C6" w:rsidRPr="002133D5">
              <w:rPr>
                <w:spacing w:val="-3"/>
                <w:lang w:val="en-GB"/>
              </w:rPr>
              <w:t>restaurants and hotels</w:t>
            </w:r>
            <w:r w:rsidRPr="002133D5">
              <w:rPr>
                <w:spacing w:val="-3"/>
                <w:lang w:val="en-GB"/>
              </w:rPr>
              <w:t>. Price</w:t>
            </w:r>
            <w:r w:rsidR="0024644F" w:rsidRPr="002133D5">
              <w:rPr>
                <w:spacing w:val="-3"/>
                <w:lang w:val="en-GB"/>
              </w:rPr>
              <w:t>s</w:t>
            </w:r>
            <w:r w:rsidRPr="002133D5">
              <w:rPr>
                <w:spacing w:val="-3"/>
                <w:lang w:val="en-GB"/>
              </w:rPr>
              <w:t xml:space="preserve"> increased by 5.7% here for the whole year 2017. The relatively high increase of wages in food service and accommodation, which also transferred into the final prices, can be seen behind this development. </w:t>
            </w:r>
          </w:p>
          <w:p w:rsidR="00766F78" w:rsidRPr="002133D5" w:rsidRDefault="00766F78" w:rsidP="00766F78">
            <w:pPr>
              <w:pStyle w:val="Textpoznpodarou"/>
              <w:ind w:right="-35"/>
              <w:jc w:val="both"/>
              <w:rPr>
                <w:spacing w:val="-3"/>
                <w:sz w:val="16"/>
                <w:szCs w:val="16"/>
                <w:lang w:val="en-GB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24644F" w:rsidRDefault="0024644F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>
              <w:rPr>
                <w:spacing w:val="-4"/>
                <w:sz w:val="16"/>
                <w:szCs w:val="16"/>
                <w:lang w:val="en-GB"/>
              </w:rPr>
              <w:t>Growth of prices for sales of older flats slowed down in H2 2017.</w:t>
            </w:r>
          </w:p>
        </w:tc>
        <w:tc>
          <w:tcPr>
            <w:tcW w:w="144" w:type="pct"/>
          </w:tcPr>
          <w:p w:rsidR="009B0676" w:rsidRPr="0024644F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0B3C13" w:rsidRPr="002133D5" w:rsidRDefault="00CE29D6" w:rsidP="00AD675A">
            <w:pPr>
              <w:pStyle w:val="Textpoznpodarou"/>
              <w:ind w:right="-35"/>
              <w:jc w:val="both"/>
              <w:rPr>
                <w:spacing w:val="-3"/>
                <w:sz w:val="16"/>
                <w:szCs w:val="16"/>
                <w:lang w:val="en-GB"/>
              </w:rPr>
            </w:pPr>
            <w:r w:rsidRPr="002133D5">
              <w:rPr>
                <w:spacing w:val="-3"/>
                <w:lang w:val="en-GB"/>
              </w:rPr>
              <w:t xml:space="preserve">The question of housing availability became even more </w:t>
            </w:r>
            <w:r w:rsidR="002250AD" w:rsidRPr="002133D5">
              <w:rPr>
                <w:spacing w:val="-3"/>
                <w:lang w:val="en-GB"/>
              </w:rPr>
              <w:t>acute</w:t>
            </w:r>
            <w:r w:rsidRPr="002133D5">
              <w:rPr>
                <w:spacing w:val="-3"/>
                <w:lang w:val="en-GB"/>
              </w:rPr>
              <w:t xml:space="preserve"> in year</w:t>
            </w:r>
            <w:r w:rsidR="002250AD" w:rsidRPr="002133D5">
              <w:rPr>
                <w:spacing w:val="-3"/>
                <w:lang w:val="en-GB"/>
              </w:rPr>
              <w:t xml:space="preserve"> 2017</w:t>
            </w:r>
            <w:r w:rsidR="00D277FF" w:rsidRPr="002133D5">
              <w:rPr>
                <w:spacing w:val="-3"/>
                <w:lang w:val="en-GB"/>
              </w:rPr>
              <w:t xml:space="preserve">. </w:t>
            </w:r>
            <w:r w:rsidRPr="002133D5">
              <w:rPr>
                <w:spacing w:val="-3"/>
                <w:lang w:val="en-GB"/>
              </w:rPr>
              <w:t xml:space="preserve">Year-on-year </w:t>
            </w:r>
            <w:r w:rsidR="002250AD" w:rsidRPr="002133D5">
              <w:rPr>
                <w:spacing w:val="-3"/>
                <w:lang w:val="en-GB"/>
              </w:rPr>
              <w:t>growth</w:t>
            </w:r>
            <w:r w:rsidRPr="002133D5">
              <w:rPr>
                <w:spacing w:val="-3"/>
                <w:lang w:val="en-GB"/>
              </w:rPr>
              <w:t xml:space="preserve"> of the index of supply prices of flats in the CR moved around 10% already since the end of year </w:t>
            </w:r>
            <w:r w:rsidR="000B3C13" w:rsidRPr="002133D5">
              <w:rPr>
                <w:spacing w:val="-3"/>
                <w:lang w:val="en-GB"/>
              </w:rPr>
              <w:t>2015 a</w:t>
            </w:r>
            <w:r w:rsidRPr="002133D5">
              <w:rPr>
                <w:spacing w:val="-3"/>
                <w:lang w:val="en-GB"/>
              </w:rPr>
              <w:t>nd it accelerated to 12.5% in Q</w:t>
            </w:r>
            <w:r w:rsidR="000B3C13" w:rsidRPr="002133D5">
              <w:rPr>
                <w:spacing w:val="-3"/>
                <w:lang w:val="en-GB"/>
              </w:rPr>
              <w:t>3</w:t>
            </w:r>
            <w:r w:rsidRPr="002133D5">
              <w:rPr>
                <w:spacing w:val="-3"/>
                <w:lang w:val="en-GB"/>
              </w:rPr>
              <w:t xml:space="preserve"> </w:t>
            </w:r>
            <w:r w:rsidR="000B3C13" w:rsidRPr="002133D5">
              <w:rPr>
                <w:spacing w:val="-3"/>
                <w:lang w:val="en-GB"/>
              </w:rPr>
              <w:t>a</w:t>
            </w:r>
            <w:r w:rsidRPr="002133D5">
              <w:rPr>
                <w:spacing w:val="-3"/>
                <w:lang w:val="en-GB"/>
              </w:rPr>
              <w:t>nd</w:t>
            </w:r>
            <w:r w:rsidR="000B3C13" w:rsidRPr="002133D5">
              <w:rPr>
                <w:spacing w:val="-3"/>
                <w:lang w:val="en-GB"/>
              </w:rPr>
              <w:t xml:space="preserve"> </w:t>
            </w:r>
            <w:r w:rsidRPr="002133D5">
              <w:rPr>
                <w:spacing w:val="-3"/>
                <w:lang w:val="en-GB"/>
              </w:rPr>
              <w:t>Q</w:t>
            </w:r>
            <w:r w:rsidR="000B3C13" w:rsidRPr="002133D5">
              <w:rPr>
                <w:spacing w:val="-3"/>
                <w:lang w:val="en-GB"/>
              </w:rPr>
              <w:t>4</w:t>
            </w:r>
            <w:r w:rsidRPr="002133D5">
              <w:rPr>
                <w:spacing w:val="-3"/>
                <w:lang w:val="en-GB"/>
              </w:rPr>
              <w:t xml:space="preserve"> </w:t>
            </w:r>
            <w:r w:rsidR="000B3C13" w:rsidRPr="002133D5">
              <w:rPr>
                <w:spacing w:val="-3"/>
                <w:lang w:val="en-GB"/>
              </w:rPr>
              <w:t>2017</w:t>
            </w:r>
            <w:r w:rsidRPr="002133D5">
              <w:rPr>
                <w:spacing w:val="-3"/>
                <w:lang w:val="en-GB"/>
              </w:rPr>
              <w:t xml:space="preserve">. </w:t>
            </w:r>
            <w:r w:rsidR="002250AD" w:rsidRPr="002133D5">
              <w:rPr>
                <w:spacing w:val="-3"/>
                <w:lang w:val="en-GB"/>
              </w:rPr>
              <w:t xml:space="preserve">Even though the supply prices of flats outside Prague grew only on average by 4.7% year-on-year during the last year.  </w:t>
            </w:r>
            <w:r w:rsidR="009B6342" w:rsidRPr="002133D5">
              <w:rPr>
                <w:spacing w:val="-3"/>
                <w:lang w:val="en-GB"/>
              </w:rPr>
              <w:t xml:space="preserve">But supply prices of flats in Prague grew by staggering pace (on average </w:t>
            </w:r>
            <w:r w:rsidR="000B3C13" w:rsidRPr="002133D5">
              <w:rPr>
                <w:spacing w:val="-3"/>
                <w:lang w:val="en-GB"/>
              </w:rPr>
              <w:t>16</w:t>
            </w:r>
            <w:r w:rsidR="009B6342" w:rsidRPr="002133D5">
              <w:rPr>
                <w:spacing w:val="-3"/>
                <w:lang w:val="en-GB"/>
              </w:rPr>
              <w:t>.</w:t>
            </w:r>
            <w:r w:rsidR="000B3C13" w:rsidRPr="002133D5">
              <w:rPr>
                <w:spacing w:val="-3"/>
                <w:lang w:val="en-GB"/>
              </w:rPr>
              <w:t>4</w:t>
            </w:r>
            <w:r w:rsidR="009B6342" w:rsidRPr="002133D5">
              <w:rPr>
                <w:spacing w:val="-3"/>
                <w:lang w:val="en-GB"/>
              </w:rPr>
              <w:t>%</w:t>
            </w:r>
            <w:r w:rsidR="000B3C13" w:rsidRPr="002133D5">
              <w:rPr>
                <w:spacing w:val="-3"/>
                <w:lang w:val="en-GB"/>
              </w:rPr>
              <w:t>)</w:t>
            </w:r>
            <w:r w:rsidR="009B6342" w:rsidRPr="002133D5">
              <w:rPr>
                <w:spacing w:val="-3"/>
                <w:lang w:val="en-GB"/>
              </w:rPr>
              <w:t>. Their growth accelerated during the year and it reached 18.8% in Q4.</w:t>
            </w:r>
            <w:r w:rsidR="00A45E2F" w:rsidRPr="002133D5">
              <w:rPr>
                <w:spacing w:val="-3"/>
                <w:lang w:val="en-GB"/>
              </w:rPr>
              <w:t xml:space="preserve"> </w:t>
            </w:r>
            <w:r w:rsidR="009B6342" w:rsidRPr="002133D5">
              <w:rPr>
                <w:spacing w:val="-3"/>
                <w:lang w:val="en-GB"/>
              </w:rPr>
              <w:t xml:space="preserve">Year-on-year growth of prices of the completed sales of </w:t>
            </w:r>
            <w:r w:rsidR="00DF18C6" w:rsidRPr="002133D5">
              <w:rPr>
                <w:spacing w:val="-3"/>
                <w:lang w:val="en-GB"/>
              </w:rPr>
              <w:t>second-hand</w:t>
            </w:r>
            <w:r w:rsidR="009B6342" w:rsidRPr="002133D5">
              <w:rPr>
                <w:spacing w:val="-3"/>
                <w:lang w:val="en-GB"/>
              </w:rPr>
              <w:t xml:space="preserve"> flats in the CR peaked (18.7%) in Q2 2017 and it subsequently slowed down. It was however still higher than </w:t>
            </w:r>
            <w:r w:rsidR="00AD5D71" w:rsidRPr="002133D5">
              <w:rPr>
                <w:spacing w:val="-3"/>
                <w:lang w:val="en-GB"/>
              </w:rPr>
              <w:t xml:space="preserve">10%. </w:t>
            </w:r>
            <w:r w:rsidR="00E92A8C" w:rsidRPr="002133D5">
              <w:rPr>
                <w:spacing w:val="-3"/>
                <w:lang w:val="en-GB"/>
              </w:rPr>
              <w:t xml:space="preserve">Prices of completed sales of </w:t>
            </w:r>
            <w:r w:rsidR="00DF18C6" w:rsidRPr="002133D5">
              <w:rPr>
                <w:spacing w:val="-3"/>
                <w:lang w:val="en-GB"/>
              </w:rPr>
              <w:t>second-hand</w:t>
            </w:r>
            <w:r w:rsidR="00E92A8C" w:rsidRPr="002133D5">
              <w:rPr>
                <w:spacing w:val="-3"/>
                <w:lang w:val="en-GB"/>
              </w:rPr>
              <w:t xml:space="preserve"> flats </w:t>
            </w:r>
            <w:r w:rsidR="0004442E" w:rsidRPr="002133D5">
              <w:rPr>
                <w:spacing w:val="-3"/>
                <w:lang w:val="en-GB"/>
              </w:rPr>
              <w:t xml:space="preserve">grew </w:t>
            </w:r>
            <w:r w:rsidR="00E92A8C" w:rsidRPr="002133D5">
              <w:rPr>
                <w:spacing w:val="-3"/>
                <w:lang w:val="en-GB"/>
              </w:rPr>
              <w:t xml:space="preserve">in Prague on average slightly slower than in the rest of the CR last year. Viewed from the quarter-on-quarter development, there is a turn apparent in the prices of completed sales of </w:t>
            </w:r>
            <w:r w:rsidR="00DF18C6" w:rsidRPr="002133D5">
              <w:rPr>
                <w:spacing w:val="-3"/>
                <w:lang w:val="en-GB"/>
              </w:rPr>
              <w:t>second-hand</w:t>
            </w:r>
            <w:r w:rsidR="00E92A8C" w:rsidRPr="002133D5">
              <w:rPr>
                <w:spacing w:val="-3"/>
                <w:lang w:val="en-GB"/>
              </w:rPr>
              <w:t xml:space="preserve"> flats</w:t>
            </w:r>
            <w:r w:rsidR="00AD675A" w:rsidRPr="002133D5">
              <w:rPr>
                <w:spacing w:val="-3"/>
                <w:lang w:val="en-GB"/>
              </w:rPr>
              <w:t>.</w:t>
            </w:r>
            <w:r w:rsidR="00E92A8C" w:rsidRPr="002133D5">
              <w:rPr>
                <w:spacing w:val="-3"/>
                <w:lang w:val="en-GB"/>
              </w:rPr>
              <w:t xml:space="preserve"> Index considerably slowed down its growth in H</w:t>
            </w:r>
            <w:r w:rsidR="00AD675A" w:rsidRPr="002133D5">
              <w:rPr>
                <w:spacing w:val="-3"/>
                <w:lang w:val="en-GB"/>
              </w:rPr>
              <w:t>2</w:t>
            </w:r>
            <w:r w:rsidR="00E92A8C" w:rsidRPr="002133D5">
              <w:rPr>
                <w:spacing w:val="-3"/>
                <w:lang w:val="en-GB"/>
              </w:rPr>
              <w:t xml:space="preserve">, the prices fell in Prague </w:t>
            </w:r>
            <w:r w:rsidR="00107FF4" w:rsidRPr="002133D5">
              <w:rPr>
                <w:spacing w:val="-3"/>
                <w:lang w:val="en-GB"/>
              </w:rPr>
              <w:t xml:space="preserve">in Q4 </w:t>
            </w:r>
            <w:r w:rsidR="00E92A8C" w:rsidRPr="002133D5">
              <w:rPr>
                <w:spacing w:val="-3"/>
                <w:lang w:val="en-GB"/>
              </w:rPr>
              <w:t>for the first time</w:t>
            </w:r>
            <w:r w:rsidR="00107FF4" w:rsidRPr="002133D5">
              <w:rPr>
                <w:spacing w:val="-3"/>
                <w:lang w:val="en-GB"/>
              </w:rPr>
              <w:t xml:space="preserve"> since the end of year </w:t>
            </w:r>
            <w:r w:rsidR="00AD675A" w:rsidRPr="002133D5">
              <w:rPr>
                <w:spacing w:val="-3"/>
                <w:lang w:val="en-GB"/>
              </w:rPr>
              <w:t>2013</w:t>
            </w:r>
            <w:r w:rsidR="00107FF4" w:rsidRPr="002133D5">
              <w:rPr>
                <w:spacing w:val="-3"/>
                <w:lang w:val="en-GB"/>
              </w:rPr>
              <w:t xml:space="preserve">. Completed prices of new flats in Prague reflected the sharp rise of prices of flats in new construction projects and they grew on average by </w:t>
            </w:r>
            <w:r w:rsidR="00A45E2F" w:rsidRPr="002133D5">
              <w:rPr>
                <w:spacing w:val="-3"/>
                <w:lang w:val="en-GB"/>
              </w:rPr>
              <w:t>13</w:t>
            </w:r>
            <w:r w:rsidR="00107FF4" w:rsidRPr="002133D5">
              <w:rPr>
                <w:spacing w:val="-3"/>
                <w:lang w:val="en-GB"/>
              </w:rPr>
              <w:t>.</w:t>
            </w:r>
            <w:r w:rsidR="00A45E2F" w:rsidRPr="002133D5">
              <w:rPr>
                <w:spacing w:val="-3"/>
                <w:lang w:val="en-GB"/>
              </w:rPr>
              <w:t xml:space="preserve">6%. </w:t>
            </w:r>
            <w:r w:rsidR="00ED0C9B" w:rsidRPr="002133D5">
              <w:rPr>
                <w:spacing w:val="-3"/>
                <w:lang w:val="en-GB"/>
              </w:rPr>
              <w:t xml:space="preserve">Towards the end of the year however the year-on-year increase markedly slowed down </w:t>
            </w:r>
            <w:r w:rsidR="00AD675A" w:rsidRPr="002133D5">
              <w:rPr>
                <w:spacing w:val="-3"/>
                <w:lang w:val="en-GB"/>
              </w:rPr>
              <w:t>a</w:t>
            </w:r>
            <w:r w:rsidR="00ED0C9B" w:rsidRPr="002133D5">
              <w:rPr>
                <w:spacing w:val="-3"/>
                <w:lang w:val="en-GB"/>
              </w:rPr>
              <w:t xml:space="preserve">nd the quarter-on-quarter growth was negative in Q7 2017 for the first time since Q2 2014. </w:t>
            </w:r>
            <w:r w:rsidR="00AD675A" w:rsidRPr="002133D5">
              <w:rPr>
                <w:spacing w:val="-3"/>
                <w:lang w:val="en-GB"/>
              </w:rPr>
              <w:t xml:space="preserve"> </w:t>
            </w: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  <w:p w:rsidR="00280D8A" w:rsidRPr="002133D5" w:rsidRDefault="00280D8A" w:rsidP="006E4368">
            <w:pPr>
              <w:pStyle w:val="Textpoznpodarou"/>
              <w:ind w:right="-35"/>
              <w:jc w:val="both"/>
              <w:rPr>
                <w:spacing w:val="-3"/>
                <w:sz w:val="16"/>
                <w:lang w:val="en-GB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pStyle w:val="Textpoznpodarou"/>
              <w:jc w:val="center"/>
              <w:rPr>
                <w:spacing w:val="-4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56303C" w:rsidP="006C3DC1">
            <w:pPr>
              <w:pStyle w:val="Textpoznpodarou"/>
              <w:ind w:right="-35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Chart </w:t>
            </w:r>
            <w:r w:rsidR="00DD0726" w:rsidRPr="00F81A26">
              <w:rPr>
                <w:spacing w:val="-4"/>
              </w:rPr>
              <w:t>12</w:t>
            </w:r>
          </w:p>
        </w:tc>
        <w:tc>
          <w:tcPr>
            <w:tcW w:w="3261" w:type="pct"/>
          </w:tcPr>
          <w:p w:rsidR="00DD0726" w:rsidRPr="00ED0C9B" w:rsidRDefault="00ED0C9B" w:rsidP="006C3DC1">
            <w:pPr>
              <w:pStyle w:val="Textpoznpodarou"/>
              <w:ind w:right="-35"/>
              <w:rPr>
                <w:spacing w:val="-4"/>
                <w:lang w:val="en-GB"/>
              </w:rPr>
            </w:pPr>
            <w:r w:rsidRPr="00ED0C9B">
              <w:rPr>
                <w:b/>
                <w:spacing w:val="-4"/>
                <w:lang w:val="en-GB" w:eastAsia="en-US"/>
              </w:rPr>
              <w:t xml:space="preserve">Prices of real estate </w:t>
            </w:r>
            <w:r w:rsidR="00DD0726" w:rsidRPr="00ED0C9B">
              <w:rPr>
                <w:spacing w:val="-4"/>
                <w:lang w:val="en-GB" w:eastAsia="en-US"/>
              </w:rPr>
              <w:t>(</w:t>
            </w:r>
            <w:r w:rsidRPr="00ED0C9B">
              <w:rPr>
                <w:spacing w:val="-4"/>
                <w:lang w:val="en-GB" w:eastAsia="en-US"/>
              </w:rPr>
              <w:t>year-on-year change</w:t>
            </w:r>
            <w:r w:rsidR="00DD0726" w:rsidRPr="00ED0C9B">
              <w:rPr>
                <w:spacing w:val="-4"/>
                <w:lang w:val="en-GB" w:eastAsia="en-US"/>
              </w:rPr>
              <w:t xml:space="preserve">, </w:t>
            </w:r>
            <w:r w:rsidRPr="00ED0C9B">
              <w:rPr>
                <w:spacing w:val="-4"/>
                <w:lang w:val="en-GB" w:eastAsia="en-US"/>
              </w:rPr>
              <w:t>in</w:t>
            </w:r>
            <w:r w:rsidR="00DD0726" w:rsidRPr="00ED0C9B">
              <w:rPr>
                <w:spacing w:val="-4"/>
                <w:lang w:val="en-GB" w:eastAsia="en-US"/>
              </w:rPr>
              <w:t xml:space="preserve"> %)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BD345F" w:rsidP="006C3DC1">
            <w:pPr>
              <w:pStyle w:val="Textpoznpodarou"/>
              <w:ind w:left="-54" w:right="-35"/>
              <w:jc w:val="both"/>
              <w:rPr>
                <w:spacing w:val="-4"/>
              </w:rPr>
            </w:pPr>
            <w:r w:rsidRPr="00BD345F">
              <w:rPr>
                <w:noProof/>
                <w:spacing w:val="-4"/>
              </w:rPr>
              <w:drawing>
                <wp:inline distT="0" distB="0" distL="0" distR="0">
                  <wp:extent cx="4735830" cy="3313785"/>
                  <wp:effectExtent l="19050" t="0" r="0" b="0"/>
                  <wp:docPr id="1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D0726" w:rsidRDefault="00ED0C9B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Source</w:t>
            </w:r>
            <w:r w:rsidR="00DD0726" w:rsidRPr="00F81A26">
              <w:rPr>
                <w:spacing w:val="-4"/>
                <w:sz w:val="14"/>
                <w:szCs w:val="14"/>
              </w:rPr>
              <w:t xml:space="preserve">: </w:t>
            </w:r>
            <w:r>
              <w:rPr>
                <w:spacing w:val="-4"/>
                <w:sz w:val="14"/>
                <w:szCs w:val="14"/>
              </w:rPr>
              <w:t>CZSO</w:t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ED0C9B" w:rsidRDefault="00ED0C9B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 w:rsidRPr="00ED0C9B">
              <w:rPr>
                <w:spacing w:val="-4"/>
                <w:sz w:val="16"/>
                <w:szCs w:val="16"/>
                <w:lang w:val="en-GB"/>
              </w:rPr>
              <w:t xml:space="preserve">Consumer prices grew faster also in Europe. </w:t>
            </w:r>
          </w:p>
        </w:tc>
        <w:tc>
          <w:tcPr>
            <w:tcW w:w="144" w:type="pct"/>
          </w:tcPr>
          <w:p w:rsidR="009B0676" w:rsidRPr="00ED0C9B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ED0C9B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  <w:r w:rsidRPr="002133D5">
              <w:rPr>
                <w:spacing w:val="-4"/>
                <w:lang w:val="en-GB"/>
              </w:rPr>
              <w:t xml:space="preserve">Increase of the harmonised index of the consumer prices reached 1.7% in the European Union in year </w:t>
            </w:r>
            <w:r w:rsidR="009B0676" w:rsidRPr="002133D5">
              <w:rPr>
                <w:spacing w:val="-4"/>
                <w:lang w:val="en-GB"/>
              </w:rPr>
              <w:t>2017</w:t>
            </w:r>
            <w:r w:rsidRPr="002133D5">
              <w:rPr>
                <w:spacing w:val="-4"/>
                <w:lang w:val="en-GB"/>
              </w:rPr>
              <w:t xml:space="preserve">. Development of the consumer prices in the euro area started to lag behind the average of the whole union in Q2 of the year. The prices rose by 1.5% in the euro are for the whole year </w:t>
            </w:r>
            <w:r w:rsidR="009B0676" w:rsidRPr="002133D5">
              <w:rPr>
                <w:spacing w:val="-4"/>
                <w:lang w:val="en-GB"/>
              </w:rPr>
              <w:t>2017</w:t>
            </w:r>
            <w:r w:rsidRPr="002133D5">
              <w:rPr>
                <w:spacing w:val="-4"/>
                <w:lang w:val="en-GB"/>
              </w:rPr>
              <w:t xml:space="preserve">. The Czech Republic was placed between the states with the highest price growth for the whole year. The consumer prices grew the fastest in 2017 in Lithuania </w:t>
            </w:r>
            <w:r w:rsidR="009B0676" w:rsidRPr="002133D5">
              <w:rPr>
                <w:spacing w:val="-4"/>
                <w:lang w:val="en-GB"/>
              </w:rPr>
              <w:t>(3</w:t>
            </w:r>
            <w:r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7%), Eston</w:t>
            </w:r>
            <w:r w:rsidRPr="002133D5">
              <w:rPr>
                <w:spacing w:val="-4"/>
                <w:lang w:val="en-GB"/>
              </w:rPr>
              <w:t xml:space="preserve">ia </w:t>
            </w:r>
            <w:r w:rsidR="009B0676" w:rsidRPr="002133D5">
              <w:rPr>
                <w:spacing w:val="-4"/>
                <w:lang w:val="en-GB"/>
              </w:rPr>
              <w:t>(3</w:t>
            </w:r>
            <w:r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6%) a</w:t>
            </w:r>
            <w:r w:rsidRPr="002133D5">
              <w:rPr>
                <w:spacing w:val="-4"/>
                <w:lang w:val="en-GB"/>
              </w:rPr>
              <w:t xml:space="preserve">nd Latvia </w:t>
            </w:r>
            <w:r w:rsidR="009B0676" w:rsidRPr="002133D5">
              <w:rPr>
                <w:spacing w:val="-4"/>
                <w:lang w:val="en-GB"/>
              </w:rPr>
              <w:t>(2</w:t>
            </w:r>
            <w:r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9%, </w:t>
            </w:r>
            <w:r w:rsidRPr="002133D5">
              <w:rPr>
                <w:spacing w:val="-4"/>
                <w:lang w:val="en-GB"/>
              </w:rPr>
              <w:t xml:space="preserve">here it however slowed down at the end of the year). </w:t>
            </w:r>
            <w:r w:rsidR="009B0676" w:rsidRPr="002133D5">
              <w:rPr>
                <w:spacing w:val="-4"/>
                <w:lang w:val="en-GB"/>
              </w:rPr>
              <w:t xml:space="preserve"> </w:t>
            </w:r>
            <w:r w:rsidR="008F3F1C" w:rsidRPr="002133D5">
              <w:rPr>
                <w:spacing w:val="-4"/>
                <w:lang w:val="en-GB"/>
              </w:rPr>
              <w:t xml:space="preserve">The price growth remained near zero for the whole year in Ireland </w:t>
            </w:r>
            <w:r w:rsidR="009B0676" w:rsidRPr="002133D5">
              <w:rPr>
                <w:spacing w:val="-4"/>
                <w:lang w:val="en-GB"/>
              </w:rPr>
              <w:t>(0</w:t>
            </w:r>
            <w:r w:rsidR="008F3F1C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3%). </w:t>
            </w:r>
            <w:r w:rsidR="00BD08A0" w:rsidRPr="002133D5">
              <w:rPr>
                <w:spacing w:val="-4"/>
                <w:lang w:val="en-GB"/>
              </w:rPr>
              <w:t xml:space="preserve">Following the revival in the first half of the year, the year-on-year rate of growth of prices also dropped in Cyprus </w:t>
            </w:r>
            <w:r w:rsidR="009B0676" w:rsidRPr="002133D5">
              <w:rPr>
                <w:spacing w:val="-4"/>
                <w:lang w:val="en-GB"/>
              </w:rPr>
              <w:t>(0</w:t>
            </w:r>
            <w:r w:rsidR="00BD08A0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7%). </w:t>
            </w:r>
            <w:r w:rsidR="00456EA3" w:rsidRPr="002133D5">
              <w:rPr>
                <w:spacing w:val="-4"/>
                <w:lang w:val="en-GB"/>
              </w:rPr>
              <w:t>Consumer prices grew by less than 1% in Finland (0.8%) in 2017</w:t>
            </w:r>
            <w:r w:rsidR="009B0676" w:rsidRPr="002133D5">
              <w:rPr>
                <w:spacing w:val="-4"/>
                <w:lang w:val="en-GB"/>
              </w:rPr>
              <w:t>.</w:t>
            </w:r>
          </w:p>
          <w:p w:rsidR="009B0676" w:rsidRPr="002133D5" w:rsidRDefault="009B0676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425612" w:rsidRDefault="00425612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>
              <w:rPr>
                <w:spacing w:val="-4"/>
                <w:sz w:val="16"/>
                <w:szCs w:val="16"/>
                <w:lang w:val="en-GB"/>
              </w:rPr>
              <w:t>Producer prices grew the fastest in the recent years last year. Their dynamics was accelerating towards the end of the year.</w:t>
            </w:r>
          </w:p>
        </w:tc>
        <w:tc>
          <w:tcPr>
            <w:tcW w:w="144" w:type="pct"/>
          </w:tcPr>
          <w:p w:rsidR="009B0676" w:rsidRPr="00425612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425612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  <w:r w:rsidRPr="002133D5">
              <w:rPr>
                <w:spacing w:val="-4"/>
                <w:lang w:val="en-GB"/>
              </w:rPr>
              <w:t xml:space="preserve">Industrial producer prices grew by 1.8% in 2017. It is the highest value since year 2012 and change compared to dynamics of years </w:t>
            </w:r>
            <w:r w:rsidR="009B0676" w:rsidRPr="002133D5">
              <w:rPr>
                <w:spacing w:val="-4"/>
                <w:lang w:val="en-GB"/>
              </w:rPr>
              <w:t xml:space="preserve">2014–2016, </w:t>
            </w:r>
            <w:r w:rsidRPr="002133D5">
              <w:rPr>
                <w:spacing w:val="-4"/>
                <w:lang w:val="en-GB"/>
              </w:rPr>
              <w:t>when the industrial producer prices were sinking.</w:t>
            </w:r>
            <w:r w:rsidR="009B0676" w:rsidRPr="002133D5">
              <w:rPr>
                <w:spacing w:val="-4"/>
                <w:lang w:val="en-GB"/>
              </w:rPr>
              <w:t xml:space="preserve"> </w:t>
            </w:r>
            <w:r w:rsidR="00D53B5F" w:rsidRPr="002133D5">
              <w:rPr>
                <w:spacing w:val="-4"/>
                <w:lang w:val="en-GB"/>
              </w:rPr>
              <w:t xml:space="preserve">Nevertheless, the growth of prices was slowing down during the </w:t>
            </w:r>
            <w:r w:rsidR="00CF56A8" w:rsidRPr="002133D5">
              <w:rPr>
                <w:spacing w:val="-4"/>
                <w:lang w:val="en-GB"/>
              </w:rPr>
              <w:t>year, year</w:t>
            </w:r>
            <w:r w:rsidR="00D53B5F" w:rsidRPr="002133D5">
              <w:rPr>
                <w:spacing w:val="-4"/>
                <w:lang w:val="en-GB"/>
              </w:rPr>
              <w:t xml:space="preserve">-on-year pace fell to 0.9% in Q4. </w:t>
            </w:r>
            <w:r w:rsidR="00CF56A8" w:rsidRPr="002133D5">
              <w:rPr>
                <w:spacing w:val="-4"/>
                <w:lang w:val="en-GB"/>
              </w:rPr>
              <w:t xml:space="preserve">Development of prices of coke and refined oil products </w:t>
            </w:r>
            <w:r w:rsidR="00E1409E" w:rsidRPr="002133D5">
              <w:rPr>
                <w:spacing w:val="-4"/>
                <w:lang w:val="en-GB"/>
              </w:rPr>
              <w:t>contributed to the growth of the index in 2</w:t>
            </w:r>
            <w:r w:rsidR="009B0676" w:rsidRPr="002133D5">
              <w:rPr>
                <w:spacing w:val="-4"/>
                <w:lang w:val="en-GB"/>
              </w:rPr>
              <w:t xml:space="preserve">017, </w:t>
            </w:r>
            <w:r w:rsidR="00CF56A8" w:rsidRPr="002133D5">
              <w:rPr>
                <w:spacing w:val="-4"/>
                <w:lang w:val="en-GB"/>
              </w:rPr>
              <w:t xml:space="preserve">increase of the prices of </w:t>
            </w:r>
            <w:r w:rsidR="0004442E" w:rsidRPr="002133D5">
              <w:rPr>
                <w:spacing w:val="-4"/>
                <w:lang w:val="en-GB"/>
              </w:rPr>
              <w:t xml:space="preserve">food </w:t>
            </w:r>
            <w:r w:rsidR="00CF56A8" w:rsidRPr="002133D5">
              <w:rPr>
                <w:spacing w:val="-4"/>
                <w:lang w:val="en-GB"/>
              </w:rPr>
              <w:t xml:space="preserve">products, beverages and tobacco by 2.6% was also significant. </w:t>
            </w:r>
            <w:r w:rsidR="006A683F" w:rsidRPr="002133D5">
              <w:rPr>
                <w:spacing w:val="-4"/>
                <w:lang w:val="en-GB"/>
              </w:rPr>
              <w:t xml:space="preserve">Raised prices of general metals and metal products by 5.3% also added to the increase considerably in 2017. </w:t>
            </w:r>
            <w:r w:rsidR="00946552" w:rsidRPr="002133D5">
              <w:rPr>
                <w:spacing w:val="-4"/>
                <w:lang w:val="en-GB"/>
              </w:rPr>
              <w:t xml:space="preserve">In contrast, the prices of transport </w:t>
            </w:r>
            <w:r w:rsidR="006A683F" w:rsidRPr="002133D5">
              <w:rPr>
                <w:spacing w:val="-4"/>
                <w:lang w:val="en-GB"/>
              </w:rPr>
              <w:t xml:space="preserve">equipment </w:t>
            </w:r>
            <w:r w:rsidR="00A9334B" w:rsidRPr="002133D5">
              <w:rPr>
                <w:spacing w:val="-4"/>
                <w:lang w:val="en-GB"/>
              </w:rPr>
              <w:t>were</w:t>
            </w:r>
            <w:r w:rsidR="00946552" w:rsidRPr="002133D5">
              <w:rPr>
                <w:spacing w:val="-4"/>
                <w:lang w:val="en-GB"/>
              </w:rPr>
              <w:t xml:space="preserve"> falling, by 2.2% for the whole year. </w:t>
            </w:r>
            <w:r w:rsidR="001D05E6" w:rsidRPr="002133D5">
              <w:rPr>
                <w:spacing w:val="-4"/>
                <w:lang w:val="en-GB"/>
              </w:rPr>
              <w:t xml:space="preserve">In Q4 itself, the prices of general metals and metal products were growing the most year-on-year </w:t>
            </w:r>
            <w:r w:rsidR="009B0676" w:rsidRPr="002133D5">
              <w:rPr>
                <w:spacing w:val="-4"/>
                <w:lang w:val="en-GB"/>
              </w:rPr>
              <w:t>(5</w:t>
            </w:r>
            <w:r w:rsidR="001D05E6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1%). </w:t>
            </w:r>
            <w:r w:rsidR="000341F6" w:rsidRPr="002133D5">
              <w:rPr>
                <w:spacing w:val="-4"/>
                <w:lang w:val="en-GB"/>
              </w:rPr>
              <w:t xml:space="preserve">Thanks to a high weight in the index, </w:t>
            </w:r>
            <w:r w:rsidR="003301FD" w:rsidRPr="002133D5">
              <w:rPr>
                <w:spacing w:val="-4"/>
                <w:lang w:val="en-GB"/>
              </w:rPr>
              <w:t xml:space="preserve">the food products, beverages and tobacco also had a more notable contribution to the total growth </w:t>
            </w:r>
            <w:r w:rsidR="009B0676" w:rsidRPr="002133D5">
              <w:rPr>
                <w:spacing w:val="-4"/>
                <w:lang w:val="en-GB"/>
              </w:rPr>
              <w:t>(</w:t>
            </w:r>
            <w:r w:rsidR="003301FD" w:rsidRPr="002133D5">
              <w:rPr>
                <w:spacing w:val="-4"/>
                <w:lang w:val="en-GB"/>
              </w:rPr>
              <w:t xml:space="preserve">year-on-year growth </w:t>
            </w:r>
            <w:r w:rsidR="009B0676" w:rsidRPr="002133D5">
              <w:rPr>
                <w:spacing w:val="-4"/>
                <w:lang w:val="en-GB"/>
              </w:rPr>
              <w:t>2</w:t>
            </w:r>
            <w:r w:rsidR="003301FD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2%</w:t>
            </w:r>
            <w:r w:rsidR="000B7A90" w:rsidRPr="002133D5">
              <w:rPr>
                <w:spacing w:val="-4"/>
                <w:lang w:val="en-GB"/>
              </w:rPr>
              <w:t xml:space="preserve"> </w:t>
            </w:r>
            <w:r w:rsidR="003301FD" w:rsidRPr="002133D5">
              <w:rPr>
                <w:spacing w:val="-4"/>
                <w:lang w:val="en-GB"/>
              </w:rPr>
              <w:t>in Q4</w:t>
            </w:r>
            <w:r w:rsidR="009B0676" w:rsidRPr="002133D5">
              <w:rPr>
                <w:spacing w:val="-4"/>
                <w:lang w:val="en-GB"/>
              </w:rPr>
              <w:t xml:space="preserve">, </w:t>
            </w:r>
            <w:r w:rsidR="003301FD" w:rsidRPr="002133D5">
              <w:rPr>
                <w:spacing w:val="-4"/>
                <w:lang w:val="en-GB"/>
              </w:rPr>
              <w:t>slowdown compared to the previous quarters</w:t>
            </w:r>
            <w:r w:rsidR="009B0676" w:rsidRPr="002133D5">
              <w:rPr>
                <w:spacing w:val="-4"/>
                <w:lang w:val="en-GB"/>
              </w:rPr>
              <w:t xml:space="preserve">). </w:t>
            </w:r>
            <w:r w:rsidR="00392B9E" w:rsidRPr="002133D5">
              <w:rPr>
                <w:spacing w:val="-4"/>
                <w:lang w:val="en-GB"/>
              </w:rPr>
              <w:t xml:space="preserve">Prices of transport equipment worked in the direction of fall, by 3.4% in Q4 and also the prices of </w:t>
            </w:r>
            <w:r w:rsidR="003301FD" w:rsidRPr="002133D5">
              <w:rPr>
                <w:spacing w:val="-4"/>
                <w:lang w:val="en-GB"/>
              </w:rPr>
              <w:t>electricity, and</w:t>
            </w:r>
            <w:r w:rsidR="00392B9E" w:rsidRPr="002133D5">
              <w:rPr>
                <w:spacing w:val="-4"/>
                <w:lang w:val="en-GB"/>
              </w:rPr>
              <w:t xml:space="preserve"> gas, steam and air condi</w:t>
            </w:r>
            <w:r w:rsidR="003301FD" w:rsidRPr="002133D5">
              <w:rPr>
                <w:spacing w:val="-4"/>
                <w:lang w:val="en-GB"/>
              </w:rPr>
              <w:t xml:space="preserve">tioning supply, which were falling the last four years.  </w:t>
            </w:r>
          </w:p>
        </w:tc>
      </w:tr>
      <w:tr w:rsidR="009B0676" w:rsidRPr="00F81A26" w:rsidTr="006C3DC1">
        <w:tc>
          <w:tcPr>
            <w:tcW w:w="1015" w:type="pct"/>
          </w:tcPr>
          <w:p w:rsidR="009B0676" w:rsidRPr="00425612" w:rsidRDefault="00425612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 w:rsidRPr="00425612">
              <w:rPr>
                <w:spacing w:val="-4"/>
                <w:sz w:val="16"/>
                <w:szCs w:val="16"/>
                <w:lang w:val="en-GB"/>
              </w:rPr>
              <w:t xml:space="preserve">Growth of producer prices reached 3.5% in the EU.  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76290D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  <w:r w:rsidRPr="002133D5">
              <w:rPr>
                <w:spacing w:val="-4"/>
                <w:lang w:val="en-GB"/>
              </w:rPr>
              <w:t>Gradual slowdown of the growth of prices of industrial producers did not avoid even</w:t>
            </w:r>
            <w:r w:rsidR="0004442E" w:rsidRPr="002133D5">
              <w:rPr>
                <w:spacing w:val="-4"/>
                <w:lang w:val="en-GB"/>
              </w:rPr>
              <w:t xml:space="preserve"> </w:t>
            </w:r>
            <w:r w:rsidRPr="002133D5">
              <w:rPr>
                <w:spacing w:val="-4"/>
                <w:lang w:val="en-GB"/>
              </w:rPr>
              <w:t xml:space="preserve">the European Union </w:t>
            </w:r>
            <w:r w:rsidR="00D26E27" w:rsidRPr="002133D5">
              <w:rPr>
                <w:spacing w:val="-4"/>
                <w:lang w:val="en-GB"/>
              </w:rPr>
              <w:t>(EU28)</w:t>
            </w:r>
            <w:r w:rsidR="009B0676" w:rsidRPr="002133D5">
              <w:rPr>
                <w:spacing w:val="-4"/>
                <w:lang w:val="en-GB"/>
              </w:rPr>
              <w:t xml:space="preserve">. </w:t>
            </w:r>
            <w:r w:rsidRPr="002133D5">
              <w:rPr>
                <w:spacing w:val="-4"/>
                <w:lang w:val="en-GB"/>
              </w:rPr>
              <w:t>Industrial producer index here increased by 3.</w:t>
            </w:r>
            <w:r w:rsidR="007430BF" w:rsidRPr="002133D5">
              <w:rPr>
                <w:spacing w:val="-4"/>
                <w:lang w:val="en-GB"/>
              </w:rPr>
              <w:t>6%</w:t>
            </w:r>
            <w:r w:rsidRPr="002133D5">
              <w:rPr>
                <w:spacing w:val="-4"/>
                <w:lang w:val="en-GB"/>
              </w:rPr>
              <w:t xml:space="preserve"> in 2017. </w:t>
            </w:r>
            <w:r w:rsidR="007430BF" w:rsidRPr="002133D5">
              <w:rPr>
                <w:spacing w:val="-4"/>
                <w:lang w:val="en-GB"/>
              </w:rPr>
              <w:t xml:space="preserve">While the growth of prices reached 5.0% in Q1, it was 2.9% year-on-year in the last quarter. The index grew the fastest in Belgium </w:t>
            </w:r>
            <w:r w:rsidR="009B0676" w:rsidRPr="002133D5">
              <w:rPr>
                <w:spacing w:val="-4"/>
              </w:rPr>
              <w:t>(</w:t>
            </w:r>
            <w:r w:rsidR="00D26E27" w:rsidRPr="002133D5">
              <w:rPr>
                <w:spacing w:val="-4"/>
                <w:lang w:val="en-GB"/>
              </w:rPr>
              <w:t>8</w:t>
            </w:r>
            <w:r w:rsidR="007430BF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9%), </w:t>
            </w:r>
            <w:r w:rsidR="007430BF" w:rsidRPr="002133D5">
              <w:rPr>
                <w:spacing w:val="-4"/>
                <w:lang w:val="en-GB"/>
              </w:rPr>
              <w:t xml:space="preserve">Great Britain </w:t>
            </w:r>
            <w:r w:rsidR="009B0676" w:rsidRPr="002133D5">
              <w:rPr>
                <w:spacing w:val="-4"/>
                <w:lang w:val="en-GB"/>
              </w:rPr>
              <w:t>(6</w:t>
            </w:r>
            <w:r w:rsidR="007430BF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2%)</w:t>
            </w:r>
            <w:r w:rsidR="003E7F69" w:rsidRPr="002133D5">
              <w:rPr>
                <w:spacing w:val="-4"/>
                <w:lang w:val="en-GB"/>
              </w:rPr>
              <w:t xml:space="preserve"> a</w:t>
            </w:r>
            <w:r w:rsidR="007430BF" w:rsidRPr="002133D5">
              <w:rPr>
                <w:spacing w:val="-4"/>
                <w:lang w:val="en-GB"/>
              </w:rPr>
              <w:t xml:space="preserve">nd Poland </w:t>
            </w:r>
            <w:r w:rsidR="009B0676" w:rsidRPr="002133D5">
              <w:rPr>
                <w:spacing w:val="-4"/>
                <w:lang w:val="en-GB"/>
              </w:rPr>
              <w:t>(</w:t>
            </w:r>
            <w:r w:rsidR="00D26E27" w:rsidRPr="002133D5">
              <w:rPr>
                <w:spacing w:val="-4"/>
                <w:lang w:val="en-GB"/>
              </w:rPr>
              <w:t>4</w:t>
            </w:r>
            <w:r w:rsidR="007430BF" w:rsidRPr="002133D5">
              <w:rPr>
                <w:spacing w:val="-4"/>
                <w:lang w:val="en-GB"/>
              </w:rPr>
              <w:t>.</w:t>
            </w:r>
            <w:r w:rsidR="001520AF" w:rsidRPr="002133D5">
              <w:rPr>
                <w:spacing w:val="-4"/>
                <w:lang w:val="en-GB"/>
              </w:rPr>
              <w:t>7</w:t>
            </w:r>
            <w:r w:rsidR="009B0676" w:rsidRPr="002133D5">
              <w:rPr>
                <w:spacing w:val="-4"/>
                <w:lang w:val="en-GB"/>
              </w:rPr>
              <w:t>%)</w:t>
            </w:r>
            <w:r w:rsidR="007430BF" w:rsidRPr="002133D5">
              <w:rPr>
                <w:spacing w:val="-4"/>
                <w:lang w:val="en-GB"/>
              </w:rPr>
              <w:t xml:space="preserve"> in 2017</w:t>
            </w:r>
            <w:r w:rsidR="009B0676" w:rsidRPr="002133D5">
              <w:rPr>
                <w:spacing w:val="-4"/>
                <w:lang w:val="en-GB"/>
              </w:rPr>
              <w:t xml:space="preserve">. </w:t>
            </w:r>
            <w:r w:rsidR="007430BF" w:rsidRPr="002133D5">
              <w:rPr>
                <w:spacing w:val="-4"/>
                <w:lang w:val="en-GB"/>
              </w:rPr>
              <w:t>The Czech Republic belonged among countries with the lowest growth of the industrial producer</w:t>
            </w:r>
            <w:r w:rsidR="001350B3" w:rsidRPr="002133D5">
              <w:rPr>
                <w:spacing w:val="-4"/>
                <w:lang w:val="en-GB"/>
              </w:rPr>
              <w:t xml:space="preserve"> prices</w:t>
            </w:r>
            <w:r w:rsidR="007430BF" w:rsidRPr="002133D5">
              <w:rPr>
                <w:spacing w:val="-4"/>
                <w:lang w:val="en-GB"/>
              </w:rPr>
              <w:t xml:space="preserve">. The prices grew slower only in Luxembourg </w:t>
            </w:r>
            <w:r w:rsidR="009B0676" w:rsidRPr="002133D5">
              <w:rPr>
                <w:spacing w:val="-4"/>
                <w:lang w:val="en-GB"/>
              </w:rPr>
              <w:t>(-</w:t>
            </w:r>
            <w:r w:rsidR="001520AF" w:rsidRPr="002133D5">
              <w:rPr>
                <w:spacing w:val="-4"/>
                <w:lang w:val="en-GB"/>
              </w:rPr>
              <w:t>1</w:t>
            </w:r>
            <w:r w:rsidR="007430BF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9%), </w:t>
            </w:r>
            <w:r w:rsidR="007430BF" w:rsidRPr="002133D5">
              <w:rPr>
                <w:spacing w:val="-4"/>
                <w:lang w:val="en-GB"/>
              </w:rPr>
              <w:t>Malta (</w:t>
            </w:r>
            <w:r w:rsidR="009B0676" w:rsidRPr="002133D5">
              <w:rPr>
                <w:spacing w:val="-4"/>
                <w:lang w:val="en-GB"/>
              </w:rPr>
              <w:t>0</w:t>
            </w:r>
            <w:r w:rsidR="007430BF" w:rsidRPr="002133D5">
              <w:rPr>
                <w:spacing w:val="-4"/>
                <w:lang w:val="en-GB"/>
              </w:rPr>
              <w:t>.</w:t>
            </w:r>
            <w:r w:rsidR="001520AF" w:rsidRPr="002133D5">
              <w:rPr>
                <w:spacing w:val="-4"/>
                <w:lang w:val="en-GB"/>
              </w:rPr>
              <w:t>7</w:t>
            </w:r>
            <w:r w:rsidR="009B0676" w:rsidRPr="002133D5">
              <w:rPr>
                <w:spacing w:val="-4"/>
                <w:lang w:val="en-GB"/>
              </w:rPr>
              <w:t>%) a</w:t>
            </w:r>
            <w:r w:rsidR="007430BF" w:rsidRPr="002133D5">
              <w:rPr>
                <w:spacing w:val="-4"/>
                <w:lang w:val="en-GB"/>
              </w:rPr>
              <w:t>nd Slovenia (</w:t>
            </w:r>
            <w:r w:rsidR="009B0676" w:rsidRPr="002133D5">
              <w:rPr>
                <w:spacing w:val="-4"/>
                <w:lang w:val="en-GB"/>
              </w:rPr>
              <w:t>1</w:t>
            </w:r>
            <w:r w:rsidR="007430BF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3%)</w:t>
            </w:r>
            <w:r w:rsidR="007430BF" w:rsidRPr="002133D5">
              <w:rPr>
                <w:spacing w:val="-4"/>
                <w:lang w:val="en-GB"/>
              </w:rPr>
              <w:t xml:space="preserve"> in 2017</w:t>
            </w:r>
            <w:r w:rsidR="009B0676" w:rsidRPr="002133D5">
              <w:rPr>
                <w:spacing w:val="-4"/>
                <w:lang w:val="en-GB"/>
              </w:rPr>
              <w:t>.</w:t>
            </w:r>
          </w:p>
          <w:p w:rsidR="009B0676" w:rsidRDefault="009B0676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  <w:p w:rsidR="00B35B5B" w:rsidRDefault="00B35B5B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  <w:p w:rsidR="00280D8A" w:rsidRDefault="00280D8A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  <w:p w:rsidR="00280D8A" w:rsidRPr="002133D5" w:rsidRDefault="00280D8A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CF56A8" w:rsidP="006C3DC1">
            <w:pPr>
              <w:pStyle w:val="Textpoznpodarou"/>
              <w:ind w:right="-35"/>
              <w:jc w:val="both"/>
              <w:rPr>
                <w:spacing w:val="-4"/>
              </w:rPr>
            </w:pPr>
            <w:r>
              <w:rPr>
                <w:spacing w:val="-4"/>
              </w:rPr>
              <w:t>Chart 13</w:t>
            </w:r>
          </w:p>
        </w:tc>
        <w:tc>
          <w:tcPr>
            <w:tcW w:w="3261" w:type="pct"/>
          </w:tcPr>
          <w:p w:rsidR="00DD0726" w:rsidRPr="007430BF" w:rsidRDefault="007430BF" w:rsidP="006C3DC1">
            <w:pPr>
              <w:pStyle w:val="Textpoznpodarou"/>
              <w:ind w:right="-35"/>
              <w:rPr>
                <w:spacing w:val="-4"/>
                <w:lang w:val="en-GB"/>
              </w:rPr>
            </w:pPr>
            <w:r w:rsidRPr="007430BF">
              <w:rPr>
                <w:b/>
                <w:spacing w:val="-4"/>
                <w:lang w:val="en-GB" w:eastAsia="en-US"/>
              </w:rPr>
              <w:t xml:space="preserve">Prices of main groups of industrial producers </w:t>
            </w:r>
            <w:r w:rsidR="00DD0726" w:rsidRPr="007430BF">
              <w:rPr>
                <w:spacing w:val="-4"/>
                <w:lang w:val="en-GB" w:eastAsia="en-US"/>
              </w:rPr>
              <w:t>(</w:t>
            </w:r>
            <w:r w:rsidRPr="007430BF">
              <w:rPr>
                <w:spacing w:val="-4"/>
                <w:lang w:val="en-GB" w:eastAsia="en-US"/>
              </w:rPr>
              <w:t>year-on-</w:t>
            </w:r>
            <w:r w:rsidR="001350B3">
              <w:rPr>
                <w:spacing w:val="-4"/>
                <w:lang w:val="en-GB" w:eastAsia="en-US"/>
              </w:rPr>
              <w:t>y</w:t>
            </w:r>
            <w:r w:rsidRPr="007430BF">
              <w:rPr>
                <w:spacing w:val="-4"/>
                <w:lang w:val="en-GB" w:eastAsia="en-US"/>
              </w:rPr>
              <w:t xml:space="preserve">ear change, in </w:t>
            </w:r>
            <w:r w:rsidR="00DD0726" w:rsidRPr="007430BF">
              <w:rPr>
                <w:spacing w:val="-4"/>
                <w:lang w:val="en-GB" w:eastAsia="en-US"/>
              </w:rPr>
              <w:t xml:space="preserve">%, </w:t>
            </w:r>
            <w:r w:rsidRPr="007430BF">
              <w:rPr>
                <w:spacing w:val="-4"/>
                <w:lang w:val="en-GB" w:eastAsia="en-US"/>
              </w:rPr>
              <w:t>based on CZ-CPA classification</w:t>
            </w:r>
            <w:r w:rsidR="00DD0726" w:rsidRPr="007430BF">
              <w:rPr>
                <w:spacing w:val="-4"/>
                <w:lang w:val="en-GB" w:eastAsia="en-US"/>
              </w:rPr>
              <w:t>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BD345F" w:rsidP="006C3DC1">
            <w:pPr>
              <w:pStyle w:val="Textpoznpodarou"/>
              <w:ind w:left="-54" w:right="-35"/>
              <w:jc w:val="both"/>
              <w:rPr>
                <w:spacing w:val="-4"/>
              </w:rPr>
            </w:pPr>
            <w:r w:rsidRPr="00BD345F">
              <w:rPr>
                <w:noProof/>
                <w:spacing w:val="-4"/>
              </w:rPr>
              <w:drawing>
                <wp:inline distT="0" distB="0" distL="0" distR="0">
                  <wp:extent cx="4735902" cy="3420000"/>
                  <wp:effectExtent l="0" t="0" r="0" b="0"/>
                  <wp:docPr id="1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DD0726" w:rsidRDefault="00185D5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Source</w:t>
            </w:r>
            <w:r w:rsidR="00DD0726" w:rsidRPr="00F81A26">
              <w:rPr>
                <w:spacing w:val="-4"/>
                <w:sz w:val="14"/>
                <w:szCs w:val="14"/>
              </w:rPr>
              <w:t xml:space="preserve">: </w:t>
            </w:r>
            <w:r>
              <w:rPr>
                <w:spacing w:val="-4"/>
                <w:sz w:val="14"/>
                <w:szCs w:val="14"/>
              </w:rPr>
              <w:t>CZSO</w:t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B05A37" w:rsidRDefault="00B05A37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 w:rsidRPr="00B05A37">
              <w:rPr>
                <w:spacing w:val="-4"/>
                <w:sz w:val="16"/>
                <w:szCs w:val="16"/>
                <w:lang w:val="en-GB"/>
              </w:rPr>
              <w:t>Agriculture producer prices grew the most out of the monitored price indices.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B05A37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  <w:r w:rsidRPr="002133D5">
              <w:rPr>
                <w:spacing w:val="-4"/>
                <w:lang w:val="en-GB"/>
              </w:rPr>
              <w:t>Prices of agricultural producers grew by 7.3% in 2017. It is the most since 2011. At the same time, it represents a significant change against the falls in years 2014-2016. The price dynamics reached its peak in Q3, but the year-on-year increase arrived at relatively high value of 8.</w:t>
            </w:r>
            <w:r w:rsidR="00B17335" w:rsidRPr="002133D5">
              <w:rPr>
                <w:spacing w:val="-4"/>
                <w:lang w:val="en-GB"/>
              </w:rPr>
              <w:t>0</w:t>
            </w:r>
            <w:r w:rsidRPr="002133D5">
              <w:rPr>
                <w:spacing w:val="-4"/>
                <w:lang w:val="en-GB"/>
              </w:rPr>
              <w:t xml:space="preserve">% also, in the last quarter. Prices grew in both animal and plant production. In plant production, they increased by 1.7% in 2017. Increase of the prices of fruit and vegetables by 6.3% contributed (price index excluding vegetables rose only by 1.1%). </w:t>
            </w:r>
            <w:r w:rsidR="009B0676" w:rsidRPr="002133D5">
              <w:rPr>
                <w:spacing w:val="-4"/>
                <w:lang w:val="en-GB"/>
              </w:rPr>
              <w:t xml:space="preserve"> </w:t>
            </w:r>
            <w:r w:rsidR="0032330F" w:rsidRPr="002133D5">
              <w:rPr>
                <w:spacing w:val="-4"/>
                <w:lang w:val="en-GB"/>
              </w:rPr>
              <w:t xml:space="preserve">However, a turn also occurred with the development of prices of cereals (growth by 1.7%), especially wheat </w:t>
            </w:r>
            <w:r w:rsidR="009B0676" w:rsidRPr="002133D5">
              <w:rPr>
                <w:spacing w:val="-4"/>
                <w:lang w:val="en-GB"/>
              </w:rPr>
              <w:t>(3</w:t>
            </w:r>
            <w:r w:rsidR="0032330F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0%) a</w:t>
            </w:r>
            <w:r w:rsidR="0032330F" w:rsidRPr="002133D5">
              <w:rPr>
                <w:spacing w:val="-4"/>
                <w:lang w:val="en-GB"/>
              </w:rPr>
              <w:t xml:space="preserve">nd rye </w:t>
            </w:r>
            <w:r w:rsidR="009B0676" w:rsidRPr="002133D5">
              <w:rPr>
                <w:spacing w:val="-4"/>
                <w:lang w:val="en-GB"/>
              </w:rPr>
              <w:t>(2</w:t>
            </w:r>
            <w:r w:rsidR="0032330F" w:rsidRPr="002133D5">
              <w:rPr>
                <w:spacing w:val="-4"/>
                <w:lang w:val="en-GB"/>
              </w:rPr>
              <w:t>.</w:t>
            </w:r>
            <w:r w:rsidR="00323486" w:rsidRPr="002133D5">
              <w:rPr>
                <w:spacing w:val="-4"/>
                <w:lang w:val="en-GB"/>
              </w:rPr>
              <w:t>3</w:t>
            </w:r>
            <w:r w:rsidR="009B0676" w:rsidRPr="002133D5">
              <w:rPr>
                <w:spacing w:val="-4"/>
                <w:lang w:val="en-GB"/>
              </w:rPr>
              <w:t xml:space="preserve">%). </w:t>
            </w:r>
            <w:r w:rsidR="0032330F" w:rsidRPr="002133D5">
              <w:rPr>
                <w:spacing w:val="-4"/>
                <w:lang w:val="en-GB"/>
              </w:rPr>
              <w:t xml:space="preserve">Prices of oil plants increased after four years of declines </w:t>
            </w:r>
            <w:r w:rsidR="009B0676" w:rsidRPr="002133D5">
              <w:rPr>
                <w:spacing w:val="-4"/>
                <w:lang w:val="en-GB"/>
              </w:rPr>
              <w:t>(</w:t>
            </w:r>
            <w:r w:rsidR="00323486" w:rsidRPr="002133D5">
              <w:rPr>
                <w:spacing w:val="-4"/>
                <w:lang w:val="en-GB"/>
              </w:rPr>
              <w:t>4</w:t>
            </w:r>
            <w:r w:rsidR="0032330F" w:rsidRPr="002133D5">
              <w:rPr>
                <w:spacing w:val="-4"/>
                <w:lang w:val="en-GB"/>
              </w:rPr>
              <w:t>.</w:t>
            </w:r>
            <w:r w:rsidR="00323486" w:rsidRPr="002133D5">
              <w:rPr>
                <w:spacing w:val="-4"/>
                <w:lang w:val="en-GB"/>
              </w:rPr>
              <w:t>1</w:t>
            </w:r>
            <w:r w:rsidR="009B0676" w:rsidRPr="002133D5">
              <w:rPr>
                <w:spacing w:val="-4"/>
                <w:lang w:val="en-GB"/>
              </w:rPr>
              <w:t xml:space="preserve">%). </w:t>
            </w:r>
            <w:r w:rsidR="001F3D52" w:rsidRPr="002133D5">
              <w:rPr>
                <w:spacing w:val="-4"/>
                <w:lang w:val="en-GB"/>
              </w:rPr>
              <w:t>The acceleration of the growth of prices of oilseed rape contributed 4.</w:t>
            </w:r>
            <w:r w:rsidR="009B0676" w:rsidRPr="002133D5">
              <w:rPr>
                <w:spacing w:val="-4"/>
                <w:lang w:val="en-GB"/>
              </w:rPr>
              <w:t xml:space="preserve">4%. </w:t>
            </w:r>
            <w:r w:rsidR="001F3D52" w:rsidRPr="002133D5">
              <w:rPr>
                <w:spacing w:val="-4"/>
                <w:lang w:val="en-GB"/>
              </w:rPr>
              <w:t xml:space="preserve">Animal production added to the total growth of the agricultural products more </w:t>
            </w:r>
            <w:r w:rsidR="009B0676" w:rsidRPr="002133D5">
              <w:rPr>
                <w:spacing w:val="-4"/>
                <w:lang w:val="en-GB"/>
              </w:rPr>
              <w:t>(</w:t>
            </w:r>
            <w:r w:rsidR="001F3D52" w:rsidRPr="002133D5">
              <w:rPr>
                <w:spacing w:val="-4"/>
                <w:lang w:val="en-GB"/>
              </w:rPr>
              <w:t xml:space="preserve">increase of </w:t>
            </w:r>
            <w:r w:rsidR="009B0676" w:rsidRPr="002133D5">
              <w:rPr>
                <w:spacing w:val="-4"/>
                <w:lang w:val="en-GB"/>
              </w:rPr>
              <w:t>1</w:t>
            </w:r>
            <w:r w:rsidR="00323486" w:rsidRPr="002133D5">
              <w:rPr>
                <w:spacing w:val="-4"/>
                <w:lang w:val="en-GB"/>
              </w:rPr>
              <w:t>5</w:t>
            </w:r>
            <w:r w:rsidR="001F3D52" w:rsidRPr="002133D5">
              <w:rPr>
                <w:spacing w:val="-4"/>
                <w:lang w:val="en-GB"/>
              </w:rPr>
              <w:t>.2</w:t>
            </w:r>
            <w:r w:rsidR="009B0676" w:rsidRPr="002133D5">
              <w:rPr>
                <w:spacing w:val="-4"/>
                <w:lang w:val="en-GB"/>
              </w:rPr>
              <w:t xml:space="preserve">%). </w:t>
            </w:r>
            <w:r w:rsidR="005177BB" w:rsidRPr="002133D5">
              <w:rPr>
                <w:spacing w:val="-4"/>
                <w:lang w:val="en-GB"/>
              </w:rPr>
              <w:t xml:space="preserve">Increase of prices of </w:t>
            </w:r>
            <w:r w:rsidR="000A1A47" w:rsidRPr="002133D5">
              <w:rPr>
                <w:spacing w:val="-4"/>
                <w:lang w:val="en-GB"/>
              </w:rPr>
              <w:t xml:space="preserve">livestock participated by </w:t>
            </w:r>
            <w:r w:rsidR="00323486" w:rsidRPr="002133D5">
              <w:rPr>
                <w:spacing w:val="-4"/>
                <w:lang w:val="en-GB"/>
              </w:rPr>
              <w:t>4</w:t>
            </w:r>
            <w:r w:rsidR="000A1A47" w:rsidRPr="002133D5">
              <w:rPr>
                <w:spacing w:val="-4"/>
                <w:lang w:val="en-GB"/>
              </w:rPr>
              <w:t>.</w:t>
            </w:r>
            <w:r w:rsidR="00323486" w:rsidRPr="002133D5">
              <w:rPr>
                <w:spacing w:val="-4"/>
                <w:lang w:val="en-GB"/>
              </w:rPr>
              <w:t>9</w:t>
            </w:r>
            <w:r w:rsidR="009B0676" w:rsidRPr="002133D5">
              <w:rPr>
                <w:spacing w:val="-4"/>
                <w:lang w:val="en-GB"/>
              </w:rPr>
              <w:t>% (</w:t>
            </w:r>
            <w:r w:rsidR="000A1A47" w:rsidRPr="002133D5">
              <w:rPr>
                <w:spacing w:val="-4"/>
                <w:lang w:val="en-GB"/>
              </w:rPr>
              <w:t xml:space="preserve">especially pigs and piglets by 11.2%). However, the increase of prices of animal products by 25.4% was the strongest impulse. Prices of milk rose by 25.8%, prices of eggs by 23.0%. </w:t>
            </w:r>
          </w:p>
          <w:p w:rsidR="009B0676" w:rsidRPr="002133D5" w:rsidRDefault="009B0676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652CF0" w:rsidRDefault="00652CF0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>
              <w:rPr>
                <w:spacing w:val="-4"/>
                <w:sz w:val="16"/>
                <w:szCs w:val="16"/>
                <w:lang w:val="en-GB"/>
              </w:rPr>
              <w:t xml:space="preserve">Market services in the price area recorded recovery. Total growth reached </w:t>
            </w:r>
            <w:r w:rsidR="009B0676" w:rsidRPr="00652CF0">
              <w:rPr>
                <w:spacing w:val="-4"/>
                <w:sz w:val="16"/>
                <w:szCs w:val="16"/>
                <w:lang w:val="en-GB"/>
              </w:rPr>
              <w:t>1</w:t>
            </w:r>
            <w:r>
              <w:rPr>
                <w:spacing w:val="-4"/>
                <w:sz w:val="16"/>
                <w:szCs w:val="16"/>
                <w:lang w:val="en-GB"/>
              </w:rPr>
              <w:t>.</w:t>
            </w:r>
            <w:r w:rsidR="009B0676" w:rsidRPr="00652CF0">
              <w:rPr>
                <w:spacing w:val="-4"/>
                <w:sz w:val="16"/>
                <w:szCs w:val="16"/>
                <w:lang w:val="en-GB"/>
              </w:rPr>
              <w:t>3%.</w:t>
            </w:r>
          </w:p>
        </w:tc>
        <w:tc>
          <w:tcPr>
            <w:tcW w:w="144" w:type="pct"/>
          </w:tcPr>
          <w:p w:rsidR="009B0676" w:rsidRPr="00652CF0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652CF0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  <w:r w:rsidRPr="002133D5">
              <w:rPr>
                <w:spacing w:val="-4"/>
                <w:lang w:val="en-GB"/>
              </w:rPr>
              <w:t>Prices of market services likely broke the stagnation lasting practically since 2010 in 2017. The prices rose by 1.3%, that is the most since year 2009.</w:t>
            </w:r>
            <w:r w:rsidR="009B0676" w:rsidRPr="002133D5">
              <w:rPr>
                <w:spacing w:val="-4"/>
                <w:lang w:val="en-GB"/>
              </w:rPr>
              <w:t xml:space="preserve"> </w:t>
            </w:r>
            <w:r w:rsidR="009D4076" w:rsidRPr="002133D5">
              <w:rPr>
                <w:spacing w:val="-4"/>
                <w:lang w:val="en-GB"/>
              </w:rPr>
              <w:t>At the same time the growth was accelerati</w:t>
            </w:r>
            <w:r w:rsidR="00CD2DA6" w:rsidRPr="002133D5">
              <w:rPr>
                <w:spacing w:val="-4"/>
                <w:lang w:val="en-GB"/>
              </w:rPr>
              <w:t>ng</w:t>
            </w:r>
            <w:r w:rsidR="009D4076" w:rsidRPr="002133D5">
              <w:rPr>
                <w:spacing w:val="-4"/>
                <w:lang w:val="en-GB"/>
              </w:rPr>
              <w:t xml:space="preserve"> during the year – it reached 1.7% in Q4. </w:t>
            </w:r>
            <w:r w:rsidR="00171E6C" w:rsidRPr="002133D5">
              <w:rPr>
                <w:spacing w:val="-4"/>
                <w:lang w:val="en-GB"/>
              </w:rPr>
              <w:t xml:space="preserve">Towards the end of the year, the year-on-year growth of prices of individual services also accelerated. Among the weight significant items, mainly the prices of advertising services and market research increased by 2.7% </w:t>
            </w:r>
            <w:r w:rsidR="009B0676" w:rsidRPr="002133D5">
              <w:rPr>
                <w:spacing w:val="-4"/>
                <w:lang w:val="en-GB"/>
              </w:rPr>
              <w:t>(</w:t>
            </w:r>
            <w:r w:rsidR="00171E6C" w:rsidRPr="002133D5">
              <w:rPr>
                <w:spacing w:val="-4"/>
                <w:lang w:val="en-GB"/>
              </w:rPr>
              <w:t>by 4.1% in Q</w:t>
            </w:r>
            <w:r w:rsidR="009B0676" w:rsidRPr="002133D5">
              <w:rPr>
                <w:spacing w:val="-4"/>
                <w:lang w:val="en-GB"/>
              </w:rPr>
              <w:t>4)</w:t>
            </w:r>
            <w:r w:rsidR="00171E6C" w:rsidRPr="002133D5">
              <w:rPr>
                <w:spacing w:val="-4"/>
                <w:lang w:val="en-GB"/>
              </w:rPr>
              <w:t xml:space="preserve"> last year</w:t>
            </w:r>
            <w:r w:rsidR="009B0676" w:rsidRPr="002133D5">
              <w:rPr>
                <w:spacing w:val="-4"/>
                <w:lang w:val="en-GB"/>
              </w:rPr>
              <w:t xml:space="preserve">. </w:t>
            </w:r>
            <w:r w:rsidR="00171E6C" w:rsidRPr="002133D5">
              <w:rPr>
                <w:spacing w:val="-4"/>
                <w:lang w:val="en-GB"/>
              </w:rPr>
              <w:t>Architectural and engineering se</w:t>
            </w:r>
            <w:r w:rsidR="00CD2DA6" w:rsidRPr="002133D5">
              <w:rPr>
                <w:spacing w:val="-4"/>
                <w:lang w:val="en-GB"/>
              </w:rPr>
              <w:t xml:space="preserve">rvices </w:t>
            </w:r>
            <w:r w:rsidR="00171E6C" w:rsidRPr="002133D5">
              <w:rPr>
                <w:spacing w:val="-4"/>
                <w:lang w:val="en-GB"/>
              </w:rPr>
              <w:t xml:space="preserve">and technical testing and analysis in total increased prices by </w:t>
            </w:r>
            <w:r w:rsidR="009B0676" w:rsidRPr="002133D5">
              <w:rPr>
                <w:spacing w:val="-4"/>
                <w:lang w:val="en-GB"/>
              </w:rPr>
              <w:t>1</w:t>
            </w:r>
            <w:r w:rsidR="00171E6C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4% (</w:t>
            </w:r>
            <w:r w:rsidR="00171E6C" w:rsidRPr="002133D5">
              <w:rPr>
                <w:spacing w:val="-4"/>
                <w:lang w:val="en-GB"/>
              </w:rPr>
              <w:t xml:space="preserve">by </w:t>
            </w:r>
            <w:r w:rsidR="009B0676" w:rsidRPr="002133D5">
              <w:rPr>
                <w:spacing w:val="-4"/>
                <w:lang w:val="en-GB"/>
              </w:rPr>
              <w:t>3</w:t>
            </w:r>
            <w:r w:rsidR="00171E6C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0% </w:t>
            </w:r>
            <w:r w:rsidR="00171E6C" w:rsidRPr="002133D5">
              <w:rPr>
                <w:spacing w:val="-4"/>
                <w:lang w:val="en-GB"/>
              </w:rPr>
              <w:t>in Q</w:t>
            </w:r>
            <w:r w:rsidR="009B0676" w:rsidRPr="002133D5">
              <w:rPr>
                <w:spacing w:val="-4"/>
                <w:lang w:val="en-GB"/>
              </w:rPr>
              <w:t xml:space="preserve">4). </w:t>
            </w:r>
            <w:r w:rsidR="00DE74A8" w:rsidRPr="002133D5">
              <w:rPr>
                <w:spacing w:val="-4"/>
                <w:lang w:val="en-GB"/>
              </w:rPr>
              <w:t>Total development affected in the positive direction also the increase of prices of services in the area of programming and advisory by 1.3% in</w:t>
            </w:r>
            <w:r w:rsidR="009B0676" w:rsidRPr="002133D5">
              <w:rPr>
                <w:spacing w:val="-4"/>
                <w:lang w:val="en-GB"/>
              </w:rPr>
              <w:t xml:space="preserve"> 2017 (1</w:t>
            </w:r>
            <w:r w:rsidR="00DE74A8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8% </w:t>
            </w:r>
            <w:r w:rsidR="00DE74A8" w:rsidRPr="002133D5">
              <w:rPr>
                <w:spacing w:val="-4"/>
                <w:lang w:val="en-GB"/>
              </w:rPr>
              <w:t>in Q</w:t>
            </w:r>
            <w:r w:rsidR="009B0676" w:rsidRPr="002133D5">
              <w:rPr>
                <w:spacing w:val="-4"/>
                <w:lang w:val="en-GB"/>
              </w:rPr>
              <w:t>4).</w:t>
            </w:r>
          </w:p>
          <w:p w:rsidR="002133D5" w:rsidRPr="002133D5" w:rsidRDefault="002133D5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5F5A4E" w:rsidRDefault="005F5A4E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  <w:lang w:val="en-GB"/>
              </w:rPr>
            </w:pPr>
            <w:r>
              <w:rPr>
                <w:spacing w:val="-4"/>
                <w:sz w:val="16"/>
                <w:szCs w:val="16"/>
                <w:lang w:val="en-GB"/>
              </w:rPr>
              <w:t>Export prices grew in the first half of the year, they however sank in H2</w:t>
            </w:r>
            <w:r w:rsidR="00CD2DA6">
              <w:rPr>
                <w:spacing w:val="-4"/>
                <w:sz w:val="16"/>
                <w:szCs w:val="16"/>
                <w:lang w:val="en-GB"/>
              </w:rPr>
              <w:t>.</w:t>
            </w:r>
          </w:p>
        </w:tc>
        <w:tc>
          <w:tcPr>
            <w:tcW w:w="144" w:type="pct"/>
          </w:tcPr>
          <w:p w:rsidR="009B0676" w:rsidRPr="005F5A4E" w:rsidRDefault="009B0676" w:rsidP="006E4368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3841" w:type="pct"/>
            <w:gridSpan w:val="2"/>
          </w:tcPr>
          <w:p w:rsidR="009B0676" w:rsidRPr="002133D5" w:rsidRDefault="007E5036" w:rsidP="006E4368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  <w:lang w:val="en-GB"/>
              </w:rPr>
            </w:pPr>
            <w:r w:rsidRPr="002133D5">
              <w:rPr>
                <w:spacing w:val="-4"/>
                <w:lang w:val="en-GB"/>
              </w:rPr>
              <w:t xml:space="preserve">Export prices fell in total year-on-year by 0.1% in </w:t>
            </w:r>
            <w:r w:rsidR="009B0676" w:rsidRPr="002133D5">
              <w:rPr>
                <w:spacing w:val="-4"/>
                <w:lang w:val="en-GB"/>
              </w:rPr>
              <w:t xml:space="preserve">2017. </w:t>
            </w:r>
            <w:r w:rsidRPr="002133D5">
              <w:rPr>
                <w:spacing w:val="-4"/>
                <w:lang w:val="en-GB"/>
              </w:rPr>
              <w:t>The year-on-year dynamics w</w:t>
            </w:r>
            <w:r w:rsidR="00CD2DA6" w:rsidRPr="002133D5">
              <w:rPr>
                <w:spacing w:val="-4"/>
                <w:lang w:val="en-GB"/>
              </w:rPr>
              <w:t>ere</w:t>
            </w:r>
            <w:r w:rsidRPr="002133D5">
              <w:rPr>
                <w:spacing w:val="-4"/>
                <w:lang w:val="en-GB"/>
              </w:rPr>
              <w:t xml:space="preserve"> positive in the </w:t>
            </w:r>
            <w:r w:rsidR="00C6517A" w:rsidRPr="002133D5">
              <w:rPr>
                <w:spacing w:val="-4"/>
                <w:lang w:val="en-GB"/>
              </w:rPr>
              <w:t>first</w:t>
            </w:r>
            <w:r w:rsidRPr="002133D5">
              <w:rPr>
                <w:spacing w:val="-4"/>
                <w:lang w:val="en-GB"/>
              </w:rPr>
              <w:t xml:space="preserve"> half of the year, the prices were falling year-in-year in H2. </w:t>
            </w:r>
            <w:r w:rsidR="00C6517A" w:rsidRPr="002133D5">
              <w:rPr>
                <w:spacing w:val="-4"/>
                <w:lang w:val="en-GB"/>
              </w:rPr>
              <w:t xml:space="preserve">Especially the prices of exported machines and transport equipment </w:t>
            </w:r>
            <w:r w:rsidR="008F1723" w:rsidRPr="002133D5">
              <w:rPr>
                <w:spacing w:val="-4"/>
                <w:lang w:val="en-GB"/>
              </w:rPr>
              <w:t>(-2</w:t>
            </w:r>
            <w:r w:rsidR="00C6517A" w:rsidRPr="002133D5">
              <w:rPr>
                <w:spacing w:val="-4"/>
                <w:lang w:val="en-GB"/>
              </w:rPr>
              <w:t>.</w:t>
            </w:r>
            <w:r w:rsidR="008F1723" w:rsidRPr="002133D5">
              <w:rPr>
                <w:spacing w:val="-4"/>
                <w:lang w:val="en-GB"/>
              </w:rPr>
              <w:t>2</w:t>
            </w:r>
            <w:r w:rsidR="009B0676" w:rsidRPr="002133D5">
              <w:rPr>
                <w:spacing w:val="-4"/>
                <w:lang w:val="en-GB"/>
              </w:rPr>
              <w:t>%)</w:t>
            </w:r>
            <w:r w:rsidR="00C6517A" w:rsidRPr="002133D5">
              <w:rPr>
                <w:spacing w:val="-4"/>
                <w:lang w:val="en-GB"/>
              </w:rPr>
              <w:t xml:space="preserve"> and industrial consumer goods </w:t>
            </w:r>
            <w:r w:rsidR="008F1723" w:rsidRPr="002133D5">
              <w:rPr>
                <w:spacing w:val="-4"/>
                <w:lang w:val="en-GB"/>
              </w:rPr>
              <w:t>(-1</w:t>
            </w:r>
            <w:r w:rsidR="00C6517A" w:rsidRPr="002133D5">
              <w:rPr>
                <w:spacing w:val="-4"/>
                <w:lang w:val="en-GB"/>
              </w:rPr>
              <w:t>.</w:t>
            </w:r>
            <w:r w:rsidR="008F1723" w:rsidRPr="002133D5">
              <w:rPr>
                <w:spacing w:val="-4"/>
                <w:lang w:val="en-GB"/>
              </w:rPr>
              <w:t>0</w:t>
            </w:r>
            <w:r w:rsidR="009B0676" w:rsidRPr="002133D5">
              <w:rPr>
                <w:spacing w:val="-4"/>
                <w:lang w:val="en-GB"/>
              </w:rPr>
              <w:t>%)</w:t>
            </w:r>
            <w:r w:rsidR="00C6517A" w:rsidRPr="002133D5">
              <w:rPr>
                <w:spacing w:val="-4"/>
                <w:lang w:val="en-GB"/>
              </w:rPr>
              <w:t xml:space="preserve"> were sinking in 2017</w:t>
            </w:r>
            <w:r w:rsidR="009B0676" w:rsidRPr="002133D5">
              <w:rPr>
                <w:spacing w:val="-4"/>
                <w:lang w:val="en-GB"/>
              </w:rPr>
              <w:t xml:space="preserve">. </w:t>
            </w:r>
            <w:r w:rsidR="00C6517A" w:rsidRPr="002133D5">
              <w:rPr>
                <w:spacing w:val="-4"/>
                <w:lang w:val="en-GB"/>
              </w:rPr>
              <w:t>In contrast, the prices of export of mineral fuels (16.3%) and other materials (10.3%) were markedly growing. Prices of imports in total increased by 0.9% year-on-year in 2017.</w:t>
            </w:r>
            <w:r w:rsidR="00CD2DA6" w:rsidRPr="002133D5">
              <w:rPr>
                <w:spacing w:val="-4"/>
                <w:lang w:val="en-GB"/>
              </w:rPr>
              <w:t xml:space="preserve"> </w:t>
            </w:r>
            <w:r w:rsidR="00C6517A" w:rsidRPr="002133D5">
              <w:rPr>
                <w:spacing w:val="-4"/>
                <w:lang w:val="en-GB"/>
              </w:rPr>
              <w:t xml:space="preserve">Similarly to exports, the prices of mineral fuels </w:t>
            </w:r>
            <w:r w:rsidR="009B0676" w:rsidRPr="002133D5">
              <w:rPr>
                <w:spacing w:val="-4"/>
                <w:lang w:val="en-GB"/>
              </w:rPr>
              <w:t>(13</w:t>
            </w:r>
            <w:r w:rsidR="00C6517A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9%) </w:t>
            </w:r>
            <w:r w:rsidR="00C6517A" w:rsidRPr="002133D5">
              <w:rPr>
                <w:spacing w:val="-4"/>
                <w:lang w:val="en-GB"/>
              </w:rPr>
              <w:t xml:space="preserve">as well as other materials </w:t>
            </w:r>
            <w:r w:rsidR="009B0676" w:rsidRPr="002133D5">
              <w:rPr>
                <w:spacing w:val="-4"/>
                <w:lang w:val="en-GB"/>
              </w:rPr>
              <w:t>(10</w:t>
            </w:r>
            <w:r w:rsidR="00C6517A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3%)</w:t>
            </w:r>
            <w:r w:rsidR="00C6517A" w:rsidRPr="002133D5">
              <w:rPr>
                <w:spacing w:val="-4"/>
                <w:lang w:val="en-GB"/>
              </w:rPr>
              <w:t xml:space="preserve"> were growing and machines and transport equipment (-2.9%), industrial consumption goods (-2.2%) and animal and plant oils (2.6%) worked in the direction of fall in 2017. The terms of </w:t>
            </w:r>
            <w:r w:rsidR="00C6517A" w:rsidRPr="002133D5">
              <w:rPr>
                <w:spacing w:val="-4"/>
                <w:lang w:val="en-GB"/>
              </w:rPr>
              <w:lastRenderedPageBreak/>
              <w:t>trade were 99.0% in 2</w:t>
            </w:r>
            <w:r w:rsidR="009B0676" w:rsidRPr="002133D5">
              <w:rPr>
                <w:spacing w:val="-4"/>
                <w:lang w:val="en-GB"/>
              </w:rPr>
              <w:t>017</w:t>
            </w:r>
            <w:r w:rsidR="00D45B52" w:rsidRPr="002133D5">
              <w:rPr>
                <w:spacing w:val="-4"/>
                <w:lang w:val="en-GB"/>
              </w:rPr>
              <w:t xml:space="preserve">. Trade with animal and plant oils </w:t>
            </w:r>
            <w:r w:rsidR="009B0676" w:rsidRPr="002133D5">
              <w:rPr>
                <w:spacing w:val="-4"/>
                <w:lang w:val="en-GB"/>
              </w:rPr>
              <w:t>(105</w:t>
            </w:r>
            <w:r w:rsidR="00D45B52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6%), </w:t>
            </w:r>
            <w:r w:rsidR="00D45B52" w:rsidRPr="002133D5">
              <w:rPr>
                <w:spacing w:val="-4"/>
                <w:lang w:val="en-GB"/>
              </w:rPr>
              <w:t xml:space="preserve">mineral fuels </w:t>
            </w:r>
            <w:r w:rsidR="009B0676" w:rsidRPr="002133D5">
              <w:rPr>
                <w:spacing w:val="-4"/>
                <w:lang w:val="en-GB"/>
              </w:rPr>
              <w:t>(102</w:t>
            </w:r>
            <w:r w:rsidR="00D45B52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1%), </w:t>
            </w:r>
            <w:r w:rsidR="00D45B52" w:rsidRPr="002133D5">
              <w:rPr>
                <w:spacing w:val="-4"/>
                <w:lang w:val="en-GB"/>
              </w:rPr>
              <w:t>industrial consumption goods (</w:t>
            </w:r>
            <w:r w:rsidR="009B0676" w:rsidRPr="002133D5">
              <w:rPr>
                <w:spacing w:val="-4"/>
                <w:lang w:val="en-GB"/>
              </w:rPr>
              <w:t>101</w:t>
            </w:r>
            <w:r w:rsidR="00D45B52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 xml:space="preserve">2%) </w:t>
            </w:r>
            <w:r w:rsidR="00D45B52" w:rsidRPr="002133D5">
              <w:rPr>
                <w:spacing w:val="-4"/>
                <w:lang w:val="en-GB"/>
              </w:rPr>
              <w:t xml:space="preserve">as well as machines and transport equipment </w:t>
            </w:r>
            <w:r w:rsidR="009B0676" w:rsidRPr="002133D5">
              <w:rPr>
                <w:spacing w:val="-4"/>
                <w:lang w:val="en-GB"/>
              </w:rPr>
              <w:t>(100</w:t>
            </w:r>
            <w:r w:rsidR="00D45B52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7%)</w:t>
            </w:r>
            <w:r w:rsidR="00D45B52" w:rsidRPr="002133D5">
              <w:rPr>
                <w:spacing w:val="-4"/>
                <w:lang w:val="en-GB"/>
              </w:rPr>
              <w:t xml:space="preserve"> achieved positive terms of trade</w:t>
            </w:r>
            <w:r w:rsidR="009B0676" w:rsidRPr="002133D5">
              <w:rPr>
                <w:spacing w:val="-4"/>
                <w:lang w:val="en-GB"/>
              </w:rPr>
              <w:t xml:space="preserve">. </w:t>
            </w:r>
            <w:r w:rsidR="00D45B52" w:rsidRPr="002133D5">
              <w:rPr>
                <w:spacing w:val="-4"/>
                <w:lang w:val="en-GB"/>
              </w:rPr>
              <w:t xml:space="preserve">Terms of trade for semi-finished products </w:t>
            </w:r>
            <w:r w:rsidR="009B0676" w:rsidRPr="002133D5">
              <w:rPr>
                <w:spacing w:val="-4"/>
                <w:lang w:val="en-GB"/>
              </w:rPr>
              <w:t>(96</w:t>
            </w:r>
            <w:r w:rsidR="00D45B52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9%) a</w:t>
            </w:r>
            <w:r w:rsidR="00D45B52" w:rsidRPr="002133D5">
              <w:rPr>
                <w:spacing w:val="-4"/>
                <w:lang w:val="en-GB"/>
              </w:rPr>
              <w:t xml:space="preserve">nd beverages and tobacco </w:t>
            </w:r>
            <w:r w:rsidR="009B0676" w:rsidRPr="002133D5">
              <w:rPr>
                <w:spacing w:val="-4"/>
                <w:lang w:val="en-GB"/>
              </w:rPr>
              <w:t>(97</w:t>
            </w:r>
            <w:r w:rsidR="00D45B52" w:rsidRPr="002133D5">
              <w:rPr>
                <w:spacing w:val="-4"/>
                <w:lang w:val="en-GB"/>
              </w:rPr>
              <w:t>.</w:t>
            </w:r>
            <w:r w:rsidR="009B0676" w:rsidRPr="002133D5">
              <w:rPr>
                <w:spacing w:val="-4"/>
                <w:lang w:val="en-GB"/>
              </w:rPr>
              <w:t>5%)</w:t>
            </w:r>
            <w:r w:rsidR="00D45B52" w:rsidRPr="002133D5">
              <w:rPr>
                <w:spacing w:val="-4"/>
                <w:lang w:val="en-GB"/>
              </w:rPr>
              <w:t xml:space="preserve"> were significantly negative</w:t>
            </w:r>
            <w:r w:rsidR="009B0676" w:rsidRPr="002133D5">
              <w:rPr>
                <w:spacing w:val="-4"/>
                <w:lang w:val="en-GB"/>
              </w:rPr>
              <w:t>.</w:t>
            </w:r>
          </w:p>
          <w:p w:rsidR="009B0676" w:rsidRPr="005F5A4E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  <w:lang w:val="en-GB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B05A37" w:rsidP="006C3DC1">
            <w:pPr>
              <w:pStyle w:val="Textpoznpodarou"/>
              <w:ind w:right="-35"/>
              <w:jc w:val="both"/>
              <w:rPr>
                <w:spacing w:val="-4"/>
              </w:rPr>
            </w:pPr>
            <w:r>
              <w:rPr>
                <w:spacing w:val="-4"/>
              </w:rPr>
              <w:t>Chart 14</w:t>
            </w:r>
          </w:p>
        </w:tc>
        <w:tc>
          <w:tcPr>
            <w:tcW w:w="3261" w:type="pct"/>
          </w:tcPr>
          <w:p w:rsidR="00DD0726" w:rsidRPr="00B05A37" w:rsidRDefault="00DD0726" w:rsidP="006C3DC1">
            <w:pPr>
              <w:pStyle w:val="Textpoznpodarou"/>
              <w:ind w:right="-35"/>
              <w:rPr>
                <w:spacing w:val="-4"/>
                <w:lang w:val="en-GB" w:eastAsia="en-US"/>
              </w:rPr>
            </w:pPr>
            <w:r w:rsidRPr="00B05A37">
              <w:rPr>
                <w:b/>
                <w:spacing w:val="-4"/>
                <w:lang w:val="en-GB" w:eastAsia="en-US"/>
              </w:rPr>
              <w:t>Defl</w:t>
            </w:r>
            <w:r w:rsidR="00B05A37" w:rsidRPr="00B05A37">
              <w:rPr>
                <w:b/>
                <w:spacing w:val="-4"/>
                <w:lang w:val="en-GB" w:eastAsia="en-US"/>
              </w:rPr>
              <w:t>ators</w:t>
            </w:r>
            <w:r w:rsidRPr="00B05A37">
              <w:rPr>
                <w:spacing w:val="-4"/>
                <w:lang w:val="en-GB" w:eastAsia="en-US"/>
              </w:rPr>
              <w:t xml:space="preserve"> (</w:t>
            </w:r>
            <w:r w:rsidR="00B05A37" w:rsidRPr="00B05A37">
              <w:rPr>
                <w:spacing w:val="-4"/>
                <w:lang w:val="en-GB" w:eastAsia="en-US"/>
              </w:rPr>
              <w:t xml:space="preserve">adjusted for seasonal and calendar effects, year-on-year change, in </w:t>
            </w:r>
            <w:r w:rsidRPr="00B05A37">
              <w:rPr>
                <w:spacing w:val="-4"/>
                <w:lang w:val="en-GB" w:eastAsia="en-US"/>
              </w:rPr>
              <w:t>%)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rFonts w:cs="Arial"/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BD345F" w:rsidP="006C3DC1">
            <w:pPr>
              <w:pStyle w:val="Textpoznpodarou"/>
              <w:ind w:left="-54" w:right="-35"/>
              <w:jc w:val="both"/>
              <w:rPr>
                <w:spacing w:val="-4"/>
                <w:sz w:val="14"/>
                <w:szCs w:val="14"/>
              </w:rPr>
            </w:pPr>
            <w:r w:rsidRPr="00BD345F">
              <w:rPr>
                <w:noProof/>
                <w:spacing w:val="-4"/>
                <w:sz w:val="14"/>
                <w:szCs w:val="14"/>
              </w:rPr>
              <w:drawing>
                <wp:inline distT="0" distB="0" distL="0" distR="0">
                  <wp:extent cx="4735902" cy="3420000"/>
                  <wp:effectExtent l="0" t="0" r="0" b="0"/>
                  <wp:docPr id="1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45B52" w:rsidRPr="00D45B52" w:rsidRDefault="00B6724D" w:rsidP="00BD345F">
            <w:pPr>
              <w:pStyle w:val="Textpoznpodarou"/>
              <w:ind w:left="-54" w:right="-35"/>
              <w:jc w:val="right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spacing w:val="-4"/>
                <w:sz w:val="14"/>
                <w:szCs w:val="14"/>
              </w:rPr>
              <w:t>Source</w:t>
            </w:r>
            <w:proofErr w:type="spellEnd"/>
            <w:r w:rsidR="00DD0726" w:rsidRPr="00F81A26">
              <w:rPr>
                <w:spacing w:val="-4"/>
                <w:sz w:val="14"/>
                <w:szCs w:val="14"/>
              </w:rPr>
              <w:t xml:space="preserve">: </w:t>
            </w:r>
            <w:r>
              <w:rPr>
                <w:spacing w:val="-4"/>
                <w:sz w:val="14"/>
                <w:szCs w:val="14"/>
              </w:rPr>
              <w:t>CZSO</w:t>
            </w:r>
          </w:p>
        </w:tc>
      </w:tr>
      <w:bookmarkEnd w:id="1"/>
    </w:tbl>
    <w:p w:rsidR="00FD77BB" w:rsidRDefault="00FD77BB">
      <w:pPr>
        <w:spacing w:line="240" w:lineRule="auto"/>
      </w:pPr>
    </w:p>
    <w:sectPr w:rsidR="00FD77BB" w:rsidSect="00280D8A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4" w:right="1134" w:bottom="1418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96" w:rsidRDefault="00A47E96" w:rsidP="00E71A58">
      <w:r>
        <w:separator/>
      </w:r>
    </w:p>
  </w:endnote>
  <w:endnote w:type="continuationSeparator" w:id="0">
    <w:p w:rsidR="00A47E96" w:rsidRDefault="00A47E9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23" w:rsidRDefault="00224123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C8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E7C8D" w:rsidRPr="005A21E0">
      <w:rPr>
        <w:rFonts w:ascii="Arial" w:hAnsi="Arial" w:cs="Arial"/>
        <w:sz w:val="16"/>
        <w:szCs w:val="16"/>
      </w:rPr>
      <w:fldChar w:fldCharType="separate"/>
    </w:r>
    <w:r w:rsidR="00B35B5B">
      <w:rPr>
        <w:rFonts w:ascii="Arial" w:hAnsi="Arial" w:cs="Arial"/>
        <w:noProof/>
        <w:sz w:val="16"/>
        <w:szCs w:val="16"/>
      </w:rPr>
      <w:t>22</w:t>
    </w:r>
    <w:r w:rsidR="004E7C8D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23" w:rsidRDefault="00B6349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B6349B"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-100538</wp:posOffset>
          </wp:positionH>
          <wp:positionV relativeFrom="paragraph">
            <wp:posOffset>183818</wp:posOffset>
          </wp:positionV>
          <wp:extent cx="690633" cy="204716"/>
          <wp:effectExtent l="19050" t="0" r="0" b="0"/>
          <wp:wrapNone/>
          <wp:docPr id="5" name="obrázek 7" descr="CSU RGB EN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U RGB EN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33" cy="204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123">
      <w:tab/>
    </w:r>
    <w:r w:rsidR="00224123">
      <w:tab/>
    </w:r>
    <w:r w:rsidR="00224123" w:rsidRPr="00DC5B3B">
      <w:t xml:space="preserve">                              </w:t>
    </w:r>
  </w:p>
  <w:p w:rsidR="00224123" w:rsidRPr="00223E00" w:rsidRDefault="0022412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rPr>
        <w:rFonts w:ascii="Arial" w:hAnsi="Arial" w:cs="Arial"/>
        <w:sz w:val="16"/>
        <w:szCs w:val="16"/>
      </w:rPr>
      <w:tab/>
    </w:r>
    <w:r w:rsidR="004E7C8D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4E7C8D" w:rsidRPr="00223E00">
      <w:rPr>
        <w:rFonts w:ascii="Arial" w:hAnsi="Arial" w:cs="Arial"/>
        <w:sz w:val="16"/>
        <w:szCs w:val="16"/>
      </w:rPr>
      <w:fldChar w:fldCharType="separate"/>
    </w:r>
    <w:r w:rsidR="00B35B5B">
      <w:rPr>
        <w:rFonts w:ascii="Arial" w:hAnsi="Arial" w:cs="Arial"/>
        <w:noProof/>
        <w:sz w:val="16"/>
        <w:szCs w:val="16"/>
      </w:rPr>
      <w:t>21</w:t>
    </w:r>
    <w:r w:rsidR="004E7C8D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96" w:rsidRDefault="00A47E96" w:rsidP="00E71A58">
      <w:r>
        <w:separator/>
      </w:r>
    </w:p>
  </w:footnote>
  <w:footnote w:type="continuationSeparator" w:id="0">
    <w:p w:rsidR="00A47E96" w:rsidRDefault="00A47E9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23" w:rsidRPr="002473CA" w:rsidRDefault="0022412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  <w:lang w:val="en-US"/>
      </w:rPr>
    </w:pPr>
    <w:r w:rsidRPr="002473CA">
      <w:rPr>
        <w:rFonts w:ascii="Arial" w:hAnsi="Arial" w:cs="Arial"/>
        <w:sz w:val="16"/>
        <w:szCs w:val="16"/>
        <w:lang w:val="en-US"/>
      </w:rPr>
      <w:t>The Czech Economy Development in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23" w:rsidRPr="00ED0C9B" w:rsidRDefault="00224123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  <w:lang w:val="en-GB"/>
      </w:rPr>
    </w:pPr>
    <w:r w:rsidRPr="00ED0C9B">
      <w:rPr>
        <w:rFonts w:ascii="Arial" w:hAnsi="Arial" w:cs="Arial"/>
        <w:sz w:val="16"/>
        <w:szCs w:val="16"/>
        <w:lang w:val="en-GB"/>
      </w:rPr>
      <w:t>The Czech Economy Development in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48046E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C7C87"/>
    <w:multiLevelType w:val="hybridMultilevel"/>
    <w:tmpl w:val="6B948B9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2"/>
  </w:num>
  <w:num w:numId="5">
    <w:abstractNumId w:val="16"/>
  </w:num>
  <w:num w:numId="6">
    <w:abstractNumId w:val="19"/>
  </w:num>
  <w:num w:numId="7">
    <w:abstractNumId w:val="5"/>
  </w:num>
  <w:num w:numId="8">
    <w:abstractNumId w:val="11"/>
  </w:num>
  <w:num w:numId="9">
    <w:abstractNumId w:val="21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20"/>
  </w:num>
  <w:num w:numId="16">
    <w:abstractNumId w:val="17"/>
  </w:num>
  <w:num w:numId="17">
    <w:abstractNumId w:val="7"/>
  </w:num>
  <w:num w:numId="18">
    <w:abstractNumId w:val="23"/>
  </w:num>
  <w:num w:numId="19">
    <w:abstractNumId w:val="10"/>
  </w:num>
  <w:num w:numId="20">
    <w:abstractNumId w:val="1"/>
  </w:num>
  <w:num w:numId="21">
    <w:abstractNumId w:val="12"/>
  </w:num>
  <w:num w:numId="22">
    <w:abstractNumId w:val="15"/>
  </w:num>
  <w:num w:numId="23">
    <w:abstractNumId w:val="3"/>
  </w:num>
  <w:num w:numId="24">
    <w:abstractNumId w:val="6"/>
  </w:num>
  <w:num w:numId="2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C43"/>
    <w:rsid w:val="00000FA7"/>
    <w:rsid w:val="00001EFF"/>
    <w:rsid w:val="00002F5C"/>
    <w:rsid w:val="00003687"/>
    <w:rsid w:val="00003C43"/>
    <w:rsid w:val="00004C5D"/>
    <w:rsid w:val="00004EB0"/>
    <w:rsid w:val="00004FF9"/>
    <w:rsid w:val="00006AAD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29CF"/>
    <w:rsid w:val="00013C75"/>
    <w:rsid w:val="00014028"/>
    <w:rsid w:val="00014690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1B1D"/>
    <w:rsid w:val="00022081"/>
    <w:rsid w:val="0002292C"/>
    <w:rsid w:val="00022983"/>
    <w:rsid w:val="00022B41"/>
    <w:rsid w:val="00022D8D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1F6"/>
    <w:rsid w:val="00034D3F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442E"/>
    <w:rsid w:val="00044913"/>
    <w:rsid w:val="00045681"/>
    <w:rsid w:val="0004694F"/>
    <w:rsid w:val="00046E43"/>
    <w:rsid w:val="000500DC"/>
    <w:rsid w:val="000509FD"/>
    <w:rsid w:val="000516F5"/>
    <w:rsid w:val="00051ADE"/>
    <w:rsid w:val="00052052"/>
    <w:rsid w:val="00052172"/>
    <w:rsid w:val="0005235A"/>
    <w:rsid w:val="000534FD"/>
    <w:rsid w:val="00053CBA"/>
    <w:rsid w:val="00054E43"/>
    <w:rsid w:val="00055059"/>
    <w:rsid w:val="000553E4"/>
    <w:rsid w:val="00055CE3"/>
    <w:rsid w:val="0005619C"/>
    <w:rsid w:val="000567FA"/>
    <w:rsid w:val="00056B26"/>
    <w:rsid w:val="00057C16"/>
    <w:rsid w:val="00060F26"/>
    <w:rsid w:val="00062D43"/>
    <w:rsid w:val="00062E1E"/>
    <w:rsid w:val="00062EC5"/>
    <w:rsid w:val="00063AF0"/>
    <w:rsid w:val="00064256"/>
    <w:rsid w:val="00065425"/>
    <w:rsid w:val="0006638F"/>
    <w:rsid w:val="00066B7B"/>
    <w:rsid w:val="000673F8"/>
    <w:rsid w:val="00070314"/>
    <w:rsid w:val="000706A4"/>
    <w:rsid w:val="00070A0C"/>
    <w:rsid w:val="00071F80"/>
    <w:rsid w:val="00072118"/>
    <w:rsid w:val="00073173"/>
    <w:rsid w:val="0007324C"/>
    <w:rsid w:val="00073655"/>
    <w:rsid w:val="000777FF"/>
    <w:rsid w:val="000779AC"/>
    <w:rsid w:val="00077C8D"/>
    <w:rsid w:val="000807ED"/>
    <w:rsid w:val="00080A41"/>
    <w:rsid w:val="00080AA8"/>
    <w:rsid w:val="00081851"/>
    <w:rsid w:val="0008376A"/>
    <w:rsid w:val="00083803"/>
    <w:rsid w:val="00083D7F"/>
    <w:rsid w:val="00083FE5"/>
    <w:rsid w:val="00084393"/>
    <w:rsid w:val="00084771"/>
    <w:rsid w:val="00085094"/>
    <w:rsid w:val="0008716A"/>
    <w:rsid w:val="00087634"/>
    <w:rsid w:val="0008769B"/>
    <w:rsid w:val="00091237"/>
    <w:rsid w:val="000916B1"/>
    <w:rsid w:val="0009191B"/>
    <w:rsid w:val="000920EC"/>
    <w:rsid w:val="000921B6"/>
    <w:rsid w:val="00092208"/>
    <w:rsid w:val="00092505"/>
    <w:rsid w:val="000927EB"/>
    <w:rsid w:val="00092832"/>
    <w:rsid w:val="00092C9A"/>
    <w:rsid w:val="00092D0F"/>
    <w:rsid w:val="00093F4B"/>
    <w:rsid w:val="00093FF2"/>
    <w:rsid w:val="0009437C"/>
    <w:rsid w:val="00096747"/>
    <w:rsid w:val="000973B6"/>
    <w:rsid w:val="000977F5"/>
    <w:rsid w:val="00097BFC"/>
    <w:rsid w:val="00097D02"/>
    <w:rsid w:val="000A1183"/>
    <w:rsid w:val="000A1A47"/>
    <w:rsid w:val="000A1B31"/>
    <w:rsid w:val="000A2121"/>
    <w:rsid w:val="000A2484"/>
    <w:rsid w:val="000A2929"/>
    <w:rsid w:val="000A36CE"/>
    <w:rsid w:val="000A4FFD"/>
    <w:rsid w:val="000A59BF"/>
    <w:rsid w:val="000A66C2"/>
    <w:rsid w:val="000A68A7"/>
    <w:rsid w:val="000A6F68"/>
    <w:rsid w:val="000B1CFE"/>
    <w:rsid w:val="000B210A"/>
    <w:rsid w:val="000B2324"/>
    <w:rsid w:val="000B249B"/>
    <w:rsid w:val="000B2729"/>
    <w:rsid w:val="000B27B2"/>
    <w:rsid w:val="000B2ADE"/>
    <w:rsid w:val="000B3B01"/>
    <w:rsid w:val="000B3C13"/>
    <w:rsid w:val="000B3DB9"/>
    <w:rsid w:val="000B3F02"/>
    <w:rsid w:val="000B4550"/>
    <w:rsid w:val="000B48A2"/>
    <w:rsid w:val="000B48E7"/>
    <w:rsid w:val="000B4E9F"/>
    <w:rsid w:val="000B4F41"/>
    <w:rsid w:val="000B5746"/>
    <w:rsid w:val="000B7663"/>
    <w:rsid w:val="000B7A90"/>
    <w:rsid w:val="000C1106"/>
    <w:rsid w:val="000C11D3"/>
    <w:rsid w:val="000C12F5"/>
    <w:rsid w:val="000C2F62"/>
    <w:rsid w:val="000C3408"/>
    <w:rsid w:val="000C4253"/>
    <w:rsid w:val="000C54AF"/>
    <w:rsid w:val="000C57C5"/>
    <w:rsid w:val="000C5C0F"/>
    <w:rsid w:val="000C5D56"/>
    <w:rsid w:val="000C60D8"/>
    <w:rsid w:val="000C6498"/>
    <w:rsid w:val="000C6F88"/>
    <w:rsid w:val="000C70D9"/>
    <w:rsid w:val="000D0B22"/>
    <w:rsid w:val="000D0D51"/>
    <w:rsid w:val="000D14B3"/>
    <w:rsid w:val="000D1BFB"/>
    <w:rsid w:val="000D1F52"/>
    <w:rsid w:val="000D208B"/>
    <w:rsid w:val="000D263E"/>
    <w:rsid w:val="000D2B8D"/>
    <w:rsid w:val="000D2BD3"/>
    <w:rsid w:val="000D2E41"/>
    <w:rsid w:val="000D342A"/>
    <w:rsid w:val="000D434D"/>
    <w:rsid w:val="000D43CB"/>
    <w:rsid w:val="000D5E7A"/>
    <w:rsid w:val="000D5FAA"/>
    <w:rsid w:val="000D65A4"/>
    <w:rsid w:val="000D6AEF"/>
    <w:rsid w:val="000D7414"/>
    <w:rsid w:val="000E025B"/>
    <w:rsid w:val="000E055F"/>
    <w:rsid w:val="000E0ECB"/>
    <w:rsid w:val="000E153A"/>
    <w:rsid w:val="000E19A8"/>
    <w:rsid w:val="000E1EEA"/>
    <w:rsid w:val="000E4241"/>
    <w:rsid w:val="000E4A42"/>
    <w:rsid w:val="000E5549"/>
    <w:rsid w:val="000E6184"/>
    <w:rsid w:val="000E6476"/>
    <w:rsid w:val="000E78D2"/>
    <w:rsid w:val="000F3332"/>
    <w:rsid w:val="000F33EE"/>
    <w:rsid w:val="000F3511"/>
    <w:rsid w:val="000F401E"/>
    <w:rsid w:val="000F45F0"/>
    <w:rsid w:val="000F5445"/>
    <w:rsid w:val="000F5598"/>
    <w:rsid w:val="000F5673"/>
    <w:rsid w:val="000F67B2"/>
    <w:rsid w:val="000F6CFB"/>
    <w:rsid w:val="000F7121"/>
    <w:rsid w:val="000F74B6"/>
    <w:rsid w:val="000F790F"/>
    <w:rsid w:val="000F7C25"/>
    <w:rsid w:val="000F7E1B"/>
    <w:rsid w:val="000F7F49"/>
    <w:rsid w:val="00100014"/>
    <w:rsid w:val="00100224"/>
    <w:rsid w:val="0010039A"/>
    <w:rsid w:val="001012BD"/>
    <w:rsid w:val="0010177A"/>
    <w:rsid w:val="00101E94"/>
    <w:rsid w:val="00101FB2"/>
    <w:rsid w:val="001028CF"/>
    <w:rsid w:val="00102CB8"/>
    <w:rsid w:val="00102F02"/>
    <w:rsid w:val="0010385D"/>
    <w:rsid w:val="00103E41"/>
    <w:rsid w:val="001041B6"/>
    <w:rsid w:val="00104F55"/>
    <w:rsid w:val="001070EA"/>
    <w:rsid w:val="001076CA"/>
    <w:rsid w:val="00107FF4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5BDB"/>
    <w:rsid w:val="00116DB9"/>
    <w:rsid w:val="00116F28"/>
    <w:rsid w:val="00117597"/>
    <w:rsid w:val="00117CE8"/>
    <w:rsid w:val="00117F28"/>
    <w:rsid w:val="001201F0"/>
    <w:rsid w:val="00121961"/>
    <w:rsid w:val="00121C39"/>
    <w:rsid w:val="00123255"/>
    <w:rsid w:val="0012394A"/>
    <w:rsid w:val="00124D2D"/>
    <w:rsid w:val="00124DA1"/>
    <w:rsid w:val="00125326"/>
    <w:rsid w:val="00125CB5"/>
    <w:rsid w:val="001261B3"/>
    <w:rsid w:val="001264C1"/>
    <w:rsid w:val="00127535"/>
    <w:rsid w:val="001305B2"/>
    <w:rsid w:val="001307BE"/>
    <w:rsid w:val="00130C8F"/>
    <w:rsid w:val="001314F2"/>
    <w:rsid w:val="001317DA"/>
    <w:rsid w:val="00131FFA"/>
    <w:rsid w:val="001323BA"/>
    <w:rsid w:val="0013254D"/>
    <w:rsid w:val="00133643"/>
    <w:rsid w:val="00133AAC"/>
    <w:rsid w:val="00133FBD"/>
    <w:rsid w:val="00134DFD"/>
    <w:rsid w:val="001350B3"/>
    <w:rsid w:val="00136168"/>
    <w:rsid w:val="00136561"/>
    <w:rsid w:val="00136AE8"/>
    <w:rsid w:val="00136B6B"/>
    <w:rsid w:val="001400E1"/>
    <w:rsid w:val="001405FA"/>
    <w:rsid w:val="001408DD"/>
    <w:rsid w:val="001413B3"/>
    <w:rsid w:val="00142533"/>
    <w:rsid w:val="001425C3"/>
    <w:rsid w:val="00142F16"/>
    <w:rsid w:val="001432C1"/>
    <w:rsid w:val="00143E03"/>
    <w:rsid w:val="00143E93"/>
    <w:rsid w:val="00143FA3"/>
    <w:rsid w:val="0014428D"/>
    <w:rsid w:val="0014514D"/>
    <w:rsid w:val="00145AF9"/>
    <w:rsid w:val="00146FE4"/>
    <w:rsid w:val="0014731B"/>
    <w:rsid w:val="00147E55"/>
    <w:rsid w:val="00150040"/>
    <w:rsid w:val="001500FC"/>
    <w:rsid w:val="00150CEC"/>
    <w:rsid w:val="00151AC0"/>
    <w:rsid w:val="00151B27"/>
    <w:rsid w:val="00152046"/>
    <w:rsid w:val="001520AF"/>
    <w:rsid w:val="00152488"/>
    <w:rsid w:val="00152E53"/>
    <w:rsid w:val="00152FDD"/>
    <w:rsid w:val="0015323B"/>
    <w:rsid w:val="00153FED"/>
    <w:rsid w:val="00154147"/>
    <w:rsid w:val="001550F3"/>
    <w:rsid w:val="00155746"/>
    <w:rsid w:val="00156318"/>
    <w:rsid w:val="0015639A"/>
    <w:rsid w:val="0016081D"/>
    <w:rsid w:val="00160CF3"/>
    <w:rsid w:val="00160DCA"/>
    <w:rsid w:val="00160E61"/>
    <w:rsid w:val="00161300"/>
    <w:rsid w:val="00161DB6"/>
    <w:rsid w:val="001620FA"/>
    <w:rsid w:val="00162853"/>
    <w:rsid w:val="00162C62"/>
    <w:rsid w:val="00163793"/>
    <w:rsid w:val="00163841"/>
    <w:rsid w:val="00163F4D"/>
    <w:rsid w:val="00164978"/>
    <w:rsid w:val="001663DE"/>
    <w:rsid w:val="00167FB2"/>
    <w:rsid w:val="001707DE"/>
    <w:rsid w:val="00170B04"/>
    <w:rsid w:val="00170F47"/>
    <w:rsid w:val="001711F2"/>
    <w:rsid w:val="001714F2"/>
    <w:rsid w:val="001718C2"/>
    <w:rsid w:val="00171E6C"/>
    <w:rsid w:val="00172B64"/>
    <w:rsid w:val="00173583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410"/>
    <w:rsid w:val="001814AE"/>
    <w:rsid w:val="00181938"/>
    <w:rsid w:val="001827CE"/>
    <w:rsid w:val="00182981"/>
    <w:rsid w:val="001833E9"/>
    <w:rsid w:val="00184CF9"/>
    <w:rsid w:val="00184DE8"/>
    <w:rsid w:val="00185010"/>
    <w:rsid w:val="001852EC"/>
    <w:rsid w:val="00185D56"/>
    <w:rsid w:val="00186447"/>
    <w:rsid w:val="001874CF"/>
    <w:rsid w:val="00187F91"/>
    <w:rsid w:val="00190214"/>
    <w:rsid w:val="00190D9B"/>
    <w:rsid w:val="0019161A"/>
    <w:rsid w:val="00191BAE"/>
    <w:rsid w:val="001921B5"/>
    <w:rsid w:val="00193432"/>
    <w:rsid w:val="0019346C"/>
    <w:rsid w:val="0019357D"/>
    <w:rsid w:val="00194096"/>
    <w:rsid w:val="0019431C"/>
    <w:rsid w:val="00194AE3"/>
    <w:rsid w:val="00195335"/>
    <w:rsid w:val="00195444"/>
    <w:rsid w:val="0019579E"/>
    <w:rsid w:val="00197806"/>
    <w:rsid w:val="001A1087"/>
    <w:rsid w:val="001A199D"/>
    <w:rsid w:val="001A2855"/>
    <w:rsid w:val="001A2BDB"/>
    <w:rsid w:val="001A30F4"/>
    <w:rsid w:val="001A47AB"/>
    <w:rsid w:val="001A4C0D"/>
    <w:rsid w:val="001A552F"/>
    <w:rsid w:val="001A56F3"/>
    <w:rsid w:val="001A5A2F"/>
    <w:rsid w:val="001A68CA"/>
    <w:rsid w:val="001A737B"/>
    <w:rsid w:val="001A750C"/>
    <w:rsid w:val="001B008E"/>
    <w:rsid w:val="001B05FE"/>
    <w:rsid w:val="001B1D89"/>
    <w:rsid w:val="001B1EFA"/>
    <w:rsid w:val="001B1FE2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B1E"/>
    <w:rsid w:val="001C0E0E"/>
    <w:rsid w:val="001C0E66"/>
    <w:rsid w:val="001C0EB9"/>
    <w:rsid w:val="001C1219"/>
    <w:rsid w:val="001C357A"/>
    <w:rsid w:val="001C3657"/>
    <w:rsid w:val="001C3961"/>
    <w:rsid w:val="001C3A37"/>
    <w:rsid w:val="001C4384"/>
    <w:rsid w:val="001C55F5"/>
    <w:rsid w:val="001C65FF"/>
    <w:rsid w:val="001C6747"/>
    <w:rsid w:val="001C677A"/>
    <w:rsid w:val="001D05E6"/>
    <w:rsid w:val="001D12FB"/>
    <w:rsid w:val="001D1383"/>
    <w:rsid w:val="001D1D45"/>
    <w:rsid w:val="001D1E7C"/>
    <w:rsid w:val="001D2583"/>
    <w:rsid w:val="001D3787"/>
    <w:rsid w:val="001D3A7A"/>
    <w:rsid w:val="001D47E5"/>
    <w:rsid w:val="001D4EEB"/>
    <w:rsid w:val="001D53CB"/>
    <w:rsid w:val="001D584C"/>
    <w:rsid w:val="001D5E1B"/>
    <w:rsid w:val="001D66C1"/>
    <w:rsid w:val="001D6EF6"/>
    <w:rsid w:val="001D7C6F"/>
    <w:rsid w:val="001E0024"/>
    <w:rsid w:val="001E0241"/>
    <w:rsid w:val="001E0735"/>
    <w:rsid w:val="001E0C65"/>
    <w:rsid w:val="001E23E3"/>
    <w:rsid w:val="001E29AF"/>
    <w:rsid w:val="001E3731"/>
    <w:rsid w:val="001E387A"/>
    <w:rsid w:val="001E3DA4"/>
    <w:rsid w:val="001E5469"/>
    <w:rsid w:val="001E5830"/>
    <w:rsid w:val="001E5F62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D52"/>
    <w:rsid w:val="001F3E68"/>
    <w:rsid w:val="001F4597"/>
    <w:rsid w:val="001F56A9"/>
    <w:rsid w:val="001F5C6A"/>
    <w:rsid w:val="001F63A7"/>
    <w:rsid w:val="001F670A"/>
    <w:rsid w:val="001F7C2A"/>
    <w:rsid w:val="00200D15"/>
    <w:rsid w:val="00200D2A"/>
    <w:rsid w:val="00201E7B"/>
    <w:rsid w:val="0020223B"/>
    <w:rsid w:val="0020294A"/>
    <w:rsid w:val="00203074"/>
    <w:rsid w:val="0020340C"/>
    <w:rsid w:val="00203B09"/>
    <w:rsid w:val="00203B46"/>
    <w:rsid w:val="00203FCB"/>
    <w:rsid w:val="002047DA"/>
    <w:rsid w:val="002048E1"/>
    <w:rsid w:val="0020571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2491"/>
    <w:rsid w:val="0021329E"/>
    <w:rsid w:val="002133D5"/>
    <w:rsid w:val="0021355B"/>
    <w:rsid w:val="002137A1"/>
    <w:rsid w:val="0021396F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4C1"/>
    <w:rsid w:val="0022272B"/>
    <w:rsid w:val="00222A99"/>
    <w:rsid w:val="00223678"/>
    <w:rsid w:val="002236F7"/>
    <w:rsid w:val="00223E00"/>
    <w:rsid w:val="00224048"/>
    <w:rsid w:val="00224123"/>
    <w:rsid w:val="002244CE"/>
    <w:rsid w:val="002250AD"/>
    <w:rsid w:val="002252E0"/>
    <w:rsid w:val="002255F6"/>
    <w:rsid w:val="00225F36"/>
    <w:rsid w:val="00226466"/>
    <w:rsid w:val="002266D0"/>
    <w:rsid w:val="00226887"/>
    <w:rsid w:val="00227991"/>
    <w:rsid w:val="00227A27"/>
    <w:rsid w:val="00230574"/>
    <w:rsid w:val="00230CA7"/>
    <w:rsid w:val="00230DAD"/>
    <w:rsid w:val="0023229C"/>
    <w:rsid w:val="00232A3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924"/>
    <w:rsid w:val="00240A5B"/>
    <w:rsid w:val="00240C76"/>
    <w:rsid w:val="002411EF"/>
    <w:rsid w:val="00241446"/>
    <w:rsid w:val="00241FC7"/>
    <w:rsid w:val="00242730"/>
    <w:rsid w:val="002436BA"/>
    <w:rsid w:val="002439C3"/>
    <w:rsid w:val="002444ED"/>
    <w:rsid w:val="00244A15"/>
    <w:rsid w:val="00244D40"/>
    <w:rsid w:val="002452E5"/>
    <w:rsid w:val="0024644F"/>
    <w:rsid w:val="00246AE9"/>
    <w:rsid w:val="002473CA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5A44"/>
    <w:rsid w:val="00257083"/>
    <w:rsid w:val="00257613"/>
    <w:rsid w:val="002609C2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95E"/>
    <w:rsid w:val="00265E54"/>
    <w:rsid w:val="00266306"/>
    <w:rsid w:val="002664A1"/>
    <w:rsid w:val="00266534"/>
    <w:rsid w:val="00266F3E"/>
    <w:rsid w:val="00270785"/>
    <w:rsid w:val="00271B9B"/>
    <w:rsid w:val="0027224A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6A5"/>
    <w:rsid w:val="0027786C"/>
    <w:rsid w:val="00277BF7"/>
    <w:rsid w:val="0028019B"/>
    <w:rsid w:val="00280A72"/>
    <w:rsid w:val="00280D8A"/>
    <w:rsid w:val="00281416"/>
    <w:rsid w:val="00282084"/>
    <w:rsid w:val="00283720"/>
    <w:rsid w:val="00283C61"/>
    <w:rsid w:val="00283D6A"/>
    <w:rsid w:val="00284C6F"/>
    <w:rsid w:val="00285CD3"/>
    <w:rsid w:val="0028633E"/>
    <w:rsid w:val="0028686A"/>
    <w:rsid w:val="00286E66"/>
    <w:rsid w:val="002870B7"/>
    <w:rsid w:val="002919B5"/>
    <w:rsid w:val="002920F5"/>
    <w:rsid w:val="00292D0B"/>
    <w:rsid w:val="00293441"/>
    <w:rsid w:val="00293553"/>
    <w:rsid w:val="00294238"/>
    <w:rsid w:val="00294776"/>
    <w:rsid w:val="0029493E"/>
    <w:rsid w:val="002962E0"/>
    <w:rsid w:val="00296C2E"/>
    <w:rsid w:val="002A04C7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5D3F"/>
    <w:rsid w:val="002A5DF2"/>
    <w:rsid w:val="002A63B9"/>
    <w:rsid w:val="002A6821"/>
    <w:rsid w:val="002A6F67"/>
    <w:rsid w:val="002A74D2"/>
    <w:rsid w:val="002A7A78"/>
    <w:rsid w:val="002A7CDA"/>
    <w:rsid w:val="002A7F47"/>
    <w:rsid w:val="002B1544"/>
    <w:rsid w:val="002B1DC1"/>
    <w:rsid w:val="002B36C8"/>
    <w:rsid w:val="002B385B"/>
    <w:rsid w:val="002B4ADE"/>
    <w:rsid w:val="002B6B7A"/>
    <w:rsid w:val="002B71B4"/>
    <w:rsid w:val="002B7240"/>
    <w:rsid w:val="002B725B"/>
    <w:rsid w:val="002B7323"/>
    <w:rsid w:val="002B7937"/>
    <w:rsid w:val="002C0FF4"/>
    <w:rsid w:val="002C125A"/>
    <w:rsid w:val="002C2668"/>
    <w:rsid w:val="002C43BD"/>
    <w:rsid w:val="002C493D"/>
    <w:rsid w:val="002C5261"/>
    <w:rsid w:val="002C5CB7"/>
    <w:rsid w:val="002C6091"/>
    <w:rsid w:val="002C63C1"/>
    <w:rsid w:val="002C6A6E"/>
    <w:rsid w:val="002D0562"/>
    <w:rsid w:val="002D1B5A"/>
    <w:rsid w:val="002D2500"/>
    <w:rsid w:val="002D338A"/>
    <w:rsid w:val="002D3E4C"/>
    <w:rsid w:val="002D3F00"/>
    <w:rsid w:val="002D4A1E"/>
    <w:rsid w:val="002D4D59"/>
    <w:rsid w:val="002D50CF"/>
    <w:rsid w:val="002D54BF"/>
    <w:rsid w:val="002D5C3D"/>
    <w:rsid w:val="002D5E94"/>
    <w:rsid w:val="002D632D"/>
    <w:rsid w:val="002D6B01"/>
    <w:rsid w:val="002D6B11"/>
    <w:rsid w:val="002D6FC7"/>
    <w:rsid w:val="002D778C"/>
    <w:rsid w:val="002D7EF4"/>
    <w:rsid w:val="002E02A1"/>
    <w:rsid w:val="002E0982"/>
    <w:rsid w:val="002E0DB9"/>
    <w:rsid w:val="002E10D3"/>
    <w:rsid w:val="002E1BFA"/>
    <w:rsid w:val="002E1C23"/>
    <w:rsid w:val="002E2CE4"/>
    <w:rsid w:val="002E31A0"/>
    <w:rsid w:val="002E34F3"/>
    <w:rsid w:val="002E4217"/>
    <w:rsid w:val="002E435E"/>
    <w:rsid w:val="002E4C1C"/>
    <w:rsid w:val="002E6DB8"/>
    <w:rsid w:val="002E73F2"/>
    <w:rsid w:val="002F0709"/>
    <w:rsid w:val="002F0FDB"/>
    <w:rsid w:val="002F149A"/>
    <w:rsid w:val="002F19CC"/>
    <w:rsid w:val="002F33FB"/>
    <w:rsid w:val="002F36D0"/>
    <w:rsid w:val="002F663A"/>
    <w:rsid w:val="002F68A4"/>
    <w:rsid w:val="002F7594"/>
    <w:rsid w:val="002F7902"/>
    <w:rsid w:val="003003E7"/>
    <w:rsid w:val="003004EB"/>
    <w:rsid w:val="00300D6F"/>
    <w:rsid w:val="00301357"/>
    <w:rsid w:val="0030192C"/>
    <w:rsid w:val="00301D04"/>
    <w:rsid w:val="003035D4"/>
    <w:rsid w:val="00303A3C"/>
    <w:rsid w:val="00303DCB"/>
    <w:rsid w:val="0030464E"/>
    <w:rsid w:val="00304771"/>
    <w:rsid w:val="00304E6C"/>
    <w:rsid w:val="00305736"/>
    <w:rsid w:val="00305C33"/>
    <w:rsid w:val="0030607B"/>
    <w:rsid w:val="00306C5B"/>
    <w:rsid w:val="00306E3B"/>
    <w:rsid w:val="0030768C"/>
    <w:rsid w:val="00310ADB"/>
    <w:rsid w:val="003119B6"/>
    <w:rsid w:val="003124EF"/>
    <w:rsid w:val="00312A00"/>
    <w:rsid w:val="00312C3D"/>
    <w:rsid w:val="003131A6"/>
    <w:rsid w:val="00313F7F"/>
    <w:rsid w:val="00314331"/>
    <w:rsid w:val="00317E31"/>
    <w:rsid w:val="00320214"/>
    <w:rsid w:val="003209D6"/>
    <w:rsid w:val="0032109A"/>
    <w:rsid w:val="0032214F"/>
    <w:rsid w:val="00322164"/>
    <w:rsid w:val="00322719"/>
    <w:rsid w:val="0032330F"/>
    <w:rsid w:val="00323486"/>
    <w:rsid w:val="00323A13"/>
    <w:rsid w:val="00323CF7"/>
    <w:rsid w:val="00323E61"/>
    <w:rsid w:val="00324055"/>
    <w:rsid w:val="0032513D"/>
    <w:rsid w:val="00326251"/>
    <w:rsid w:val="0032739C"/>
    <w:rsid w:val="003273BB"/>
    <w:rsid w:val="00327602"/>
    <w:rsid w:val="003276D1"/>
    <w:rsid w:val="00327DEE"/>
    <w:rsid w:val="003301FD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5BE6"/>
    <w:rsid w:val="00335E99"/>
    <w:rsid w:val="0033627B"/>
    <w:rsid w:val="003406BD"/>
    <w:rsid w:val="00343474"/>
    <w:rsid w:val="00343F84"/>
    <w:rsid w:val="00344135"/>
    <w:rsid w:val="003450E2"/>
    <w:rsid w:val="00351315"/>
    <w:rsid w:val="00351B63"/>
    <w:rsid w:val="00352482"/>
    <w:rsid w:val="00352E57"/>
    <w:rsid w:val="00352FC0"/>
    <w:rsid w:val="003541B0"/>
    <w:rsid w:val="0035457E"/>
    <w:rsid w:val="00355885"/>
    <w:rsid w:val="00355CAA"/>
    <w:rsid w:val="0035605E"/>
    <w:rsid w:val="00356244"/>
    <w:rsid w:val="00356CAE"/>
    <w:rsid w:val="00356FED"/>
    <w:rsid w:val="00357449"/>
    <w:rsid w:val="00357C28"/>
    <w:rsid w:val="00361F76"/>
    <w:rsid w:val="0036238B"/>
    <w:rsid w:val="00362408"/>
    <w:rsid w:val="003630B0"/>
    <w:rsid w:val="00364087"/>
    <w:rsid w:val="003649FC"/>
    <w:rsid w:val="00364C0E"/>
    <w:rsid w:val="00364EAD"/>
    <w:rsid w:val="003651A4"/>
    <w:rsid w:val="00365680"/>
    <w:rsid w:val="003657F3"/>
    <w:rsid w:val="00366D4D"/>
    <w:rsid w:val="00366F77"/>
    <w:rsid w:val="00367038"/>
    <w:rsid w:val="003670FE"/>
    <w:rsid w:val="0036710C"/>
    <w:rsid w:val="0037040B"/>
    <w:rsid w:val="00370963"/>
    <w:rsid w:val="0037144E"/>
    <w:rsid w:val="00372272"/>
    <w:rsid w:val="0037290D"/>
    <w:rsid w:val="00372B1D"/>
    <w:rsid w:val="003736B5"/>
    <w:rsid w:val="00374546"/>
    <w:rsid w:val="00374DB6"/>
    <w:rsid w:val="00374F1E"/>
    <w:rsid w:val="003750CF"/>
    <w:rsid w:val="003769F0"/>
    <w:rsid w:val="00376DEC"/>
    <w:rsid w:val="00377200"/>
    <w:rsid w:val="00377666"/>
    <w:rsid w:val="00377E93"/>
    <w:rsid w:val="0038034A"/>
    <w:rsid w:val="00380E04"/>
    <w:rsid w:val="00380E6C"/>
    <w:rsid w:val="00381171"/>
    <w:rsid w:val="0038187C"/>
    <w:rsid w:val="00383227"/>
    <w:rsid w:val="003839C9"/>
    <w:rsid w:val="00383FD2"/>
    <w:rsid w:val="0038422D"/>
    <w:rsid w:val="003843B1"/>
    <w:rsid w:val="00384D8F"/>
    <w:rsid w:val="003857A2"/>
    <w:rsid w:val="00385D71"/>
    <w:rsid w:val="00385D98"/>
    <w:rsid w:val="00385EC5"/>
    <w:rsid w:val="0038658E"/>
    <w:rsid w:val="003875C2"/>
    <w:rsid w:val="0039066E"/>
    <w:rsid w:val="00391C95"/>
    <w:rsid w:val="00392110"/>
    <w:rsid w:val="00392B64"/>
    <w:rsid w:val="00392B9E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1F5"/>
    <w:rsid w:val="003A6B38"/>
    <w:rsid w:val="003B2142"/>
    <w:rsid w:val="003B2580"/>
    <w:rsid w:val="003B2721"/>
    <w:rsid w:val="003B293F"/>
    <w:rsid w:val="003B2D28"/>
    <w:rsid w:val="003B2E63"/>
    <w:rsid w:val="003B3189"/>
    <w:rsid w:val="003B3A9D"/>
    <w:rsid w:val="003B3DDD"/>
    <w:rsid w:val="003B5031"/>
    <w:rsid w:val="003B5A32"/>
    <w:rsid w:val="003B6105"/>
    <w:rsid w:val="003B769D"/>
    <w:rsid w:val="003B7F20"/>
    <w:rsid w:val="003C03CC"/>
    <w:rsid w:val="003C04C4"/>
    <w:rsid w:val="003C08E2"/>
    <w:rsid w:val="003C0B96"/>
    <w:rsid w:val="003C0CB5"/>
    <w:rsid w:val="003C26F4"/>
    <w:rsid w:val="003C3686"/>
    <w:rsid w:val="003C3E2C"/>
    <w:rsid w:val="003C4852"/>
    <w:rsid w:val="003C5BC7"/>
    <w:rsid w:val="003C5F05"/>
    <w:rsid w:val="003C601E"/>
    <w:rsid w:val="003C66C4"/>
    <w:rsid w:val="003C6DB9"/>
    <w:rsid w:val="003D1FA0"/>
    <w:rsid w:val="003D2393"/>
    <w:rsid w:val="003D2519"/>
    <w:rsid w:val="003D2C4E"/>
    <w:rsid w:val="003D3600"/>
    <w:rsid w:val="003D3825"/>
    <w:rsid w:val="003D3EC4"/>
    <w:rsid w:val="003D3FB2"/>
    <w:rsid w:val="003D44E2"/>
    <w:rsid w:val="003D4760"/>
    <w:rsid w:val="003D49DC"/>
    <w:rsid w:val="003D49E0"/>
    <w:rsid w:val="003D4DD9"/>
    <w:rsid w:val="003D4FB5"/>
    <w:rsid w:val="003D59BE"/>
    <w:rsid w:val="003D5D7A"/>
    <w:rsid w:val="003D5E4B"/>
    <w:rsid w:val="003D653F"/>
    <w:rsid w:val="003D6B55"/>
    <w:rsid w:val="003E0261"/>
    <w:rsid w:val="003E0663"/>
    <w:rsid w:val="003E133F"/>
    <w:rsid w:val="003E1A70"/>
    <w:rsid w:val="003E2469"/>
    <w:rsid w:val="003E49F6"/>
    <w:rsid w:val="003E51AD"/>
    <w:rsid w:val="003E699C"/>
    <w:rsid w:val="003E69F3"/>
    <w:rsid w:val="003E782E"/>
    <w:rsid w:val="003E7A0B"/>
    <w:rsid w:val="003E7B2B"/>
    <w:rsid w:val="003E7F69"/>
    <w:rsid w:val="003F01D7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3F7631"/>
    <w:rsid w:val="003F7948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3D65"/>
    <w:rsid w:val="0040501E"/>
    <w:rsid w:val="004050D7"/>
    <w:rsid w:val="004076EE"/>
    <w:rsid w:val="004078BD"/>
    <w:rsid w:val="00407C32"/>
    <w:rsid w:val="00410132"/>
    <w:rsid w:val="004104E4"/>
    <w:rsid w:val="00410A97"/>
    <w:rsid w:val="00410BCD"/>
    <w:rsid w:val="00410DE5"/>
    <w:rsid w:val="0041175D"/>
    <w:rsid w:val="004117CE"/>
    <w:rsid w:val="00412044"/>
    <w:rsid w:val="004120DE"/>
    <w:rsid w:val="004121D6"/>
    <w:rsid w:val="004123BE"/>
    <w:rsid w:val="0041329F"/>
    <w:rsid w:val="00414CE5"/>
    <w:rsid w:val="00416618"/>
    <w:rsid w:val="00416673"/>
    <w:rsid w:val="0041677D"/>
    <w:rsid w:val="00420D92"/>
    <w:rsid w:val="0042160D"/>
    <w:rsid w:val="0042254E"/>
    <w:rsid w:val="00423A3C"/>
    <w:rsid w:val="00423C04"/>
    <w:rsid w:val="00424D9B"/>
    <w:rsid w:val="00424F18"/>
    <w:rsid w:val="00425612"/>
    <w:rsid w:val="0042681B"/>
    <w:rsid w:val="00426B7F"/>
    <w:rsid w:val="00426E44"/>
    <w:rsid w:val="00427193"/>
    <w:rsid w:val="00427332"/>
    <w:rsid w:val="0043068A"/>
    <w:rsid w:val="004306E0"/>
    <w:rsid w:val="00430BD6"/>
    <w:rsid w:val="00431D54"/>
    <w:rsid w:val="00431F98"/>
    <w:rsid w:val="004325CC"/>
    <w:rsid w:val="004329BE"/>
    <w:rsid w:val="00432C38"/>
    <w:rsid w:val="004333B9"/>
    <w:rsid w:val="004342EC"/>
    <w:rsid w:val="00434D5A"/>
    <w:rsid w:val="00435874"/>
    <w:rsid w:val="00436EDB"/>
    <w:rsid w:val="00437C76"/>
    <w:rsid w:val="00437F4A"/>
    <w:rsid w:val="0044105C"/>
    <w:rsid w:val="00441306"/>
    <w:rsid w:val="00442197"/>
    <w:rsid w:val="00442BD1"/>
    <w:rsid w:val="00443293"/>
    <w:rsid w:val="00443CC7"/>
    <w:rsid w:val="00443E95"/>
    <w:rsid w:val="004441A0"/>
    <w:rsid w:val="00444268"/>
    <w:rsid w:val="00444326"/>
    <w:rsid w:val="004443BF"/>
    <w:rsid w:val="00444C19"/>
    <w:rsid w:val="00444EC5"/>
    <w:rsid w:val="00445218"/>
    <w:rsid w:val="00445CDD"/>
    <w:rsid w:val="0044683E"/>
    <w:rsid w:val="00446892"/>
    <w:rsid w:val="00447267"/>
    <w:rsid w:val="004475C7"/>
    <w:rsid w:val="00447E36"/>
    <w:rsid w:val="00450700"/>
    <w:rsid w:val="00450C30"/>
    <w:rsid w:val="004514C2"/>
    <w:rsid w:val="004522AE"/>
    <w:rsid w:val="004529C7"/>
    <w:rsid w:val="004540FF"/>
    <w:rsid w:val="004541F1"/>
    <w:rsid w:val="00454921"/>
    <w:rsid w:val="00454D31"/>
    <w:rsid w:val="00455BB8"/>
    <w:rsid w:val="00455ECA"/>
    <w:rsid w:val="00456EA3"/>
    <w:rsid w:val="0045707D"/>
    <w:rsid w:val="004570DE"/>
    <w:rsid w:val="00457296"/>
    <w:rsid w:val="00457320"/>
    <w:rsid w:val="00457D0F"/>
    <w:rsid w:val="00460164"/>
    <w:rsid w:val="0046039A"/>
    <w:rsid w:val="00460A6B"/>
    <w:rsid w:val="00460F61"/>
    <w:rsid w:val="004616F1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317"/>
    <w:rsid w:val="00465FA4"/>
    <w:rsid w:val="0046613F"/>
    <w:rsid w:val="0046655D"/>
    <w:rsid w:val="00466808"/>
    <w:rsid w:val="00466AAE"/>
    <w:rsid w:val="0046765E"/>
    <w:rsid w:val="004676E2"/>
    <w:rsid w:val="004703E3"/>
    <w:rsid w:val="00471B64"/>
    <w:rsid w:val="00471EDD"/>
    <w:rsid w:val="00473E94"/>
    <w:rsid w:val="0047400C"/>
    <w:rsid w:val="00474471"/>
    <w:rsid w:val="004745D9"/>
    <w:rsid w:val="00474619"/>
    <w:rsid w:val="0047494A"/>
    <w:rsid w:val="00474B94"/>
    <w:rsid w:val="00475076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0524"/>
    <w:rsid w:val="00490B20"/>
    <w:rsid w:val="0049104F"/>
    <w:rsid w:val="00491218"/>
    <w:rsid w:val="00491CFD"/>
    <w:rsid w:val="00492991"/>
    <w:rsid w:val="00493362"/>
    <w:rsid w:val="00493F5F"/>
    <w:rsid w:val="00494343"/>
    <w:rsid w:val="00494AAB"/>
    <w:rsid w:val="00494FB8"/>
    <w:rsid w:val="0049548B"/>
    <w:rsid w:val="00496C2F"/>
    <w:rsid w:val="0049740D"/>
    <w:rsid w:val="004978D3"/>
    <w:rsid w:val="004A06A6"/>
    <w:rsid w:val="004A1160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A6D"/>
    <w:rsid w:val="004A4D61"/>
    <w:rsid w:val="004A5155"/>
    <w:rsid w:val="004A56EB"/>
    <w:rsid w:val="004A5865"/>
    <w:rsid w:val="004A7670"/>
    <w:rsid w:val="004A77DF"/>
    <w:rsid w:val="004B0295"/>
    <w:rsid w:val="004B0803"/>
    <w:rsid w:val="004B10A8"/>
    <w:rsid w:val="004B1F58"/>
    <w:rsid w:val="004B1F9D"/>
    <w:rsid w:val="004B2093"/>
    <w:rsid w:val="004B22DA"/>
    <w:rsid w:val="004B314A"/>
    <w:rsid w:val="004B3CB7"/>
    <w:rsid w:val="004B3D55"/>
    <w:rsid w:val="004B41DC"/>
    <w:rsid w:val="004B55B7"/>
    <w:rsid w:val="004B5836"/>
    <w:rsid w:val="004B5E1F"/>
    <w:rsid w:val="004B5F05"/>
    <w:rsid w:val="004C0009"/>
    <w:rsid w:val="004C00A6"/>
    <w:rsid w:val="004C0243"/>
    <w:rsid w:val="004C08F1"/>
    <w:rsid w:val="004C0B46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121"/>
    <w:rsid w:val="004C57B5"/>
    <w:rsid w:val="004C5C25"/>
    <w:rsid w:val="004C6717"/>
    <w:rsid w:val="004C6CFF"/>
    <w:rsid w:val="004C7065"/>
    <w:rsid w:val="004C70DC"/>
    <w:rsid w:val="004C7268"/>
    <w:rsid w:val="004C77A8"/>
    <w:rsid w:val="004C7C50"/>
    <w:rsid w:val="004D0211"/>
    <w:rsid w:val="004D1C9C"/>
    <w:rsid w:val="004D2A0E"/>
    <w:rsid w:val="004D2D7A"/>
    <w:rsid w:val="004D3B7D"/>
    <w:rsid w:val="004D458D"/>
    <w:rsid w:val="004D474F"/>
    <w:rsid w:val="004D4F13"/>
    <w:rsid w:val="004D504B"/>
    <w:rsid w:val="004D536E"/>
    <w:rsid w:val="004D58CE"/>
    <w:rsid w:val="004D6307"/>
    <w:rsid w:val="004D70B1"/>
    <w:rsid w:val="004D745A"/>
    <w:rsid w:val="004D76CC"/>
    <w:rsid w:val="004E1415"/>
    <w:rsid w:val="004E1839"/>
    <w:rsid w:val="004E38D2"/>
    <w:rsid w:val="004E4A75"/>
    <w:rsid w:val="004E541A"/>
    <w:rsid w:val="004E5A5C"/>
    <w:rsid w:val="004E7007"/>
    <w:rsid w:val="004E70ED"/>
    <w:rsid w:val="004E76D6"/>
    <w:rsid w:val="004E7C8D"/>
    <w:rsid w:val="004E7F57"/>
    <w:rsid w:val="004F06F5"/>
    <w:rsid w:val="004F0B25"/>
    <w:rsid w:val="004F191F"/>
    <w:rsid w:val="004F2A4D"/>
    <w:rsid w:val="004F2A73"/>
    <w:rsid w:val="004F33A0"/>
    <w:rsid w:val="004F353A"/>
    <w:rsid w:val="004F3B06"/>
    <w:rsid w:val="004F4353"/>
    <w:rsid w:val="004F447D"/>
    <w:rsid w:val="004F4C28"/>
    <w:rsid w:val="004F4E82"/>
    <w:rsid w:val="004F5470"/>
    <w:rsid w:val="004F5950"/>
    <w:rsid w:val="004F5CC5"/>
    <w:rsid w:val="004F5DCC"/>
    <w:rsid w:val="004F6350"/>
    <w:rsid w:val="004F7170"/>
    <w:rsid w:val="00501BFD"/>
    <w:rsid w:val="005028E1"/>
    <w:rsid w:val="00503955"/>
    <w:rsid w:val="005041D8"/>
    <w:rsid w:val="00505989"/>
    <w:rsid w:val="00506309"/>
    <w:rsid w:val="0050692E"/>
    <w:rsid w:val="00507040"/>
    <w:rsid w:val="00507638"/>
    <w:rsid w:val="005079F8"/>
    <w:rsid w:val="00507A87"/>
    <w:rsid w:val="00510189"/>
    <w:rsid w:val="00510428"/>
    <w:rsid w:val="005108C0"/>
    <w:rsid w:val="00510C81"/>
    <w:rsid w:val="00511873"/>
    <w:rsid w:val="00512495"/>
    <w:rsid w:val="00512603"/>
    <w:rsid w:val="00512B54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668A"/>
    <w:rsid w:val="00516CF6"/>
    <w:rsid w:val="00516F2B"/>
    <w:rsid w:val="00517567"/>
    <w:rsid w:val="0051778E"/>
    <w:rsid w:val="005177BB"/>
    <w:rsid w:val="005215EF"/>
    <w:rsid w:val="00521CFC"/>
    <w:rsid w:val="00522795"/>
    <w:rsid w:val="00522F36"/>
    <w:rsid w:val="00524637"/>
    <w:rsid w:val="0052495F"/>
    <w:rsid w:val="00524FDD"/>
    <w:rsid w:val="00525137"/>
    <w:rsid w:val="005251DD"/>
    <w:rsid w:val="005257A8"/>
    <w:rsid w:val="00526A54"/>
    <w:rsid w:val="00526D50"/>
    <w:rsid w:val="00526DB6"/>
    <w:rsid w:val="00527F5A"/>
    <w:rsid w:val="005300CB"/>
    <w:rsid w:val="0053017A"/>
    <w:rsid w:val="0053030C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69CF"/>
    <w:rsid w:val="0053734B"/>
    <w:rsid w:val="005375B1"/>
    <w:rsid w:val="00537AFD"/>
    <w:rsid w:val="00537CB4"/>
    <w:rsid w:val="00540CB3"/>
    <w:rsid w:val="00540D25"/>
    <w:rsid w:val="005412E0"/>
    <w:rsid w:val="00541822"/>
    <w:rsid w:val="00542D19"/>
    <w:rsid w:val="00543989"/>
    <w:rsid w:val="005440E1"/>
    <w:rsid w:val="0054516B"/>
    <w:rsid w:val="0054531C"/>
    <w:rsid w:val="0054559E"/>
    <w:rsid w:val="005459BD"/>
    <w:rsid w:val="00546833"/>
    <w:rsid w:val="0054787A"/>
    <w:rsid w:val="00551147"/>
    <w:rsid w:val="00551259"/>
    <w:rsid w:val="005513D5"/>
    <w:rsid w:val="00551A4F"/>
    <w:rsid w:val="00552112"/>
    <w:rsid w:val="005523B9"/>
    <w:rsid w:val="005538E2"/>
    <w:rsid w:val="00553C88"/>
    <w:rsid w:val="005545E0"/>
    <w:rsid w:val="00554865"/>
    <w:rsid w:val="00554E57"/>
    <w:rsid w:val="00556C12"/>
    <w:rsid w:val="00557E6A"/>
    <w:rsid w:val="00562749"/>
    <w:rsid w:val="00562DE9"/>
    <w:rsid w:val="0056303C"/>
    <w:rsid w:val="00563270"/>
    <w:rsid w:val="005638A5"/>
    <w:rsid w:val="00564137"/>
    <w:rsid w:val="00566381"/>
    <w:rsid w:val="00566A03"/>
    <w:rsid w:val="00571932"/>
    <w:rsid w:val="00573A00"/>
    <w:rsid w:val="00573C97"/>
    <w:rsid w:val="00574240"/>
    <w:rsid w:val="005743B4"/>
    <w:rsid w:val="0057454C"/>
    <w:rsid w:val="005752BD"/>
    <w:rsid w:val="005752EB"/>
    <w:rsid w:val="005755FE"/>
    <w:rsid w:val="0057569E"/>
    <w:rsid w:val="00575CDC"/>
    <w:rsid w:val="005765D5"/>
    <w:rsid w:val="00576A3E"/>
    <w:rsid w:val="0057703D"/>
    <w:rsid w:val="005807D6"/>
    <w:rsid w:val="00581892"/>
    <w:rsid w:val="0058366F"/>
    <w:rsid w:val="00583D5B"/>
    <w:rsid w:val="00583FFD"/>
    <w:rsid w:val="00585EFE"/>
    <w:rsid w:val="00587CCD"/>
    <w:rsid w:val="005908AE"/>
    <w:rsid w:val="00590CDE"/>
    <w:rsid w:val="0059176E"/>
    <w:rsid w:val="00592854"/>
    <w:rsid w:val="00593152"/>
    <w:rsid w:val="005934CE"/>
    <w:rsid w:val="00593CA3"/>
    <w:rsid w:val="00593D14"/>
    <w:rsid w:val="00593ECE"/>
    <w:rsid w:val="00594161"/>
    <w:rsid w:val="00594969"/>
    <w:rsid w:val="00594B91"/>
    <w:rsid w:val="00595035"/>
    <w:rsid w:val="005959ED"/>
    <w:rsid w:val="00595C7C"/>
    <w:rsid w:val="0059649D"/>
    <w:rsid w:val="00596601"/>
    <w:rsid w:val="00596C5E"/>
    <w:rsid w:val="005A038A"/>
    <w:rsid w:val="005A198E"/>
    <w:rsid w:val="005A1FEE"/>
    <w:rsid w:val="005A20D8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CD0"/>
    <w:rsid w:val="005A6E85"/>
    <w:rsid w:val="005A7500"/>
    <w:rsid w:val="005A77E4"/>
    <w:rsid w:val="005A77F6"/>
    <w:rsid w:val="005A7896"/>
    <w:rsid w:val="005B0262"/>
    <w:rsid w:val="005B0B4C"/>
    <w:rsid w:val="005B0B8F"/>
    <w:rsid w:val="005B1BDB"/>
    <w:rsid w:val="005B22A7"/>
    <w:rsid w:val="005B2BAA"/>
    <w:rsid w:val="005B2D53"/>
    <w:rsid w:val="005B3247"/>
    <w:rsid w:val="005B3409"/>
    <w:rsid w:val="005B498A"/>
    <w:rsid w:val="005B513A"/>
    <w:rsid w:val="005B52AE"/>
    <w:rsid w:val="005B6E77"/>
    <w:rsid w:val="005B75C7"/>
    <w:rsid w:val="005B7B12"/>
    <w:rsid w:val="005C16CB"/>
    <w:rsid w:val="005C21D6"/>
    <w:rsid w:val="005C27C5"/>
    <w:rsid w:val="005C3F9F"/>
    <w:rsid w:val="005C406F"/>
    <w:rsid w:val="005C40BA"/>
    <w:rsid w:val="005C419C"/>
    <w:rsid w:val="005C4A23"/>
    <w:rsid w:val="005C562C"/>
    <w:rsid w:val="005C571E"/>
    <w:rsid w:val="005C5812"/>
    <w:rsid w:val="005C5885"/>
    <w:rsid w:val="005C6400"/>
    <w:rsid w:val="005C76F1"/>
    <w:rsid w:val="005C7F1E"/>
    <w:rsid w:val="005D0341"/>
    <w:rsid w:val="005D073B"/>
    <w:rsid w:val="005D11D2"/>
    <w:rsid w:val="005D1E78"/>
    <w:rsid w:val="005D1EDA"/>
    <w:rsid w:val="005D25B4"/>
    <w:rsid w:val="005D374F"/>
    <w:rsid w:val="005D5802"/>
    <w:rsid w:val="005D6CFC"/>
    <w:rsid w:val="005D73E2"/>
    <w:rsid w:val="005D7503"/>
    <w:rsid w:val="005D757A"/>
    <w:rsid w:val="005D76AE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06"/>
    <w:rsid w:val="005E75B8"/>
    <w:rsid w:val="005F0976"/>
    <w:rsid w:val="005F26CE"/>
    <w:rsid w:val="005F38D3"/>
    <w:rsid w:val="005F393C"/>
    <w:rsid w:val="005F3F04"/>
    <w:rsid w:val="005F4057"/>
    <w:rsid w:val="005F4088"/>
    <w:rsid w:val="005F42F4"/>
    <w:rsid w:val="005F49ED"/>
    <w:rsid w:val="005F4C83"/>
    <w:rsid w:val="005F5628"/>
    <w:rsid w:val="005F5916"/>
    <w:rsid w:val="005F5A4E"/>
    <w:rsid w:val="005F5F61"/>
    <w:rsid w:val="005F601D"/>
    <w:rsid w:val="005F6119"/>
    <w:rsid w:val="005F7940"/>
    <w:rsid w:val="00600712"/>
    <w:rsid w:val="0060091A"/>
    <w:rsid w:val="0060107A"/>
    <w:rsid w:val="00601AFF"/>
    <w:rsid w:val="00602D1D"/>
    <w:rsid w:val="00603A13"/>
    <w:rsid w:val="00604307"/>
    <w:rsid w:val="0060487F"/>
    <w:rsid w:val="00604CF7"/>
    <w:rsid w:val="00605419"/>
    <w:rsid w:val="00605814"/>
    <w:rsid w:val="00606B93"/>
    <w:rsid w:val="00607727"/>
    <w:rsid w:val="00607934"/>
    <w:rsid w:val="00610BD5"/>
    <w:rsid w:val="00611363"/>
    <w:rsid w:val="00611531"/>
    <w:rsid w:val="006118AA"/>
    <w:rsid w:val="0061196F"/>
    <w:rsid w:val="00611C28"/>
    <w:rsid w:val="006122F3"/>
    <w:rsid w:val="00612E84"/>
    <w:rsid w:val="006139C7"/>
    <w:rsid w:val="00615023"/>
    <w:rsid w:val="006150EA"/>
    <w:rsid w:val="006153E3"/>
    <w:rsid w:val="006155F1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26576"/>
    <w:rsid w:val="00627F1F"/>
    <w:rsid w:val="0063030A"/>
    <w:rsid w:val="006305C4"/>
    <w:rsid w:val="00630E82"/>
    <w:rsid w:val="00630F66"/>
    <w:rsid w:val="00631FC2"/>
    <w:rsid w:val="00632171"/>
    <w:rsid w:val="0063332A"/>
    <w:rsid w:val="00633729"/>
    <w:rsid w:val="00633C64"/>
    <w:rsid w:val="006347F9"/>
    <w:rsid w:val="0063494E"/>
    <w:rsid w:val="00634C90"/>
    <w:rsid w:val="00635818"/>
    <w:rsid w:val="00635E79"/>
    <w:rsid w:val="006365E8"/>
    <w:rsid w:val="00636A55"/>
    <w:rsid w:val="00636A84"/>
    <w:rsid w:val="00636E26"/>
    <w:rsid w:val="00636E5E"/>
    <w:rsid w:val="00637211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74A"/>
    <w:rsid w:val="00645A9C"/>
    <w:rsid w:val="006460B8"/>
    <w:rsid w:val="00646448"/>
    <w:rsid w:val="006467D0"/>
    <w:rsid w:val="00646B41"/>
    <w:rsid w:val="006504A0"/>
    <w:rsid w:val="00650784"/>
    <w:rsid w:val="00650C83"/>
    <w:rsid w:val="006520C7"/>
    <w:rsid w:val="006520D5"/>
    <w:rsid w:val="00652179"/>
    <w:rsid w:val="00652CBB"/>
    <w:rsid w:val="00652CF0"/>
    <w:rsid w:val="006530B8"/>
    <w:rsid w:val="006535D6"/>
    <w:rsid w:val="00654093"/>
    <w:rsid w:val="00654E14"/>
    <w:rsid w:val="006564FB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B35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E9B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3EAB"/>
    <w:rsid w:val="00683EC9"/>
    <w:rsid w:val="0068437D"/>
    <w:rsid w:val="006847C5"/>
    <w:rsid w:val="006857DF"/>
    <w:rsid w:val="00685E66"/>
    <w:rsid w:val="00686B72"/>
    <w:rsid w:val="00686BF1"/>
    <w:rsid w:val="006873E5"/>
    <w:rsid w:val="00687AE5"/>
    <w:rsid w:val="00690A09"/>
    <w:rsid w:val="00690A25"/>
    <w:rsid w:val="00691748"/>
    <w:rsid w:val="00691E14"/>
    <w:rsid w:val="0069340D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4D5"/>
    <w:rsid w:val="006A1582"/>
    <w:rsid w:val="006A18AE"/>
    <w:rsid w:val="006A23E5"/>
    <w:rsid w:val="006A288C"/>
    <w:rsid w:val="006A2EE8"/>
    <w:rsid w:val="006A3CF3"/>
    <w:rsid w:val="006A4522"/>
    <w:rsid w:val="006A568F"/>
    <w:rsid w:val="006A5B57"/>
    <w:rsid w:val="006A65EF"/>
    <w:rsid w:val="006A672B"/>
    <w:rsid w:val="006A683F"/>
    <w:rsid w:val="006A7257"/>
    <w:rsid w:val="006B1781"/>
    <w:rsid w:val="006B1913"/>
    <w:rsid w:val="006B23A9"/>
    <w:rsid w:val="006B23D8"/>
    <w:rsid w:val="006B281D"/>
    <w:rsid w:val="006B3F8A"/>
    <w:rsid w:val="006B5152"/>
    <w:rsid w:val="006B59D7"/>
    <w:rsid w:val="006B5CA3"/>
    <w:rsid w:val="006B6171"/>
    <w:rsid w:val="006B6B3B"/>
    <w:rsid w:val="006B7248"/>
    <w:rsid w:val="006B7714"/>
    <w:rsid w:val="006B78D8"/>
    <w:rsid w:val="006B797F"/>
    <w:rsid w:val="006B7CCE"/>
    <w:rsid w:val="006C090F"/>
    <w:rsid w:val="006C0935"/>
    <w:rsid w:val="006C0BCE"/>
    <w:rsid w:val="006C0E9E"/>
    <w:rsid w:val="006C113F"/>
    <w:rsid w:val="006C1AA9"/>
    <w:rsid w:val="006C1CE7"/>
    <w:rsid w:val="006C20A0"/>
    <w:rsid w:val="006C2927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C7A7B"/>
    <w:rsid w:val="006C7D09"/>
    <w:rsid w:val="006D004F"/>
    <w:rsid w:val="006D042D"/>
    <w:rsid w:val="006D06EF"/>
    <w:rsid w:val="006D07EC"/>
    <w:rsid w:val="006D1418"/>
    <w:rsid w:val="006D142E"/>
    <w:rsid w:val="006D231B"/>
    <w:rsid w:val="006D3976"/>
    <w:rsid w:val="006D3B87"/>
    <w:rsid w:val="006D4497"/>
    <w:rsid w:val="006D4E6F"/>
    <w:rsid w:val="006D61F6"/>
    <w:rsid w:val="006D710C"/>
    <w:rsid w:val="006D7297"/>
    <w:rsid w:val="006E0EB0"/>
    <w:rsid w:val="006E182C"/>
    <w:rsid w:val="006E1F4C"/>
    <w:rsid w:val="006E22C8"/>
    <w:rsid w:val="006E279A"/>
    <w:rsid w:val="006E2C28"/>
    <w:rsid w:val="006E2F3F"/>
    <w:rsid w:val="006E2F44"/>
    <w:rsid w:val="006E313B"/>
    <w:rsid w:val="006E394C"/>
    <w:rsid w:val="006E4368"/>
    <w:rsid w:val="006E442A"/>
    <w:rsid w:val="006E4434"/>
    <w:rsid w:val="006E4A1B"/>
    <w:rsid w:val="006E59FC"/>
    <w:rsid w:val="006E5CFD"/>
    <w:rsid w:val="006E5FC4"/>
    <w:rsid w:val="006E635B"/>
    <w:rsid w:val="006E642F"/>
    <w:rsid w:val="006E76BE"/>
    <w:rsid w:val="006E7E2C"/>
    <w:rsid w:val="006F0D32"/>
    <w:rsid w:val="006F0E00"/>
    <w:rsid w:val="006F1326"/>
    <w:rsid w:val="006F1553"/>
    <w:rsid w:val="006F1DDD"/>
    <w:rsid w:val="006F2280"/>
    <w:rsid w:val="006F2BEE"/>
    <w:rsid w:val="006F32FF"/>
    <w:rsid w:val="006F3708"/>
    <w:rsid w:val="006F376C"/>
    <w:rsid w:val="006F3A90"/>
    <w:rsid w:val="006F3E6B"/>
    <w:rsid w:val="006F440D"/>
    <w:rsid w:val="006F4619"/>
    <w:rsid w:val="006F4A59"/>
    <w:rsid w:val="006F5693"/>
    <w:rsid w:val="006F6968"/>
    <w:rsid w:val="00700232"/>
    <w:rsid w:val="00701382"/>
    <w:rsid w:val="007014C7"/>
    <w:rsid w:val="00702100"/>
    <w:rsid w:val="00702358"/>
    <w:rsid w:val="00702D6F"/>
    <w:rsid w:val="007031C6"/>
    <w:rsid w:val="00703B6C"/>
    <w:rsid w:val="00703C6B"/>
    <w:rsid w:val="00703CFE"/>
    <w:rsid w:val="007047D5"/>
    <w:rsid w:val="00705A91"/>
    <w:rsid w:val="00705D98"/>
    <w:rsid w:val="00707891"/>
    <w:rsid w:val="00707D43"/>
    <w:rsid w:val="00710F7C"/>
    <w:rsid w:val="00711398"/>
    <w:rsid w:val="00711970"/>
    <w:rsid w:val="00711EF1"/>
    <w:rsid w:val="0071229A"/>
    <w:rsid w:val="00712572"/>
    <w:rsid w:val="00712691"/>
    <w:rsid w:val="00713495"/>
    <w:rsid w:val="00713EEB"/>
    <w:rsid w:val="007142C1"/>
    <w:rsid w:val="0071479D"/>
    <w:rsid w:val="00715487"/>
    <w:rsid w:val="00715504"/>
    <w:rsid w:val="007159D2"/>
    <w:rsid w:val="00716DCC"/>
    <w:rsid w:val="00717726"/>
    <w:rsid w:val="0072050E"/>
    <w:rsid w:val="00720958"/>
    <w:rsid w:val="00720FA2"/>
    <w:rsid w:val="007211F5"/>
    <w:rsid w:val="00722985"/>
    <w:rsid w:val="007240C5"/>
    <w:rsid w:val="00724666"/>
    <w:rsid w:val="00724E80"/>
    <w:rsid w:val="00725492"/>
    <w:rsid w:val="007256B7"/>
    <w:rsid w:val="00726043"/>
    <w:rsid w:val="007260C3"/>
    <w:rsid w:val="007265C6"/>
    <w:rsid w:val="0072671B"/>
    <w:rsid w:val="0072704A"/>
    <w:rsid w:val="007273DC"/>
    <w:rsid w:val="007279B9"/>
    <w:rsid w:val="00727F9F"/>
    <w:rsid w:val="00730AE8"/>
    <w:rsid w:val="00730BBC"/>
    <w:rsid w:val="007315DA"/>
    <w:rsid w:val="00731963"/>
    <w:rsid w:val="00732706"/>
    <w:rsid w:val="0073325D"/>
    <w:rsid w:val="00733C96"/>
    <w:rsid w:val="0073402C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40C"/>
    <w:rsid w:val="007426B3"/>
    <w:rsid w:val="007426FD"/>
    <w:rsid w:val="007430AB"/>
    <w:rsid w:val="007430BF"/>
    <w:rsid w:val="0074329D"/>
    <w:rsid w:val="00744376"/>
    <w:rsid w:val="007449EA"/>
    <w:rsid w:val="00744D00"/>
    <w:rsid w:val="00744D2B"/>
    <w:rsid w:val="00745273"/>
    <w:rsid w:val="00745650"/>
    <w:rsid w:val="00745F3C"/>
    <w:rsid w:val="00746DD9"/>
    <w:rsid w:val="00747459"/>
    <w:rsid w:val="0075057A"/>
    <w:rsid w:val="00751771"/>
    <w:rsid w:val="00751C1C"/>
    <w:rsid w:val="00752180"/>
    <w:rsid w:val="007521A1"/>
    <w:rsid w:val="0075274D"/>
    <w:rsid w:val="00752BC3"/>
    <w:rsid w:val="0075315D"/>
    <w:rsid w:val="007538F9"/>
    <w:rsid w:val="00753AFD"/>
    <w:rsid w:val="00754253"/>
    <w:rsid w:val="007552BB"/>
    <w:rsid w:val="007558D3"/>
    <w:rsid w:val="007559D7"/>
    <w:rsid w:val="00755D3A"/>
    <w:rsid w:val="00755EA0"/>
    <w:rsid w:val="00760141"/>
    <w:rsid w:val="007609C6"/>
    <w:rsid w:val="00760C01"/>
    <w:rsid w:val="007610A0"/>
    <w:rsid w:val="00762036"/>
    <w:rsid w:val="007620F2"/>
    <w:rsid w:val="0076290D"/>
    <w:rsid w:val="00762EBA"/>
    <w:rsid w:val="0076359D"/>
    <w:rsid w:val="00763A13"/>
    <w:rsid w:val="00763D86"/>
    <w:rsid w:val="00766109"/>
    <w:rsid w:val="00766F78"/>
    <w:rsid w:val="0076719C"/>
    <w:rsid w:val="0077058D"/>
    <w:rsid w:val="00770931"/>
    <w:rsid w:val="00770FA7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1EBB"/>
    <w:rsid w:val="007821DB"/>
    <w:rsid w:val="00782235"/>
    <w:rsid w:val="00782818"/>
    <w:rsid w:val="007838F1"/>
    <w:rsid w:val="007841BB"/>
    <w:rsid w:val="00784C4A"/>
    <w:rsid w:val="00784DCA"/>
    <w:rsid w:val="00785C7A"/>
    <w:rsid w:val="00787432"/>
    <w:rsid w:val="00787507"/>
    <w:rsid w:val="0078778C"/>
    <w:rsid w:val="007879F2"/>
    <w:rsid w:val="00790164"/>
    <w:rsid w:val="00790393"/>
    <w:rsid w:val="007904B2"/>
    <w:rsid w:val="00790C15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38B"/>
    <w:rsid w:val="00796642"/>
    <w:rsid w:val="00797354"/>
    <w:rsid w:val="007A11D9"/>
    <w:rsid w:val="007A327B"/>
    <w:rsid w:val="007A36DE"/>
    <w:rsid w:val="007A4048"/>
    <w:rsid w:val="007A45B1"/>
    <w:rsid w:val="007A4606"/>
    <w:rsid w:val="007A4D58"/>
    <w:rsid w:val="007A5039"/>
    <w:rsid w:val="007A6772"/>
    <w:rsid w:val="007A684C"/>
    <w:rsid w:val="007A74B4"/>
    <w:rsid w:val="007A796D"/>
    <w:rsid w:val="007B04E8"/>
    <w:rsid w:val="007B0920"/>
    <w:rsid w:val="007B0D67"/>
    <w:rsid w:val="007B0F90"/>
    <w:rsid w:val="007B1966"/>
    <w:rsid w:val="007B2257"/>
    <w:rsid w:val="007B22E6"/>
    <w:rsid w:val="007B2779"/>
    <w:rsid w:val="007B2AF7"/>
    <w:rsid w:val="007B2F37"/>
    <w:rsid w:val="007B3DCC"/>
    <w:rsid w:val="007B4518"/>
    <w:rsid w:val="007B4EEC"/>
    <w:rsid w:val="007B5031"/>
    <w:rsid w:val="007B573F"/>
    <w:rsid w:val="007B70B8"/>
    <w:rsid w:val="007B72AC"/>
    <w:rsid w:val="007B78F8"/>
    <w:rsid w:val="007C0065"/>
    <w:rsid w:val="007C010B"/>
    <w:rsid w:val="007C29B0"/>
    <w:rsid w:val="007C3289"/>
    <w:rsid w:val="007C32B6"/>
    <w:rsid w:val="007C3AE3"/>
    <w:rsid w:val="007C3C8E"/>
    <w:rsid w:val="007C5363"/>
    <w:rsid w:val="007C5E52"/>
    <w:rsid w:val="007C605B"/>
    <w:rsid w:val="007C6557"/>
    <w:rsid w:val="007C6EA2"/>
    <w:rsid w:val="007C6EBA"/>
    <w:rsid w:val="007C75CA"/>
    <w:rsid w:val="007C7BAC"/>
    <w:rsid w:val="007C7CC5"/>
    <w:rsid w:val="007D0ACF"/>
    <w:rsid w:val="007D2749"/>
    <w:rsid w:val="007D2A5A"/>
    <w:rsid w:val="007D2AD8"/>
    <w:rsid w:val="007D2C47"/>
    <w:rsid w:val="007D2C61"/>
    <w:rsid w:val="007D2DA3"/>
    <w:rsid w:val="007D2F81"/>
    <w:rsid w:val="007D3167"/>
    <w:rsid w:val="007D329F"/>
    <w:rsid w:val="007D3A2C"/>
    <w:rsid w:val="007D3CF7"/>
    <w:rsid w:val="007D4128"/>
    <w:rsid w:val="007D4281"/>
    <w:rsid w:val="007D42F5"/>
    <w:rsid w:val="007D44C3"/>
    <w:rsid w:val="007D5947"/>
    <w:rsid w:val="007D65C1"/>
    <w:rsid w:val="007D7936"/>
    <w:rsid w:val="007E030F"/>
    <w:rsid w:val="007E0D49"/>
    <w:rsid w:val="007E0E59"/>
    <w:rsid w:val="007E0F4B"/>
    <w:rsid w:val="007E12C1"/>
    <w:rsid w:val="007E15E9"/>
    <w:rsid w:val="007E1EF7"/>
    <w:rsid w:val="007E20C0"/>
    <w:rsid w:val="007E34F7"/>
    <w:rsid w:val="007E3715"/>
    <w:rsid w:val="007E4996"/>
    <w:rsid w:val="007E5036"/>
    <w:rsid w:val="007E5880"/>
    <w:rsid w:val="007E5F3D"/>
    <w:rsid w:val="007E61FF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2BF6"/>
    <w:rsid w:val="007F3E3E"/>
    <w:rsid w:val="007F42E0"/>
    <w:rsid w:val="007F45FF"/>
    <w:rsid w:val="007F500D"/>
    <w:rsid w:val="007F5F14"/>
    <w:rsid w:val="007F61D3"/>
    <w:rsid w:val="007F646D"/>
    <w:rsid w:val="007F69EE"/>
    <w:rsid w:val="007F7B54"/>
    <w:rsid w:val="007F7C60"/>
    <w:rsid w:val="00800073"/>
    <w:rsid w:val="008001F0"/>
    <w:rsid w:val="008005D7"/>
    <w:rsid w:val="00801547"/>
    <w:rsid w:val="00801D15"/>
    <w:rsid w:val="00801FDD"/>
    <w:rsid w:val="008020C2"/>
    <w:rsid w:val="00802386"/>
    <w:rsid w:val="0080255C"/>
    <w:rsid w:val="008054FB"/>
    <w:rsid w:val="0080585A"/>
    <w:rsid w:val="00806088"/>
    <w:rsid w:val="00806D07"/>
    <w:rsid w:val="0081019B"/>
    <w:rsid w:val="00810971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833"/>
    <w:rsid w:val="00814965"/>
    <w:rsid w:val="00815B82"/>
    <w:rsid w:val="00815C6E"/>
    <w:rsid w:val="00815DD0"/>
    <w:rsid w:val="00815F10"/>
    <w:rsid w:val="0081645F"/>
    <w:rsid w:val="00816A28"/>
    <w:rsid w:val="00816DDF"/>
    <w:rsid w:val="008174A3"/>
    <w:rsid w:val="00817755"/>
    <w:rsid w:val="00817865"/>
    <w:rsid w:val="008178C2"/>
    <w:rsid w:val="008178CF"/>
    <w:rsid w:val="00817BBE"/>
    <w:rsid w:val="00817C98"/>
    <w:rsid w:val="00820C9F"/>
    <w:rsid w:val="00821AAE"/>
    <w:rsid w:val="00821C4A"/>
    <w:rsid w:val="00821CEB"/>
    <w:rsid w:val="00821FF6"/>
    <w:rsid w:val="00823AAF"/>
    <w:rsid w:val="00824081"/>
    <w:rsid w:val="0082409A"/>
    <w:rsid w:val="00824626"/>
    <w:rsid w:val="008252D7"/>
    <w:rsid w:val="008259CC"/>
    <w:rsid w:val="00825C0F"/>
    <w:rsid w:val="00826376"/>
    <w:rsid w:val="00826ED1"/>
    <w:rsid w:val="00827181"/>
    <w:rsid w:val="0082733C"/>
    <w:rsid w:val="00827746"/>
    <w:rsid w:val="00827D56"/>
    <w:rsid w:val="0083102D"/>
    <w:rsid w:val="0083143E"/>
    <w:rsid w:val="0083159D"/>
    <w:rsid w:val="008318FF"/>
    <w:rsid w:val="00831E95"/>
    <w:rsid w:val="00832187"/>
    <w:rsid w:val="00832493"/>
    <w:rsid w:val="008328C9"/>
    <w:rsid w:val="008329BD"/>
    <w:rsid w:val="008334C3"/>
    <w:rsid w:val="008336D8"/>
    <w:rsid w:val="008339C4"/>
    <w:rsid w:val="00834B56"/>
    <w:rsid w:val="00834F0A"/>
    <w:rsid w:val="00834FAA"/>
    <w:rsid w:val="00835181"/>
    <w:rsid w:val="00835991"/>
    <w:rsid w:val="00836086"/>
    <w:rsid w:val="00837566"/>
    <w:rsid w:val="00837871"/>
    <w:rsid w:val="0084002E"/>
    <w:rsid w:val="00840458"/>
    <w:rsid w:val="00840699"/>
    <w:rsid w:val="00841D9F"/>
    <w:rsid w:val="00842078"/>
    <w:rsid w:val="00842604"/>
    <w:rsid w:val="008434B0"/>
    <w:rsid w:val="00843ECF"/>
    <w:rsid w:val="0084535E"/>
    <w:rsid w:val="00845A11"/>
    <w:rsid w:val="00845AB1"/>
    <w:rsid w:val="00846673"/>
    <w:rsid w:val="00846891"/>
    <w:rsid w:val="008508A9"/>
    <w:rsid w:val="00851087"/>
    <w:rsid w:val="0085188D"/>
    <w:rsid w:val="008518D8"/>
    <w:rsid w:val="0085220C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1C98"/>
    <w:rsid w:val="00862A7A"/>
    <w:rsid w:val="00862FBD"/>
    <w:rsid w:val="00863104"/>
    <w:rsid w:val="008636CD"/>
    <w:rsid w:val="00863702"/>
    <w:rsid w:val="00863D9E"/>
    <w:rsid w:val="00863FDC"/>
    <w:rsid w:val="008642AF"/>
    <w:rsid w:val="00864B5A"/>
    <w:rsid w:val="00864F00"/>
    <w:rsid w:val="00865286"/>
    <w:rsid w:val="00865729"/>
    <w:rsid w:val="0086590D"/>
    <w:rsid w:val="00865EA8"/>
    <w:rsid w:val="00865ED4"/>
    <w:rsid w:val="008669A7"/>
    <w:rsid w:val="00867464"/>
    <w:rsid w:val="00867B8F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10BB"/>
    <w:rsid w:val="00883A67"/>
    <w:rsid w:val="00883D45"/>
    <w:rsid w:val="00884519"/>
    <w:rsid w:val="00884D69"/>
    <w:rsid w:val="0088503D"/>
    <w:rsid w:val="00885620"/>
    <w:rsid w:val="00885EC6"/>
    <w:rsid w:val="008869D2"/>
    <w:rsid w:val="00886A8F"/>
    <w:rsid w:val="0088733A"/>
    <w:rsid w:val="008901CC"/>
    <w:rsid w:val="0089061C"/>
    <w:rsid w:val="00891251"/>
    <w:rsid w:val="00891BE0"/>
    <w:rsid w:val="008929A0"/>
    <w:rsid w:val="00893269"/>
    <w:rsid w:val="00893302"/>
    <w:rsid w:val="00893648"/>
    <w:rsid w:val="00893D05"/>
    <w:rsid w:val="00893D83"/>
    <w:rsid w:val="00893F0C"/>
    <w:rsid w:val="00893F3C"/>
    <w:rsid w:val="008945A1"/>
    <w:rsid w:val="00894A63"/>
    <w:rsid w:val="00894F71"/>
    <w:rsid w:val="00895A54"/>
    <w:rsid w:val="008963A7"/>
    <w:rsid w:val="00896776"/>
    <w:rsid w:val="00896874"/>
    <w:rsid w:val="00896916"/>
    <w:rsid w:val="00896BDE"/>
    <w:rsid w:val="0089763E"/>
    <w:rsid w:val="008A03DE"/>
    <w:rsid w:val="008A0861"/>
    <w:rsid w:val="008A0BB2"/>
    <w:rsid w:val="008A1AB3"/>
    <w:rsid w:val="008A1D5C"/>
    <w:rsid w:val="008A2890"/>
    <w:rsid w:val="008A3292"/>
    <w:rsid w:val="008A3A85"/>
    <w:rsid w:val="008A43E9"/>
    <w:rsid w:val="008A4CB1"/>
    <w:rsid w:val="008A5F34"/>
    <w:rsid w:val="008A615E"/>
    <w:rsid w:val="008A632B"/>
    <w:rsid w:val="008A6720"/>
    <w:rsid w:val="008A6BFE"/>
    <w:rsid w:val="008A6F21"/>
    <w:rsid w:val="008A6F3F"/>
    <w:rsid w:val="008A6F67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4EEA"/>
    <w:rsid w:val="008B531F"/>
    <w:rsid w:val="008B54A3"/>
    <w:rsid w:val="008B5F41"/>
    <w:rsid w:val="008B634C"/>
    <w:rsid w:val="008B6B67"/>
    <w:rsid w:val="008B7306"/>
    <w:rsid w:val="008B775F"/>
    <w:rsid w:val="008B77D1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4DBA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A23"/>
    <w:rsid w:val="008D0E3B"/>
    <w:rsid w:val="008D13EA"/>
    <w:rsid w:val="008D21DE"/>
    <w:rsid w:val="008D2671"/>
    <w:rsid w:val="008D2A16"/>
    <w:rsid w:val="008D2ECF"/>
    <w:rsid w:val="008D347D"/>
    <w:rsid w:val="008D3F3D"/>
    <w:rsid w:val="008D4376"/>
    <w:rsid w:val="008D4F04"/>
    <w:rsid w:val="008D51E9"/>
    <w:rsid w:val="008D5BAD"/>
    <w:rsid w:val="008D699D"/>
    <w:rsid w:val="008E0367"/>
    <w:rsid w:val="008E2DCD"/>
    <w:rsid w:val="008E308D"/>
    <w:rsid w:val="008E31FF"/>
    <w:rsid w:val="008E3B0F"/>
    <w:rsid w:val="008E46A3"/>
    <w:rsid w:val="008E5DE6"/>
    <w:rsid w:val="008E5E90"/>
    <w:rsid w:val="008E6113"/>
    <w:rsid w:val="008E6AB3"/>
    <w:rsid w:val="008E6AD3"/>
    <w:rsid w:val="008E6EBD"/>
    <w:rsid w:val="008E71A6"/>
    <w:rsid w:val="008E77B6"/>
    <w:rsid w:val="008E7C55"/>
    <w:rsid w:val="008F032E"/>
    <w:rsid w:val="008F062F"/>
    <w:rsid w:val="008F0F14"/>
    <w:rsid w:val="008F1638"/>
    <w:rsid w:val="008F1723"/>
    <w:rsid w:val="008F2097"/>
    <w:rsid w:val="008F2F44"/>
    <w:rsid w:val="008F352D"/>
    <w:rsid w:val="008F3F1C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29C"/>
    <w:rsid w:val="00902CBE"/>
    <w:rsid w:val="00902D74"/>
    <w:rsid w:val="00902EFF"/>
    <w:rsid w:val="00902FAC"/>
    <w:rsid w:val="00903E06"/>
    <w:rsid w:val="009045D1"/>
    <w:rsid w:val="00904B9D"/>
    <w:rsid w:val="009057D4"/>
    <w:rsid w:val="00905A11"/>
    <w:rsid w:val="00905FE8"/>
    <w:rsid w:val="009066E1"/>
    <w:rsid w:val="00906F67"/>
    <w:rsid w:val="00907A41"/>
    <w:rsid w:val="00910098"/>
    <w:rsid w:val="009102BD"/>
    <w:rsid w:val="00910F93"/>
    <w:rsid w:val="00910FBC"/>
    <w:rsid w:val="00911E3B"/>
    <w:rsid w:val="0091255A"/>
    <w:rsid w:val="00914426"/>
    <w:rsid w:val="0091561A"/>
    <w:rsid w:val="0091675F"/>
    <w:rsid w:val="00917709"/>
    <w:rsid w:val="00917918"/>
    <w:rsid w:val="00920874"/>
    <w:rsid w:val="00921F14"/>
    <w:rsid w:val="009227C6"/>
    <w:rsid w:val="0092347C"/>
    <w:rsid w:val="00923750"/>
    <w:rsid w:val="009243A5"/>
    <w:rsid w:val="0092465F"/>
    <w:rsid w:val="0092500F"/>
    <w:rsid w:val="009250D2"/>
    <w:rsid w:val="0092519D"/>
    <w:rsid w:val="0092540B"/>
    <w:rsid w:val="009256C5"/>
    <w:rsid w:val="00925A21"/>
    <w:rsid w:val="00926283"/>
    <w:rsid w:val="009306BE"/>
    <w:rsid w:val="00930CD7"/>
    <w:rsid w:val="0093161F"/>
    <w:rsid w:val="009339FD"/>
    <w:rsid w:val="00934836"/>
    <w:rsid w:val="00934963"/>
    <w:rsid w:val="00936ECA"/>
    <w:rsid w:val="00937320"/>
    <w:rsid w:val="00937B11"/>
    <w:rsid w:val="00940F1F"/>
    <w:rsid w:val="00941250"/>
    <w:rsid w:val="00941339"/>
    <w:rsid w:val="0094396E"/>
    <w:rsid w:val="0094427A"/>
    <w:rsid w:val="00944380"/>
    <w:rsid w:val="00945904"/>
    <w:rsid w:val="009459C5"/>
    <w:rsid w:val="009459DE"/>
    <w:rsid w:val="00945E5E"/>
    <w:rsid w:val="0094626C"/>
    <w:rsid w:val="00946552"/>
    <w:rsid w:val="0095013A"/>
    <w:rsid w:val="00953AEF"/>
    <w:rsid w:val="00954FC3"/>
    <w:rsid w:val="009551E2"/>
    <w:rsid w:val="00955783"/>
    <w:rsid w:val="009558A6"/>
    <w:rsid w:val="00955E5F"/>
    <w:rsid w:val="009560B0"/>
    <w:rsid w:val="009564B2"/>
    <w:rsid w:val="00956F23"/>
    <w:rsid w:val="009576AC"/>
    <w:rsid w:val="00957871"/>
    <w:rsid w:val="00960077"/>
    <w:rsid w:val="00960769"/>
    <w:rsid w:val="00960D56"/>
    <w:rsid w:val="00962D2E"/>
    <w:rsid w:val="00963724"/>
    <w:rsid w:val="00963D22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040B"/>
    <w:rsid w:val="00971DC6"/>
    <w:rsid w:val="00971DD6"/>
    <w:rsid w:val="00972263"/>
    <w:rsid w:val="0097242E"/>
    <w:rsid w:val="00972502"/>
    <w:rsid w:val="00972D8D"/>
    <w:rsid w:val="00973A9E"/>
    <w:rsid w:val="00973AAE"/>
    <w:rsid w:val="00974236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621"/>
    <w:rsid w:val="0098095B"/>
    <w:rsid w:val="00982072"/>
    <w:rsid w:val="009821FE"/>
    <w:rsid w:val="009833FA"/>
    <w:rsid w:val="00983ACF"/>
    <w:rsid w:val="00983DBB"/>
    <w:rsid w:val="00983ECF"/>
    <w:rsid w:val="00985157"/>
    <w:rsid w:val="00986208"/>
    <w:rsid w:val="00986745"/>
    <w:rsid w:val="00986746"/>
    <w:rsid w:val="009867BC"/>
    <w:rsid w:val="009869C4"/>
    <w:rsid w:val="009870EF"/>
    <w:rsid w:val="00987109"/>
    <w:rsid w:val="00987309"/>
    <w:rsid w:val="00987351"/>
    <w:rsid w:val="0099012D"/>
    <w:rsid w:val="00990363"/>
    <w:rsid w:val="00991266"/>
    <w:rsid w:val="00991952"/>
    <w:rsid w:val="009928AE"/>
    <w:rsid w:val="00993BE6"/>
    <w:rsid w:val="00993D9C"/>
    <w:rsid w:val="00993F56"/>
    <w:rsid w:val="00994835"/>
    <w:rsid w:val="0099483E"/>
    <w:rsid w:val="009954FF"/>
    <w:rsid w:val="0099571E"/>
    <w:rsid w:val="00995E2F"/>
    <w:rsid w:val="009961BC"/>
    <w:rsid w:val="00996355"/>
    <w:rsid w:val="00997301"/>
    <w:rsid w:val="0099788F"/>
    <w:rsid w:val="00997ADD"/>
    <w:rsid w:val="00997CDD"/>
    <w:rsid w:val="009A05A2"/>
    <w:rsid w:val="009A1374"/>
    <w:rsid w:val="009A13FA"/>
    <w:rsid w:val="009A1EA4"/>
    <w:rsid w:val="009A2014"/>
    <w:rsid w:val="009A2030"/>
    <w:rsid w:val="009A3A87"/>
    <w:rsid w:val="009A4E12"/>
    <w:rsid w:val="009A5003"/>
    <w:rsid w:val="009A5C68"/>
    <w:rsid w:val="009A5DE2"/>
    <w:rsid w:val="009A6EF7"/>
    <w:rsid w:val="009B04D0"/>
    <w:rsid w:val="009B052C"/>
    <w:rsid w:val="009B0676"/>
    <w:rsid w:val="009B0975"/>
    <w:rsid w:val="009B0EF2"/>
    <w:rsid w:val="009B19B8"/>
    <w:rsid w:val="009B23A3"/>
    <w:rsid w:val="009B25CE"/>
    <w:rsid w:val="009B2C0E"/>
    <w:rsid w:val="009B4925"/>
    <w:rsid w:val="009B4B4B"/>
    <w:rsid w:val="009B4BD4"/>
    <w:rsid w:val="009B4CE3"/>
    <w:rsid w:val="009B6342"/>
    <w:rsid w:val="009B6FD3"/>
    <w:rsid w:val="009B70BD"/>
    <w:rsid w:val="009C07A5"/>
    <w:rsid w:val="009C0CD4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757"/>
    <w:rsid w:val="009D3CD0"/>
    <w:rsid w:val="009D3E88"/>
    <w:rsid w:val="009D4076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2A1"/>
    <w:rsid w:val="009E7340"/>
    <w:rsid w:val="009E7B1F"/>
    <w:rsid w:val="009F07B5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2610"/>
    <w:rsid w:val="00A03343"/>
    <w:rsid w:val="00A03965"/>
    <w:rsid w:val="00A03B8A"/>
    <w:rsid w:val="00A05B91"/>
    <w:rsid w:val="00A06B3D"/>
    <w:rsid w:val="00A07BB0"/>
    <w:rsid w:val="00A10D66"/>
    <w:rsid w:val="00A12BA8"/>
    <w:rsid w:val="00A133F2"/>
    <w:rsid w:val="00A138D7"/>
    <w:rsid w:val="00A13993"/>
    <w:rsid w:val="00A14081"/>
    <w:rsid w:val="00A1420C"/>
    <w:rsid w:val="00A1456C"/>
    <w:rsid w:val="00A14821"/>
    <w:rsid w:val="00A14C9D"/>
    <w:rsid w:val="00A15B39"/>
    <w:rsid w:val="00A17754"/>
    <w:rsid w:val="00A2055B"/>
    <w:rsid w:val="00A20E22"/>
    <w:rsid w:val="00A219FE"/>
    <w:rsid w:val="00A22210"/>
    <w:rsid w:val="00A2253C"/>
    <w:rsid w:val="00A23545"/>
    <w:rsid w:val="00A23A55"/>
    <w:rsid w:val="00A23E43"/>
    <w:rsid w:val="00A23EF0"/>
    <w:rsid w:val="00A243A3"/>
    <w:rsid w:val="00A24F8C"/>
    <w:rsid w:val="00A262BF"/>
    <w:rsid w:val="00A264F5"/>
    <w:rsid w:val="00A271AD"/>
    <w:rsid w:val="00A276D5"/>
    <w:rsid w:val="00A27D2E"/>
    <w:rsid w:val="00A301C5"/>
    <w:rsid w:val="00A30336"/>
    <w:rsid w:val="00A30BB5"/>
    <w:rsid w:val="00A3128F"/>
    <w:rsid w:val="00A326D0"/>
    <w:rsid w:val="00A33C9A"/>
    <w:rsid w:val="00A348DC"/>
    <w:rsid w:val="00A35287"/>
    <w:rsid w:val="00A355F2"/>
    <w:rsid w:val="00A35CB2"/>
    <w:rsid w:val="00A37201"/>
    <w:rsid w:val="00A37229"/>
    <w:rsid w:val="00A375DE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5E2F"/>
    <w:rsid w:val="00A46C70"/>
    <w:rsid w:val="00A46D48"/>
    <w:rsid w:val="00A46DE0"/>
    <w:rsid w:val="00A4778A"/>
    <w:rsid w:val="00A47C94"/>
    <w:rsid w:val="00A47E96"/>
    <w:rsid w:val="00A504C0"/>
    <w:rsid w:val="00A5067F"/>
    <w:rsid w:val="00A517C1"/>
    <w:rsid w:val="00A518E0"/>
    <w:rsid w:val="00A529C8"/>
    <w:rsid w:val="00A5408A"/>
    <w:rsid w:val="00A5421F"/>
    <w:rsid w:val="00A5430D"/>
    <w:rsid w:val="00A55301"/>
    <w:rsid w:val="00A572FB"/>
    <w:rsid w:val="00A57B3C"/>
    <w:rsid w:val="00A57E77"/>
    <w:rsid w:val="00A57F1B"/>
    <w:rsid w:val="00A600D2"/>
    <w:rsid w:val="00A60383"/>
    <w:rsid w:val="00A6128E"/>
    <w:rsid w:val="00A614EB"/>
    <w:rsid w:val="00A62CE1"/>
    <w:rsid w:val="00A631FA"/>
    <w:rsid w:val="00A63517"/>
    <w:rsid w:val="00A64203"/>
    <w:rsid w:val="00A64348"/>
    <w:rsid w:val="00A644E1"/>
    <w:rsid w:val="00A65A2B"/>
    <w:rsid w:val="00A67641"/>
    <w:rsid w:val="00A6766C"/>
    <w:rsid w:val="00A70765"/>
    <w:rsid w:val="00A711B0"/>
    <w:rsid w:val="00A71279"/>
    <w:rsid w:val="00A721FB"/>
    <w:rsid w:val="00A727BA"/>
    <w:rsid w:val="00A72CA4"/>
    <w:rsid w:val="00A72D4B"/>
    <w:rsid w:val="00A732AE"/>
    <w:rsid w:val="00A738E8"/>
    <w:rsid w:val="00A74192"/>
    <w:rsid w:val="00A750EB"/>
    <w:rsid w:val="00A75837"/>
    <w:rsid w:val="00A75E40"/>
    <w:rsid w:val="00A76B12"/>
    <w:rsid w:val="00A76EF2"/>
    <w:rsid w:val="00A7727E"/>
    <w:rsid w:val="00A77EB2"/>
    <w:rsid w:val="00A803A1"/>
    <w:rsid w:val="00A80A4F"/>
    <w:rsid w:val="00A81094"/>
    <w:rsid w:val="00A827B4"/>
    <w:rsid w:val="00A82B66"/>
    <w:rsid w:val="00A82C52"/>
    <w:rsid w:val="00A83798"/>
    <w:rsid w:val="00A83914"/>
    <w:rsid w:val="00A83B58"/>
    <w:rsid w:val="00A84D59"/>
    <w:rsid w:val="00A84D7D"/>
    <w:rsid w:val="00A84FAF"/>
    <w:rsid w:val="00A85100"/>
    <w:rsid w:val="00A851B6"/>
    <w:rsid w:val="00A851ED"/>
    <w:rsid w:val="00A85729"/>
    <w:rsid w:val="00A8574B"/>
    <w:rsid w:val="00A857C0"/>
    <w:rsid w:val="00A85F5E"/>
    <w:rsid w:val="00A90343"/>
    <w:rsid w:val="00A90B8B"/>
    <w:rsid w:val="00A91336"/>
    <w:rsid w:val="00A9221C"/>
    <w:rsid w:val="00A92277"/>
    <w:rsid w:val="00A92916"/>
    <w:rsid w:val="00A929D1"/>
    <w:rsid w:val="00A92B4C"/>
    <w:rsid w:val="00A9334B"/>
    <w:rsid w:val="00A94628"/>
    <w:rsid w:val="00A94954"/>
    <w:rsid w:val="00A9497A"/>
    <w:rsid w:val="00A949A6"/>
    <w:rsid w:val="00A95545"/>
    <w:rsid w:val="00A95AAE"/>
    <w:rsid w:val="00A95AF3"/>
    <w:rsid w:val="00A96241"/>
    <w:rsid w:val="00A96463"/>
    <w:rsid w:val="00A96F21"/>
    <w:rsid w:val="00A97E3F"/>
    <w:rsid w:val="00A97EC0"/>
    <w:rsid w:val="00AA09D3"/>
    <w:rsid w:val="00AA0CDE"/>
    <w:rsid w:val="00AA1034"/>
    <w:rsid w:val="00AA1356"/>
    <w:rsid w:val="00AA220F"/>
    <w:rsid w:val="00AA23FB"/>
    <w:rsid w:val="00AA34FE"/>
    <w:rsid w:val="00AA42AB"/>
    <w:rsid w:val="00AA4A76"/>
    <w:rsid w:val="00AA50E5"/>
    <w:rsid w:val="00AA559A"/>
    <w:rsid w:val="00AA57A4"/>
    <w:rsid w:val="00AA5F10"/>
    <w:rsid w:val="00AA6FA8"/>
    <w:rsid w:val="00AA7C35"/>
    <w:rsid w:val="00AB0BB9"/>
    <w:rsid w:val="00AB104D"/>
    <w:rsid w:val="00AB1441"/>
    <w:rsid w:val="00AB1653"/>
    <w:rsid w:val="00AB2AF1"/>
    <w:rsid w:val="00AB440B"/>
    <w:rsid w:val="00AB47E3"/>
    <w:rsid w:val="00AB74C5"/>
    <w:rsid w:val="00AB75A7"/>
    <w:rsid w:val="00AB7BEE"/>
    <w:rsid w:val="00AB7DF2"/>
    <w:rsid w:val="00AC0725"/>
    <w:rsid w:val="00AC0B14"/>
    <w:rsid w:val="00AC1E3F"/>
    <w:rsid w:val="00AC20EB"/>
    <w:rsid w:val="00AC219A"/>
    <w:rsid w:val="00AC2CE1"/>
    <w:rsid w:val="00AC3D02"/>
    <w:rsid w:val="00AC49B5"/>
    <w:rsid w:val="00AC4F18"/>
    <w:rsid w:val="00AC5F5B"/>
    <w:rsid w:val="00AC69CA"/>
    <w:rsid w:val="00AC7501"/>
    <w:rsid w:val="00AC79F3"/>
    <w:rsid w:val="00AD0B46"/>
    <w:rsid w:val="00AD1094"/>
    <w:rsid w:val="00AD2565"/>
    <w:rsid w:val="00AD2862"/>
    <w:rsid w:val="00AD306C"/>
    <w:rsid w:val="00AD3111"/>
    <w:rsid w:val="00AD31B8"/>
    <w:rsid w:val="00AD3424"/>
    <w:rsid w:val="00AD3E3F"/>
    <w:rsid w:val="00AD4FEF"/>
    <w:rsid w:val="00AD50D1"/>
    <w:rsid w:val="00AD5414"/>
    <w:rsid w:val="00AD59BB"/>
    <w:rsid w:val="00AD5D68"/>
    <w:rsid w:val="00AD5D71"/>
    <w:rsid w:val="00AD6483"/>
    <w:rsid w:val="00AD675A"/>
    <w:rsid w:val="00AD6A63"/>
    <w:rsid w:val="00AD6BE5"/>
    <w:rsid w:val="00AD6C73"/>
    <w:rsid w:val="00AD7D49"/>
    <w:rsid w:val="00AE06D0"/>
    <w:rsid w:val="00AE1B8A"/>
    <w:rsid w:val="00AE20DF"/>
    <w:rsid w:val="00AE26E1"/>
    <w:rsid w:val="00AE39DC"/>
    <w:rsid w:val="00AE3CDA"/>
    <w:rsid w:val="00AE481D"/>
    <w:rsid w:val="00AE5270"/>
    <w:rsid w:val="00AE608F"/>
    <w:rsid w:val="00AE6734"/>
    <w:rsid w:val="00AE684E"/>
    <w:rsid w:val="00AE7968"/>
    <w:rsid w:val="00AE7B2B"/>
    <w:rsid w:val="00AE7DFF"/>
    <w:rsid w:val="00AF128B"/>
    <w:rsid w:val="00AF13A0"/>
    <w:rsid w:val="00AF1AEA"/>
    <w:rsid w:val="00AF2536"/>
    <w:rsid w:val="00AF2852"/>
    <w:rsid w:val="00AF3225"/>
    <w:rsid w:val="00AF398B"/>
    <w:rsid w:val="00AF4983"/>
    <w:rsid w:val="00AF4A95"/>
    <w:rsid w:val="00AF4B98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AF7C9B"/>
    <w:rsid w:val="00B013C0"/>
    <w:rsid w:val="00B01436"/>
    <w:rsid w:val="00B0178A"/>
    <w:rsid w:val="00B01C2C"/>
    <w:rsid w:val="00B0231C"/>
    <w:rsid w:val="00B034DC"/>
    <w:rsid w:val="00B05A37"/>
    <w:rsid w:val="00B07372"/>
    <w:rsid w:val="00B079BC"/>
    <w:rsid w:val="00B07C2A"/>
    <w:rsid w:val="00B10100"/>
    <w:rsid w:val="00B1076A"/>
    <w:rsid w:val="00B111CA"/>
    <w:rsid w:val="00B128E5"/>
    <w:rsid w:val="00B13681"/>
    <w:rsid w:val="00B13BCE"/>
    <w:rsid w:val="00B15C1D"/>
    <w:rsid w:val="00B15DCD"/>
    <w:rsid w:val="00B16201"/>
    <w:rsid w:val="00B16796"/>
    <w:rsid w:val="00B17335"/>
    <w:rsid w:val="00B17E71"/>
    <w:rsid w:val="00B17FDE"/>
    <w:rsid w:val="00B208FC"/>
    <w:rsid w:val="00B20C65"/>
    <w:rsid w:val="00B20DF8"/>
    <w:rsid w:val="00B2153E"/>
    <w:rsid w:val="00B21953"/>
    <w:rsid w:val="00B22E17"/>
    <w:rsid w:val="00B2419B"/>
    <w:rsid w:val="00B25567"/>
    <w:rsid w:val="00B25E31"/>
    <w:rsid w:val="00B266C5"/>
    <w:rsid w:val="00B26CDA"/>
    <w:rsid w:val="00B27293"/>
    <w:rsid w:val="00B300E8"/>
    <w:rsid w:val="00B301BB"/>
    <w:rsid w:val="00B30737"/>
    <w:rsid w:val="00B3216D"/>
    <w:rsid w:val="00B321E3"/>
    <w:rsid w:val="00B3229E"/>
    <w:rsid w:val="00B32DDB"/>
    <w:rsid w:val="00B340AD"/>
    <w:rsid w:val="00B3447A"/>
    <w:rsid w:val="00B3448C"/>
    <w:rsid w:val="00B34931"/>
    <w:rsid w:val="00B34FC6"/>
    <w:rsid w:val="00B35174"/>
    <w:rsid w:val="00B35B5B"/>
    <w:rsid w:val="00B35BEA"/>
    <w:rsid w:val="00B365CB"/>
    <w:rsid w:val="00B37915"/>
    <w:rsid w:val="00B3793D"/>
    <w:rsid w:val="00B40879"/>
    <w:rsid w:val="00B41BE6"/>
    <w:rsid w:val="00B42831"/>
    <w:rsid w:val="00B428A4"/>
    <w:rsid w:val="00B428EA"/>
    <w:rsid w:val="00B454B4"/>
    <w:rsid w:val="00B457E7"/>
    <w:rsid w:val="00B45D1B"/>
    <w:rsid w:val="00B45DE5"/>
    <w:rsid w:val="00B461D6"/>
    <w:rsid w:val="00B46248"/>
    <w:rsid w:val="00B46D25"/>
    <w:rsid w:val="00B47430"/>
    <w:rsid w:val="00B4795A"/>
    <w:rsid w:val="00B47AC6"/>
    <w:rsid w:val="00B52D2D"/>
    <w:rsid w:val="00B534EF"/>
    <w:rsid w:val="00B548DA"/>
    <w:rsid w:val="00B54B85"/>
    <w:rsid w:val="00B55BA8"/>
    <w:rsid w:val="00B55F15"/>
    <w:rsid w:val="00B561A6"/>
    <w:rsid w:val="00B56645"/>
    <w:rsid w:val="00B57CC4"/>
    <w:rsid w:val="00B60062"/>
    <w:rsid w:val="00B606B9"/>
    <w:rsid w:val="00B6136C"/>
    <w:rsid w:val="00B62960"/>
    <w:rsid w:val="00B6349B"/>
    <w:rsid w:val="00B63A11"/>
    <w:rsid w:val="00B63FD0"/>
    <w:rsid w:val="00B643EC"/>
    <w:rsid w:val="00B6449F"/>
    <w:rsid w:val="00B6493D"/>
    <w:rsid w:val="00B6553E"/>
    <w:rsid w:val="00B65C84"/>
    <w:rsid w:val="00B6608F"/>
    <w:rsid w:val="00B661F6"/>
    <w:rsid w:val="00B6724D"/>
    <w:rsid w:val="00B67E42"/>
    <w:rsid w:val="00B73180"/>
    <w:rsid w:val="00B74317"/>
    <w:rsid w:val="00B74D75"/>
    <w:rsid w:val="00B75700"/>
    <w:rsid w:val="00B75AAD"/>
    <w:rsid w:val="00B760C1"/>
    <w:rsid w:val="00B76D1E"/>
    <w:rsid w:val="00B77ABC"/>
    <w:rsid w:val="00B77BC8"/>
    <w:rsid w:val="00B77DC3"/>
    <w:rsid w:val="00B77FB7"/>
    <w:rsid w:val="00B800EB"/>
    <w:rsid w:val="00B822D2"/>
    <w:rsid w:val="00B823F1"/>
    <w:rsid w:val="00B831B4"/>
    <w:rsid w:val="00B83CFE"/>
    <w:rsid w:val="00B83D46"/>
    <w:rsid w:val="00B848B8"/>
    <w:rsid w:val="00B84A41"/>
    <w:rsid w:val="00B84D57"/>
    <w:rsid w:val="00B8504B"/>
    <w:rsid w:val="00B853C2"/>
    <w:rsid w:val="00B85689"/>
    <w:rsid w:val="00B8672A"/>
    <w:rsid w:val="00B86748"/>
    <w:rsid w:val="00B86B70"/>
    <w:rsid w:val="00B907EA"/>
    <w:rsid w:val="00B91EC9"/>
    <w:rsid w:val="00B924CA"/>
    <w:rsid w:val="00B92A4B"/>
    <w:rsid w:val="00B92C9D"/>
    <w:rsid w:val="00B93384"/>
    <w:rsid w:val="00B93530"/>
    <w:rsid w:val="00B93616"/>
    <w:rsid w:val="00B94417"/>
    <w:rsid w:val="00B945B0"/>
    <w:rsid w:val="00B945C1"/>
    <w:rsid w:val="00B94DE2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1EC9"/>
    <w:rsid w:val="00BA622C"/>
    <w:rsid w:val="00BA6D2C"/>
    <w:rsid w:val="00BB0274"/>
    <w:rsid w:val="00BB0B13"/>
    <w:rsid w:val="00BB12AC"/>
    <w:rsid w:val="00BB16AD"/>
    <w:rsid w:val="00BB1CFD"/>
    <w:rsid w:val="00BB2C53"/>
    <w:rsid w:val="00BB32DA"/>
    <w:rsid w:val="00BB3A54"/>
    <w:rsid w:val="00BB4286"/>
    <w:rsid w:val="00BB462A"/>
    <w:rsid w:val="00BB4D26"/>
    <w:rsid w:val="00BB4E21"/>
    <w:rsid w:val="00BB51AF"/>
    <w:rsid w:val="00BB6F86"/>
    <w:rsid w:val="00BB7746"/>
    <w:rsid w:val="00BC10DE"/>
    <w:rsid w:val="00BC22EB"/>
    <w:rsid w:val="00BC26CA"/>
    <w:rsid w:val="00BC6556"/>
    <w:rsid w:val="00BC682B"/>
    <w:rsid w:val="00BC68BA"/>
    <w:rsid w:val="00BC6B04"/>
    <w:rsid w:val="00BC6D27"/>
    <w:rsid w:val="00BD059A"/>
    <w:rsid w:val="00BD08A0"/>
    <w:rsid w:val="00BD0CBB"/>
    <w:rsid w:val="00BD186B"/>
    <w:rsid w:val="00BD1EAC"/>
    <w:rsid w:val="00BD254C"/>
    <w:rsid w:val="00BD3428"/>
    <w:rsid w:val="00BD345F"/>
    <w:rsid w:val="00BD366B"/>
    <w:rsid w:val="00BD5298"/>
    <w:rsid w:val="00BD534C"/>
    <w:rsid w:val="00BD557B"/>
    <w:rsid w:val="00BD55A9"/>
    <w:rsid w:val="00BD56BC"/>
    <w:rsid w:val="00BD5D91"/>
    <w:rsid w:val="00BD6445"/>
    <w:rsid w:val="00BD6526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E6CA9"/>
    <w:rsid w:val="00BF18F4"/>
    <w:rsid w:val="00BF1907"/>
    <w:rsid w:val="00BF1A69"/>
    <w:rsid w:val="00BF2C67"/>
    <w:rsid w:val="00BF3BC8"/>
    <w:rsid w:val="00BF3DF1"/>
    <w:rsid w:val="00BF3FE5"/>
    <w:rsid w:val="00BF4C31"/>
    <w:rsid w:val="00BF4E57"/>
    <w:rsid w:val="00BF53B8"/>
    <w:rsid w:val="00BF71D5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27C8"/>
    <w:rsid w:val="00C034E6"/>
    <w:rsid w:val="00C05715"/>
    <w:rsid w:val="00C05926"/>
    <w:rsid w:val="00C06370"/>
    <w:rsid w:val="00C0784A"/>
    <w:rsid w:val="00C10B28"/>
    <w:rsid w:val="00C10B3B"/>
    <w:rsid w:val="00C10D62"/>
    <w:rsid w:val="00C10FAE"/>
    <w:rsid w:val="00C1135D"/>
    <w:rsid w:val="00C11DAF"/>
    <w:rsid w:val="00C11E1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AB1"/>
    <w:rsid w:val="00C17BF1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12D"/>
    <w:rsid w:val="00C2463B"/>
    <w:rsid w:val="00C24E77"/>
    <w:rsid w:val="00C2613A"/>
    <w:rsid w:val="00C268AD"/>
    <w:rsid w:val="00C2732D"/>
    <w:rsid w:val="00C273C6"/>
    <w:rsid w:val="00C27913"/>
    <w:rsid w:val="00C3004E"/>
    <w:rsid w:val="00C300C6"/>
    <w:rsid w:val="00C30828"/>
    <w:rsid w:val="00C30924"/>
    <w:rsid w:val="00C31D16"/>
    <w:rsid w:val="00C31DD8"/>
    <w:rsid w:val="00C3271C"/>
    <w:rsid w:val="00C32A35"/>
    <w:rsid w:val="00C336DD"/>
    <w:rsid w:val="00C339DE"/>
    <w:rsid w:val="00C34D57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4EBB"/>
    <w:rsid w:val="00C466D1"/>
    <w:rsid w:val="00C476C5"/>
    <w:rsid w:val="00C47D7C"/>
    <w:rsid w:val="00C47EB6"/>
    <w:rsid w:val="00C503B0"/>
    <w:rsid w:val="00C511C2"/>
    <w:rsid w:val="00C51D4B"/>
    <w:rsid w:val="00C527C6"/>
    <w:rsid w:val="00C538FC"/>
    <w:rsid w:val="00C53CDB"/>
    <w:rsid w:val="00C53D7B"/>
    <w:rsid w:val="00C53D82"/>
    <w:rsid w:val="00C54748"/>
    <w:rsid w:val="00C553E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69F"/>
    <w:rsid w:val="00C636C0"/>
    <w:rsid w:val="00C63B1A"/>
    <w:rsid w:val="00C64E60"/>
    <w:rsid w:val="00C6517A"/>
    <w:rsid w:val="00C657A4"/>
    <w:rsid w:val="00C65B84"/>
    <w:rsid w:val="00C66589"/>
    <w:rsid w:val="00C6736C"/>
    <w:rsid w:val="00C7179C"/>
    <w:rsid w:val="00C71A1D"/>
    <w:rsid w:val="00C71EC4"/>
    <w:rsid w:val="00C73ED2"/>
    <w:rsid w:val="00C7410A"/>
    <w:rsid w:val="00C74735"/>
    <w:rsid w:val="00C74791"/>
    <w:rsid w:val="00C7591E"/>
    <w:rsid w:val="00C75C7E"/>
    <w:rsid w:val="00C75C9B"/>
    <w:rsid w:val="00C76425"/>
    <w:rsid w:val="00C76D8E"/>
    <w:rsid w:val="00C77833"/>
    <w:rsid w:val="00C80953"/>
    <w:rsid w:val="00C80C9B"/>
    <w:rsid w:val="00C8180B"/>
    <w:rsid w:val="00C8335E"/>
    <w:rsid w:val="00C83F9C"/>
    <w:rsid w:val="00C844CA"/>
    <w:rsid w:val="00C84CE3"/>
    <w:rsid w:val="00C85614"/>
    <w:rsid w:val="00C86127"/>
    <w:rsid w:val="00C864FB"/>
    <w:rsid w:val="00C86509"/>
    <w:rsid w:val="00C86F39"/>
    <w:rsid w:val="00C9003C"/>
    <w:rsid w:val="00C905B2"/>
    <w:rsid w:val="00C90CF4"/>
    <w:rsid w:val="00C91C19"/>
    <w:rsid w:val="00C91CED"/>
    <w:rsid w:val="00C92988"/>
    <w:rsid w:val="00C929A0"/>
    <w:rsid w:val="00C930FB"/>
    <w:rsid w:val="00C93389"/>
    <w:rsid w:val="00C937DB"/>
    <w:rsid w:val="00C93F0E"/>
    <w:rsid w:val="00C94519"/>
    <w:rsid w:val="00C94E11"/>
    <w:rsid w:val="00C94E83"/>
    <w:rsid w:val="00C9567E"/>
    <w:rsid w:val="00C9613F"/>
    <w:rsid w:val="00C97038"/>
    <w:rsid w:val="00C9730D"/>
    <w:rsid w:val="00C97D46"/>
    <w:rsid w:val="00CA02B2"/>
    <w:rsid w:val="00CA0883"/>
    <w:rsid w:val="00CA1085"/>
    <w:rsid w:val="00CA140F"/>
    <w:rsid w:val="00CA25C2"/>
    <w:rsid w:val="00CA2BF5"/>
    <w:rsid w:val="00CA37BB"/>
    <w:rsid w:val="00CA37CA"/>
    <w:rsid w:val="00CA39E1"/>
    <w:rsid w:val="00CA5016"/>
    <w:rsid w:val="00CA5724"/>
    <w:rsid w:val="00CA6508"/>
    <w:rsid w:val="00CA6B87"/>
    <w:rsid w:val="00CA6BA1"/>
    <w:rsid w:val="00CA6CD5"/>
    <w:rsid w:val="00CA6D0B"/>
    <w:rsid w:val="00CB158C"/>
    <w:rsid w:val="00CB1910"/>
    <w:rsid w:val="00CB2150"/>
    <w:rsid w:val="00CB289A"/>
    <w:rsid w:val="00CB28EE"/>
    <w:rsid w:val="00CB2B15"/>
    <w:rsid w:val="00CB2EEA"/>
    <w:rsid w:val="00CB39FE"/>
    <w:rsid w:val="00CB43A7"/>
    <w:rsid w:val="00CB49F6"/>
    <w:rsid w:val="00CB4DF1"/>
    <w:rsid w:val="00CB5996"/>
    <w:rsid w:val="00CB6809"/>
    <w:rsid w:val="00CB7452"/>
    <w:rsid w:val="00CC0E10"/>
    <w:rsid w:val="00CC0F96"/>
    <w:rsid w:val="00CC1DAF"/>
    <w:rsid w:val="00CC212E"/>
    <w:rsid w:val="00CC2642"/>
    <w:rsid w:val="00CC2967"/>
    <w:rsid w:val="00CC2A1E"/>
    <w:rsid w:val="00CC2A36"/>
    <w:rsid w:val="00CC2E15"/>
    <w:rsid w:val="00CC30E2"/>
    <w:rsid w:val="00CC3440"/>
    <w:rsid w:val="00CC351B"/>
    <w:rsid w:val="00CC3908"/>
    <w:rsid w:val="00CC4F3D"/>
    <w:rsid w:val="00CC575E"/>
    <w:rsid w:val="00CC62AD"/>
    <w:rsid w:val="00CC6CA2"/>
    <w:rsid w:val="00CC7086"/>
    <w:rsid w:val="00CC7B80"/>
    <w:rsid w:val="00CD0080"/>
    <w:rsid w:val="00CD0779"/>
    <w:rsid w:val="00CD1A5C"/>
    <w:rsid w:val="00CD2B3C"/>
    <w:rsid w:val="00CD2DA6"/>
    <w:rsid w:val="00CD30F6"/>
    <w:rsid w:val="00CD4907"/>
    <w:rsid w:val="00CD4B29"/>
    <w:rsid w:val="00CD5493"/>
    <w:rsid w:val="00CD5FE3"/>
    <w:rsid w:val="00CD6339"/>
    <w:rsid w:val="00CD6607"/>
    <w:rsid w:val="00CD67CA"/>
    <w:rsid w:val="00CD6954"/>
    <w:rsid w:val="00CD6DA3"/>
    <w:rsid w:val="00CD6EF1"/>
    <w:rsid w:val="00CD6FE1"/>
    <w:rsid w:val="00CD7E35"/>
    <w:rsid w:val="00CE0ABC"/>
    <w:rsid w:val="00CE0B0C"/>
    <w:rsid w:val="00CE0CD6"/>
    <w:rsid w:val="00CE1313"/>
    <w:rsid w:val="00CE21C7"/>
    <w:rsid w:val="00CE2682"/>
    <w:rsid w:val="00CE2756"/>
    <w:rsid w:val="00CE29D6"/>
    <w:rsid w:val="00CE31D8"/>
    <w:rsid w:val="00CE442A"/>
    <w:rsid w:val="00CE44CE"/>
    <w:rsid w:val="00CE4DEB"/>
    <w:rsid w:val="00CE57D8"/>
    <w:rsid w:val="00CE5F03"/>
    <w:rsid w:val="00CE617A"/>
    <w:rsid w:val="00CE6E3C"/>
    <w:rsid w:val="00CE7158"/>
    <w:rsid w:val="00CE797F"/>
    <w:rsid w:val="00CF0826"/>
    <w:rsid w:val="00CF107E"/>
    <w:rsid w:val="00CF15BF"/>
    <w:rsid w:val="00CF243E"/>
    <w:rsid w:val="00CF25D2"/>
    <w:rsid w:val="00CF28C2"/>
    <w:rsid w:val="00CF3D3A"/>
    <w:rsid w:val="00CF42BD"/>
    <w:rsid w:val="00CF51EC"/>
    <w:rsid w:val="00CF56A8"/>
    <w:rsid w:val="00CF5BD8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0AB"/>
    <w:rsid w:val="00D11102"/>
    <w:rsid w:val="00D11CBB"/>
    <w:rsid w:val="00D132AD"/>
    <w:rsid w:val="00D136D4"/>
    <w:rsid w:val="00D13830"/>
    <w:rsid w:val="00D13ECF"/>
    <w:rsid w:val="00D142E5"/>
    <w:rsid w:val="00D148CD"/>
    <w:rsid w:val="00D14AFA"/>
    <w:rsid w:val="00D155E4"/>
    <w:rsid w:val="00D1611E"/>
    <w:rsid w:val="00D163CC"/>
    <w:rsid w:val="00D16E69"/>
    <w:rsid w:val="00D17F4A"/>
    <w:rsid w:val="00D205A9"/>
    <w:rsid w:val="00D217EE"/>
    <w:rsid w:val="00D24299"/>
    <w:rsid w:val="00D245BA"/>
    <w:rsid w:val="00D248FE"/>
    <w:rsid w:val="00D250C2"/>
    <w:rsid w:val="00D252D6"/>
    <w:rsid w:val="00D2689E"/>
    <w:rsid w:val="00D26923"/>
    <w:rsid w:val="00D26E27"/>
    <w:rsid w:val="00D277FF"/>
    <w:rsid w:val="00D27856"/>
    <w:rsid w:val="00D27D34"/>
    <w:rsid w:val="00D3006B"/>
    <w:rsid w:val="00D301CA"/>
    <w:rsid w:val="00D30740"/>
    <w:rsid w:val="00D309C0"/>
    <w:rsid w:val="00D30DC4"/>
    <w:rsid w:val="00D31075"/>
    <w:rsid w:val="00D31445"/>
    <w:rsid w:val="00D31932"/>
    <w:rsid w:val="00D32AE0"/>
    <w:rsid w:val="00D360DA"/>
    <w:rsid w:val="00D3614A"/>
    <w:rsid w:val="00D369AD"/>
    <w:rsid w:val="00D374B3"/>
    <w:rsid w:val="00D37689"/>
    <w:rsid w:val="00D378CC"/>
    <w:rsid w:val="00D37E80"/>
    <w:rsid w:val="00D4042C"/>
    <w:rsid w:val="00D40B9E"/>
    <w:rsid w:val="00D41281"/>
    <w:rsid w:val="00D41320"/>
    <w:rsid w:val="00D42312"/>
    <w:rsid w:val="00D433F5"/>
    <w:rsid w:val="00D43998"/>
    <w:rsid w:val="00D439C2"/>
    <w:rsid w:val="00D44A1D"/>
    <w:rsid w:val="00D451E0"/>
    <w:rsid w:val="00D4538D"/>
    <w:rsid w:val="00D455F9"/>
    <w:rsid w:val="00D45A1D"/>
    <w:rsid w:val="00D45B52"/>
    <w:rsid w:val="00D4615E"/>
    <w:rsid w:val="00D4651F"/>
    <w:rsid w:val="00D478E2"/>
    <w:rsid w:val="00D51739"/>
    <w:rsid w:val="00D5264C"/>
    <w:rsid w:val="00D53794"/>
    <w:rsid w:val="00D53B5F"/>
    <w:rsid w:val="00D547BA"/>
    <w:rsid w:val="00D55626"/>
    <w:rsid w:val="00D556BC"/>
    <w:rsid w:val="00D5626D"/>
    <w:rsid w:val="00D56631"/>
    <w:rsid w:val="00D56D85"/>
    <w:rsid w:val="00D5759D"/>
    <w:rsid w:val="00D577A4"/>
    <w:rsid w:val="00D57E4B"/>
    <w:rsid w:val="00D60277"/>
    <w:rsid w:val="00D60336"/>
    <w:rsid w:val="00D61B06"/>
    <w:rsid w:val="00D61F88"/>
    <w:rsid w:val="00D623F7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05B"/>
    <w:rsid w:val="00D73256"/>
    <w:rsid w:val="00D7383E"/>
    <w:rsid w:val="00D73A30"/>
    <w:rsid w:val="00D73E6F"/>
    <w:rsid w:val="00D73FB6"/>
    <w:rsid w:val="00D74278"/>
    <w:rsid w:val="00D74ABF"/>
    <w:rsid w:val="00D74C65"/>
    <w:rsid w:val="00D74E97"/>
    <w:rsid w:val="00D74F21"/>
    <w:rsid w:val="00D754CE"/>
    <w:rsid w:val="00D758D0"/>
    <w:rsid w:val="00D75DC2"/>
    <w:rsid w:val="00D75DC3"/>
    <w:rsid w:val="00D766EF"/>
    <w:rsid w:val="00D76C03"/>
    <w:rsid w:val="00D77D68"/>
    <w:rsid w:val="00D77E0D"/>
    <w:rsid w:val="00D77F8D"/>
    <w:rsid w:val="00D80A6A"/>
    <w:rsid w:val="00D80E07"/>
    <w:rsid w:val="00D8118B"/>
    <w:rsid w:val="00D8119B"/>
    <w:rsid w:val="00D81B44"/>
    <w:rsid w:val="00D82462"/>
    <w:rsid w:val="00D831C6"/>
    <w:rsid w:val="00D83EF3"/>
    <w:rsid w:val="00D84BD1"/>
    <w:rsid w:val="00D85773"/>
    <w:rsid w:val="00D85886"/>
    <w:rsid w:val="00D85D55"/>
    <w:rsid w:val="00D867A7"/>
    <w:rsid w:val="00D868CE"/>
    <w:rsid w:val="00D86DAE"/>
    <w:rsid w:val="00D875C9"/>
    <w:rsid w:val="00D8776A"/>
    <w:rsid w:val="00D90116"/>
    <w:rsid w:val="00D90C1E"/>
    <w:rsid w:val="00D91BDF"/>
    <w:rsid w:val="00D91F2C"/>
    <w:rsid w:val="00D9266B"/>
    <w:rsid w:val="00D93F09"/>
    <w:rsid w:val="00D94859"/>
    <w:rsid w:val="00D954C2"/>
    <w:rsid w:val="00D95D83"/>
    <w:rsid w:val="00D96368"/>
    <w:rsid w:val="00D9640A"/>
    <w:rsid w:val="00D97AAD"/>
    <w:rsid w:val="00D97BB8"/>
    <w:rsid w:val="00DA1318"/>
    <w:rsid w:val="00DA1382"/>
    <w:rsid w:val="00DA28B7"/>
    <w:rsid w:val="00DA2FE8"/>
    <w:rsid w:val="00DA3F70"/>
    <w:rsid w:val="00DA4AF6"/>
    <w:rsid w:val="00DA649A"/>
    <w:rsid w:val="00DA7AB2"/>
    <w:rsid w:val="00DB016E"/>
    <w:rsid w:val="00DB06E9"/>
    <w:rsid w:val="00DB0870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08E4"/>
    <w:rsid w:val="00DC176E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0C2"/>
    <w:rsid w:val="00DC6796"/>
    <w:rsid w:val="00DC68E7"/>
    <w:rsid w:val="00DC6CC6"/>
    <w:rsid w:val="00DC78DF"/>
    <w:rsid w:val="00DC7D4C"/>
    <w:rsid w:val="00DD0726"/>
    <w:rsid w:val="00DD0821"/>
    <w:rsid w:val="00DD0E32"/>
    <w:rsid w:val="00DD1878"/>
    <w:rsid w:val="00DD1DC1"/>
    <w:rsid w:val="00DD20FA"/>
    <w:rsid w:val="00DD21F1"/>
    <w:rsid w:val="00DD2670"/>
    <w:rsid w:val="00DD2872"/>
    <w:rsid w:val="00DD2A62"/>
    <w:rsid w:val="00DD2BB1"/>
    <w:rsid w:val="00DD2BD0"/>
    <w:rsid w:val="00DD2BFE"/>
    <w:rsid w:val="00DD36E7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E5AD3"/>
    <w:rsid w:val="00DE6EAC"/>
    <w:rsid w:val="00DE74A8"/>
    <w:rsid w:val="00DE7B69"/>
    <w:rsid w:val="00DF0615"/>
    <w:rsid w:val="00DF0DC3"/>
    <w:rsid w:val="00DF1328"/>
    <w:rsid w:val="00DF18C6"/>
    <w:rsid w:val="00DF1A2F"/>
    <w:rsid w:val="00DF204C"/>
    <w:rsid w:val="00DF2078"/>
    <w:rsid w:val="00DF21FD"/>
    <w:rsid w:val="00DF2873"/>
    <w:rsid w:val="00DF293C"/>
    <w:rsid w:val="00DF330C"/>
    <w:rsid w:val="00DF34B2"/>
    <w:rsid w:val="00DF3A10"/>
    <w:rsid w:val="00DF4C74"/>
    <w:rsid w:val="00DF52AE"/>
    <w:rsid w:val="00DF5578"/>
    <w:rsid w:val="00DF594F"/>
    <w:rsid w:val="00DF6CF8"/>
    <w:rsid w:val="00DF6F6E"/>
    <w:rsid w:val="00DF78DD"/>
    <w:rsid w:val="00DF7FEC"/>
    <w:rsid w:val="00E00CCA"/>
    <w:rsid w:val="00E01B16"/>
    <w:rsid w:val="00E01B6E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5FC"/>
    <w:rsid w:val="00E06A2A"/>
    <w:rsid w:val="00E07F05"/>
    <w:rsid w:val="00E106A2"/>
    <w:rsid w:val="00E127E1"/>
    <w:rsid w:val="00E12BCE"/>
    <w:rsid w:val="00E1409E"/>
    <w:rsid w:val="00E144D2"/>
    <w:rsid w:val="00E144D6"/>
    <w:rsid w:val="00E14A98"/>
    <w:rsid w:val="00E15346"/>
    <w:rsid w:val="00E15B7D"/>
    <w:rsid w:val="00E16157"/>
    <w:rsid w:val="00E17C5F"/>
    <w:rsid w:val="00E2097E"/>
    <w:rsid w:val="00E215EA"/>
    <w:rsid w:val="00E21CAB"/>
    <w:rsid w:val="00E221FC"/>
    <w:rsid w:val="00E222BB"/>
    <w:rsid w:val="00E22782"/>
    <w:rsid w:val="00E22E78"/>
    <w:rsid w:val="00E24619"/>
    <w:rsid w:val="00E24871"/>
    <w:rsid w:val="00E25223"/>
    <w:rsid w:val="00E25999"/>
    <w:rsid w:val="00E26123"/>
    <w:rsid w:val="00E263A8"/>
    <w:rsid w:val="00E30BEA"/>
    <w:rsid w:val="00E31764"/>
    <w:rsid w:val="00E3288A"/>
    <w:rsid w:val="00E329AB"/>
    <w:rsid w:val="00E32BC2"/>
    <w:rsid w:val="00E32DFC"/>
    <w:rsid w:val="00E33313"/>
    <w:rsid w:val="00E3405E"/>
    <w:rsid w:val="00E34985"/>
    <w:rsid w:val="00E34E4A"/>
    <w:rsid w:val="00E365B3"/>
    <w:rsid w:val="00E366BB"/>
    <w:rsid w:val="00E372FD"/>
    <w:rsid w:val="00E37C45"/>
    <w:rsid w:val="00E40844"/>
    <w:rsid w:val="00E40AAA"/>
    <w:rsid w:val="00E4164E"/>
    <w:rsid w:val="00E41A59"/>
    <w:rsid w:val="00E42444"/>
    <w:rsid w:val="00E427EA"/>
    <w:rsid w:val="00E42C77"/>
    <w:rsid w:val="00E42D52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735"/>
    <w:rsid w:val="00E46A4A"/>
    <w:rsid w:val="00E46E03"/>
    <w:rsid w:val="00E46F78"/>
    <w:rsid w:val="00E4793B"/>
    <w:rsid w:val="00E479D8"/>
    <w:rsid w:val="00E47B32"/>
    <w:rsid w:val="00E47CB8"/>
    <w:rsid w:val="00E47FCD"/>
    <w:rsid w:val="00E522BB"/>
    <w:rsid w:val="00E52A3D"/>
    <w:rsid w:val="00E533B7"/>
    <w:rsid w:val="00E539E4"/>
    <w:rsid w:val="00E53C14"/>
    <w:rsid w:val="00E549C7"/>
    <w:rsid w:val="00E569C7"/>
    <w:rsid w:val="00E569D7"/>
    <w:rsid w:val="00E571F2"/>
    <w:rsid w:val="00E57429"/>
    <w:rsid w:val="00E60FCE"/>
    <w:rsid w:val="00E61EA8"/>
    <w:rsid w:val="00E62A33"/>
    <w:rsid w:val="00E63200"/>
    <w:rsid w:val="00E63221"/>
    <w:rsid w:val="00E63960"/>
    <w:rsid w:val="00E63BFD"/>
    <w:rsid w:val="00E63EC6"/>
    <w:rsid w:val="00E64AE4"/>
    <w:rsid w:val="00E64CFF"/>
    <w:rsid w:val="00E64EA1"/>
    <w:rsid w:val="00E6582D"/>
    <w:rsid w:val="00E669C7"/>
    <w:rsid w:val="00E67611"/>
    <w:rsid w:val="00E67859"/>
    <w:rsid w:val="00E70510"/>
    <w:rsid w:val="00E705CD"/>
    <w:rsid w:val="00E71262"/>
    <w:rsid w:val="00E71A58"/>
    <w:rsid w:val="00E71C3A"/>
    <w:rsid w:val="00E72BA7"/>
    <w:rsid w:val="00E737F6"/>
    <w:rsid w:val="00E7568F"/>
    <w:rsid w:val="00E764AE"/>
    <w:rsid w:val="00E76733"/>
    <w:rsid w:val="00E76F80"/>
    <w:rsid w:val="00E7724B"/>
    <w:rsid w:val="00E776DE"/>
    <w:rsid w:val="00E80E31"/>
    <w:rsid w:val="00E81130"/>
    <w:rsid w:val="00E813EF"/>
    <w:rsid w:val="00E81556"/>
    <w:rsid w:val="00E83DAB"/>
    <w:rsid w:val="00E841E3"/>
    <w:rsid w:val="00E84F21"/>
    <w:rsid w:val="00E85720"/>
    <w:rsid w:val="00E8618A"/>
    <w:rsid w:val="00E90A4B"/>
    <w:rsid w:val="00E90D67"/>
    <w:rsid w:val="00E90F73"/>
    <w:rsid w:val="00E910A7"/>
    <w:rsid w:val="00E91607"/>
    <w:rsid w:val="00E921C7"/>
    <w:rsid w:val="00E92995"/>
    <w:rsid w:val="00E92A8C"/>
    <w:rsid w:val="00E93035"/>
    <w:rsid w:val="00E932EA"/>
    <w:rsid w:val="00E9446C"/>
    <w:rsid w:val="00E94612"/>
    <w:rsid w:val="00E94ADB"/>
    <w:rsid w:val="00E95797"/>
    <w:rsid w:val="00E9682F"/>
    <w:rsid w:val="00E96A8D"/>
    <w:rsid w:val="00E96FC2"/>
    <w:rsid w:val="00E970D9"/>
    <w:rsid w:val="00E972BA"/>
    <w:rsid w:val="00E97FA2"/>
    <w:rsid w:val="00EA06CB"/>
    <w:rsid w:val="00EA0AF3"/>
    <w:rsid w:val="00EA0C68"/>
    <w:rsid w:val="00EA19E2"/>
    <w:rsid w:val="00EA1CFB"/>
    <w:rsid w:val="00EA2169"/>
    <w:rsid w:val="00EA3BF6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0938"/>
    <w:rsid w:val="00EB0FCC"/>
    <w:rsid w:val="00EB1298"/>
    <w:rsid w:val="00EB20A0"/>
    <w:rsid w:val="00EB29CA"/>
    <w:rsid w:val="00EB2CE9"/>
    <w:rsid w:val="00EB30B6"/>
    <w:rsid w:val="00EB4335"/>
    <w:rsid w:val="00EB4FA4"/>
    <w:rsid w:val="00EB5146"/>
    <w:rsid w:val="00EB514B"/>
    <w:rsid w:val="00EB522B"/>
    <w:rsid w:val="00EB5410"/>
    <w:rsid w:val="00EB55E9"/>
    <w:rsid w:val="00EB5641"/>
    <w:rsid w:val="00EB592C"/>
    <w:rsid w:val="00EB599D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4D9C"/>
    <w:rsid w:val="00EC6153"/>
    <w:rsid w:val="00EC7F92"/>
    <w:rsid w:val="00ED00A8"/>
    <w:rsid w:val="00ED0A79"/>
    <w:rsid w:val="00ED0C9B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AA7"/>
    <w:rsid w:val="00ED7C3C"/>
    <w:rsid w:val="00EE0113"/>
    <w:rsid w:val="00EE0298"/>
    <w:rsid w:val="00EE0384"/>
    <w:rsid w:val="00EE043A"/>
    <w:rsid w:val="00EE0473"/>
    <w:rsid w:val="00EE07DE"/>
    <w:rsid w:val="00EE1057"/>
    <w:rsid w:val="00EE10AA"/>
    <w:rsid w:val="00EE1637"/>
    <w:rsid w:val="00EE208C"/>
    <w:rsid w:val="00EE3547"/>
    <w:rsid w:val="00EE3B7A"/>
    <w:rsid w:val="00EE3CA2"/>
    <w:rsid w:val="00EE3E78"/>
    <w:rsid w:val="00EE450E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03D"/>
    <w:rsid w:val="00EF3486"/>
    <w:rsid w:val="00EF35CA"/>
    <w:rsid w:val="00EF3CF0"/>
    <w:rsid w:val="00EF4685"/>
    <w:rsid w:val="00EF51FE"/>
    <w:rsid w:val="00EF5397"/>
    <w:rsid w:val="00EF63CC"/>
    <w:rsid w:val="00EF6B4F"/>
    <w:rsid w:val="00EF6BE3"/>
    <w:rsid w:val="00F00D0E"/>
    <w:rsid w:val="00F00D3C"/>
    <w:rsid w:val="00F020EA"/>
    <w:rsid w:val="00F02A72"/>
    <w:rsid w:val="00F032C4"/>
    <w:rsid w:val="00F0356B"/>
    <w:rsid w:val="00F04811"/>
    <w:rsid w:val="00F0488C"/>
    <w:rsid w:val="00F0496E"/>
    <w:rsid w:val="00F04D10"/>
    <w:rsid w:val="00F04FAE"/>
    <w:rsid w:val="00F053EA"/>
    <w:rsid w:val="00F0540C"/>
    <w:rsid w:val="00F06158"/>
    <w:rsid w:val="00F0625B"/>
    <w:rsid w:val="00F068A8"/>
    <w:rsid w:val="00F06944"/>
    <w:rsid w:val="00F069AC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837"/>
    <w:rsid w:val="00F21C31"/>
    <w:rsid w:val="00F23825"/>
    <w:rsid w:val="00F2389A"/>
    <w:rsid w:val="00F23F6C"/>
    <w:rsid w:val="00F23FFF"/>
    <w:rsid w:val="00F24115"/>
    <w:rsid w:val="00F243F6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267A"/>
    <w:rsid w:val="00F3364D"/>
    <w:rsid w:val="00F339D0"/>
    <w:rsid w:val="00F353AE"/>
    <w:rsid w:val="00F35ACD"/>
    <w:rsid w:val="00F365BF"/>
    <w:rsid w:val="00F36BB9"/>
    <w:rsid w:val="00F36BF8"/>
    <w:rsid w:val="00F36FC0"/>
    <w:rsid w:val="00F375BA"/>
    <w:rsid w:val="00F37760"/>
    <w:rsid w:val="00F37F3C"/>
    <w:rsid w:val="00F403D1"/>
    <w:rsid w:val="00F40562"/>
    <w:rsid w:val="00F4170B"/>
    <w:rsid w:val="00F43292"/>
    <w:rsid w:val="00F43921"/>
    <w:rsid w:val="00F44E1B"/>
    <w:rsid w:val="00F45222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C70"/>
    <w:rsid w:val="00F54FD3"/>
    <w:rsid w:val="00F554F9"/>
    <w:rsid w:val="00F55605"/>
    <w:rsid w:val="00F56375"/>
    <w:rsid w:val="00F56E04"/>
    <w:rsid w:val="00F57CAD"/>
    <w:rsid w:val="00F57CD7"/>
    <w:rsid w:val="00F6080A"/>
    <w:rsid w:val="00F61BFE"/>
    <w:rsid w:val="00F62F02"/>
    <w:rsid w:val="00F6339F"/>
    <w:rsid w:val="00F638E6"/>
    <w:rsid w:val="00F63DDE"/>
    <w:rsid w:val="00F63FB7"/>
    <w:rsid w:val="00F64726"/>
    <w:rsid w:val="00F64C5B"/>
    <w:rsid w:val="00F64F44"/>
    <w:rsid w:val="00F6561A"/>
    <w:rsid w:val="00F66243"/>
    <w:rsid w:val="00F66CA8"/>
    <w:rsid w:val="00F67BDA"/>
    <w:rsid w:val="00F70309"/>
    <w:rsid w:val="00F7078A"/>
    <w:rsid w:val="00F70C8E"/>
    <w:rsid w:val="00F70E45"/>
    <w:rsid w:val="00F727D5"/>
    <w:rsid w:val="00F72F44"/>
    <w:rsid w:val="00F73150"/>
    <w:rsid w:val="00F73A0C"/>
    <w:rsid w:val="00F7593A"/>
    <w:rsid w:val="00F7593B"/>
    <w:rsid w:val="00F759DC"/>
    <w:rsid w:val="00F76309"/>
    <w:rsid w:val="00F76563"/>
    <w:rsid w:val="00F76F35"/>
    <w:rsid w:val="00F7717C"/>
    <w:rsid w:val="00F771A5"/>
    <w:rsid w:val="00F77387"/>
    <w:rsid w:val="00F80021"/>
    <w:rsid w:val="00F804FA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8630A"/>
    <w:rsid w:val="00F86F2E"/>
    <w:rsid w:val="00F90350"/>
    <w:rsid w:val="00F916FB"/>
    <w:rsid w:val="00F91EAF"/>
    <w:rsid w:val="00F9310A"/>
    <w:rsid w:val="00F94681"/>
    <w:rsid w:val="00F95117"/>
    <w:rsid w:val="00F951D6"/>
    <w:rsid w:val="00F96E38"/>
    <w:rsid w:val="00F97ED2"/>
    <w:rsid w:val="00FA05D7"/>
    <w:rsid w:val="00FA16BD"/>
    <w:rsid w:val="00FA1992"/>
    <w:rsid w:val="00FA1C6C"/>
    <w:rsid w:val="00FA23C1"/>
    <w:rsid w:val="00FA2447"/>
    <w:rsid w:val="00FA2A4A"/>
    <w:rsid w:val="00FA2BDE"/>
    <w:rsid w:val="00FA2C2A"/>
    <w:rsid w:val="00FA309A"/>
    <w:rsid w:val="00FA6B3F"/>
    <w:rsid w:val="00FA7644"/>
    <w:rsid w:val="00FA76E1"/>
    <w:rsid w:val="00FB0A9A"/>
    <w:rsid w:val="00FB16AD"/>
    <w:rsid w:val="00FB1BC4"/>
    <w:rsid w:val="00FB1F21"/>
    <w:rsid w:val="00FB332E"/>
    <w:rsid w:val="00FB3763"/>
    <w:rsid w:val="00FB483B"/>
    <w:rsid w:val="00FB56F1"/>
    <w:rsid w:val="00FB5A54"/>
    <w:rsid w:val="00FB5FD4"/>
    <w:rsid w:val="00FB6398"/>
    <w:rsid w:val="00FB67F3"/>
    <w:rsid w:val="00FB6AF4"/>
    <w:rsid w:val="00FB7710"/>
    <w:rsid w:val="00FC0D8A"/>
    <w:rsid w:val="00FC0E5F"/>
    <w:rsid w:val="00FC135D"/>
    <w:rsid w:val="00FC26FB"/>
    <w:rsid w:val="00FC2CF4"/>
    <w:rsid w:val="00FC3C84"/>
    <w:rsid w:val="00FC3EED"/>
    <w:rsid w:val="00FC428D"/>
    <w:rsid w:val="00FC4660"/>
    <w:rsid w:val="00FC56DE"/>
    <w:rsid w:val="00FC5E01"/>
    <w:rsid w:val="00FC6140"/>
    <w:rsid w:val="00FC6DB5"/>
    <w:rsid w:val="00FC740A"/>
    <w:rsid w:val="00FD1261"/>
    <w:rsid w:val="00FD1627"/>
    <w:rsid w:val="00FD1BBD"/>
    <w:rsid w:val="00FD33E5"/>
    <w:rsid w:val="00FD38B2"/>
    <w:rsid w:val="00FD38F7"/>
    <w:rsid w:val="00FD4262"/>
    <w:rsid w:val="00FD43A0"/>
    <w:rsid w:val="00FD473D"/>
    <w:rsid w:val="00FD55BA"/>
    <w:rsid w:val="00FD61C8"/>
    <w:rsid w:val="00FD63CE"/>
    <w:rsid w:val="00FD77BB"/>
    <w:rsid w:val="00FD7D49"/>
    <w:rsid w:val="00FE1251"/>
    <w:rsid w:val="00FE16E6"/>
    <w:rsid w:val="00FE2F3B"/>
    <w:rsid w:val="00FE2F78"/>
    <w:rsid w:val="00FE3510"/>
    <w:rsid w:val="00FE371D"/>
    <w:rsid w:val="00FE375F"/>
    <w:rsid w:val="00FE3D8B"/>
    <w:rsid w:val="00FE4FCB"/>
    <w:rsid w:val="00FE60A8"/>
    <w:rsid w:val="00FE688F"/>
    <w:rsid w:val="00FE6920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4BD5"/>
    <w:rsid w:val="00FF55B1"/>
    <w:rsid w:val="00FF5A33"/>
    <w:rsid w:val="00FF65DF"/>
    <w:rsid w:val="00FF6B00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E7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A1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locked/>
    <w:rsid w:val="005D7503"/>
    <w:rPr>
      <w:i/>
      <w:iCs/>
    </w:rPr>
  </w:style>
  <w:style w:type="paragraph" w:styleId="Revize">
    <w:name w:val="Revision"/>
    <w:hidden/>
    <w:uiPriority w:val="99"/>
    <w:semiHidden/>
    <w:rsid w:val="0079638B"/>
    <w:rPr>
      <w:rFonts w:ascii="Arial" w:hAnsi="Arial"/>
      <w:szCs w:val="24"/>
    </w:rPr>
  </w:style>
  <w:style w:type="character" w:customStyle="1" w:styleId="shorttext">
    <w:name w:val="short_text"/>
    <w:basedOn w:val="Standardnpsmoodstavce"/>
    <w:rsid w:val="00F96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E7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A1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locked/>
    <w:rsid w:val="005D7503"/>
    <w:rPr>
      <w:i/>
      <w:iCs/>
    </w:rPr>
  </w:style>
  <w:style w:type="paragraph" w:styleId="Revize">
    <w:name w:val="Revision"/>
    <w:hidden/>
    <w:uiPriority w:val="99"/>
    <w:semiHidden/>
    <w:rsid w:val="0079638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7Q4\Makroanal&#253;za%20grafy_e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7Q4\Makroanal&#253;za%20grafy_e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7Q4\Makroanal&#253;za%20grafy_e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7Q4\Makroanal&#253;za%20grafy_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049E-2"/>
          <c:w val="0.92237743255066085"/>
          <c:h val="0.73318107621299611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2'!$C$10:$C$29</c:f>
              <c:numCache>
                <c:formatCode>0.0</c:formatCode>
                <c:ptCount val="20"/>
                <c:pt idx="0">
                  <c:v>1.7999999999999936</c:v>
                </c:pt>
                <c:pt idx="1">
                  <c:v>1.5</c:v>
                </c:pt>
                <c:pt idx="2">
                  <c:v>1.2000000000000028</c:v>
                </c:pt>
                <c:pt idx="3">
                  <c:v>1.0999999999999912</c:v>
                </c:pt>
                <c:pt idx="4">
                  <c:v>0.20000000000000284</c:v>
                </c:pt>
                <c:pt idx="5">
                  <c:v>0.20000000000000284</c:v>
                </c:pt>
                <c:pt idx="6">
                  <c:v>0.59999999999999443</c:v>
                </c:pt>
                <c:pt idx="7">
                  <c:v>0.5</c:v>
                </c:pt>
                <c:pt idx="8">
                  <c:v>9.9999999999994607E-2</c:v>
                </c:pt>
                <c:pt idx="9">
                  <c:v>0.70000000000000284</c:v>
                </c:pt>
                <c:pt idx="10">
                  <c:v>0.40000000000000568</c:v>
                </c:pt>
                <c:pt idx="11">
                  <c:v>9.9999999999994607E-2</c:v>
                </c:pt>
                <c:pt idx="12">
                  <c:v>0.5</c:v>
                </c:pt>
                <c:pt idx="13">
                  <c:v>0.20000000000000284</c:v>
                </c:pt>
                <c:pt idx="14">
                  <c:v>0.5</c:v>
                </c:pt>
                <c:pt idx="15">
                  <c:v>1.4000000000000057</c:v>
                </c:pt>
                <c:pt idx="16" formatCode="General">
                  <c:v>2.4000000000000057</c:v>
                </c:pt>
                <c:pt idx="17" formatCode="General">
                  <c:v>2.2000000000000042</c:v>
                </c:pt>
                <c:pt idx="18">
                  <c:v>2.5</c:v>
                </c:pt>
                <c:pt idx="19">
                  <c:v>2.6</c:v>
                </c:pt>
              </c:numCache>
            </c:numRef>
          </c:val>
        </c:ser>
        <c:gapWidth val="95"/>
        <c:axId val="130449408"/>
        <c:axId val="130450944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Food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2'!$D$10:$D$29</c:f>
              <c:numCache>
                <c:formatCode>0.0</c:formatCode>
                <c:ptCount val="20"/>
                <c:pt idx="0">
                  <c:v>4.9000000000000083</c:v>
                </c:pt>
                <c:pt idx="1">
                  <c:v>5.4000000000000083</c:v>
                </c:pt>
                <c:pt idx="2">
                  <c:v>5.2999999999999972</c:v>
                </c:pt>
                <c:pt idx="3">
                  <c:v>4.0999999999999943</c:v>
                </c:pt>
                <c:pt idx="4">
                  <c:v>3.9000000000000057</c:v>
                </c:pt>
                <c:pt idx="5">
                  <c:v>1.5</c:v>
                </c:pt>
                <c:pt idx="6">
                  <c:v>1.4000000000000057</c:v>
                </c:pt>
                <c:pt idx="7">
                  <c:v>1.2000000000000028</c:v>
                </c:pt>
                <c:pt idx="8">
                  <c:v>-1.5999999999999912</c:v>
                </c:pt>
                <c:pt idx="9">
                  <c:v>-9.9999999999994607E-2</c:v>
                </c:pt>
                <c:pt idx="10">
                  <c:v>-0.90000000000000568</c:v>
                </c:pt>
                <c:pt idx="11">
                  <c:v>-1.5999999999999912</c:v>
                </c:pt>
                <c:pt idx="12">
                  <c:v>-1.7000000000000031</c:v>
                </c:pt>
                <c:pt idx="13">
                  <c:v>-2.4000000000000057</c:v>
                </c:pt>
                <c:pt idx="14">
                  <c:v>-0.7999999999999976</c:v>
                </c:pt>
                <c:pt idx="15">
                  <c:v>1.2000000000000028</c:v>
                </c:pt>
                <c:pt idx="16" formatCode="General">
                  <c:v>4.2000000000000028</c:v>
                </c:pt>
                <c:pt idx="17" formatCode="General">
                  <c:v>4.5</c:v>
                </c:pt>
                <c:pt idx="18">
                  <c:v>5.7</c:v>
                </c:pt>
                <c:pt idx="19">
                  <c:v>6.3</c:v>
                </c:pt>
              </c:numCache>
            </c:numRef>
          </c:val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Housing and energy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2'!$F$10:$F$29</c:f>
              <c:numCache>
                <c:formatCode>0.0</c:formatCode>
                <c:ptCount val="20"/>
                <c:pt idx="0">
                  <c:v>2.5999999999999943</c:v>
                </c:pt>
                <c:pt idx="1">
                  <c:v>2</c:v>
                </c:pt>
                <c:pt idx="2">
                  <c:v>1.2000000000000028</c:v>
                </c:pt>
                <c:pt idx="3">
                  <c:v>1.2000000000000028</c:v>
                </c:pt>
                <c:pt idx="4">
                  <c:v>-2.4000000000000057</c:v>
                </c:pt>
                <c:pt idx="5">
                  <c:v>-1.7000000000000031</c:v>
                </c:pt>
                <c:pt idx="6">
                  <c:v>-0.70000000000000284</c:v>
                </c:pt>
                <c:pt idx="7">
                  <c:v>-0.59999999999999443</c:v>
                </c:pt>
                <c:pt idx="8">
                  <c:v>1.0999999999999912</c:v>
                </c:pt>
                <c:pt idx="9">
                  <c:v>1.2000000000000028</c:v>
                </c:pt>
                <c:pt idx="10">
                  <c:v>0.7999999999999976</c:v>
                </c:pt>
                <c:pt idx="11">
                  <c:v>0.90000000000000568</c:v>
                </c:pt>
                <c:pt idx="12">
                  <c:v>0.90000000000000568</c:v>
                </c:pt>
                <c:pt idx="13">
                  <c:v>0.5</c:v>
                </c:pt>
                <c:pt idx="14">
                  <c:v>0.40000000000000568</c:v>
                </c:pt>
                <c:pt idx="15">
                  <c:v>0.59999999999999443</c:v>
                </c:pt>
                <c:pt idx="16" formatCode="General">
                  <c:v>0.7999999999999976</c:v>
                </c:pt>
                <c:pt idx="17" formatCode="General">
                  <c:v>1.5</c:v>
                </c:pt>
                <c:pt idx="18">
                  <c:v>2.1</c:v>
                </c:pt>
                <c:pt idx="19">
                  <c:v>2.2000000000000002</c:v>
                </c:pt>
              </c:numCache>
            </c:numRef>
          </c:val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Transportation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2'!$G$10:$G$29</c:f>
              <c:numCache>
                <c:formatCode>General</c:formatCode>
                <c:ptCount val="20"/>
                <c:pt idx="0">
                  <c:v>-0.7999999999999976</c:v>
                </c:pt>
                <c:pt idx="1">
                  <c:v>-1.2000000000000028</c:v>
                </c:pt>
                <c:pt idx="2">
                  <c:v>-0.40000000000000568</c:v>
                </c:pt>
                <c:pt idx="3">
                  <c:v>-0.20000000000000284</c:v>
                </c:pt>
                <c:pt idx="4">
                  <c:v>9.9999999999994607E-2</c:v>
                </c:pt>
                <c:pt idx="5">
                  <c:v>0.29999999999999827</c:v>
                </c:pt>
                <c:pt idx="6">
                  <c:v>0.5</c:v>
                </c:pt>
                <c:pt idx="7">
                  <c:v>0</c:v>
                </c:pt>
                <c:pt idx="8">
                  <c:v>-4.9000000000000083</c:v>
                </c:pt>
                <c:pt idx="9">
                  <c:v>-3.2999999999999972</c:v>
                </c:pt>
                <c:pt idx="10">
                  <c:v>-3.7999999999999972</c:v>
                </c:pt>
                <c:pt idx="11">
                  <c:v>-4.7000000000000028</c:v>
                </c:pt>
                <c:pt idx="12">
                  <c:v>-2.7000000000000042</c:v>
                </c:pt>
                <c:pt idx="13">
                  <c:v>-2.9000000000000057</c:v>
                </c:pt>
                <c:pt idx="14">
                  <c:v>-2.2999999999999972</c:v>
                </c:pt>
                <c:pt idx="15">
                  <c:v>1.0999999999999912</c:v>
                </c:pt>
                <c:pt idx="16">
                  <c:v>6</c:v>
                </c:pt>
                <c:pt idx="17">
                  <c:v>3.9000000000000057</c:v>
                </c:pt>
                <c:pt idx="18" formatCode="0.0">
                  <c:v>2.5</c:v>
                </c:pt>
                <c:pt idx="19" formatCode="0.0">
                  <c:v>2.5</c:v>
                </c:pt>
              </c:numCache>
            </c:numRef>
          </c:val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Restaurants and hotels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2'!$H$10:$H$29</c:f>
              <c:numCache>
                <c:formatCode>###,###,##0.0</c:formatCode>
                <c:ptCount val="20"/>
                <c:pt idx="0">
                  <c:v>2.4000000000000057</c:v>
                </c:pt>
                <c:pt idx="1">
                  <c:v>1.9000000000000061</c:v>
                </c:pt>
                <c:pt idx="2">
                  <c:v>2</c:v>
                </c:pt>
                <c:pt idx="3">
                  <c:v>1.7999999999999936</c:v>
                </c:pt>
                <c:pt idx="4">
                  <c:v>1.5999999999999912</c:v>
                </c:pt>
                <c:pt idx="5">
                  <c:v>1.7000000000000031</c:v>
                </c:pt>
                <c:pt idx="6">
                  <c:v>1.7000000000000031</c:v>
                </c:pt>
                <c:pt idx="7">
                  <c:v>1.7000000000000031</c:v>
                </c:pt>
                <c:pt idx="8">
                  <c:v>1.7000000000000031</c:v>
                </c:pt>
                <c:pt idx="9">
                  <c:v>1.5999999999999912</c:v>
                </c:pt>
                <c:pt idx="10">
                  <c:v>1.4000000000000057</c:v>
                </c:pt>
                <c:pt idx="11">
                  <c:v>1.2999999999999934</c:v>
                </c:pt>
                <c:pt idx="12">
                  <c:v>1.2000000000000028</c:v>
                </c:pt>
                <c:pt idx="13">
                  <c:v>1.0999999999999912</c:v>
                </c:pt>
                <c:pt idx="14">
                  <c:v>1.2000000000000028</c:v>
                </c:pt>
                <c:pt idx="15">
                  <c:v>2.7000000000000042</c:v>
                </c:pt>
                <c:pt idx="16">
                  <c:v>5.2000000000000028</c:v>
                </c:pt>
                <c:pt idx="17">
                  <c:v>5.7999999999999972</c:v>
                </c:pt>
                <c:pt idx="18">
                  <c:v>6.2999999999999972</c:v>
                </c:pt>
                <c:pt idx="19" formatCode="0.0">
                  <c:v>5.6</c:v>
                </c:pt>
              </c:numCache>
            </c:numRef>
          </c:val>
        </c:ser>
        <c:marker val="1"/>
        <c:axId val="130449408"/>
        <c:axId val="130450944"/>
      </c:lineChart>
      <c:catAx>
        <c:axId val="130449408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0450944"/>
        <c:crosses val="autoZero"/>
        <c:auto val="1"/>
        <c:lblAlgn val="ctr"/>
        <c:lblOffset val="100"/>
      </c:catAx>
      <c:valAx>
        <c:axId val="13045094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3044940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526E-2"/>
          <c:y val="0.87255825734549985"/>
          <c:w val="0.92362905268491169"/>
          <c:h val="0.1007621299110666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Realised prices of older flats, the CR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1'!$C$10:$C$29</c:f>
              <c:numCache>
                <c:formatCode>General</c:formatCode>
                <c:ptCount val="20"/>
                <c:pt idx="0">
                  <c:v>-5.0999999999999943</c:v>
                </c:pt>
                <c:pt idx="1">
                  <c:v>-3.5999999999999943</c:v>
                </c:pt>
                <c:pt idx="2">
                  <c:v>-2.5</c:v>
                </c:pt>
                <c:pt idx="3">
                  <c:v>-1.7000000000000028</c:v>
                </c:pt>
                <c:pt idx="4">
                  <c:v>1.2000000000000028</c:v>
                </c:pt>
                <c:pt idx="5">
                  <c:v>2.5</c:v>
                </c:pt>
                <c:pt idx="6">
                  <c:v>4.5</c:v>
                </c:pt>
                <c:pt idx="7">
                  <c:v>5.7000000000000028</c:v>
                </c:pt>
                <c:pt idx="8">
                  <c:v>4.2999999999999972</c:v>
                </c:pt>
                <c:pt idx="9">
                  <c:v>4.9000000000000083</c:v>
                </c:pt>
                <c:pt idx="10">
                  <c:v>6</c:v>
                </c:pt>
                <c:pt idx="11">
                  <c:v>6.7999999999999972</c:v>
                </c:pt>
                <c:pt idx="12">
                  <c:v>8.9000000000000057</c:v>
                </c:pt>
                <c:pt idx="13">
                  <c:v>10.3</c:v>
                </c:pt>
                <c:pt idx="14">
                  <c:v>12.3</c:v>
                </c:pt>
                <c:pt idx="15">
                  <c:v>14.600000000000001</c:v>
                </c:pt>
                <c:pt idx="16">
                  <c:v>17.200000000000003</c:v>
                </c:pt>
                <c:pt idx="17">
                  <c:v>18.700000000000003</c:v>
                </c:pt>
                <c:pt idx="18">
                  <c:v>15.8</c:v>
                </c:pt>
                <c:pt idx="19">
                  <c:v>12.700000000000003</c:v>
                </c:pt>
              </c:numCache>
            </c:numRef>
          </c:val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Realised prices of older flats, Prague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1'!$D$10:$D$29</c:f>
              <c:numCache>
                <c:formatCode>General</c:formatCode>
                <c:ptCount val="20"/>
                <c:pt idx="0">
                  <c:v>0</c:v>
                </c:pt>
                <c:pt idx="1">
                  <c:v>0.70000000000000284</c:v>
                </c:pt>
                <c:pt idx="2">
                  <c:v>2.0999999999999943</c:v>
                </c:pt>
                <c:pt idx="3">
                  <c:v>0.5</c:v>
                </c:pt>
                <c:pt idx="4">
                  <c:v>2</c:v>
                </c:pt>
                <c:pt idx="5">
                  <c:v>2.0999999999999943</c:v>
                </c:pt>
                <c:pt idx="6">
                  <c:v>3.2000000000000042</c:v>
                </c:pt>
                <c:pt idx="7">
                  <c:v>5.2000000000000028</c:v>
                </c:pt>
                <c:pt idx="8">
                  <c:v>5</c:v>
                </c:pt>
                <c:pt idx="9">
                  <c:v>5.9000000000000083</c:v>
                </c:pt>
                <c:pt idx="10">
                  <c:v>5.5999999999999943</c:v>
                </c:pt>
                <c:pt idx="11">
                  <c:v>4.5999999999999943</c:v>
                </c:pt>
                <c:pt idx="12">
                  <c:v>5.7999999999999972</c:v>
                </c:pt>
                <c:pt idx="13">
                  <c:v>7.5</c:v>
                </c:pt>
                <c:pt idx="14">
                  <c:v>9.4000000000000057</c:v>
                </c:pt>
                <c:pt idx="15">
                  <c:v>13.900000000000006</c:v>
                </c:pt>
                <c:pt idx="16">
                  <c:v>16.200000000000003</c:v>
                </c:pt>
                <c:pt idx="17">
                  <c:v>19</c:v>
                </c:pt>
                <c:pt idx="18">
                  <c:v>16.400000000000006</c:v>
                </c:pt>
                <c:pt idx="19">
                  <c:v>10.700000000000003</c:v>
                </c:pt>
              </c:numCache>
            </c:numRef>
          </c:val>
        </c:ser>
        <c:gapWidth val="95"/>
        <c:axId val="130339200"/>
        <c:axId val="130340736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Catalogue prices of flats, the CR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1'!$E$10:$E$29</c:f>
              <c:numCache>
                <c:formatCode>0.0</c:formatCode>
                <c:ptCount val="20"/>
                <c:pt idx="0">
                  <c:v>1.5806111696522682</c:v>
                </c:pt>
                <c:pt idx="1">
                  <c:v>-0.20661157024793683</c:v>
                </c:pt>
                <c:pt idx="2">
                  <c:v>1.4583333333333393</c:v>
                </c:pt>
                <c:pt idx="3">
                  <c:v>1.9668737060041468</c:v>
                </c:pt>
                <c:pt idx="4">
                  <c:v>3.008298755186718</c:v>
                </c:pt>
                <c:pt idx="5">
                  <c:v>4.1407867494823956</c:v>
                </c:pt>
                <c:pt idx="6">
                  <c:v>4.6201232032854067</c:v>
                </c:pt>
                <c:pt idx="7">
                  <c:v>2.7411167512690455</c:v>
                </c:pt>
                <c:pt idx="8">
                  <c:v>3.6253776435045406</c:v>
                </c:pt>
                <c:pt idx="9">
                  <c:v>4.9701789264413518</c:v>
                </c:pt>
                <c:pt idx="10">
                  <c:v>6.0843964671246233</c:v>
                </c:pt>
                <c:pt idx="11">
                  <c:v>9.5849802371541557</c:v>
                </c:pt>
                <c:pt idx="12">
                  <c:v>10.204081632653049</c:v>
                </c:pt>
                <c:pt idx="13">
                  <c:v>10.321969696969704</c:v>
                </c:pt>
                <c:pt idx="14">
                  <c:v>9.8982423681776162</c:v>
                </c:pt>
                <c:pt idx="15">
                  <c:v>9.9188458070333638</c:v>
                </c:pt>
                <c:pt idx="16">
                  <c:v>9.5238095238095202</c:v>
                </c:pt>
                <c:pt idx="17" formatCode="General">
                  <c:v>9.5278969957081507</c:v>
                </c:pt>
                <c:pt idx="18" formatCode="General">
                  <c:v>12.542087542087534</c:v>
                </c:pt>
                <c:pt idx="19" formatCode="General">
                  <c:v>12.469237079573434</c:v>
                </c:pt>
              </c:numCache>
            </c:numRef>
          </c:val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Catalogue prices of flats, Prague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1'!$F$10:$F$29</c:f>
              <c:numCache>
                <c:formatCode>0.0</c:formatCode>
                <c:ptCount val="20"/>
                <c:pt idx="0">
                  <c:v>6.1522419186652666</c:v>
                </c:pt>
                <c:pt idx="1">
                  <c:v>1.8924302788844536</c:v>
                </c:pt>
                <c:pt idx="2">
                  <c:v>2.6812313803376444</c:v>
                </c:pt>
                <c:pt idx="3">
                  <c:v>3.4482758620689653</c:v>
                </c:pt>
                <c:pt idx="4">
                  <c:v>3.831041257367398</c:v>
                </c:pt>
                <c:pt idx="5">
                  <c:v>5.2785923753665784</c:v>
                </c:pt>
                <c:pt idx="6">
                  <c:v>6.6731141199226212</c:v>
                </c:pt>
                <c:pt idx="7">
                  <c:v>5.1428571428571486</c:v>
                </c:pt>
                <c:pt idx="8">
                  <c:v>5.7710501419110765</c:v>
                </c:pt>
                <c:pt idx="9">
                  <c:v>6.4995357474466076</c:v>
                </c:pt>
                <c:pt idx="10">
                  <c:v>6.7089755213055255</c:v>
                </c:pt>
                <c:pt idx="11">
                  <c:v>8.7862318840579601</c:v>
                </c:pt>
                <c:pt idx="12">
                  <c:v>10.196779964221831</c:v>
                </c:pt>
                <c:pt idx="13">
                  <c:v>10.549258936355701</c:v>
                </c:pt>
                <c:pt idx="14">
                  <c:v>9.7706032285471505</c:v>
                </c:pt>
                <c:pt idx="15">
                  <c:v>11.323896752706094</c:v>
                </c:pt>
                <c:pt idx="16">
                  <c:v>13.636363636363633</c:v>
                </c:pt>
                <c:pt idx="17" formatCode="General">
                  <c:v>14.589905362776037</c:v>
                </c:pt>
                <c:pt idx="18" formatCode="General">
                  <c:v>18.26625386996901</c:v>
                </c:pt>
                <c:pt idx="19" formatCode="General">
                  <c:v>18.773373223635023</c:v>
                </c:pt>
              </c:numCache>
            </c:numRef>
          </c:val>
        </c:ser>
        <c:marker val="1"/>
        <c:axId val="130339200"/>
        <c:axId val="130340736"/>
      </c:lineChart>
      <c:catAx>
        <c:axId val="13033920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0340736"/>
        <c:crosses val="autoZero"/>
        <c:auto val="1"/>
        <c:lblAlgn val="ctr"/>
        <c:lblOffset val="100"/>
      </c:catAx>
      <c:valAx>
        <c:axId val="130340736"/>
        <c:scaling>
          <c:orientation val="minMax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30339200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2735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0163E-2"/>
          <c:w val="0.89142432050272657"/>
          <c:h val="0.68692485380116963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4'!$C$6:$C$65</c:f>
              <c:numCache>
                <c:formatCode>0.0</c:formatCode>
                <c:ptCount val="60"/>
                <c:pt idx="0">
                  <c:v>1.4000000000000057</c:v>
                </c:pt>
                <c:pt idx="1">
                  <c:v>1.2999999999999934</c:v>
                </c:pt>
                <c:pt idx="2">
                  <c:v>1</c:v>
                </c:pt>
                <c:pt idx="3">
                  <c:v>0.5</c:v>
                </c:pt>
                <c:pt idx="4">
                  <c:v>0.29999999999999827</c:v>
                </c:pt>
                <c:pt idx="5">
                  <c:v>0.70000000000000284</c:v>
                </c:pt>
                <c:pt idx="6">
                  <c:v>1.0999999999999912</c:v>
                </c:pt>
                <c:pt idx="7">
                  <c:v>0.5</c:v>
                </c:pt>
                <c:pt idx="8">
                  <c:v>0.59999999999999432</c:v>
                </c:pt>
                <c:pt idx="9">
                  <c:v>0</c:v>
                </c:pt>
                <c:pt idx="10">
                  <c:v>0.70000000000000284</c:v>
                </c:pt>
                <c:pt idx="11">
                  <c:v>1.7000000000000028</c:v>
                </c:pt>
                <c:pt idx="12">
                  <c:v>-0.70000000000000284</c:v>
                </c:pt>
                <c:pt idx="13">
                  <c:v>-0.70000000000000284</c:v>
                </c:pt>
                <c:pt idx="14">
                  <c:v>-0.7999999999999976</c:v>
                </c:pt>
                <c:pt idx="15">
                  <c:v>-0.29999999999999827</c:v>
                </c:pt>
                <c:pt idx="16">
                  <c:v>-9.9999999999994607E-2</c:v>
                </c:pt>
                <c:pt idx="17">
                  <c:v>-0.20000000000000284</c:v>
                </c:pt>
                <c:pt idx="18">
                  <c:v>-9.9999999999994607E-2</c:v>
                </c:pt>
                <c:pt idx="19">
                  <c:v>0</c:v>
                </c:pt>
                <c:pt idx="20">
                  <c:v>-0.29999999999999827</c:v>
                </c:pt>
                <c:pt idx="21">
                  <c:v>-0.29999999999999827</c:v>
                </c:pt>
                <c:pt idx="22">
                  <c:v>-1.7000000000000028</c:v>
                </c:pt>
                <c:pt idx="23">
                  <c:v>-3.7000000000000042</c:v>
                </c:pt>
                <c:pt idx="24">
                  <c:v>-3.5</c:v>
                </c:pt>
                <c:pt idx="25">
                  <c:v>-3.5999999999999943</c:v>
                </c:pt>
                <c:pt idx="26">
                  <c:v>-2.9000000000000057</c:v>
                </c:pt>
                <c:pt idx="27">
                  <c:v>-2.5999999999999943</c:v>
                </c:pt>
                <c:pt idx="28">
                  <c:v>-2.0999999999999943</c:v>
                </c:pt>
                <c:pt idx="29">
                  <c:v>-2.2999999999999972</c:v>
                </c:pt>
                <c:pt idx="30">
                  <c:v>-3</c:v>
                </c:pt>
                <c:pt idx="31">
                  <c:v>-3.7000000000000042</c:v>
                </c:pt>
                <c:pt idx="32">
                  <c:v>-4.2000000000000028</c:v>
                </c:pt>
                <c:pt idx="33">
                  <c:v>-3.9000000000000057</c:v>
                </c:pt>
                <c:pt idx="34">
                  <c:v>-3.7000000000000042</c:v>
                </c:pt>
                <c:pt idx="35">
                  <c:v>-2.9000000000000057</c:v>
                </c:pt>
                <c:pt idx="36">
                  <c:v>-3.4000000000000057</c:v>
                </c:pt>
                <c:pt idx="37">
                  <c:v>-4</c:v>
                </c:pt>
                <c:pt idx="38">
                  <c:v>-4.5</c:v>
                </c:pt>
                <c:pt idx="39">
                  <c:v>-4.7000000000000028</c:v>
                </c:pt>
                <c:pt idx="40">
                  <c:v>-4.7999999999999972</c:v>
                </c:pt>
                <c:pt idx="41">
                  <c:v>-4.4000000000000083</c:v>
                </c:pt>
                <c:pt idx="42">
                  <c:v>-4</c:v>
                </c:pt>
                <c:pt idx="43">
                  <c:v>-3.4000000000000057</c:v>
                </c:pt>
                <c:pt idx="44">
                  <c:v>-2.4000000000000057</c:v>
                </c:pt>
                <c:pt idx="45">
                  <c:v>-1.7000000000000028</c:v>
                </c:pt>
                <c:pt idx="46">
                  <c:v>-1.2999999999999934</c:v>
                </c:pt>
                <c:pt idx="47">
                  <c:v>-0.40000000000000568</c:v>
                </c:pt>
                <c:pt idx="48" formatCode="General">
                  <c:v>2.0999999999999943</c:v>
                </c:pt>
                <c:pt idx="49" formatCode="General">
                  <c:v>3.0999999999999943</c:v>
                </c:pt>
                <c:pt idx="50">
                  <c:v>3</c:v>
                </c:pt>
                <c:pt idx="51">
                  <c:v>3.2000000000000042</c:v>
                </c:pt>
                <c:pt idx="52" formatCode="General">
                  <c:v>2.2999999999999972</c:v>
                </c:pt>
                <c:pt idx="53" formatCode="General">
                  <c:v>1.2999999999999934</c:v>
                </c:pt>
                <c:pt idx="54" formatCode="General">
                  <c:v>1.1000000000000001</c:v>
                </c:pt>
                <c:pt idx="55" formatCode="General">
                  <c:v>1.4</c:v>
                </c:pt>
                <c:pt idx="56" formatCode="General">
                  <c:v>1.7</c:v>
                </c:pt>
                <c:pt idx="57" formatCode="General">
                  <c:v>1.1000000000000001</c:v>
                </c:pt>
                <c:pt idx="58" formatCode="General">
                  <c:v>0.9</c:v>
                </c:pt>
                <c:pt idx="59" formatCode="General">
                  <c:v>0.70000000000000062</c:v>
                </c:pt>
              </c:numCache>
            </c:numRef>
          </c:val>
        </c:ser>
        <c:gapWidth val="96"/>
        <c:axId val="130523904"/>
        <c:axId val="130525440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Mining and quarrying,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4'!$D$6:$D$65</c:f>
              <c:numCache>
                <c:formatCode>0.0</c:formatCode>
                <c:ptCount val="60"/>
                <c:pt idx="0">
                  <c:v>-2.7000000000000042</c:v>
                </c:pt>
                <c:pt idx="1">
                  <c:v>-3.0999999999999943</c:v>
                </c:pt>
                <c:pt idx="2">
                  <c:v>-2.4000000000000057</c:v>
                </c:pt>
                <c:pt idx="3">
                  <c:v>0.5</c:v>
                </c:pt>
                <c:pt idx="4">
                  <c:v>0.5</c:v>
                </c:pt>
                <c:pt idx="5">
                  <c:v>0.20000000000000284</c:v>
                </c:pt>
                <c:pt idx="6">
                  <c:v>-1.2999999999999934</c:v>
                </c:pt>
                <c:pt idx="7">
                  <c:v>-1.2000000000000028</c:v>
                </c:pt>
                <c:pt idx="8">
                  <c:v>-3.5999999999999943</c:v>
                </c:pt>
                <c:pt idx="9">
                  <c:v>-3</c:v>
                </c:pt>
                <c:pt idx="10">
                  <c:v>0.20000000000000284</c:v>
                </c:pt>
                <c:pt idx="11">
                  <c:v>0.29999999999999827</c:v>
                </c:pt>
                <c:pt idx="12">
                  <c:v>-3</c:v>
                </c:pt>
                <c:pt idx="13">
                  <c:v>-3.0999999999999943</c:v>
                </c:pt>
                <c:pt idx="14">
                  <c:v>-4</c:v>
                </c:pt>
                <c:pt idx="15">
                  <c:v>-4.0999999999999943</c:v>
                </c:pt>
                <c:pt idx="16">
                  <c:v>-4.5999999999999943</c:v>
                </c:pt>
                <c:pt idx="17">
                  <c:v>-4.7999999999999972</c:v>
                </c:pt>
                <c:pt idx="18">
                  <c:v>-3</c:v>
                </c:pt>
                <c:pt idx="19">
                  <c:v>-3.5999999999999943</c:v>
                </c:pt>
                <c:pt idx="20">
                  <c:v>-1.9000000000000061</c:v>
                </c:pt>
                <c:pt idx="21">
                  <c:v>-2.0999999999999943</c:v>
                </c:pt>
                <c:pt idx="22">
                  <c:v>-2.2999999999999972</c:v>
                </c:pt>
                <c:pt idx="23">
                  <c:v>-2.7999999999999972</c:v>
                </c:pt>
                <c:pt idx="24">
                  <c:v>-0.90000000000000568</c:v>
                </c:pt>
                <c:pt idx="25">
                  <c:v>-1.5</c:v>
                </c:pt>
                <c:pt idx="26">
                  <c:v>-0.90000000000000568</c:v>
                </c:pt>
                <c:pt idx="27">
                  <c:v>-0.90000000000000568</c:v>
                </c:pt>
                <c:pt idx="28">
                  <c:v>0.29999999999999827</c:v>
                </c:pt>
                <c:pt idx="29">
                  <c:v>0.59999999999999432</c:v>
                </c:pt>
                <c:pt idx="30">
                  <c:v>0.40000000000000568</c:v>
                </c:pt>
                <c:pt idx="31">
                  <c:v>-0.29999999999999827</c:v>
                </c:pt>
                <c:pt idx="32">
                  <c:v>-1.7000000000000028</c:v>
                </c:pt>
                <c:pt idx="33">
                  <c:v>-1.4000000000000057</c:v>
                </c:pt>
                <c:pt idx="34">
                  <c:v>-0.59999999999999432</c:v>
                </c:pt>
                <c:pt idx="35">
                  <c:v>-0.5</c:v>
                </c:pt>
                <c:pt idx="36">
                  <c:v>-6.5999999999999943</c:v>
                </c:pt>
                <c:pt idx="37">
                  <c:v>-6.0999999999999943</c:v>
                </c:pt>
                <c:pt idx="38">
                  <c:v>-6.5</c:v>
                </c:pt>
                <c:pt idx="39">
                  <c:v>-7</c:v>
                </c:pt>
                <c:pt idx="40">
                  <c:v>-7.0999999999999943</c:v>
                </c:pt>
                <c:pt idx="41">
                  <c:v>-7.2999999999999972</c:v>
                </c:pt>
                <c:pt idx="42">
                  <c:v>-6.5999999999999943</c:v>
                </c:pt>
                <c:pt idx="43">
                  <c:v>-6</c:v>
                </c:pt>
                <c:pt idx="44">
                  <c:v>-4.9000000000000083</c:v>
                </c:pt>
                <c:pt idx="45">
                  <c:v>-5.2000000000000028</c:v>
                </c:pt>
                <c:pt idx="46">
                  <c:v>-5.2999999999999972</c:v>
                </c:pt>
                <c:pt idx="47">
                  <c:v>-5.0999999999999943</c:v>
                </c:pt>
                <c:pt idx="48" formatCode="General">
                  <c:v>2.2999999999999972</c:v>
                </c:pt>
                <c:pt idx="49" formatCode="General">
                  <c:v>5.7999999999999972</c:v>
                </c:pt>
                <c:pt idx="50">
                  <c:v>6.2000000000000028</c:v>
                </c:pt>
                <c:pt idx="51">
                  <c:v>6.4000000000000083</c:v>
                </c:pt>
                <c:pt idx="52" formatCode="General">
                  <c:v>4.2999999999999972</c:v>
                </c:pt>
                <c:pt idx="53" formatCode="General">
                  <c:v>4.0999999999999943</c:v>
                </c:pt>
                <c:pt idx="54" formatCode="General">
                  <c:v>2.9</c:v>
                </c:pt>
                <c:pt idx="55" formatCode="General">
                  <c:v>1.7</c:v>
                </c:pt>
                <c:pt idx="56" formatCode="General">
                  <c:v>1.9000000000000001</c:v>
                </c:pt>
                <c:pt idx="57" formatCode="General">
                  <c:v>3.4</c:v>
                </c:pt>
                <c:pt idx="58" formatCode="General">
                  <c:v>3.3</c:v>
                </c:pt>
                <c:pt idx="59" formatCode="General">
                  <c:v>3.6</c:v>
                </c:pt>
              </c:numCache>
            </c:numRef>
          </c:val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Manufacturing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4'!$E$6:$E$65</c:f>
              <c:numCache>
                <c:formatCode>0.0</c:formatCode>
                <c:ptCount val="60"/>
                <c:pt idx="0">
                  <c:v>1</c:v>
                </c:pt>
                <c:pt idx="1">
                  <c:v>0.90000000000000568</c:v>
                </c:pt>
                <c:pt idx="2">
                  <c:v>0.5</c:v>
                </c:pt>
                <c:pt idx="3">
                  <c:v>-0.29999999999999827</c:v>
                </c:pt>
                <c:pt idx="4">
                  <c:v>-0.40000000000000568</c:v>
                </c:pt>
                <c:pt idx="5">
                  <c:v>0</c:v>
                </c:pt>
                <c:pt idx="6">
                  <c:v>0.59999999999999432</c:v>
                </c:pt>
                <c:pt idx="7">
                  <c:v>-0.29999999999999827</c:v>
                </c:pt>
                <c:pt idx="8">
                  <c:v>0</c:v>
                </c:pt>
                <c:pt idx="9">
                  <c:v>-0.7999999999999976</c:v>
                </c:pt>
                <c:pt idx="10">
                  <c:v>-0.20000000000000284</c:v>
                </c:pt>
                <c:pt idx="11">
                  <c:v>1.2999999999999934</c:v>
                </c:pt>
                <c:pt idx="12">
                  <c:v>1.0999999999999912</c:v>
                </c:pt>
                <c:pt idx="13">
                  <c:v>1.2000000000000028</c:v>
                </c:pt>
                <c:pt idx="14">
                  <c:v>1</c:v>
                </c:pt>
                <c:pt idx="15">
                  <c:v>1.5999999999999912</c:v>
                </c:pt>
                <c:pt idx="16">
                  <c:v>1.9000000000000061</c:v>
                </c:pt>
                <c:pt idx="17">
                  <c:v>1.9000000000000061</c:v>
                </c:pt>
                <c:pt idx="18">
                  <c:v>1.7999999999999934</c:v>
                </c:pt>
                <c:pt idx="19">
                  <c:v>2.0999999999999943</c:v>
                </c:pt>
                <c:pt idx="20">
                  <c:v>1.5</c:v>
                </c:pt>
                <c:pt idx="21">
                  <c:v>1.5</c:v>
                </c:pt>
                <c:pt idx="22">
                  <c:v>-9.9999999999994607E-2</c:v>
                </c:pt>
                <c:pt idx="23">
                  <c:v>-2.7999999999999972</c:v>
                </c:pt>
                <c:pt idx="24">
                  <c:v>-4.2999999999999972</c:v>
                </c:pt>
                <c:pt idx="25">
                  <c:v>-4.4000000000000083</c:v>
                </c:pt>
                <c:pt idx="26">
                  <c:v>-3.5</c:v>
                </c:pt>
                <c:pt idx="27">
                  <c:v>-3.0999999999999943</c:v>
                </c:pt>
                <c:pt idx="28">
                  <c:v>-2.7000000000000042</c:v>
                </c:pt>
                <c:pt idx="29">
                  <c:v>-2.7999999999999972</c:v>
                </c:pt>
                <c:pt idx="30">
                  <c:v>-3.5999999999999943</c:v>
                </c:pt>
                <c:pt idx="31">
                  <c:v>-4.7000000000000028</c:v>
                </c:pt>
                <c:pt idx="32">
                  <c:v>-5.2000000000000028</c:v>
                </c:pt>
                <c:pt idx="33">
                  <c:v>-4.9000000000000083</c:v>
                </c:pt>
                <c:pt idx="34">
                  <c:v>-4.5999999999999943</c:v>
                </c:pt>
                <c:pt idx="35">
                  <c:v>-3.5</c:v>
                </c:pt>
                <c:pt idx="36">
                  <c:v>-3.2999999999999972</c:v>
                </c:pt>
                <c:pt idx="37">
                  <c:v>-4.0999999999999943</c:v>
                </c:pt>
                <c:pt idx="38">
                  <c:v>-4.5999999999999943</c:v>
                </c:pt>
                <c:pt idx="39">
                  <c:v>-4.9000000000000083</c:v>
                </c:pt>
                <c:pt idx="40">
                  <c:v>-5</c:v>
                </c:pt>
                <c:pt idx="41">
                  <c:v>-4.5</c:v>
                </c:pt>
                <c:pt idx="42">
                  <c:v>-4</c:v>
                </c:pt>
                <c:pt idx="43">
                  <c:v>-3.2000000000000042</c:v>
                </c:pt>
                <c:pt idx="44">
                  <c:v>-2</c:v>
                </c:pt>
                <c:pt idx="45">
                  <c:v>-1.0999999999999912</c:v>
                </c:pt>
                <c:pt idx="46">
                  <c:v>-0.59999999999999432</c:v>
                </c:pt>
                <c:pt idx="47">
                  <c:v>0.59999999999999432</c:v>
                </c:pt>
                <c:pt idx="48" formatCode="General">
                  <c:v>2.5999999999999943</c:v>
                </c:pt>
                <c:pt idx="49" formatCode="General">
                  <c:v>4</c:v>
                </c:pt>
                <c:pt idx="50">
                  <c:v>3.7999999999999972</c:v>
                </c:pt>
                <c:pt idx="51">
                  <c:v>4</c:v>
                </c:pt>
                <c:pt idx="52" formatCode="General">
                  <c:v>2.7999999999999972</c:v>
                </c:pt>
                <c:pt idx="53" formatCode="General">
                  <c:v>1.5</c:v>
                </c:pt>
                <c:pt idx="54" formatCode="General">
                  <c:v>1.4</c:v>
                </c:pt>
                <c:pt idx="55" formatCode="General">
                  <c:v>2</c:v>
                </c:pt>
                <c:pt idx="56" formatCode="General">
                  <c:v>2.1</c:v>
                </c:pt>
                <c:pt idx="57" formatCode="General">
                  <c:v>1.4</c:v>
                </c:pt>
                <c:pt idx="58" formatCode="General">
                  <c:v>1.1000000000000001</c:v>
                </c:pt>
                <c:pt idx="59" formatCode="General">
                  <c:v>0.9</c:v>
                </c:pt>
              </c:numCache>
            </c:numRef>
          </c:val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Electricity, gas, steam and air conditioning supply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4'!$F$6:$F$65</c:f>
              <c:numCache>
                <c:formatCode>0.0</c:formatCode>
                <c:ptCount val="60"/>
                <c:pt idx="0">
                  <c:v>3.7000000000000042</c:v>
                </c:pt>
                <c:pt idx="1">
                  <c:v>3.7000000000000042</c:v>
                </c:pt>
                <c:pt idx="2">
                  <c:v>3.7000000000000042</c:v>
                </c:pt>
                <c:pt idx="3">
                  <c:v>3.5</c:v>
                </c:pt>
                <c:pt idx="4">
                  <c:v>3.5</c:v>
                </c:pt>
                <c:pt idx="5">
                  <c:v>3.5999999999999943</c:v>
                </c:pt>
                <c:pt idx="6">
                  <c:v>3.5999999999999943</c:v>
                </c:pt>
                <c:pt idx="7">
                  <c:v>3.5999999999999943</c:v>
                </c:pt>
                <c:pt idx="8">
                  <c:v>3.5999999999999943</c:v>
                </c:pt>
                <c:pt idx="9">
                  <c:v>3.7999999999999972</c:v>
                </c:pt>
                <c:pt idx="10">
                  <c:v>3.7999999999999972</c:v>
                </c:pt>
                <c:pt idx="11">
                  <c:v>3.5</c:v>
                </c:pt>
                <c:pt idx="12">
                  <c:v>-8.8000000000000025</c:v>
                </c:pt>
                <c:pt idx="13">
                  <c:v>-8.8000000000000025</c:v>
                </c:pt>
                <c:pt idx="14">
                  <c:v>-8.8000000000000025</c:v>
                </c:pt>
                <c:pt idx="15">
                  <c:v>-8.6000000000000014</c:v>
                </c:pt>
                <c:pt idx="16">
                  <c:v>-8.6000000000000014</c:v>
                </c:pt>
                <c:pt idx="17">
                  <c:v>-8.7000000000000011</c:v>
                </c:pt>
                <c:pt idx="18">
                  <c:v>-8.7000000000000011</c:v>
                </c:pt>
                <c:pt idx="19">
                  <c:v>-8.6000000000000014</c:v>
                </c:pt>
                <c:pt idx="20">
                  <c:v>-8.6000000000000014</c:v>
                </c:pt>
                <c:pt idx="21">
                  <c:v>-8.9000000000000057</c:v>
                </c:pt>
                <c:pt idx="22">
                  <c:v>-8.9000000000000057</c:v>
                </c:pt>
                <c:pt idx="23">
                  <c:v>-8.6000000000000014</c:v>
                </c:pt>
                <c:pt idx="24">
                  <c:v>-0.7999999999999976</c:v>
                </c:pt>
                <c:pt idx="25">
                  <c:v>-0.7999999999999976</c:v>
                </c:pt>
                <c:pt idx="26">
                  <c:v>-0.7999999999999976</c:v>
                </c:pt>
                <c:pt idx="27">
                  <c:v>-0.70000000000000284</c:v>
                </c:pt>
                <c:pt idx="28">
                  <c:v>-0.70000000000000284</c:v>
                </c:pt>
                <c:pt idx="29">
                  <c:v>-0.70000000000000284</c:v>
                </c:pt>
                <c:pt idx="30">
                  <c:v>-0.70000000000000284</c:v>
                </c:pt>
                <c:pt idx="31">
                  <c:v>-0.7999999999999976</c:v>
                </c:pt>
                <c:pt idx="32">
                  <c:v>-0.7999999999999976</c:v>
                </c:pt>
                <c:pt idx="33">
                  <c:v>-0.90000000000000568</c:v>
                </c:pt>
                <c:pt idx="34">
                  <c:v>-0.90000000000000568</c:v>
                </c:pt>
                <c:pt idx="35">
                  <c:v>-0.90000000000000568</c:v>
                </c:pt>
                <c:pt idx="36">
                  <c:v>-4</c:v>
                </c:pt>
                <c:pt idx="37">
                  <c:v>-4.0999999999999943</c:v>
                </c:pt>
                <c:pt idx="38">
                  <c:v>-4.0999999999999943</c:v>
                </c:pt>
                <c:pt idx="39">
                  <c:v>-4</c:v>
                </c:pt>
                <c:pt idx="40">
                  <c:v>-4</c:v>
                </c:pt>
                <c:pt idx="41">
                  <c:v>-4.0999999999999943</c:v>
                </c:pt>
                <c:pt idx="42">
                  <c:v>-4</c:v>
                </c:pt>
                <c:pt idx="43">
                  <c:v>-4</c:v>
                </c:pt>
                <c:pt idx="44">
                  <c:v>-4.0999999999999943</c:v>
                </c:pt>
                <c:pt idx="45">
                  <c:v>-4.0999999999999943</c:v>
                </c:pt>
                <c:pt idx="46">
                  <c:v>-4.0999999999999943</c:v>
                </c:pt>
                <c:pt idx="47">
                  <c:v>-4.0999999999999943</c:v>
                </c:pt>
                <c:pt idx="48" formatCode="General">
                  <c:v>-1.0999999999999912</c:v>
                </c:pt>
                <c:pt idx="49" formatCode="General">
                  <c:v>-1.2000000000000028</c:v>
                </c:pt>
                <c:pt idx="50">
                  <c:v>-1.2000000000000028</c:v>
                </c:pt>
                <c:pt idx="51">
                  <c:v>-1.4000000000000057</c:v>
                </c:pt>
                <c:pt idx="52" formatCode="General">
                  <c:v>-1.2999999999999934</c:v>
                </c:pt>
                <c:pt idx="53" formatCode="General">
                  <c:v>-1.0999999999999912</c:v>
                </c:pt>
                <c:pt idx="54" formatCode="General">
                  <c:v>-1.1000000000000001</c:v>
                </c:pt>
                <c:pt idx="55" formatCode="General">
                  <c:v>-1.3</c:v>
                </c:pt>
                <c:pt idx="56" formatCode="General">
                  <c:v>-1.1000000000000001</c:v>
                </c:pt>
                <c:pt idx="57" formatCode="General">
                  <c:v>-1.1000000000000001</c:v>
                </c:pt>
                <c:pt idx="58" formatCode="General">
                  <c:v>-1.1000000000000001</c:v>
                </c:pt>
                <c:pt idx="59" formatCode="General">
                  <c:v>-1.1000000000000001</c:v>
                </c:pt>
              </c:numCache>
            </c:numRef>
          </c:val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Water supply, sewerage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4'!$G$6:$G$65</c:f>
              <c:numCache>
                <c:formatCode>General</c:formatCode>
                <c:ptCount val="60"/>
                <c:pt idx="0">
                  <c:v>5.9000000000000083</c:v>
                </c:pt>
                <c:pt idx="1">
                  <c:v>5.7999999999999972</c:v>
                </c:pt>
                <c:pt idx="2">
                  <c:v>5.7000000000000028</c:v>
                </c:pt>
                <c:pt idx="3">
                  <c:v>5.7000000000000028</c:v>
                </c:pt>
                <c:pt idx="4">
                  <c:v>5.7000000000000028</c:v>
                </c:pt>
                <c:pt idx="5">
                  <c:v>5.7000000000000028</c:v>
                </c:pt>
                <c:pt idx="6">
                  <c:v>5.7000000000000028</c:v>
                </c:pt>
                <c:pt idx="7">
                  <c:v>5.7000000000000028</c:v>
                </c:pt>
                <c:pt idx="8">
                  <c:v>5.7000000000000028</c:v>
                </c:pt>
                <c:pt idx="9">
                  <c:v>5.7000000000000028</c:v>
                </c:pt>
                <c:pt idx="10">
                  <c:v>5.7000000000000028</c:v>
                </c:pt>
                <c:pt idx="11">
                  <c:v>5.7000000000000028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3.4000000000000057</c:v>
                </c:pt>
                <c:pt idx="25">
                  <c:v>3.4000000000000057</c:v>
                </c:pt>
                <c:pt idx="26">
                  <c:v>3.4000000000000057</c:v>
                </c:pt>
                <c:pt idx="27">
                  <c:v>3.4000000000000057</c:v>
                </c:pt>
                <c:pt idx="28">
                  <c:v>3.4000000000000057</c:v>
                </c:pt>
                <c:pt idx="29">
                  <c:v>3.4000000000000057</c:v>
                </c:pt>
                <c:pt idx="30">
                  <c:v>3.4000000000000057</c:v>
                </c:pt>
                <c:pt idx="31">
                  <c:v>3.4000000000000057</c:v>
                </c:pt>
                <c:pt idx="32">
                  <c:v>3.4000000000000057</c:v>
                </c:pt>
                <c:pt idx="33">
                  <c:v>3.4000000000000057</c:v>
                </c:pt>
                <c:pt idx="34">
                  <c:v>3.4000000000000057</c:v>
                </c:pt>
                <c:pt idx="35">
                  <c:v>3.4000000000000057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1.5999999999999912</c:v>
                </c:pt>
                <c:pt idx="40">
                  <c:v>1.5999999999999912</c:v>
                </c:pt>
                <c:pt idx="41">
                  <c:v>1.5999999999999912</c:v>
                </c:pt>
                <c:pt idx="42">
                  <c:v>1.5999999999999912</c:v>
                </c:pt>
                <c:pt idx="43">
                  <c:v>1.5999999999999912</c:v>
                </c:pt>
                <c:pt idx="44">
                  <c:v>1.5999999999999912</c:v>
                </c:pt>
                <c:pt idx="45">
                  <c:v>1.5999999999999912</c:v>
                </c:pt>
                <c:pt idx="46">
                  <c:v>1.5999999999999912</c:v>
                </c:pt>
                <c:pt idx="47">
                  <c:v>1.5999999999999912</c:v>
                </c:pt>
                <c:pt idx="48">
                  <c:v>2.0999999999999943</c:v>
                </c:pt>
                <c:pt idx="49">
                  <c:v>2.0999999999999943</c:v>
                </c:pt>
                <c:pt idx="50" formatCode="0.0">
                  <c:v>2.0999999999999943</c:v>
                </c:pt>
                <c:pt idx="51" formatCode="0.0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</c:numCache>
            </c:numRef>
          </c:val>
        </c:ser>
        <c:marker val="1"/>
        <c:axId val="130523904"/>
        <c:axId val="130525440"/>
      </c:lineChart>
      <c:catAx>
        <c:axId val="13052390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30525440"/>
        <c:crosses val="autoZero"/>
        <c:auto val="1"/>
        <c:lblAlgn val="ctr"/>
        <c:lblOffset val="100"/>
      </c:catAx>
      <c:valAx>
        <c:axId val="13052544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3052390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341E-2"/>
          <c:y val="0.82881812865497073"/>
          <c:w val="0.89560705842620769"/>
          <c:h val="0.1619421052631578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4942586963863574E-2"/>
          <c:y val="2.859394348756086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Terms of trade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3'!$H$10:$H$29</c:f>
              <c:numCache>
                <c:formatCode>0.0</c:formatCode>
                <c:ptCount val="20"/>
                <c:pt idx="0">
                  <c:v>0.72086874091794895</c:v>
                </c:pt>
                <c:pt idx="1">
                  <c:v>0.66492115250875661</c:v>
                </c:pt>
                <c:pt idx="2">
                  <c:v>1.3267678006503587</c:v>
                </c:pt>
                <c:pt idx="3">
                  <c:v>1.2283581212725809</c:v>
                </c:pt>
                <c:pt idx="4">
                  <c:v>1.7793365680396958</c:v>
                </c:pt>
                <c:pt idx="5">
                  <c:v>2.1121774956172437</c:v>
                </c:pt>
                <c:pt idx="6">
                  <c:v>1.6039707571559452</c:v>
                </c:pt>
                <c:pt idx="7">
                  <c:v>0.65769164867339625</c:v>
                </c:pt>
                <c:pt idx="8">
                  <c:v>0.66875144912617934</c:v>
                </c:pt>
                <c:pt idx="9">
                  <c:v>-5.2195141937815513E-2</c:v>
                </c:pt>
                <c:pt idx="10">
                  <c:v>0.25811822159073472</c:v>
                </c:pt>
                <c:pt idx="11">
                  <c:v>0.70048196058132817</c:v>
                </c:pt>
                <c:pt idx="12">
                  <c:v>1.5034457920506386</c:v>
                </c:pt>
                <c:pt idx="13">
                  <c:v>1.5316445359934219</c:v>
                </c:pt>
                <c:pt idx="14">
                  <c:v>1.1309975684205709</c:v>
                </c:pt>
                <c:pt idx="15">
                  <c:v>6.2910265216473304E-2</c:v>
                </c:pt>
                <c:pt idx="16">
                  <c:v>-1.9068512784357807</c:v>
                </c:pt>
                <c:pt idx="17">
                  <c:v>-1.672363500547462</c:v>
                </c:pt>
                <c:pt idx="18">
                  <c:v>-0.75881185826696662</c:v>
                </c:pt>
                <c:pt idx="19">
                  <c:v>0.30873577390254153</c:v>
                </c:pt>
              </c:numCache>
            </c:numRef>
          </c:val>
        </c:ser>
        <c:gapWidth val="95"/>
        <c:axId val="133026176"/>
        <c:axId val="133027712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GDP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3'!$E$10:$E$29</c:f>
              <c:numCache>
                <c:formatCode>#,##0.0</c:formatCode>
                <c:ptCount val="20"/>
                <c:pt idx="0">
                  <c:v>1.2999708970934833</c:v>
                </c:pt>
                <c:pt idx="1">
                  <c:v>1.1220533709485949</c:v>
                </c:pt>
                <c:pt idx="2">
                  <c:v>1.3013982471865522</c:v>
                </c:pt>
                <c:pt idx="3">
                  <c:v>1.9705982643273221</c:v>
                </c:pt>
                <c:pt idx="4">
                  <c:v>2.3138763904869237</c:v>
                </c:pt>
                <c:pt idx="5">
                  <c:v>2.7748292282439451</c:v>
                </c:pt>
                <c:pt idx="6">
                  <c:v>2.7588595129771818</c:v>
                </c:pt>
                <c:pt idx="7">
                  <c:v>2.0601986396608538</c:v>
                </c:pt>
                <c:pt idx="8">
                  <c:v>1.5369337674784158</c:v>
                </c:pt>
                <c:pt idx="9">
                  <c:v>1.344899624212232</c:v>
                </c:pt>
                <c:pt idx="10">
                  <c:v>1.0394166136579315</c:v>
                </c:pt>
                <c:pt idx="11">
                  <c:v>0.76946574896925257</c:v>
                </c:pt>
                <c:pt idx="12">
                  <c:v>1.4770885012742809</c:v>
                </c:pt>
                <c:pt idx="13">
                  <c:v>1.0859617317946519</c:v>
                </c:pt>
                <c:pt idx="14">
                  <c:v>1.2927847129702457</c:v>
                </c:pt>
                <c:pt idx="15">
                  <c:v>1.1135418002644404</c:v>
                </c:pt>
                <c:pt idx="16" formatCode="General">
                  <c:v>0.48367013542360837</c:v>
                </c:pt>
                <c:pt idx="17" formatCode="General">
                  <c:v>0.97004342679134969</c:v>
                </c:pt>
                <c:pt idx="18" formatCode="General">
                  <c:v>1.5582246842972718</c:v>
                </c:pt>
                <c:pt idx="19" formatCode="General">
                  <c:v>2.139000515057063</c:v>
                </c:pt>
              </c:numCache>
            </c:numRef>
          </c:val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Final consumption expenditure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3'!$C$10:$C$29</c:f>
              <c:numCache>
                <c:formatCode>0.0</c:formatCode>
                <c:ptCount val="20"/>
                <c:pt idx="0">
                  <c:v>0.70393081077897213</c:v>
                </c:pt>
                <c:pt idx="1">
                  <c:v>0.6460903683416036</c:v>
                </c:pt>
                <c:pt idx="2">
                  <c:v>0.5078022322107647</c:v>
                </c:pt>
                <c:pt idx="3">
                  <c:v>0.76412283599242414</c:v>
                </c:pt>
                <c:pt idx="4">
                  <c:v>0.58981800757618463</c:v>
                </c:pt>
                <c:pt idx="5">
                  <c:v>0.73002869006748639</c:v>
                </c:pt>
                <c:pt idx="6">
                  <c:v>0.9627234351177667</c:v>
                </c:pt>
                <c:pt idx="7">
                  <c:v>1.371359354161328</c:v>
                </c:pt>
                <c:pt idx="8">
                  <c:v>0.68976772600146319</c:v>
                </c:pt>
                <c:pt idx="9">
                  <c:v>0.98805285803847265</c:v>
                </c:pt>
                <c:pt idx="10">
                  <c:v>0.80963604805681655</c:v>
                </c:pt>
                <c:pt idx="11">
                  <c:v>0.11766427409598663</c:v>
                </c:pt>
                <c:pt idx="12">
                  <c:v>0.59228639059519139</c:v>
                </c:pt>
                <c:pt idx="13">
                  <c:v>0.57477319622762479</c:v>
                </c:pt>
                <c:pt idx="14">
                  <c:v>0.95921467327970467</c:v>
                </c:pt>
                <c:pt idx="15">
                  <c:v>1.4791806391940838</c:v>
                </c:pt>
                <c:pt idx="16" formatCode="General">
                  <c:v>2.4121030611889007</c:v>
                </c:pt>
                <c:pt idx="17" formatCode="General">
                  <c:v>2.6827679202096988</c:v>
                </c:pt>
                <c:pt idx="18" formatCode="General">
                  <c:v>2.7966116523018911</c:v>
                </c:pt>
                <c:pt idx="19" formatCode="General">
                  <c:v>3.1467146872494762</c:v>
                </c:pt>
              </c:numCache>
            </c:numRef>
          </c:val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Gross capital formation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3'!$D$10:$D$29</c:f>
              <c:numCache>
                <c:formatCode>0.0</c:formatCode>
                <c:ptCount val="20"/>
                <c:pt idx="0">
                  <c:v>0.93237675467136649</c:v>
                </c:pt>
                <c:pt idx="1">
                  <c:v>0.55587160422214765</c:v>
                </c:pt>
                <c:pt idx="2">
                  <c:v>-0.14502990088750808</c:v>
                </c:pt>
                <c:pt idx="3">
                  <c:v>1.3523234836422091</c:v>
                </c:pt>
                <c:pt idx="4">
                  <c:v>1.1262607990310585</c:v>
                </c:pt>
                <c:pt idx="5">
                  <c:v>1.6967817745947569</c:v>
                </c:pt>
                <c:pt idx="6">
                  <c:v>2.2944262174508632</c:v>
                </c:pt>
                <c:pt idx="7">
                  <c:v>1.7668000014469527</c:v>
                </c:pt>
                <c:pt idx="8">
                  <c:v>2.1227689478053282</c:v>
                </c:pt>
                <c:pt idx="9">
                  <c:v>2.5283893947638467</c:v>
                </c:pt>
                <c:pt idx="10">
                  <c:v>1.5895921078529938</c:v>
                </c:pt>
                <c:pt idx="11">
                  <c:v>1.3230345075879741</c:v>
                </c:pt>
                <c:pt idx="12">
                  <c:v>0.68131620837630158</c:v>
                </c:pt>
                <c:pt idx="13">
                  <c:v>-0.47030660907467037</c:v>
                </c:pt>
                <c:pt idx="14">
                  <c:v>-3.1665506301493451E-2</c:v>
                </c:pt>
                <c:pt idx="15">
                  <c:v>0.48648204884011648</c:v>
                </c:pt>
                <c:pt idx="16" formatCode="General">
                  <c:v>0.8714374422562372</c:v>
                </c:pt>
                <c:pt idx="17" formatCode="General">
                  <c:v>1.6736489831874906</c:v>
                </c:pt>
                <c:pt idx="18" formatCode="General">
                  <c:v>1.572517827151972</c:v>
                </c:pt>
                <c:pt idx="19" formatCode="General">
                  <c:v>0.32999735391072732</c:v>
                </c:pt>
              </c:numCache>
            </c:numRef>
          </c:val>
        </c:ser>
        <c:marker val="1"/>
        <c:axId val="133026176"/>
        <c:axId val="133027712"/>
      </c:lineChart>
      <c:catAx>
        <c:axId val="13302617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3027712"/>
        <c:crossesAt val="0"/>
        <c:auto val="1"/>
        <c:lblAlgn val="ctr"/>
        <c:lblOffset val="100"/>
      </c:catAx>
      <c:valAx>
        <c:axId val="133027712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330261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4EA0-C52B-47AF-B482-6DDA897E0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C2AD4-CFE5-4510-9001-5DA149564D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0B988-7D59-488A-9D20-F4FB7DD637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2BDCB-3814-4B0D-A0FA-3D3FDCE5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5</Pages>
  <Words>1781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12265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2018-03-14T17:02:00Z</cp:lastPrinted>
  <dcterms:created xsi:type="dcterms:W3CDTF">2018-04-23T12:14:00Z</dcterms:created>
  <dcterms:modified xsi:type="dcterms:W3CDTF">2018-04-23T12:21:00Z</dcterms:modified>
</cp:coreProperties>
</file>