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B4" w:rsidRPr="00654093" w:rsidRDefault="00813CB4" w:rsidP="00492991">
      <w:pPr>
        <w:pStyle w:val="Textpoznpodarou"/>
        <w:jc w:val="both"/>
        <w:rPr>
          <w:sz w:val="2"/>
          <w:szCs w:val="2"/>
        </w:rPr>
      </w:pPr>
    </w:p>
    <w:p w:rsidR="00DD0726" w:rsidRPr="00733C96" w:rsidRDefault="00F638E6" w:rsidP="000421D1">
      <w:pPr>
        <w:pStyle w:val="Nadpis1"/>
        <w:numPr>
          <w:ilvl w:val="0"/>
          <w:numId w:val="25"/>
        </w:numPr>
        <w:jc w:val="both"/>
        <w:rPr>
          <w:lang w:val="en-GB"/>
        </w:rPr>
      </w:pPr>
      <w:bookmarkStart w:id="0" w:name="_Toc469299932"/>
      <w:bookmarkStart w:id="1" w:name="_Toc493683636"/>
      <w:bookmarkStart w:id="2" w:name="_Toc469299933"/>
      <w:r w:rsidRPr="00733C96">
        <w:rPr>
          <w:lang w:val="en-GB"/>
        </w:rPr>
        <w:t>External Economic Relations</w:t>
      </w:r>
      <w:bookmarkEnd w:id="0"/>
      <w:bookmarkEnd w:id="1"/>
    </w:p>
    <w:tbl>
      <w:tblPr>
        <w:tblW w:w="4963" w:type="pct"/>
        <w:tblInd w:w="108" w:type="dxa"/>
        <w:tblLayout w:type="fixed"/>
        <w:tblLook w:val="00A0"/>
      </w:tblPr>
      <w:tblGrid>
        <w:gridCol w:w="1985"/>
        <w:gridCol w:w="282"/>
        <w:gridCol w:w="1135"/>
        <w:gridCol w:w="143"/>
        <w:gridCol w:w="2533"/>
        <w:gridCol w:w="3703"/>
      </w:tblGrid>
      <w:tr w:rsidR="00D41320" w:rsidRPr="00733C96" w:rsidTr="009B0676">
        <w:tc>
          <w:tcPr>
            <w:tcW w:w="1015" w:type="pct"/>
          </w:tcPr>
          <w:p w:rsidR="00D41320" w:rsidRPr="00733C96" w:rsidRDefault="0097040B" w:rsidP="006E4368">
            <w:pPr>
              <w:spacing w:line="240" w:lineRule="auto"/>
              <w:rPr>
                <w:sz w:val="16"/>
                <w:szCs w:val="16"/>
                <w:lang w:val="en-GB"/>
              </w:rPr>
            </w:pPr>
            <w:r>
              <w:rPr>
                <w:sz w:val="16"/>
                <w:szCs w:val="16"/>
                <w:lang w:val="en-GB"/>
              </w:rPr>
              <w:t xml:space="preserve">Positive balance of trade with goods and services contributed to the achievement of the current account of the balance of payment surplus in year </w:t>
            </w:r>
            <w:r w:rsidR="00E932EA" w:rsidRPr="00733C96">
              <w:rPr>
                <w:sz w:val="16"/>
                <w:szCs w:val="16"/>
                <w:lang w:val="en-GB"/>
              </w:rPr>
              <w:t>2017.</w:t>
            </w:r>
          </w:p>
        </w:tc>
        <w:tc>
          <w:tcPr>
            <w:tcW w:w="144" w:type="pct"/>
          </w:tcPr>
          <w:p w:rsidR="00D41320" w:rsidRPr="00733C96" w:rsidRDefault="00D41320" w:rsidP="006E4368">
            <w:pPr>
              <w:pStyle w:val="Textpoznpodarou"/>
              <w:jc w:val="both"/>
              <w:rPr>
                <w:color w:val="FF0000"/>
                <w:highlight w:val="yellow"/>
                <w:lang w:val="en-GB"/>
              </w:rPr>
            </w:pPr>
          </w:p>
        </w:tc>
        <w:tc>
          <w:tcPr>
            <w:tcW w:w="3841" w:type="pct"/>
            <w:gridSpan w:val="4"/>
          </w:tcPr>
          <w:p w:rsidR="00D41320" w:rsidRPr="00733C96" w:rsidRDefault="00EB5410" w:rsidP="006E4368">
            <w:pPr>
              <w:pStyle w:val="Textpoznpodarou"/>
              <w:jc w:val="both"/>
              <w:rPr>
                <w:spacing w:val="-4"/>
                <w:sz w:val="16"/>
                <w:szCs w:val="16"/>
                <w:lang w:val="en-GB"/>
              </w:rPr>
            </w:pPr>
            <w:r>
              <w:rPr>
                <w:spacing w:val="-4"/>
                <w:lang w:val="en-GB"/>
              </w:rPr>
              <w:t xml:space="preserve">Balance of the current account of the balance of payments ended in </w:t>
            </w:r>
            <w:r w:rsidR="00022983">
              <w:rPr>
                <w:spacing w:val="-4"/>
                <w:lang w:val="en-GB"/>
              </w:rPr>
              <w:t>surplus</w:t>
            </w:r>
            <w:r>
              <w:rPr>
                <w:spacing w:val="-4"/>
                <w:lang w:val="en-GB"/>
              </w:rPr>
              <w:t xml:space="preserve"> also in year 2017</w:t>
            </w:r>
            <w:r w:rsidR="0057569E" w:rsidRPr="00733C96">
              <w:rPr>
                <w:rStyle w:val="Znakapoznpodarou"/>
                <w:spacing w:val="-4"/>
                <w:lang w:val="en-GB"/>
              </w:rPr>
              <w:footnoteReference w:id="1"/>
            </w:r>
            <w:r w:rsidR="00D41320" w:rsidRPr="00733C96">
              <w:rPr>
                <w:spacing w:val="-4"/>
                <w:lang w:val="en-GB"/>
              </w:rPr>
              <w:t xml:space="preserve">. </w:t>
            </w:r>
            <w:r w:rsidR="00022983">
              <w:rPr>
                <w:spacing w:val="-4"/>
                <w:lang w:val="en-GB"/>
              </w:rPr>
              <w:t xml:space="preserve">It was in the amount of </w:t>
            </w:r>
            <w:r w:rsidR="004F5950" w:rsidRPr="00733C96">
              <w:rPr>
                <w:spacing w:val="-4"/>
                <w:lang w:val="en-GB"/>
              </w:rPr>
              <w:t>54</w:t>
            </w:r>
            <w:r w:rsidR="00022983">
              <w:rPr>
                <w:spacing w:val="-4"/>
                <w:lang w:val="en-GB"/>
              </w:rPr>
              <w:t>.</w:t>
            </w:r>
            <w:r w:rsidR="004F5950" w:rsidRPr="00733C96">
              <w:rPr>
                <w:spacing w:val="-4"/>
                <w:lang w:val="en-GB"/>
              </w:rPr>
              <w:t>2</w:t>
            </w:r>
            <w:r w:rsidR="00D41320" w:rsidRPr="00733C96">
              <w:rPr>
                <w:spacing w:val="-4"/>
                <w:lang w:val="en-GB"/>
              </w:rPr>
              <w:t> </w:t>
            </w:r>
            <w:r w:rsidR="00022983">
              <w:rPr>
                <w:spacing w:val="-4"/>
                <w:lang w:val="en-GB"/>
              </w:rPr>
              <w:t xml:space="preserve">CZK bn and it lowered by 20.1 bn. The positive balance of the trade with goods (240.9 CZK bn) contributed the most to the surplus. The trade with services also attained a surplus </w:t>
            </w:r>
            <w:r w:rsidR="00D41320" w:rsidRPr="00733C96">
              <w:rPr>
                <w:spacing w:val="-4"/>
                <w:lang w:val="en-GB"/>
              </w:rPr>
              <w:t>(1</w:t>
            </w:r>
            <w:r w:rsidR="00160DCA" w:rsidRPr="00733C96">
              <w:rPr>
                <w:spacing w:val="-4"/>
                <w:lang w:val="en-GB"/>
              </w:rPr>
              <w:t>22</w:t>
            </w:r>
            <w:r w:rsidR="00022983">
              <w:rPr>
                <w:spacing w:val="-4"/>
                <w:lang w:val="en-GB"/>
              </w:rPr>
              <w:t>.</w:t>
            </w:r>
            <w:r w:rsidR="00160DCA" w:rsidRPr="00733C96">
              <w:rPr>
                <w:spacing w:val="-4"/>
                <w:lang w:val="en-GB"/>
              </w:rPr>
              <w:t>0</w:t>
            </w:r>
            <w:r w:rsidR="00D41320" w:rsidRPr="00733C96">
              <w:rPr>
                <w:spacing w:val="-4"/>
                <w:lang w:val="en-GB"/>
              </w:rPr>
              <w:t xml:space="preserve"> </w:t>
            </w:r>
            <w:r w:rsidR="00022983">
              <w:rPr>
                <w:spacing w:val="-4"/>
                <w:lang w:val="en-GB"/>
              </w:rPr>
              <w:t>bn</w:t>
            </w:r>
            <w:r w:rsidR="00D41320" w:rsidRPr="00733C96">
              <w:rPr>
                <w:spacing w:val="-4"/>
                <w:lang w:val="en-GB"/>
              </w:rPr>
              <w:t xml:space="preserve">.), </w:t>
            </w:r>
            <w:r w:rsidR="00022983">
              <w:rPr>
                <w:spacing w:val="-4"/>
                <w:lang w:val="en-GB"/>
              </w:rPr>
              <w:t xml:space="preserve">which increased by 14.4 CZK bn year-on-year. In contrast the balance of both primary and secondary incomes worked in the direction of deficit. </w:t>
            </w:r>
            <w:r w:rsidR="00D41320" w:rsidRPr="00733C96">
              <w:rPr>
                <w:spacing w:val="-4"/>
                <w:lang w:val="en-GB"/>
              </w:rPr>
              <w:t xml:space="preserve">Deficit </w:t>
            </w:r>
            <w:r w:rsidR="006A23E5">
              <w:rPr>
                <w:spacing w:val="-4"/>
                <w:lang w:val="en-GB"/>
              </w:rPr>
              <w:t xml:space="preserve">of the primary incomes was 260.8 CZK bn in </w:t>
            </w:r>
            <w:r w:rsidR="00D41320" w:rsidRPr="00733C96">
              <w:rPr>
                <w:spacing w:val="-4"/>
                <w:lang w:val="en-GB"/>
              </w:rPr>
              <w:t>2017</w:t>
            </w:r>
            <w:r w:rsidR="006A23E5">
              <w:rPr>
                <w:spacing w:val="-4"/>
                <w:lang w:val="en-GB"/>
              </w:rPr>
              <w:t xml:space="preserve"> and deepened by 9.1 bn year-on-year. It was the result of the year-on-year increase of the inflow of the primary incomes by 17.9 CZK bn. Secondary incomes ended in deficit of 45.0 bn in 2017. </w:t>
            </w:r>
            <w:r w:rsidR="00E569D7">
              <w:rPr>
                <w:spacing w:val="-4"/>
                <w:lang w:val="en-GB"/>
              </w:rPr>
              <w:t xml:space="preserve">It is mainly the consequence of the marked fall of the inflow of secondary incomes from abroad. Surplus of the capital account arrived at 46.5 CZK bn. </w:t>
            </w:r>
          </w:p>
          <w:p w:rsidR="00D41320" w:rsidRPr="002133D5" w:rsidRDefault="00D41320" w:rsidP="006E4368">
            <w:pPr>
              <w:pStyle w:val="Textpoznpodarou"/>
              <w:jc w:val="both"/>
              <w:rPr>
                <w:spacing w:val="-4"/>
                <w:sz w:val="12"/>
                <w:szCs w:val="12"/>
                <w:highlight w:val="yellow"/>
                <w:lang w:val="en-GB"/>
              </w:rPr>
            </w:pPr>
          </w:p>
        </w:tc>
      </w:tr>
      <w:tr w:rsidR="00D41320" w:rsidRPr="00A74192" w:rsidTr="009B0676">
        <w:tc>
          <w:tcPr>
            <w:tcW w:w="1015" w:type="pct"/>
          </w:tcPr>
          <w:p w:rsidR="00D41320" w:rsidRPr="00DC176E" w:rsidRDefault="00E932EA" w:rsidP="006E4368">
            <w:pPr>
              <w:spacing w:line="240" w:lineRule="auto"/>
              <w:rPr>
                <w:sz w:val="16"/>
                <w:szCs w:val="16"/>
                <w:lang w:val="en-GB"/>
              </w:rPr>
            </w:pPr>
            <w:r w:rsidRPr="00DC176E">
              <w:rPr>
                <w:sz w:val="16"/>
                <w:szCs w:val="16"/>
                <w:lang w:val="en-GB"/>
              </w:rPr>
              <w:t>Pr</w:t>
            </w:r>
            <w:r w:rsidR="00DC176E" w:rsidRPr="00DC176E">
              <w:rPr>
                <w:sz w:val="16"/>
                <w:szCs w:val="16"/>
                <w:lang w:val="en-GB"/>
              </w:rPr>
              <w:t>imary incomes again worked in the direction of the balance of payments defic</w:t>
            </w:r>
            <w:r w:rsidR="00DC176E">
              <w:rPr>
                <w:sz w:val="16"/>
                <w:szCs w:val="16"/>
                <w:lang w:val="en-GB"/>
              </w:rPr>
              <w:t>i</w:t>
            </w:r>
            <w:r w:rsidR="00DC176E" w:rsidRPr="00DC176E">
              <w:rPr>
                <w:sz w:val="16"/>
                <w:szCs w:val="16"/>
                <w:lang w:val="en-GB"/>
              </w:rPr>
              <w:t xml:space="preserve">t. </w:t>
            </w:r>
          </w:p>
        </w:tc>
        <w:tc>
          <w:tcPr>
            <w:tcW w:w="144" w:type="pct"/>
          </w:tcPr>
          <w:p w:rsidR="00D41320" w:rsidRPr="00DC176E" w:rsidRDefault="00D41320" w:rsidP="006E4368">
            <w:pPr>
              <w:pStyle w:val="Textpoznpodarou"/>
              <w:jc w:val="both"/>
              <w:rPr>
                <w:color w:val="FF0000"/>
                <w:highlight w:val="yellow"/>
                <w:lang w:val="en-GB"/>
              </w:rPr>
            </w:pPr>
          </w:p>
        </w:tc>
        <w:tc>
          <w:tcPr>
            <w:tcW w:w="3841" w:type="pct"/>
            <w:gridSpan w:val="4"/>
          </w:tcPr>
          <w:p w:rsidR="00D41320" w:rsidRDefault="00D41320" w:rsidP="006E4368">
            <w:pPr>
              <w:pStyle w:val="Textpoznpodarou"/>
              <w:jc w:val="both"/>
              <w:rPr>
                <w:spacing w:val="-4"/>
                <w:sz w:val="16"/>
                <w:szCs w:val="16"/>
                <w:lang w:val="en-GB"/>
              </w:rPr>
            </w:pPr>
            <w:r w:rsidRPr="00DC176E">
              <w:rPr>
                <w:spacing w:val="-4"/>
                <w:lang w:val="en-GB"/>
              </w:rPr>
              <w:t xml:space="preserve">Deficit </w:t>
            </w:r>
            <w:r w:rsidR="006122F3">
              <w:rPr>
                <w:spacing w:val="-4"/>
                <w:lang w:val="en-GB"/>
              </w:rPr>
              <w:t xml:space="preserve">of primary incomes was caused by the net outflow of incomes from investment in the amount of 321.2 CZK bn. That is by 9.7 bn more than in year 2016 </w:t>
            </w:r>
            <w:r w:rsidRPr="00DC176E">
              <w:rPr>
                <w:spacing w:val="-4"/>
                <w:lang w:val="en-GB"/>
              </w:rPr>
              <w:t>(</w:t>
            </w:r>
            <w:r w:rsidR="00F40562">
              <w:rPr>
                <w:spacing w:val="-4"/>
                <w:lang w:val="en-GB"/>
              </w:rPr>
              <w:t>the inflow of incomes from investment from abroad increased by 1</w:t>
            </w:r>
            <w:r w:rsidR="00160DCA" w:rsidRPr="00DC176E">
              <w:rPr>
                <w:spacing w:val="-4"/>
                <w:lang w:val="en-GB"/>
              </w:rPr>
              <w:t>5</w:t>
            </w:r>
            <w:r w:rsidR="00F40562">
              <w:rPr>
                <w:spacing w:val="-4"/>
                <w:lang w:val="en-GB"/>
              </w:rPr>
              <w:t>.</w:t>
            </w:r>
            <w:r w:rsidRPr="00DC176E">
              <w:rPr>
                <w:spacing w:val="-4"/>
                <w:lang w:val="en-GB"/>
              </w:rPr>
              <w:t xml:space="preserve">0 </w:t>
            </w:r>
            <w:r w:rsidR="00F40562">
              <w:rPr>
                <w:spacing w:val="-4"/>
                <w:lang w:val="en-GB"/>
              </w:rPr>
              <w:t xml:space="preserve">bn last year). At the same time the net outflow of incomes from direct investment reached 345.9 CZK bn last year, by 20.1 bn more than in year </w:t>
            </w:r>
            <w:r w:rsidRPr="00DC176E">
              <w:rPr>
                <w:spacing w:val="-4"/>
                <w:lang w:val="en-GB"/>
              </w:rPr>
              <w:t>2016. Deficit</w:t>
            </w:r>
            <w:r w:rsidR="00257083">
              <w:rPr>
                <w:spacing w:val="-4"/>
                <w:lang w:val="en-GB"/>
              </w:rPr>
              <w:t xml:space="preserve"> of incomes from the portfolio investment moderated to -14.9 bn in 2017. Compensations to employees mostly mitigated the deficit of the primary incomes. Their balance achieved surplus in the amount of </w:t>
            </w:r>
            <w:r w:rsidRPr="00DC176E">
              <w:rPr>
                <w:spacing w:val="-4"/>
                <w:lang w:val="en-GB"/>
              </w:rPr>
              <w:t>3</w:t>
            </w:r>
            <w:r w:rsidR="00160DCA" w:rsidRPr="00DC176E">
              <w:rPr>
                <w:spacing w:val="-4"/>
                <w:lang w:val="en-GB"/>
              </w:rPr>
              <w:t>7</w:t>
            </w:r>
            <w:r w:rsidR="00257083">
              <w:rPr>
                <w:spacing w:val="-4"/>
                <w:lang w:val="en-GB"/>
              </w:rPr>
              <w:t>.</w:t>
            </w:r>
            <w:r w:rsidR="00160DCA" w:rsidRPr="00DC176E">
              <w:rPr>
                <w:spacing w:val="-4"/>
                <w:lang w:val="en-GB"/>
              </w:rPr>
              <w:t>7</w:t>
            </w:r>
            <w:r w:rsidRPr="00DC176E">
              <w:rPr>
                <w:spacing w:val="-4"/>
                <w:lang w:val="en-GB"/>
              </w:rPr>
              <w:t xml:space="preserve"> </w:t>
            </w:r>
            <w:r w:rsidR="00257083">
              <w:rPr>
                <w:spacing w:val="-4"/>
                <w:lang w:val="en-GB"/>
              </w:rPr>
              <w:t>bn</w:t>
            </w:r>
            <w:r w:rsidRPr="00DC176E">
              <w:rPr>
                <w:spacing w:val="-4"/>
                <w:lang w:val="en-GB"/>
              </w:rPr>
              <w:t xml:space="preserve">. </w:t>
            </w:r>
            <w:r w:rsidR="003C5F05">
              <w:rPr>
                <w:spacing w:val="-4"/>
                <w:lang w:val="en-GB"/>
              </w:rPr>
              <w:t>64.</w:t>
            </w:r>
            <w:r w:rsidR="00230574">
              <w:rPr>
                <w:spacing w:val="-4"/>
                <w:lang w:val="en-GB"/>
              </w:rPr>
              <w:t>0</w:t>
            </w:r>
            <w:r w:rsidR="003C5F05">
              <w:rPr>
                <w:spacing w:val="-4"/>
                <w:lang w:val="en-GB"/>
              </w:rPr>
              <w:t xml:space="preserve"> CZK bn poured in the form of compensations to employees from abroad into the CR </w:t>
            </w:r>
            <w:r w:rsidRPr="00DC176E">
              <w:rPr>
                <w:spacing w:val="-4"/>
                <w:lang w:val="en-GB"/>
              </w:rPr>
              <w:t>(</w:t>
            </w:r>
            <w:r w:rsidR="003C5F05">
              <w:rPr>
                <w:spacing w:val="-4"/>
                <w:lang w:val="en-GB"/>
              </w:rPr>
              <w:t xml:space="preserve">by </w:t>
            </w:r>
            <w:r w:rsidR="00160DCA" w:rsidRPr="00DC176E">
              <w:rPr>
                <w:spacing w:val="-4"/>
                <w:lang w:val="en-GB"/>
              </w:rPr>
              <w:t>6</w:t>
            </w:r>
            <w:r w:rsidR="003C5F05">
              <w:rPr>
                <w:spacing w:val="-4"/>
                <w:lang w:val="en-GB"/>
              </w:rPr>
              <w:t>.</w:t>
            </w:r>
            <w:r w:rsidR="00160DCA" w:rsidRPr="00DC176E">
              <w:rPr>
                <w:spacing w:val="-4"/>
                <w:lang w:val="en-GB"/>
              </w:rPr>
              <w:t>1</w:t>
            </w:r>
            <w:r w:rsidRPr="00DC176E">
              <w:rPr>
                <w:spacing w:val="-4"/>
                <w:lang w:val="en-GB"/>
              </w:rPr>
              <w:t xml:space="preserve"> </w:t>
            </w:r>
            <w:r w:rsidR="003C5F05">
              <w:rPr>
                <w:spacing w:val="-4"/>
                <w:lang w:val="en-GB"/>
              </w:rPr>
              <w:t xml:space="preserve">bn more than in year </w:t>
            </w:r>
            <w:r w:rsidRPr="00DC176E">
              <w:rPr>
                <w:spacing w:val="-4"/>
                <w:lang w:val="en-GB"/>
              </w:rPr>
              <w:t xml:space="preserve">2016). </w:t>
            </w:r>
          </w:p>
          <w:p w:rsidR="002133D5" w:rsidRPr="002133D5" w:rsidRDefault="002133D5" w:rsidP="006E4368">
            <w:pPr>
              <w:pStyle w:val="Textpoznpodarou"/>
              <w:jc w:val="both"/>
              <w:rPr>
                <w:spacing w:val="-4"/>
                <w:sz w:val="12"/>
                <w:szCs w:val="12"/>
                <w:lang w:val="en-GB"/>
              </w:rPr>
            </w:pPr>
          </w:p>
        </w:tc>
      </w:tr>
      <w:tr w:rsidR="00DD0726" w:rsidRPr="006647AD" w:rsidTr="009B0676">
        <w:tc>
          <w:tcPr>
            <w:tcW w:w="1015" w:type="pct"/>
          </w:tcPr>
          <w:p w:rsidR="00DD0726" w:rsidRPr="006647AD" w:rsidRDefault="00DD0726" w:rsidP="006C3DC1">
            <w:pPr>
              <w:spacing w:line="240" w:lineRule="auto"/>
              <w:rPr>
                <w:szCs w:val="20"/>
                <w:highlight w:val="yellow"/>
              </w:rPr>
            </w:pPr>
          </w:p>
        </w:tc>
        <w:tc>
          <w:tcPr>
            <w:tcW w:w="144" w:type="pct"/>
          </w:tcPr>
          <w:p w:rsidR="00DD0726" w:rsidRPr="006647AD" w:rsidRDefault="00DD0726" w:rsidP="006C3DC1">
            <w:pPr>
              <w:pStyle w:val="Textpoznpodarou"/>
              <w:rPr>
                <w:color w:val="FF0000"/>
              </w:rPr>
            </w:pPr>
          </w:p>
        </w:tc>
        <w:tc>
          <w:tcPr>
            <w:tcW w:w="580" w:type="pct"/>
          </w:tcPr>
          <w:p w:rsidR="00DD0726" w:rsidRPr="00DC21E2" w:rsidRDefault="0040501E" w:rsidP="006C3DC1">
            <w:pPr>
              <w:pStyle w:val="Textpoznpodarou"/>
              <w:rPr>
                <w:color w:val="FF0000"/>
                <w:spacing w:val="-4"/>
                <w:highlight w:val="yellow"/>
              </w:rPr>
            </w:pPr>
            <w:r>
              <w:rPr>
                <w:spacing w:val="-4"/>
              </w:rPr>
              <w:t xml:space="preserve">Chart </w:t>
            </w:r>
            <w:r w:rsidR="00DD0726" w:rsidRPr="00DC21E2">
              <w:rPr>
                <w:spacing w:val="-4"/>
              </w:rPr>
              <w:t>9</w:t>
            </w:r>
          </w:p>
        </w:tc>
        <w:tc>
          <w:tcPr>
            <w:tcW w:w="3261" w:type="pct"/>
            <w:gridSpan w:val="3"/>
          </w:tcPr>
          <w:p w:rsidR="00AA7C35" w:rsidRDefault="0040501E" w:rsidP="00BD345F">
            <w:pPr>
              <w:pStyle w:val="Textpoznpodarou"/>
              <w:jc w:val="both"/>
              <w:rPr>
                <w:b/>
                <w:spacing w:val="-4"/>
                <w:lang w:val="en-GB"/>
              </w:rPr>
            </w:pPr>
            <w:r w:rsidRPr="0040501E">
              <w:rPr>
                <w:b/>
                <w:spacing w:val="-4"/>
                <w:lang w:val="en-GB"/>
              </w:rPr>
              <w:t xml:space="preserve">Current account of the balance of payments </w:t>
            </w:r>
          </w:p>
          <w:p w:rsidR="00DD0726" w:rsidRPr="0040501E" w:rsidRDefault="0040501E" w:rsidP="00BD345F">
            <w:pPr>
              <w:pStyle w:val="Textpoznpodarou"/>
              <w:jc w:val="both"/>
              <w:rPr>
                <w:color w:val="FF0000"/>
                <w:spacing w:val="-4"/>
                <w:highlight w:val="yellow"/>
                <w:lang w:val="en-GB"/>
              </w:rPr>
            </w:pPr>
            <w:r w:rsidRPr="00AA7C35">
              <w:rPr>
                <w:spacing w:val="-4"/>
                <w:lang w:val="en-GB"/>
              </w:rPr>
              <w:t>(</w:t>
            </w:r>
            <w:proofErr w:type="spellStart"/>
            <w:r w:rsidR="00D455F9" w:rsidRPr="00F76217">
              <w:rPr>
                <w:spacing w:val="-4"/>
                <w:lang w:val="en-GB"/>
              </w:rPr>
              <w:t>cumulation</w:t>
            </w:r>
            <w:proofErr w:type="spellEnd"/>
            <w:r w:rsidR="00D455F9" w:rsidRPr="00F76217">
              <w:rPr>
                <w:spacing w:val="-4"/>
                <w:lang w:val="en-GB"/>
              </w:rPr>
              <w:t xml:space="preserve"> of Q1 </w:t>
            </w:r>
            <w:r w:rsidR="00BD345F">
              <w:rPr>
                <w:spacing w:val="-4"/>
                <w:lang w:val="en-GB"/>
              </w:rPr>
              <w:t>to</w:t>
            </w:r>
            <w:r w:rsidR="00D455F9" w:rsidRPr="00F76217">
              <w:rPr>
                <w:spacing w:val="-4"/>
                <w:lang w:val="en-GB"/>
              </w:rPr>
              <w:t xml:space="preserve"> Q</w:t>
            </w:r>
            <w:r w:rsidR="00BD345F">
              <w:rPr>
                <w:spacing w:val="-4"/>
                <w:lang w:val="en-GB"/>
              </w:rPr>
              <w:t>4</w:t>
            </w:r>
            <w:r w:rsidR="00D455F9" w:rsidRPr="00F76217">
              <w:rPr>
                <w:spacing w:val="-4"/>
                <w:lang w:val="en-GB"/>
              </w:rPr>
              <w:t xml:space="preserve"> in </w:t>
            </w:r>
            <w:r w:rsidR="00D455F9">
              <w:rPr>
                <w:spacing w:val="-4"/>
                <w:lang w:val="en-GB"/>
              </w:rPr>
              <w:t>CZK bn</w:t>
            </w:r>
            <w:r w:rsidR="00DD0726" w:rsidRPr="0040501E">
              <w:rPr>
                <w:spacing w:val="-4"/>
                <w:lang w:val="en-GB"/>
              </w:rPr>
              <w:t>)</w:t>
            </w:r>
          </w:p>
        </w:tc>
      </w:tr>
      <w:tr w:rsidR="00DD0726" w:rsidRPr="00A74192" w:rsidTr="009B0676">
        <w:tc>
          <w:tcPr>
            <w:tcW w:w="1015" w:type="pct"/>
          </w:tcPr>
          <w:p w:rsidR="00DD0726" w:rsidRPr="002804BB" w:rsidRDefault="00DD0726" w:rsidP="006C3DC1">
            <w:pPr>
              <w:spacing w:line="240" w:lineRule="auto"/>
              <w:rPr>
                <w:sz w:val="16"/>
                <w:szCs w:val="16"/>
                <w:highlight w:val="yellow"/>
              </w:rPr>
            </w:pPr>
          </w:p>
        </w:tc>
        <w:tc>
          <w:tcPr>
            <w:tcW w:w="144" w:type="pct"/>
          </w:tcPr>
          <w:p w:rsidR="00DD0726" w:rsidRPr="00A74192" w:rsidRDefault="00DD0726" w:rsidP="006C3DC1">
            <w:pPr>
              <w:pStyle w:val="Textpoznpodarou"/>
              <w:rPr>
                <w:color w:val="FF0000"/>
              </w:rPr>
            </w:pPr>
          </w:p>
        </w:tc>
        <w:tc>
          <w:tcPr>
            <w:tcW w:w="3841" w:type="pct"/>
            <w:gridSpan w:val="4"/>
          </w:tcPr>
          <w:p w:rsidR="00DD0726" w:rsidRPr="00DC21E2" w:rsidRDefault="00BD345F" w:rsidP="006C3DC1">
            <w:pPr>
              <w:pStyle w:val="Textpoznpodarou"/>
              <w:ind w:left="-73"/>
              <w:jc w:val="both"/>
              <w:rPr>
                <w:spacing w:val="-4"/>
                <w:sz w:val="16"/>
                <w:highlight w:val="yellow"/>
              </w:rPr>
            </w:pPr>
            <w:r w:rsidRPr="00BD345F">
              <w:rPr>
                <w:noProof/>
                <w:spacing w:val="-4"/>
                <w:sz w:val="16"/>
              </w:rPr>
              <w:drawing>
                <wp:inline distT="0" distB="0" distL="0" distR="0">
                  <wp:extent cx="4737100" cy="3251200"/>
                  <wp:effectExtent l="0" t="0" r="0" b="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0726" w:rsidRDefault="008F352D" w:rsidP="00BD345F">
            <w:pPr>
              <w:pStyle w:val="Textpoznpodarou"/>
              <w:ind w:left="-73"/>
              <w:jc w:val="right"/>
              <w:rPr>
                <w:spacing w:val="-4"/>
                <w:sz w:val="14"/>
                <w:szCs w:val="14"/>
              </w:rPr>
            </w:pPr>
            <w:proofErr w:type="spellStart"/>
            <w:r>
              <w:rPr>
                <w:spacing w:val="-4"/>
                <w:sz w:val="14"/>
                <w:szCs w:val="14"/>
              </w:rPr>
              <w:t>Source</w:t>
            </w:r>
            <w:proofErr w:type="spellEnd"/>
            <w:r w:rsidR="00DD0726" w:rsidRPr="00DC21E2">
              <w:rPr>
                <w:spacing w:val="-4"/>
                <w:sz w:val="14"/>
                <w:szCs w:val="14"/>
              </w:rPr>
              <w:t xml:space="preserve">: </w:t>
            </w:r>
            <w:r>
              <w:rPr>
                <w:spacing w:val="-4"/>
                <w:sz w:val="14"/>
                <w:szCs w:val="14"/>
              </w:rPr>
              <w:t>C</w:t>
            </w:r>
            <w:r w:rsidR="00DD0726" w:rsidRPr="00DC21E2">
              <w:rPr>
                <w:spacing w:val="-4"/>
                <w:sz w:val="14"/>
                <w:szCs w:val="14"/>
              </w:rPr>
              <w:t>NB</w:t>
            </w:r>
          </w:p>
          <w:p w:rsidR="00BD345F" w:rsidRPr="002133D5" w:rsidRDefault="00BD345F" w:rsidP="002133D5">
            <w:pPr>
              <w:pStyle w:val="Textpoznpodarou"/>
              <w:rPr>
                <w:spacing w:val="-4"/>
                <w:sz w:val="6"/>
                <w:szCs w:val="6"/>
              </w:rPr>
            </w:pPr>
          </w:p>
        </w:tc>
      </w:tr>
      <w:tr w:rsidR="00D41320" w:rsidRPr="00A74192" w:rsidTr="009B0676">
        <w:tc>
          <w:tcPr>
            <w:tcW w:w="1015" w:type="pct"/>
          </w:tcPr>
          <w:p w:rsidR="00D41320" w:rsidRPr="00997301" w:rsidRDefault="00997301" w:rsidP="00E932EA">
            <w:pPr>
              <w:spacing w:line="240" w:lineRule="auto"/>
              <w:rPr>
                <w:sz w:val="16"/>
                <w:szCs w:val="16"/>
                <w:lang w:val="en-GB"/>
              </w:rPr>
            </w:pPr>
            <w:r w:rsidRPr="00997301">
              <w:rPr>
                <w:sz w:val="16"/>
                <w:szCs w:val="16"/>
                <w:lang w:val="en-GB"/>
              </w:rPr>
              <w:t>Results of the financial account were markedly impacted by the development in Q1</w:t>
            </w:r>
            <w:r w:rsidR="00E932EA" w:rsidRPr="00997301">
              <w:rPr>
                <w:sz w:val="16"/>
                <w:szCs w:val="16"/>
                <w:lang w:val="en-GB"/>
              </w:rPr>
              <w:t>.</w:t>
            </w:r>
          </w:p>
        </w:tc>
        <w:tc>
          <w:tcPr>
            <w:tcW w:w="144" w:type="pct"/>
          </w:tcPr>
          <w:p w:rsidR="00D41320" w:rsidRPr="00997301" w:rsidRDefault="00D41320" w:rsidP="006E4368">
            <w:pPr>
              <w:pStyle w:val="Textpoznpodarou"/>
              <w:jc w:val="both"/>
              <w:rPr>
                <w:highlight w:val="yellow"/>
                <w:lang w:val="en-GB"/>
              </w:rPr>
            </w:pPr>
          </w:p>
        </w:tc>
        <w:tc>
          <w:tcPr>
            <w:tcW w:w="3841" w:type="pct"/>
            <w:gridSpan w:val="4"/>
          </w:tcPr>
          <w:p w:rsidR="00D41320" w:rsidRPr="00997301" w:rsidRDefault="00D41320" w:rsidP="006E4368">
            <w:pPr>
              <w:pStyle w:val="Textpoznpodarou"/>
              <w:jc w:val="both"/>
              <w:rPr>
                <w:spacing w:val="-4"/>
                <w:sz w:val="16"/>
                <w:szCs w:val="16"/>
                <w:lang w:val="en-GB"/>
              </w:rPr>
            </w:pPr>
            <w:r w:rsidRPr="00997301">
              <w:rPr>
                <w:spacing w:val="-4"/>
                <w:lang w:val="en-GB"/>
              </w:rPr>
              <w:t>Fina</w:t>
            </w:r>
            <w:r w:rsidR="00173583">
              <w:rPr>
                <w:spacing w:val="-4"/>
                <w:lang w:val="en-GB"/>
              </w:rPr>
              <w:t xml:space="preserve">ncial account </w:t>
            </w:r>
            <w:r w:rsidRPr="00997301">
              <w:rPr>
                <w:spacing w:val="-4"/>
                <w:lang w:val="en-GB"/>
              </w:rPr>
              <w:t>(F</w:t>
            </w:r>
            <w:r w:rsidR="00173583">
              <w:rPr>
                <w:spacing w:val="-4"/>
                <w:lang w:val="en-GB"/>
              </w:rPr>
              <w:t>A</w:t>
            </w:r>
            <w:r w:rsidRPr="00997301">
              <w:rPr>
                <w:spacing w:val="-4"/>
                <w:lang w:val="en-GB"/>
              </w:rPr>
              <w:t xml:space="preserve">) </w:t>
            </w:r>
            <w:r w:rsidR="00173583">
              <w:rPr>
                <w:spacing w:val="-4"/>
                <w:lang w:val="en-GB"/>
              </w:rPr>
              <w:t>finished in surplus of 117.1 CZK bn in 2017.</w:t>
            </w:r>
            <w:r w:rsidR="00230574">
              <w:rPr>
                <w:spacing w:val="-4"/>
                <w:lang w:val="en-GB"/>
              </w:rPr>
              <w:t xml:space="preserve"> </w:t>
            </w:r>
            <w:r w:rsidR="00173583">
              <w:rPr>
                <w:spacing w:val="-4"/>
                <w:lang w:val="en-GB"/>
              </w:rPr>
              <w:t xml:space="preserve">At the same time both asset and liability side of the financial account gained double the level from year 2016. Flows to the FA had the largest volume in Q1, when the investors reacted to the nearing termination of the </w:t>
            </w:r>
            <w:r w:rsidR="00604CF7">
              <w:rPr>
                <w:spacing w:val="-4"/>
                <w:lang w:val="en-GB"/>
              </w:rPr>
              <w:t xml:space="preserve">forex </w:t>
            </w:r>
            <w:r w:rsidR="00173583">
              <w:rPr>
                <w:spacing w:val="-4"/>
                <w:lang w:val="en-GB"/>
              </w:rPr>
              <w:t>intervention of the CNB</w:t>
            </w:r>
            <w:r w:rsidRPr="00997301">
              <w:rPr>
                <w:spacing w:val="-4"/>
                <w:lang w:val="en-GB"/>
              </w:rPr>
              <w:t xml:space="preserve">. </w:t>
            </w:r>
            <w:r w:rsidR="00096747">
              <w:rPr>
                <w:spacing w:val="-4"/>
                <w:lang w:val="en-GB"/>
              </w:rPr>
              <w:t xml:space="preserve">The increase of the reserve assets in the amount of 1 246.4 CZK bn (in that 1 119.2 bn in Q1) exclusively stood behind the resulting surplus, which the FA keeps achieving since year 2012. </w:t>
            </w:r>
            <w:r w:rsidR="006D231B">
              <w:rPr>
                <w:spacing w:val="-4"/>
                <w:lang w:val="en-GB"/>
              </w:rPr>
              <w:t xml:space="preserve">Net inflow of direct investment arrived at </w:t>
            </w:r>
            <w:r w:rsidRPr="00997301">
              <w:rPr>
                <w:spacing w:val="-4"/>
                <w:lang w:val="en-GB"/>
              </w:rPr>
              <w:t>13</w:t>
            </w:r>
            <w:r w:rsidR="0038187C" w:rsidRPr="00997301">
              <w:rPr>
                <w:spacing w:val="-4"/>
                <w:lang w:val="en-GB"/>
              </w:rPr>
              <w:t>5</w:t>
            </w:r>
            <w:r w:rsidR="006D231B">
              <w:rPr>
                <w:spacing w:val="-4"/>
                <w:lang w:val="en-GB"/>
              </w:rPr>
              <w:t>.</w:t>
            </w:r>
            <w:r w:rsidR="0038187C" w:rsidRPr="00997301">
              <w:rPr>
                <w:spacing w:val="-4"/>
                <w:lang w:val="en-GB"/>
              </w:rPr>
              <w:t>3 </w:t>
            </w:r>
            <w:r w:rsidR="006D231B">
              <w:rPr>
                <w:spacing w:val="-4"/>
                <w:lang w:val="en-GB"/>
              </w:rPr>
              <w:t xml:space="preserve">CZK bn </w:t>
            </w:r>
            <w:r w:rsidRPr="00997301">
              <w:rPr>
                <w:spacing w:val="-4"/>
                <w:lang w:val="en-GB"/>
              </w:rPr>
              <w:t>(</w:t>
            </w:r>
            <w:r w:rsidR="006D231B">
              <w:rPr>
                <w:spacing w:val="-4"/>
                <w:lang w:val="en-GB"/>
              </w:rPr>
              <w:t xml:space="preserve">profit reinvestments shared in that from </w:t>
            </w:r>
            <w:r w:rsidRPr="00997301">
              <w:rPr>
                <w:spacing w:val="-4"/>
                <w:lang w:val="en-GB"/>
              </w:rPr>
              <w:t>10</w:t>
            </w:r>
            <w:r w:rsidR="0038187C" w:rsidRPr="00997301">
              <w:rPr>
                <w:spacing w:val="-4"/>
                <w:lang w:val="en-GB"/>
              </w:rPr>
              <w:t>6</w:t>
            </w:r>
            <w:r w:rsidR="006D231B">
              <w:rPr>
                <w:spacing w:val="-4"/>
                <w:lang w:val="en-GB"/>
              </w:rPr>
              <w:t>.</w:t>
            </w:r>
            <w:r w:rsidR="0038187C" w:rsidRPr="00997301">
              <w:rPr>
                <w:spacing w:val="-4"/>
                <w:lang w:val="en-GB"/>
              </w:rPr>
              <w:t>9</w:t>
            </w:r>
            <w:r w:rsidRPr="00997301">
              <w:rPr>
                <w:spacing w:val="-4"/>
                <w:lang w:val="en-GB"/>
              </w:rPr>
              <w:t xml:space="preserve"> </w:t>
            </w:r>
            <w:r w:rsidR="006D231B">
              <w:rPr>
                <w:spacing w:val="-4"/>
                <w:lang w:val="en-GB"/>
              </w:rPr>
              <w:t xml:space="preserve">bn). Net inflow of portfolio investment was 268.3 CZK bn last year. Shares in investment funds </w:t>
            </w:r>
            <w:r w:rsidR="00F64C5B">
              <w:rPr>
                <w:spacing w:val="-4"/>
                <w:lang w:val="en-GB"/>
              </w:rPr>
              <w:t xml:space="preserve">nevertheless </w:t>
            </w:r>
            <w:r w:rsidR="00675E9B">
              <w:rPr>
                <w:spacing w:val="-4"/>
                <w:lang w:val="en-GB"/>
              </w:rPr>
              <w:t xml:space="preserve">made net outflow in the size of 43.5 CZK bn. </w:t>
            </w:r>
            <w:r w:rsidR="006D231B">
              <w:rPr>
                <w:spacing w:val="-4"/>
                <w:lang w:val="en-GB"/>
              </w:rPr>
              <w:t xml:space="preserve"> </w:t>
            </w:r>
            <w:r w:rsidRPr="00997301">
              <w:rPr>
                <w:spacing w:val="-4"/>
                <w:lang w:val="en-GB"/>
              </w:rPr>
              <w:t xml:space="preserve"> </w:t>
            </w:r>
            <w:r w:rsidR="00675E9B">
              <w:rPr>
                <w:spacing w:val="-4"/>
                <w:lang w:val="en-GB"/>
              </w:rPr>
              <w:t xml:space="preserve">Investment into the debt securities presented the source of the deficit in the item </w:t>
            </w:r>
            <w:r w:rsidR="00675E9B">
              <w:rPr>
                <w:spacing w:val="-4"/>
                <w:lang w:val="en-GB"/>
              </w:rPr>
              <w:lastRenderedPageBreak/>
              <w:t>portfolio investment. Their net inflow was 311.8</w:t>
            </w:r>
            <w:r w:rsidR="00230574">
              <w:rPr>
                <w:spacing w:val="-4"/>
                <w:lang w:val="en-GB"/>
              </w:rPr>
              <w:t xml:space="preserve"> </w:t>
            </w:r>
            <w:r w:rsidR="00675E9B">
              <w:rPr>
                <w:spacing w:val="-4"/>
                <w:lang w:val="en-GB"/>
              </w:rPr>
              <w:t>CZK</w:t>
            </w:r>
            <w:r w:rsidR="00230574">
              <w:rPr>
                <w:spacing w:val="-4"/>
                <w:lang w:val="en-GB"/>
              </w:rPr>
              <w:t xml:space="preserve"> bn</w:t>
            </w:r>
            <w:r w:rsidR="00675E9B">
              <w:rPr>
                <w:spacing w:val="-4"/>
                <w:lang w:val="en-GB"/>
              </w:rPr>
              <w:t xml:space="preserve"> for year 2017 </w:t>
            </w:r>
            <w:r w:rsidRPr="00997301">
              <w:rPr>
                <w:spacing w:val="-4"/>
                <w:lang w:val="en-GB"/>
              </w:rPr>
              <w:t>(</w:t>
            </w:r>
            <w:r w:rsidR="009D3757">
              <w:rPr>
                <w:spacing w:val="-4"/>
                <w:lang w:val="en-GB"/>
              </w:rPr>
              <w:t xml:space="preserve">by </w:t>
            </w:r>
            <w:r w:rsidRPr="00997301">
              <w:rPr>
                <w:spacing w:val="-4"/>
                <w:lang w:val="en-GB"/>
              </w:rPr>
              <w:t>1</w:t>
            </w:r>
            <w:r w:rsidR="00232A3C" w:rsidRPr="00997301">
              <w:rPr>
                <w:spacing w:val="-4"/>
                <w:lang w:val="en-GB"/>
              </w:rPr>
              <w:t>40</w:t>
            </w:r>
            <w:r w:rsidR="009D3757">
              <w:rPr>
                <w:spacing w:val="-4"/>
                <w:lang w:val="en-GB"/>
              </w:rPr>
              <w:t>.</w:t>
            </w:r>
            <w:r w:rsidR="00232A3C" w:rsidRPr="00997301">
              <w:rPr>
                <w:spacing w:val="-4"/>
                <w:lang w:val="en-GB"/>
              </w:rPr>
              <w:t>8</w:t>
            </w:r>
            <w:r w:rsidRPr="00997301">
              <w:rPr>
                <w:spacing w:val="-4"/>
                <w:lang w:val="en-GB"/>
              </w:rPr>
              <w:t xml:space="preserve"> </w:t>
            </w:r>
            <w:r w:rsidR="009D3757">
              <w:rPr>
                <w:spacing w:val="-4"/>
                <w:lang w:val="en-GB"/>
              </w:rPr>
              <w:t xml:space="preserve">bn more than in </w:t>
            </w:r>
            <w:r w:rsidRPr="00997301">
              <w:rPr>
                <w:spacing w:val="-4"/>
                <w:lang w:val="en-GB"/>
              </w:rPr>
              <w:t xml:space="preserve">2016). </w:t>
            </w:r>
            <w:r w:rsidR="005A7896">
              <w:rPr>
                <w:spacing w:val="-4"/>
                <w:lang w:val="en-GB"/>
              </w:rPr>
              <w:t>Main focal point of this capital inflow was in Q1 and 2 of the year. Development of the proportion of domestic bonds in the hands of foreign holders</w:t>
            </w:r>
            <w:r w:rsidR="005A7896" w:rsidRPr="00997301">
              <w:rPr>
                <w:rStyle w:val="Znakapoznpodarou"/>
                <w:spacing w:val="-4"/>
                <w:lang w:val="en-GB"/>
              </w:rPr>
              <w:footnoteReference w:id="2"/>
            </w:r>
            <w:r w:rsidR="005A7896" w:rsidRPr="00997301">
              <w:rPr>
                <w:spacing w:val="-4"/>
                <w:lang w:val="en-GB"/>
              </w:rPr>
              <w:t xml:space="preserve"> </w:t>
            </w:r>
            <w:r w:rsidR="005A7896">
              <w:rPr>
                <w:spacing w:val="-4"/>
                <w:lang w:val="en-GB"/>
              </w:rPr>
              <w:t xml:space="preserve"> illustrates </w:t>
            </w:r>
            <w:r w:rsidR="00230574">
              <w:rPr>
                <w:spacing w:val="-4"/>
                <w:lang w:val="en-GB"/>
              </w:rPr>
              <w:t>i</w:t>
            </w:r>
            <w:r w:rsidR="006A1582">
              <w:rPr>
                <w:spacing w:val="-4"/>
                <w:lang w:val="en-GB"/>
              </w:rPr>
              <w:t>t</w:t>
            </w:r>
            <w:r w:rsidR="00230574">
              <w:rPr>
                <w:spacing w:val="-4"/>
                <w:lang w:val="en-GB"/>
              </w:rPr>
              <w:t>. It</w:t>
            </w:r>
            <w:r w:rsidR="006A1582">
              <w:rPr>
                <w:spacing w:val="-4"/>
                <w:lang w:val="en-GB"/>
              </w:rPr>
              <w:t xml:space="preserve"> considerabl</w:t>
            </w:r>
            <w:r w:rsidR="00230574">
              <w:rPr>
                <w:spacing w:val="-4"/>
                <w:lang w:val="en-GB"/>
              </w:rPr>
              <w:t>y</w:t>
            </w:r>
            <w:r w:rsidR="006A1582">
              <w:rPr>
                <w:spacing w:val="-4"/>
                <w:lang w:val="en-GB"/>
              </w:rPr>
              <w:t xml:space="preserve"> increased during the year </w:t>
            </w:r>
            <w:r w:rsidR="00801D15" w:rsidRPr="00997301">
              <w:rPr>
                <w:spacing w:val="-4"/>
                <w:lang w:val="en-GB"/>
              </w:rPr>
              <w:t>2016 (</w:t>
            </w:r>
            <w:r w:rsidR="006A1582">
              <w:rPr>
                <w:spacing w:val="-4"/>
                <w:lang w:val="en-GB"/>
              </w:rPr>
              <w:t xml:space="preserve">from </w:t>
            </w:r>
            <w:r w:rsidR="00801D15" w:rsidRPr="00997301">
              <w:rPr>
                <w:spacing w:val="-4"/>
                <w:lang w:val="en-GB"/>
              </w:rPr>
              <w:t>23</w:t>
            </w:r>
            <w:r w:rsidR="006A1582">
              <w:rPr>
                <w:spacing w:val="-4"/>
                <w:lang w:val="en-GB"/>
              </w:rPr>
              <w:t>.</w:t>
            </w:r>
            <w:r w:rsidR="00801D15" w:rsidRPr="00997301">
              <w:rPr>
                <w:spacing w:val="-4"/>
                <w:lang w:val="en-GB"/>
              </w:rPr>
              <w:t>67</w:t>
            </w:r>
            <w:r w:rsidRPr="00997301">
              <w:rPr>
                <w:spacing w:val="-4"/>
                <w:lang w:val="en-GB"/>
              </w:rPr>
              <w:t xml:space="preserve">% </w:t>
            </w:r>
            <w:r w:rsidR="006A1582">
              <w:rPr>
                <w:spacing w:val="-4"/>
                <w:lang w:val="en-GB"/>
              </w:rPr>
              <w:t>in January 2</w:t>
            </w:r>
            <w:r w:rsidRPr="00997301">
              <w:rPr>
                <w:spacing w:val="-4"/>
                <w:lang w:val="en-GB"/>
              </w:rPr>
              <w:t xml:space="preserve">016 </w:t>
            </w:r>
            <w:r w:rsidR="006A1582">
              <w:rPr>
                <w:spacing w:val="-4"/>
                <w:lang w:val="en-GB"/>
              </w:rPr>
              <w:t xml:space="preserve">to </w:t>
            </w:r>
            <w:r w:rsidRPr="00997301">
              <w:rPr>
                <w:spacing w:val="-4"/>
                <w:lang w:val="en-GB"/>
              </w:rPr>
              <w:t>38</w:t>
            </w:r>
            <w:r w:rsidR="006A1582">
              <w:rPr>
                <w:spacing w:val="-4"/>
                <w:lang w:val="en-GB"/>
              </w:rPr>
              <w:t>.</w:t>
            </w:r>
            <w:r w:rsidRPr="00997301">
              <w:rPr>
                <w:spacing w:val="-4"/>
                <w:lang w:val="en-GB"/>
              </w:rPr>
              <w:t xml:space="preserve">66% </w:t>
            </w:r>
            <w:r w:rsidR="006A1582">
              <w:rPr>
                <w:spacing w:val="-4"/>
                <w:lang w:val="en-GB"/>
              </w:rPr>
              <w:t xml:space="preserve">in January </w:t>
            </w:r>
            <w:r w:rsidRPr="00997301">
              <w:rPr>
                <w:spacing w:val="-4"/>
                <w:lang w:val="en-GB"/>
              </w:rPr>
              <w:t xml:space="preserve">2017). </w:t>
            </w:r>
            <w:r w:rsidR="00E01B6E">
              <w:rPr>
                <w:spacing w:val="-4"/>
                <w:lang w:val="en-GB"/>
              </w:rPr>
              <w:t xml:space="preserve">It was </w:t>
            </w:r>
            <w:r w:rsidRPr="00997301">
              <w:rPr>
                <w:spacing w:val="-4"/>
                <w:lang w:val="en-GB"/>
              </w:rPr>
              <w:t>47</w:t>
            </w:r>
            <w:r w:rsidR="00E01B6E">
              <w:rPr>
                <w:spacing w:val="-4"/>
                <w:lang w:val="en-GB"/>
              </w:rPr>
              <w:t>.</w:t>
            </w:r>
            <w:r w:rsidRPr="00997301">
              <w:rPr>
                <w:spacing w:val="-4"/>
                <w:lang w:val="en-GB"/>
              </w:rPr>
              <w:t>26%</w:t>
            </w:r>
            <w:r w:rsidR="00E01B6E">
              <w:rPr>
                <w:spacing w:val="-4"/>
                <w:lang w:val="en-GB"/>
              </w:rPr>
              <w:t xml:space="preserve"> at the end of March</w:t>
            </w:r>
            <w:r w:rsidRPr="00997301">
              <w:rPr>
                <w:spacing w:val="-4"/>
                <w:lang w:val="en-GB"/>
              </w:rPr>
              <w:t xml:space="preserve"> a</w:t>
            </w:r>
            <w:r w:rsidR="00E01B6E">
              <w:rPr>
                <w:spacing w:val="-4"/>
                <w:lang w:val="en-GB"/>
              </w:rPr>
              <w:t xml:space="preserve">nd it peaked in September </w:t>
            </w:r>
            <w:r w:rsidRPr="00997301">
              <w:rPr>
                <w:spacing w:val="-4"/>
                <w:lang w:val="en-GB"/>
              </w:rPr>
              <w:t>(51</w:t>
            </w:r>
            <w:r w:rsidR="00E01B6E">
              <w:rPr>
                <w:spacing w:val="-4"/>
                <w:lang w:val="en-GB"/>
              </w:rPr>
              <w:t>.</w:t>
            </w:r>
            <w:r w:rsidRPr="00997301">
              <w:rPr>
                <w:spacing w:val="-4"/>
                <w:lang w:val="en-GB"/>
              </w:rPr>
              <w:t xml:space="preserve">35%). </w:t>
            </w:r>
            <w:r w:rsidR="00E01B6E">
              <w:rPr>
                <w:spacing w:val="-4"/>
                <w:lang w:val="en-GB"/>
              </w:rPr>
              <w:t xml:space="preserve">It gradually declines since then. It was 41.64% at the end of December 2017. </w:t>
            </w:r>
          </w:p>
          <w:p w:rsidR="00D41320" w:rsidRPr="00997301" w:rsidRDefault="00D41320" w:rsidP="006E4368">
            <w:pPr>
              <w:pStyle w:val="Textpoznpodarou"/>
              <w:jc w:val="both"/>
              <w:rPr>
                <w:spacing w:val="-4"/>
                <w:sz w:val="16"/>
                <w:szCs w:val="16"/>
                <w:lang w:val="en-GB"/>
              </w:rPr>
            </w:pPr>
          </w:p>
        </w:tc>
      </w:tr>
      <w:tr w:rsidR="00D41320" w:rsidRPr="00A74192" w:rsidTr="009B0676">
        <w:tc>
          <w:tcPr>
            <w:tcW w:w="1015" w:type="pct"/>
          </w:tcPr>
          <w:p w:rsidR="00D41320" w:rsidRPr="00E01B6E" w:rsidRDefault="00096747" w:rsidP="006E4368">
            <w:pPr>
              <w:spacing w:line="240" w:lineRule="auto"/>
              <w:rPr>
                <w:sz w:val="16"/>
                <w:szCs w:val="16"/>
                <w:lang w:val="en-GB"/>
              </w:rPr>
            </w:pPr>
            <w:r w:rsidRPr="00E01B6E">
              <w:rPr>
                <w:sz w:val="16"/>
                <w:szCs w:val="16"/>
                <w:lang w:val="en-GB"/>
              </w:rPr>
              <w:lastRenderedPageBreak/>
              <w:t>Export grew relative</w:t>
            </w:r>
            <w:r w:rsidR="00B56645">
              <w:rPr>
                <w:sz w:val="16"/>
                <w:szCs w:val="16"/>
                <w:lang w:val="en-GB"/>
              </w:rPr>
              <w:t>ly</w:t>
            </w:r>
            <w:r w:rsidRPr="00E01B6E">
              <w:rPr>
                <w:sz w:val="16"/>
                <w:szCs w:val="16"/>
                <w:lang w:val="en-GB"/>
              </w:rPr>
              <w:t xml:space="preserve"> fast last year. </w:t>
            </w:r>
          </w:p>
        </w:tc>
        <w:tc>
          <w:tcPr>
            <w:tcW w:w="144" w:type="pct"/>
          </w:tcPr>
          <w:p w:rsidR="00D41320" w:rsidRPr="00E01B6E" w:rsidRDefault="00D41320" w:rsidP="006E4368">
            <w:pPr>
              <w:pStyle w:val="Textpoznpodarou"/>
              <w:jc w:val="both"/>
              <w:rPr>
                <w:highlight w:val="yellow"/>
                <w:lang w:val="en-GB"/>
              </w:rPr>
            </w:pPr>
          </w:p>
        </w:tc>
        <w:tc>
          <w:tcPr>
            <w:tcW w:w="3841" w:type="pct"/>
            <w:gridSpan w:val="4"/>
          </w:tcPr>
          <w:p w:rsidR="00D41320" w:rsidRPr="00E01B6E" w:rsidRDefault="009870EF" w:rsidP="006E4368">
            <w:pPr>
              <w:pStyle w:val="Textpoznpodarou"/>
              <w:jc w:val="both"/>
              <w:rPr>
                <w:spacing w:val="-4"/>
                <w:sz w:val="16"/>
                <w:szCs w:val="16"/>
                <w:lang w:val="en-GB"/>
              </w:rPr>
            </w:pPr>
            <w:r>
              <w:rPr>
                <w:spacing w:val="-4"/>
                <w:lang w:val="en-GB"/>
              </w:rPr>
              <w:t xml:space="preserve">Value of exports reached </w:t>
            </w:r>
            <w:r w:rsidR="00D41320" w:rsidRPr="00E01B6E">
              <w:rPr>
                <w:spacing w:val="-4"/>
                <w:lang w:val="en-GB"/>
              </w:rPr>
              <w:t>3</w:t>
            </w:r>
            <w:r>
              <w:rPr>
                <w:spacing w:val="-4"/>
                <w:lang w:val="en-GB"/>
              </w:rPr>
              <w:t> </w:t>
            </w:r>
            <w:r w:rsidR="00D41320" w:rsidRPr="00E01B6E">
              <w:rPr>
                <w:spacing w:val="-4"/>
                <w:lang w:val="en-GB"/>
              </w:rPr>
              <w:t>489</w:t>
            </w:r>
            <w:r>
              <w:rPr>
                <w:spacing w:val="-4"/>
                <w:lang w:val="en-GB"/>
              </w:rPr>
              <w:t>.</w:t>
            </w:r>
            <w:r w:rsidR="00D41320" w:rsidRPr="00E01B6E">
              <w:rPr>
                <w:spacing w:val="-4"/>
                <w:lang w:val="en-GB"/>
              </w:rPr>
              <w:t xml:space="preserve">1 </w:t>
            </w:r>
            <w:r>
              <w:rPr>
                <w:spacing w:val="-4"/>
                <w:lang w:val="en-GB"/>
              </w:rPr>
              <w:t>CZK bn in year 2017</w:t>
            </w:r>
            <w:r w:rsidR="00766F78" w:rsidRPr="00E01B6E">
              <w:rPr>
                <w:rStyle w:val="Znakapoznpodarou"/>
                <w:spacing w:val="-4"/>
                <w:lang w:val="en-GB"/>
              </w:rPr>
              <w:footnoteReference w:id="3"/>
            </w:r>
            <w:r w:rsidR="00D41320" w:rsidRPr="00E01B6E">
              <w:rPr>
                <w:spacing w:val="-4"/>
                <w:lang w:val="en-GB"/>
              </w:rPr>
              <w:t xml:space="preserve">. </w:t>
            </w:r>
            <w:r w:rsidR="00077C8D">
              <w:rPr>
                <w:spacing w:val="-4"/>
                <w:lang w:val="en-GB"/>
              </w:rPr>
              <w:t xml:space="preserve">It thus increased by 189.9 bn (5.8%) compared to year </w:t>
            </w:r>
            <w:r w:rsidR="00D41320" w:rsidRPr="00E01B6E">
              <w:rPr>
                <w:spacing w:val="-4"/>
                <w:lang w:val="en-GB"/>
              </w:rPr>
              <w:t>2016</w:t>
            </w:r>
            <w:r w:rsidR="00077C8D">
              <w:rPr>
                <w:spacing w:val="-4"/>
                <w:lang w:val="en-GB"/>
              </w:rPr>
              <w:t xml:space="preserve">. It represents the most significant increase since year </w:t>
            </w:r>
            <w:r w:rsidR="00D41320" w:rsidRPr="00E01B6E">
              <w:rPr>
                <w:spacing w:val="-4"/>
                <w:lang w:val="en-GB"/>
              </w:rPr>
              <w:t>2014 (</w:t>
            </w:r>
            <w:r w:rsidR="00077C8D">
              <w:rPr>
                <w:spacing w:val="-4"/>
                <w:lang w:val="en-GB"/>
              </w:rPr>
              <w:t>when the value of exports was notably impacted by the ko</w:t>
            </w:r>
            <w:r w:rsidR="00DF330C">
              <w:rPr>
                <w:spacing w:val="-4"/>
                <w:lang w:val="en-GB"/>
              </w:rPr>
              <w:t>runa foreign exchange depreciation</w:t>
            </w:r>
            <w:r w:rsidR="00D41320" w:rsidRPr="00E01B6E">
              <w:rPr>
                <w:spacing w:val="-4"/>
                <w:lang w:val="en-GB"/>
              </w:rPr>
              <w:t xml:space="preserve">). </w:t>
            </w:r>
            <w:r w:rsidR="003A61F5">
              <w:rPr>
                <w:spacing w:val="-4"/>
                <w:lang w:val="en-GB"/>
              </w:rPr>
              <w:t xml:space="preserve">If we thus omit the year </w:t>
            </w:r>
            <w:r w:rsidR="00D41320" w:rsidRPr="00E01B6E">
              <w:rPr>
                <w:spacing w:val="-4"/>
                <w:lang w:val="en-GB"/>
              </w:rPr>
              <w:t xml:space="preserve">2014, </w:t>
            </w:r>
            <w:r w:rsidR="003A61F5">
              <w:rPr>
                <w:spacing w:val="-4"/>
                <w:lang w:val="en-GB"/>
              </w:rPr>
              <w:t xml:space="preserve">it is the largest increase since year </w:t>
            </w:r>
            <w:r w:rsidR="00D41320" w:rsidRPr="00E01B6E">
              <w:rPr>
                <w:spacing w:val="-4"/>
                <w:lang w:val="en-GB"/>
              </w:rPr>
              <w:t>2012 (6</w:t>
            </w:r>
            <w:r w:rsidR="003A61F5">
              <w:rPr>
                <w:spacing w:val="-4"/>
                <w:lang w:val="en-GB"/>
              </w:rPr>
              <w:t>.</w:t>
            </w:r>
            <w:r w:rsidR="00D41320" w:rsidRPr="00E01B6E">
              <w:rPr>
                <w:spacing w:val="-4"/>
                <w:lang w:val="en-GB"/>
              </w:rPr>
              <w:t xml:space="preserve">0%). </w:t>
            </w:r>
            <w:r w:rsidR="00B56645">
              <w:rPr>
                <w:spacing w:val="-4"/>
                <w:lang w:val="en-GB"/>
              </w:rPr>
              <w:t xml:space="preserve">Rate of growth of export was maintained relatively strong throughout the whole year </w:t>
            </w:r>
            <w:r w:rsidR="00D41320" w:rsidRPr="00E01B6E">
              <w:rPr>
                <w:spacing w:val="-4"/>
                <w:lang w:val="en-GB"/>
              </w:rPr>
              <w:t xml:space="preserve">2017. </w:t>
            </w:r>
            <w:r w:rsidR="003A61F5">
              <w:rPr>
                <w:spacing w:val="-4"/>
                <w:lang w:val="en-GB"/>
              </w:rPr>
              <w:t>The value of export grew the most year-on-year in Q</w:t>
            </w:r>
            <w:r w:rsidR="00D41320" w:rsidRPr="00E01B6E">
              <w:rPr>
                <w:spacing w:val="-4"/>
                <w:lang w:val="en-GB"/>
              </w:rPr>
              <w:t>1</w:t>
            </w:r>
            <w:r w:rsidR="003A61F5">
              <w:rPr>
                <w:spacing w:val="-4"/>
                <w:lang w:val="en-GB"/>
              </w:rPr>
              <w:t xml:space="preserve"> </w:t>
            </w:r>
            <w:r w:rsidR="00D41320" w:rsidRPr="00E01B6E">
              <w:rPr>
                <w:spacing w:val="-4"/>
                <w:lang w:val="en-GB"/>
              </w:rPr>
              <w:t>(9</w:t>
            </w:r>
            <w:r w:rsidR="003A61F5">
              <w:rPr>
                <w:spacing w:val="-4"/>
                <w:lang w:val="en-GB"/>
              </w:rPr>
              <w:t>.</w:t>
            </w:r>
            <w:r w:rsidR="00D41320" w:rsidRPr="00E01B6E">
              <w:rPr>
                <w:spacing w:val="-4"/>
                <w:lang w:val="en-GB"/>
              </w:rPr>
              <w:t xml:space="preserve">3%), </w:t>
            </w:r>
            <w:r w:rsidR="003A61F5">
              <w:rPr>
                <w:spacing w:val="-4"/>
                <w:lang w:val="en-GB"/>
              </w:rPr>
              <w:t xml:space="preserve">subsequently the pace kept stable above the </w:t>
            </w:r>
            <w:r w:rsidR="00D41320" w:rsidRPr="00E01B6E">
              <w:rPr>
                <w:spacing w:val="-4"/>
                <w:lang w:val="en-GB"/>
              </w:rPr>
              <w:t xml:space="preserve">4% </w:t>
            </w:r>
            <w:r w:rsidR="003A61F5">
              <w:rPr>
                <w:spacing w:val="-4"/>
                <w:lang w:val="en-GB"/>
              </w:rPr>
              <w:t>boundary</w:t>
            </w:r>
            <w:r w:rsidR="00D41320" w:rsidRPr="00E01B6E">
              <w:rPr>
                <w:spacing w:val="-4"/>
                <w:lang w:val="en-GB"/>
              </w:rPr>
              <w:t xml:space="preserve">. </w:t>
            </w:r>
            <w:r w:rsidR="00B56645">
              <w:rPr>
                <w:spacing w:val="-4"/>
                <w:lang w:val="en-GB"/>
              </w:rPr>
              <w:t>The increase was 4.8% year-on-year in Q</w:t>
            </w:r>
            <w:r w:rsidR="00D41320" w:rsidRPr="00E01B6E">
              <w:rPr>
                <w:spacing w:val="-4"/>
                <w:lang w:val="en-GB"/>
              </w:rPr>
              <w:t>4.</w:t>
            </w:r>
            <w:r w:rsidR="00B56645">
              <w:rPr>
                <w:spacing w:val="-4"/>
                <w:lang w:val="en-GB"/>
              </w:rPr>
              <w:t xml:space="preserve"> </w:t>
            </w:r>
            <w:r w:rsidR="001D12FB" w:rsidRPr="00E01B6E">
              <w:rPr>
                <w:spacing w:val="-4"/>
                <w:lang w:val="en-GB"/>
              </w:rPr>
              <w:t> </w:t>
            </w:r>
          </w:p>
          <w:p w:rsidR="00D41320" w:rsidRPr="00E01B6E" w:rsidRDefault="00D41320" w:rsidP="006E4368">
            <w:pPr>
              <w:pStyle w:val="Textpoznpodarou"/>
              <w:jc w:val="both"/>
              <w:rPr>
                <w:spacing w:val="-4"/>
                <w:sz w:val="16"/>
                <w:szCs w:val="16"/>
                <w:highlight w:val="yellow"/>
                <w:lang w:val="en-GB"/>
              </w:rPr>
            </w:pPr>
          </w:p>
        </w:tc>
      </w:tr>
      <w:tr w:rsidR="00D41320" w:rsidRPr="00A74192" w:rsidTr="009B0676">
        <w:tc>
          <w:tcPr>
            <w:tcW w:w="1015" w:type="pct"/>
          </w:tcPr>
          <w:p w:rsidR="00D41320" w:rsidRPr="00E01B6E" w:rsidRDefault="005B513A" w:rsidP="005B513A">
            <w:pPr>
              <w:spacing w:line="240" w:lineRule="auto"/>
              <w:rPr>
                <w:sz w:val="16"/>
                <w:szCs w:val="16"/>
                <w:lang w:val="en-GB"/>
              </w:rPr>
            </w:pPr>
            <w:r w:rsidRPr="00E01B6E">
              <w:rPr>
                <w:sz w:val="16"/>
                <w:szCs w:val="16"/>
                <w:lang w:val="en-GB"/>
              </w:rPr>
              <w:t xml:space="preserve">The EU countries remain as the main business partner of the </w:t>
            </w:r>
            <w:r w:rsidR="00B94DE2" w:rsidRPr="00E01B6E">
              <w:rPr>
                <w:sz w:val="16"/>
                <w:szCs w:val="16"/>
                <w:lang w:val="en-GB"/>
              </w:rPr>
              <w:t>Czech Republic</w:t>
            </w:r>
            <w:r w:rsidR="00D41320" w:rsidRPr="00E01B6E">
              <w:rPr>
                <w:sz w:val="16"/>
                <w:szCs w:val="16"/>
                <w:lang w:val="en-GB"/>
              </w:rPr>
              <w:t>.</w:t>
            </w:r>
          </w:p>
        </w:tc>
        <w:tc>
          <w:tcPr>
            <w:tcW w:w="144" w:type="pct"/>
          </w:tcPr>
          <w:p w:rsidR="00D41320" w:rsidRPr="00E01B6E" w:rsidRDefault="00D41320" w:rsidP="006E4368">
            <w:pPr>
              <w:pStyle w:val="Textpoznpodarou"/>
              <w:jc w:val="both"/>
              <w:rPr>
                <w:highlight w:val="yellow"/>
                <w:lang w:val="en-GB"/>
              </w:rPr>
            </w:pPr>
          </w:p>
        </w:tc>
        <w:tc>
          <w:tcPr>
            <w:tcW w:w="3841" w:type="pct"/>
            <w:gridSpan w:val="4"/>
          </w:tcPr>
          <w:p w:rsidR="00D41320" w:rsidRPr="00F96E38" w:rsidRDefault="005B513A" w:rsidP="006E4368">
            <w:pPr>
              <w:pStyle w:val="Textpoznpodarou"/>
              <w:jc w:val="both"/>
              <w:rPr>
                <w:spacing w:val="-2"/>
                <w:sz w:val="16"/>
                <w:szCs w:val="16"/>
                <w:lang w:val="en-GB"/>
              </w:rPr>
            </w:pPr>
            <w:r w:rsidRPr="00F96E38">
              <w:rPr>
                <w:spacing w:val="-2"/>
                <w:lang w:val="en-GB"/>
              </w:rPr>
              <w:t xml:space="preserve">The territorial structure of exports did not change significantly in </w:t>
            </w:r>
            <w:r w:rsidR="00D41320" w:rsidRPr="00F96E38">
              <w:rPr>
                <w:spacing w:val="-2"/>
                <w:lang w:val="en-GB"/>
              </w:rPr>
              <w:t xml:space="preserve">2017. </w:t>
            </w:r>
            <w:r w:rsidR="007A36DE" w:rsidRPr="00F96E38">
              <w:rPr>
                <w:spacing w:val="-2"/>
                <w:lang w:val="en-GB"/>
              </w:rPr>
              <w:t>The European Union remain</w:t>
            </w:r>
            <w:r w:rsidR="00426E44" w:rsidRPr="00F96E38">
              <w:rPr>
                <w:spacing w:val="-2"/>
                <w:lang w:val="en-GB"/>
              </w:rPr>
              <w:t>ed</w:t>
            </w:r>
            <w:r w:rsidR="007A36DE" w:rsidRPr="00F96E38">
              <w:rPr>
                <w:spacing w:val="-2"/>
                <w:lang w:val="en-GB"/>
              </w:rPr>
              <w:t xml:space="preserve"> the dominant destination for the Czech export </w:t>
            </w:r>
            <w:r w:rsidR="00D41320" w:rsidRPr="00F96E38">
              <w:rPr>
                <w:spacing w:val="-2"/>
                <w:lang w:val="en-GB"/>
              </w:rPr>
              <w:t>(83</w:t>
            </w:r>
            <w:r w:rsidR="007A36DE" w:rsidRPr="00F96E38">
              <w:rPr>
                <w:spacing w:val="-2"/>
                <w:lang w:val="en-GB"/>
              </w:rPr>
              <w:t>.</w:t>
            </w:r>
            <w:r w:rsidR="00D41320" w:rsidRPr="00F96E38">
              <w:rPr>
                <w:spacing w:val="-2"/>
                <w:lang w:val="en-GB"/>
              </w:rPr>
              <w:t xml:space="preserve">9% </w:t>
            </w:r>
            <w:r w:rsidR="007A36DE" w:rsidRPr="00F96E38">
              <w:rPr>
                <w:spacing w:val="-2"/>
                <w:lang w:val="en-GB"/>
              </w:rPr>
              <w:t>of export</w:t>
            </w:r>
            <w:r w:rsidR="00D41320" w:rsidRPr="00F96E38">
              <w:rPr>
                <w:spacing w:val="-2"/>
                <w:lang w:val="en-GB"/>
              </w:rPr>
              <w:t xml:space="preserve">), </w:t>
            </w:r>
            <w:r w:rsidR="007A36DE" w:rsidRPr="00F96E38">
              <w:rPr>
                <w:spacing w:val="-2"/>
                <w:lang w:val="en-GB"/>
              </w:rPr>
              <w:t xml:space="preserve">the share of export into countries outside the EU </w:t>
            </w:r>
            <w:r w:rsidR="00E72BA7" w:rsidRPr="00F96E38">
              <w:rPr>
                <w:spacing w:val="-2"/>
                <w:lang w:val="en-GB"/>
              </w:rPr>
              <w:t xml:space="preserve">stayed at </w:t>
            </w:r>
            <w:r w:rsidR="00D41320" w:rsidRPr="00F96E38">
              <w:rPr>
                <w:spacing w:val="-2"/>
                <w:lang w:val="en-GB"/>
              </w:rPr>
              <w:t xml:space="preserve">16%. </w:t>
            </w:r>
            <w:r w:rsidR="00212491" w:rsidRPr="00F96E38">
              <w:rPr>
                <w:spacing w:val="-2"/>
                <w:lang w:val="en-GB"/>
              </w:rPr>
              <w:t xml:space="preserve">Not even the higher dynamics of exports into countries outside the EU (6.2%) managed to change this structure. The largest proportion of exports </w:t>
            </w:r>
            <w:r w:rsidR="00D41320" w:rsidRPr="00F96E38">
              <w:rPr>
                <w:spacing w:val="-2"/>
                <w:lang w:val="en-GB"/>
              </w:rPr>
              <w:t>(32</w:t>
            </w:r>
            <w:r w:rsidR="00212491" w:rsidRPr="00F96E38">
              <w:rPr>
                <w:spacing w:val="-2"/>
                <w:lang w:val="en-GB"/>
              </w:rPr>
              <w:t>.</w:t>
            </w:r>
            <w:r w:rsidR="00D41320" w:rsidRPr="00F96E38">
              <w:rPr>
                <w:spacing w:val="-2"/>
                <w:lang w:val="en-GB"/>
              </w:rPr>
              <w:t>2%, 1</w:t>
            </w:r>
            <w:r w:rsidR="00212491" w:rsidRPr="00F96E38">
              <w:rPr>
                <w:spacing w:val="-2"/>
                <w:lang w:val="en-GB"/>
              </w:rPr>
              <w:t> </w:t>
            </w:r>
            <w:r w:rsidR="00D41320" w:rsidRPr="00F96E38">
              <w:rPr>
                <w:spacing w:val="-2"/>
                <w:lang w:val="en-GB"/>
              </w:rPr>
              <w:t>125</w:t>
            </w:r>
            <w:r w:rsidR="00212491" w:rsidRPr="00F96E38">
              <w:rPr>
                <w:spacing w:val="-2"/>
                <w:lang w:val="en-GB"/>
              </w:rPr>
              <w:t>.</w:t>
            </w:r>
            <w:r w:rsidR="00D41320" w:rsidRPr="00F96E38">
              <w:rPr>
                <w:spacing w:val="-2"/>
                <w:lang w:val="en-GB"/>
              </w:rPr>
              <w:t xml:space="preserve">0 </w:t>
            </w:r>
            <w:r w:rsidR="00212491" w:rsidRPr="00F96E38">
              <w:rPr>
                <w:spacing w:val="-2"/>
                <w:lang w:val="en-GB"/>
              </w:rPr>
              <w:t>CZK bn)</w:t>
            </w:r>
            <w:r w:rsidR="00D41320" w:rsidRPr="00F96E38">
              <w:rPr>
                <w:spacing w:val="-2"/>
                <w:lang w:val="en-GB"/>
              </w:rPr>
              <w:t xml:space="preserve"> </w:t>
            </w:r>
            <w:r w:rsidR="00212491" w:rsidRPr="00F96E38">
              <w:rPr>
                <w:spacing w:val="-2"/>
                <w:lang w:val="en-GB"/>
              </w:rPr>
              <w:t xml:space="preserve">headed in year 2017 to Germany and the export into this destination rose by 6.1% year-on-year </w:t>
            </w:r>
            <w:r w:rsidR="00D41320" w:rsidRPr="00F96E38">
              <w:rPr>
                <w:spacing w:val="-2"/>
                <w:lang w:val="en-GB"/>
              </w:rPr>
              <w:t>(64</w:t>
            </w:r>
            <w:r w:rsidR="00212491" w:rsidRPr="00F96E38">
              <w:rPr>
                <w:spacing w:val="-2"/>
                <w:lang w:val="en-GB"/>
              </w:rPr>
              <w:t>.</w:t>
            </w:r>
            <w:r w:rsidR="00D41320" w:rsidRPr="00F96E38">
              <w:rPr>
                <w:spacing w:val="-2"/>
                <w:lang w:val="en-GB"/>
              </w:rPr>
              <w:t>5 </w:t>
            </w:r>
            <w:r w:rsidR="00212491" w:rsidRPr="00F96E38">
              <w:rPr>
                <w:spacing w:val="-2"/>
                <w:lang w:val="en-GB"/>
              </w:rPr>
              <w:t>CZK bn</w:t>
            </w:r>
            <w:r w:rsidR="00D41320" w:rsidRPr="00F96E38">
              <w:rPr>
                <w:spacing w:val="-2"/>
                <w:lang w:val="en-GB"/>
              </w:rPr>
              <w:t xml:space="preserve">). </w:t>
            </w:r>
            <w:r w:rsidR="00377E93" w:rsidRPr="00F96E38">
              <w:rPr>
                <w:spacing w:val="-2"/>
                <w:lang w:val="en-GB"/>
              </w:rPr>
              <w:t xml:space="preserve">Its dynamics however lost pace markedly during the year (from 9.9% in Q1 to 3.7% in Q4). </w:t>
            </w:r>
            <w:r w:rsidR="007C5E52" w:rsidRPr="00F96E38">
              <w:rPr>
                <w:spacing w:val="-2"/>
                <w:lang w:val="en-GB"/>
              </w:rPr>
              <w:t xml:space="preserve">The described slowdown however was common to majority of </w:t>
            </w:r>
            <w:r w:rsidR="00377E93" w:rsidRPr="00F96E38">
              <w:rPr>
                <w:spacing w:val="-2"/>
                <w:lang w:val="en-GB"/>
              </w:rPr>
              <w:t>significant</w:t>
            </w:r>
            <w:r w:rsidR="007C5E52" w:rsidRPr="00F96E38">
              <w:rPr>
                <w:spacing w:val="-2"/>
                <w:lang w:val="en-GB"/>
              </w:rPr>
              <w:t xml:space="preserve"> business partners. </w:t>
            </w:r>
            <w:r w:rsidR="00377E93" w:rsidRPr="00F96E38">
              <w:rPr>
                <w:spacing w:val="-2"/>
                <w:lang w:val="en-GB"/>
              </w:rPr>
              <w:t xml:space="preserve">The value of exports to Poland </w:t>
            </w:r>
            <w:r w:rsidR="00D41320" w:rsidRPr="00F96E38">
              <w:rPr>
                <w:spacing w:val="-2"/>
                <w:lang w:val="en-GB"/>
              </w:rPr>
              <w:t>(9</w:t>
            </w:r>
            <w:r w:rsidR="00377E93" w:rsidRPr="00F96E38">
              <w:rPr>
                <w:spacing w:val="-2"/>
                <w:lang w:val="en-GB"/>
              </w:rPr>
              <w:t>.</w:t>
            </w:r>
            <w:r w:rsidR="00D41320" w:rsidRPr="00F96E38">
              <w:rPr>
                <w:spacing w:val="-2"/>
                <w:lang w:val="en-GB"/>
              </w:rPr>
              <w:t>4%, +19</w:t>
            </w:r>
            <w:r w:rsidR="00377E93" w:rsidRPr="00F96E38">
              <w:rPr>
                <w:spacing w:val="-2"/>
                <w:lang w:val="en-GB"/>
              </w:rPr>
              <w:t>.</w:t>
            </w:r>
            <w:r w:rsidR="00D41320" w:rsidRPr="00F96E38">
              <w:rPr>
                <w:spacing w:val="-2"/>
                <w:lang w:val="en-GB"/>
              </w:rPr>
              <w:t>1</w:t>
            </w:r>
            <w:r w:rsidR="003D1FA0" w:rsidRPr="00F96E38">
              <w:rPr>
                <w:spacing w:val="-2"/>
                <w:lang w:val="en-GB"/>
              </w:rPr>
              <w:t> </w:t>
            </w:r>
            <w:r w:rsidR="00377E93" w:rsidRPr="00F96E38">
              <w:rPr>
                <w:spacing w:val="-2"/>
                <w:lang w:val="en-GB"/>
              </w:rPr>
              <w:t>bn</w:t>
            </w:r>
            <w:r w:rsidR="00D41320" w:rsidRPr="00F96E38">
              <w:rPr>
                <w:spacing w:val="-2"/>
                <w:lang w:val="en-GB"/>
              </w:rPr>
              <w:t xml:space="preserve">), </w:t>
            </w:r>
            <w:r w:rsidR="00527F5A" w:rsidRPr="00F96E38">
              <w:rPr>
                <w:spacing w:val="-2"/>
                <w:lang w:val="en-GB"/>
              </w:rPr>
              <w:t xml:space="preserve">Austria </w:t>
            </w:r>
            <w:r w:rsidR="00D41320" w:rsidRPr="00F96E38">
              <w:rPr>
                <w:spacing w:val="-2"/>
                <w:lang w:val="en-GB"/>
              </w:rPr>
              <w:t>(9</w:t>
            </w:r>
            <w:r w:rsidR="00527F5A" w:rsidRPr="00F96E38">
              <w:rPr>
                <w:spacing w:val="-2"/>
                <w:lang w:val="en-GB"/>
              </w:rPr>
              <w:t>.</w:t>
            </w:r>
            <w:r w:rsidR="00D41320" w:rsidRPr="00F96E38">
              <w:rPr>
                <w:spacing w:val="-2"/>
                <w:lang w:val="en-GB"/>
              </w:rPr>
              <w:t>9%, +13</w:t>
            </w:r>
            <w:r w:rsidR="00527F5A" w:rsidRPr="00F96E38">
              <w:rPr>
                <w:spacing w:val="-2"/>
                <w:lang w:val="en-GB"/>
              </w:rPr>
              <w:t>.</w:t>
            </w:r>
            <w:r w:rsidR="00D41320" w:rsidRPr="00F96E38">
              <w:rPr>
                <w:spacing w:val="-2"/>
                <w:lang w:val="en-GB"/>
              </w:rPr>
              <w:t xml:space="preserve">7 </w:t>
            </w:r>
            <w:r w:rsidR="00527F5A" w:rsidRPr="00F96E38">
              <w:rPr>
                <w:spacing w:val="-2"/>
                <w:lang w:val="en-GB"/>
              </w:rPr>
              <w:t>bn</w:t>
            </w:r>
            <w:r w:rsidR="00D41320" w:rsidRPr="00F96E38">
              <w:rPr>
                <w:spacing w:val="-2"/>
                <w:lang w:val="en-GB"/>
              </w:rPr>
              <w:t>) a</w:t>
            </w:r>
            <w:r w:rsidR="00527F5A" w:rsidRPr="00F96E38">
              <w:rPr>
                <w:spacing w:val="-2"/>
                <w:lang w:val="en-GB"/>
              </w:rPr>
              <w:t xml:space="preserve">nd France </w:t>
            </w:r>
            <w:r w:rsidR="00D41320" w:rsidRPr="00F96E38">
              <w:rPr>
                <w:spacing w:val="-2"/>
                <w:lang w:val="en-GB"/>
              </w:rPr>
              <w:t>(7</w:t>
            </w:r>
            <w:r w:rsidR="00527F5A" w:rsidRPr="00F96E38">
              <w:rPr>
                <w:spacing w:val="-2"/>
                <w:lang w:val="en-GB"/>
              </w:rPr>
              <w:t>.</w:t>
            </w:r>
            <w:r w:rsidR="00D41320" w:rsidRPr="00F96E38">
              <w:rPr>
                <w:spacing w:val="-2"/>
                <w:lang w:val="en-GB"/>
              </w:rPr>
              <w:t>9%, +13</w:t>
            </w:r>
            <w:r w:rsidR="00527F5A" w:rsidRPr="00F96E38">
              <w:rPr>
                <w:spacing w:val="-2"/>
                <w:lang w:val="en-GB"/>
              </w:rPr>
              <w:t>.</w:t>
            </w:r>
            <w:r w:rsidR="00D41320" w:rsidRPr="00F96E38">
              <w:rPr>
                <w:spacing w:val="-2"/>
                <w:lang w:val="en-GB"/>
              </w:rPr>
              <w:t>0 </w:t>
            </w:r>
            <w:r w:rsidR="00527F5A" w:rsidRPr="00F96E38">
              <w:rPr>
                <w:spacing w:val="-2"/>
                <w:lang w:val="en-GB"/>
              </w:rPr>
              <w:t>bn</w:t>
            </w:r>
            <w:r w:rsidR="00D41320" w:rsidRPr="00F96E38">
              <w:rPr>
                <w:spacing w:val="-2"/>
                <w:lang w:val="en-GB"/>
              </w:rPr>
              <w:t>)</w:t>
            </w:r>
            <w:r w:rsidR="00527F5A" w:rsidRPr="00F96E38">
              <w:rPr>
                <w:spacing w:val="-2"/>
                <w:lang w:val="en-GB"/>
              </w:rPr>
              <w:t xml:space="preserve"> also recorded marked increase in 2017</w:t>
            </w:r>
            <w:r w:rsidR="00D41320" w:rsidRPr="00F96E38">
              <w:rPr>
                <w:spacing w:val="-2"/>
                <w:lang w:val="en-GB"/>
              </w:rPr>
              <w:t xml:space="preserve">. </w:t>
            </w:r>
            <w:r w:rsidR="00E71C3A" w:rsidRPr="00F96E38">
              <w:rPr>
                <w:spacing w:val="-2"/>
                <w:lang w:val="en-GB"/>
              </w:rPr>
              <w:t xml:space="preserve">The share of export into these countries also moderately </w:t>
            </w:r>
            <w:r w:rsidR="00D41320" w:rsidRPr="00F96E38">
              <w:rPr>
                <w:spacing w:val="-2"/>
                <w:lang w:val="en-GB"/>
              </w:rPr>
              <w:t>(</w:t>
            </w:r>
            <w:r w:rsidR="00E71C3A" w:rsidRPr="00F96E38">
              <w:rPr>
                <w:spacing w:val="-2"/>
                <w:lang w:val="en-GB"/>
              </w:rPr>
              <w:t xml:space="preserve">within the order of tenths of </w:t>
            </w:r>
            <w:r w:rsidR="0030607B" w:rsidRPr="00F96E38">
              <w:rPr>
                <w:spacing w:val="-2"/>
                <w:lang w:val="en-GB"/>
              </w:rPr>
              <w:t>p.p.</w:t>
            </w:r>
            <w:r w:rsidR="00D41320" w:rsidRPr="00F96E38">
              <w:rPr>
                <w:spacing w:val="-2"/>
                <w:lang w:val="en-GB"/>
              </w:rPr>
              <w:t xml:space="preserve">) </w:t>
            </w:r>
            <w:r w:rsidR="00163F4D" w:rsidRPr="00F96E38">
              <w:rPr>
                <w:spacing w:val="-2"/>
                <w:lang w:val="en-GB"/>
              </w:rPr>
              <w:t xml:space="preserve">increased. </w:t>
            </w:r>
            <w:r w:rsidR="00E71C3A" w:rsidRPr="00F96E38">
              <w:rPr>
                <w:spacing w:val="-2"/>
                <w:lang w:val="en-GB"/>
              </w:rPr>
              <w:t xml:space="preserve">On the contrary, export to Slovakia observed a fall </w:t>
            </w:r>
            <w:r w:rsidR="00D41320" w:rsidRPr="00F96E38">
              <w:rPr>
                <w:spacing w:val="-2"/>
                <w:lang w:val="en-GB"/>
              </w:rPr>
              <w:t>(</w:t>
            </w:r>
            <w:r w:rsidR="00044913" w:rsidRPr="00F96E38">
              <w:rPr>
                <w:spacing w:val="-2"/>
                <w:lang w:val="en-GB"/>
              </w:rPr>
              <w:t>-</w:t>
            </w:r>
            <w:r w:rsidR="00D41320" w:rsidRPr="00F96E38">
              <w:rPr>
                <w:spacing w:val="-2"/>
                <w:lang w:val="en-GB"/>
              </w:rPr>
              <w:t>2</w:t>
            </w:r>
            <w:r w:rsidR="00E71C3A" w:rsidRPr="00F96E38">
              <w:rPr>
                <w:spacing w:val="-2"/>
                <w:lang w:val="en-GB"/>
              </w:rPr>
              <w:t>.</w:t>
            </w:r>
            <w:r w:rsidR="00D41320" w:rsidRPr="00F96E38">
              <w:rPr>
                <w:spacing w:val="-2"/>
                <w:lang w:val="en-GB"/>
              </w:rPr>
              <w:t xml:space="preserve">2%, </w:t>
            </w:r>
            <w:r w:rsidR="00044913" w:rsidRPr="00F96E38">
              <w:rPr>
                <w:spacing w:val="-2"/>
                <w:lang w:val="en-GB"/>
              </w:rPr>
              <w:t>-</w:t>
            </w:r>
            <w:r w:rsidR="00D41320" w:rsidRPr="00F96E38">
              <w:rPr>
                <w:spacing w:val="-2"/>
                <w:lang w:val="en-GB"/>
              </w:rPr>
              <w:t>7</w:t>
            </w:r>
            <w:r w:rsidR="00E71C3A" w:rsidRPr="00F96E38">
              <w:rPr>
                <w:spacing w:val="-2"/>
                <w:lang w:val="en-GB"/>
              </w:rPr>
              <w:t>.</w:t>
            </w:r>
            <w:r w:rsidR="00D41320" w:rsidRPr="00F96E38">
              <w:rPr>
                <w:spacing w:val="-2"/>
                <w:lang w:val="en-GB"/>
              </w:rPr>
              <w:t>0</w:t>
            </w:r>
            <w:r w:rsidR="003D1FA0" w:rsidRPr="00F96E38">
              <w:rPr>
                <w:spacing w:val="-2"/>
                <w:lang w:val="en-GB"/>
              </w:rPr>
              <w:t> </w:t>
            </w:r>
            <w:r w:rsidR="00E71C3A" w:rsidRPr="00F96E38">
              <w:rPr>
                <w:spacing w:val="-2"/>
                <w:lang w:val="en-GB"/>
              </w:rPr>
              <w:t>CZK bn</w:t>
            </w:r>
            <w:r w:rsidR="00D41320" w:rsidRPr="00F96E38">
              <w:rPr>
                <w:spacing w:val="-2"/>
                <w:lang w:val="en-GB"/>
              </w:rPr>
              <w:t xml:space="preserve">). </w:t>
            </w:r>
            <w:r w:rsidR="00E71C3A" w:rsidRPr="00F96E38">
              <w:rPr>
                <w:spacing w:val="-2"/>
                <w:lang w:val="en-GB"/>
              </w:rPr>
              <w:t xml:space="preserve">Export to the Great Britain also mildly declined </w:t>
            </w:r>
            <w:r w:rsidR="00D41320" w:rsidRPr="00F96E38">
              <w:rPr>
                <w:spacing w:val="-2"/>
                <w:lang w:val="en-GB"/>
              </w:rPr>
              <w:t>(</w:t>
            </w:r>
            <w:r w:rsidR="00044913" w:rsidRPr="00F96E38">
              <w:rPr>
                <w:spacing w:val="-2"/>
                <w:lang w:val="en-GB"/>
              </w:rPr>
              <w:t>-</w:t>
            </w:r>
            <w:r w:rsidR="00D41320" w:rsidRPr="00F96E38">
              <w:rPr>
                <w:spacing w:val="-2"/>
                <w:lang w:val="en-GB"/>
              </w:rPr>
              <w:t>0</w:t>
            </w:r>
            <w:r w:rsidR="00E71C3A" w:rsidRPr="00F96E38">
              <w:rPr>
                <w:spacing w:val="-2"/>
                <w:lang w:val="en-GB"/>
              </w:rPr>
              <w:t>.</w:t>
            </w:r>
            <w:r w:rsidR="00D41320" w:rsidRPr="00F96E38">
              <w:rPr>
                <w:spacing w:val="-2"/>
                <w:lang w:val="en-GB"/>
              </w:rPr>
              <w:t>7%) a</w:t>
            </w:r>
            <w:r w:rsidR="009F07B5" w:rsidRPr="00F96E38">
              <w:rPr>
                <w:spacing w:val="-2"/>
                <w:lang w:val="en-GB"/>
              </w:rPr>
              <w:t xml:space="preserve">nd its share on the total Czech exports fell below </w:t>
            </w:r>
            <w:r w:rsidR="00D41320" w:rsidRPr="00F96E38">
              <w:rPr>
                <w:spacing w:val="-2"/>
                <w:lang w:val="en-GB"/>
              </w:rPr>
              <w:t xml:space="preserve">5%. </w:t>
            </w:r>
            <w:r w:rsidR="009F07B5" w:rsidRPr="00F96E38">
              <w:rPr>
                <w:spacing w:val="-2"/>
                <w:lang w:val="en-GB"/>
              </w:rPr>
              <w:t xml:space="preserve">Exports to China recorded exceptionally high increase in 2017 </w:t>
            </w:r>
            <w:r w:rsidR="00D41320" w:rsidRPr="00F96E38">
              <w:rPr>
                <w:spacing w:val="-2"/>
                <w:lang w:val="en-GB"/>
              </w:rPr>
              <w:t>(+5</w:t>
            </w:r>
            <w:r w:rsidR="009F07B5" w:rsidRPr="00F96E38">
              <w:rPr>
                <w:spacing w:val="-2"/>
                <w:lang w:val="en-GB"/>
              </w:rPr>
              <w:t>.</w:t>
            </w:r>
            <w:r w:rsidR="00D41320" w:rsidRPr="00F96E38">
              <w:rPr>
                <w:spacing w:val="-2"/>
                <w:lang w:val="en-GB"/>
              </w:rPr>
              <w:t xml:space="preserve">7 </w:t>
            </w:r>
            <w:r w:rsidR="009F07B5" w:rsidRPr="00F96E38">
              <w:rPr>
                <w:spacing w:val="-2"/>
                <w:lang w:val="en-GB"/>
              </w:rPr>
              <w:t>bn</w:t>
            </w:r>
            <w:r w:rsidR="00D41320" w:rsidRPr="00F96E38">
              <w:rPr>
                <w:spacing w:val="-2"/>
                <w:lang w:val="en-GB"/>
              </w:rPr>
              <w:t>, 16</w:t>
            </w:r>
            <w:r w:rsidR="009F07B5" w:rsidRPr="00F96E38">
              <w:rPr>
                <w:spacing w:val="-2"/>
                <w:lang w:val="en-GB"/>
              </w:rPr>
              <w:t>.</w:t>
            </w:r>
            <w:r w:rsidR="00D41320" w:rsidRPr="00F96E38">
              <w:rPr>
                <w:spacing w:val="-2"/>
                <w:lang w:val="en-GB"/>
              </w:rPr>
              <w:t xml:space="preserve">0%). </w:t>
            </w:r>
            <w:r w:rsidR="009F07B5" w:rsidRPr="00F96E38">
              <w:rPr>
                <w:spacing w:val="-2"/>
                <w:lang w:val="en-GB"/>
              </w:rPr>
              <w:t xml:space="preserve">As a result, the proportion of China on the Czech exports increased to </w:t>
            </w:r>
            <w:r w:rsidR="00D41320" w:rsidRPr="00F96E38">
              <w:rPr>
                <w:spacing w:val="-2"/>
                <w:lang w:val="en-GB"/>
              </w:rPr>
              <w:t>1</w:t>
            </w:r>
            <w:r w:rsidR="009F07B5" w:rsidRPr="00F96E38">
              <w:rPr>
                <w:spacing w:val="-2"/>
                <w:lang w:val="en-GB"/>
              </w:rPr>
              <w:t>.</w:t>
            </w:r>
            <w:r w:rsidR="00D41320" w:rsidRPr="00F96E38">
              <w:rPr>
                <w:spacing w:val="-2"/>
                <w:lang w:val="en-GB"/>
              </w:rPr>
              <w:t xml:space="preserve">2%. </w:t>
            </w:r>
            <w:r w:rsidR="004076EE" w:rsidRPr="00F96E38">
              <w:rPr>
                <w:spacing w:val="-2"/>
                <w:lang w:val="en-GB"/>
              </w:rPr>
              <w:t xml:space="preserve">Similarly, also the exports to Russia grew </w:t>
            </w:r>
            <w:r w:rsidR="00D41320" w:rsidRPr="00F96E38">
              <w:rPr>
                <w:spacing w:val="-2"/>
                <w:lang w:val="en-GB"/>
              </w:rPr>
              <w:t>(+5</w:t>
            </w:r>
            <w:r w:rsidR="004076EE" w:rsidRPr="00F96E38">
              <w:rPr>
                <w:spacing w:val="-2"/>
                <w:lang w:val="en-GB"/>
              </w:rPr>
              <w:t>.</w:t>
            </w:r>
            <w:r w:rsidR="00D41320" w:rsidRPr="00F96E38">
              <w:rPr>
                <w:spacing w:val="-2"/>
                <w:lang w:val="en-GB"/>
              </w:rPr>
              <w:t>9 </w:t>
            </w:r>
            <w:r w:rsidR="004076EE" w:rsidRPr="00F96E38">
              <w:rPr>
                <w:spacing w:val="-2"/>
                <w:lang w:val="en-GB"/>
              </w:rPr>
              <w:t>bn</w:t>
            </w:r>
            <w:r w:rsidR="00D41320" w:rsidRPr="00F96E38">
              <w:rPr>
                <w:spacing w:val="-2"/>
                <w:lang w:val="en-GB"/>
              </w:rPr>
              <w:t>, 9</w:t>
            </w:r>
            <w:r w:rsidR="004076EE" w:rsidRPr="00F96E38">
              <w:rPr>
                <w:spacing w:val="-2"/>
                <w:lang w:val="en-GB"/>
              </w:rPr>
              <w:t>.</w:t>
            </w:r>
            <w:r w:rsidR="00D41320" w:rsidRPr="00F96E38">
              <w:rPr>
                <w:spacing w:val="-2"/>
                <w:lang w:val="en-GB"/>
              </w:rPr>
              <w:t xml:space="preserve">4%). </w:t>
            </w:r>
            <w:r w:rsidR="004076EE" w:rsidRPr="00F96E38">
              <w:rPr>
                <w:spacing w:val="-2"/>
                <w:lang w:val="en-GB"/>
              </w:rPr>
              <w:t xml:space="preserve">In the context of the long-term development however it depicted only a small correction, the value of exports still does not attain the level from years </w:t>
            </w:r>
            <w:r w:rsidR="00D41320" w:rsidRPr="00F96E38">
              <w:rPr>
                <w:spacing w:val="-2"/>
                <w:lang w:val="en-GB"/>
              </w:rPr>
              <w:t>2012–2014.</w:t>
            </w:r>
          </w:p>
          <w:p w:rsidR="00D41320" w:rsidRPr="00F96E38" w:rsidRDefault="00D41320" w:rsidP="006E4368">
            <w:pPr>
              <w:pStyle w:val="Textpoznpodarou"/>
              <w:jc w:val="both"/>
              <w:rPr>
                <w:spacing w:val="-2"/>
                <w:sz w:val="16"/>
                <w:szCs w:val="16"/>
                <w:lang w:val="en-GB"/>
              </w:rPr>
            </w:pPr>
          </w:p>
        </w:tc>
      </w:tr>
      <w:tr w:rsidR="00D41320" w:rsidRPr="00A74192" w:rsidTr="009B0676">
        <w:tc>
          <w:tcPr>
            <w:tcW w:w="1015" w:type="pct"/>
          </w:tcPr>
          <w:p w:rsidR="00D41320" w:rsidRPr="00636A55" w:rsidRDefault="00636A55" w:rsidP="006E4368">
            <w:pPr>
              <w:spacing w:line="240" w:lineRule="auto"/>
              <w:rPr>
                <w:sz w:val="16"/>
                <w:szCs w:val="16"/>
                <w:lang w:val="en-GB"/>
              </w:rPr>
            </w:pPr>
            <w:r w:rsidRPr="00636A55">
              <w:rPr>
                <w:sz w:val="16"/>
                <w:szCs w:val="16"/>
                <w:lang w:val="en-GB"/>
              </w:rPr>
              <w:t>Main export articles – motor vehicles, machinery and equipment and electrical appliances supported the growth the most.</w:t>
            </w:r>
          </w:p>
        </w:tc>
        <w:tc>
          <w:tcPr>
            <w:tcW w:w="144" w:type="pct"/>
          </w:tcPr>
          <w:p w:rsidR="00D41320" w:rsidRPr="00636A55" w:rsidRDefault="00D41320" w:rsidP="006E4368">
            <w:pPr>
              <w:pStyle w:val="Textpoznpodarou"/>
              <w:jc w:val="both"/>
              <w:rPr>
                <w:highlight w:val="yellow"/>
                <w:lang w:val="en-GB"/>
              </w:rPr>
            </w:pPr>
          </w:p>
        </w:tc>
        <w:tc>
          <w:tcPr>
            <w:tcW w:w="3841" w:type="pct"/>
            <w:gridSpan w:val="4"/>
          </w:tcPr>
          <w:p w:rsidR="00D41320" w:rsidRPr="00F96E38" w:rsidRDefault="00B77DC3" w:rsidP="006E4368">
            <w:pPr>
              <w:pStyle w:val="Textpoznpodarou"/>
              <w:jc w:val="both"/>
              <w:rPr>
                <w:spacing w:val="-2"/>
                <w:sz w:val="16"/>
                <w:szCs w:val="16"/>
                <w:lang w:val="en-GB"/>
              </w:rPr>
            </w:pPr>
            <w:r w:rsidRPr="00F96E38">
              <w:rPr>
                <w:spacing w:val="-2"/>
                <w:lang w:val="en-GB"/>
              </w:rPr>
              <w:t xml:space="preserve">Year </w:t>
            </w:r>
            <w:r w:rsidR="00D41320" w:rsidRPr="00F96E38">
              <w:rPr>
                <w:spacing w:val="-2"/>
                <w:lang w:val="en-GB"/>
              </w:rPr>
              <w:t xml:space="preserve">2017 </w:t>
            </w:r>
            <w:r w:rsidRPr="00F96E38">
              <w:rPr>
                <w:spacing w:val="-2"/>
                <w:lang w:val="en-GB"/>
              </w:rPr>
              <w:t xml:space="preserve">did not alter anything on the position of motor vehicles as a key product in the structure of the Czech exports. Total value of exports of motor vehicles only tightly did not hit </w:t>
            </w:r>
            <w:r w:rsidR="00D41320" w:rsidRPr="00F96E38">
              <w:rPr>
                <w:spacing w:val="-2"/>
                <w:lang w:val="en-GB"/>
              </w:rPr>
              <w:t xml:space="preserve">1 000 </w:t>
            </w:r>
            <w:r w:rsidRPr="00F96E38">
              <w:rPr>
                <w:spacing w:val="-2"/>
                <w:lang w:val="en-GB"/>
              </w:rPr>
              <w:t xml:space="preserve">CZK bn </w:t>
            </w:r>
            <w:r w:rsidR="00D41320" w:rsidRPr="00F96E38">
              <w:rPr>
                <w:spacing w:val="-2"/>
                <w:lang w:val="en-GB"/>
              </w:rPr>
              <w:t>(995</w:t>
            </w:r>
            <w:r w:rsidRPr="00F96E38">
              <w:rPr>
                <w:spacing w:val="-2"/>
                <w:lang w:val="en-GB"/>
              </w:rPr>
              <w:t>.</w:t>
            </w:r>
            <w:r w:rsidR="00D41320" w:rsidRPr="00F96E38">
              <w:rPr>
                <w:spacing w:val="-2"/>
                <w:lang w:val="en-GB"/>
              </w:rPr>
              <w:t xml:space="preserve">1 </w:t>
            </w:r>
            <w:r w:rsidRPr="00F96E38">
              <w:rPr>
                <w:spacing w:val="-2"/>
                <w:lang w:val="en-GB"/>
              </w:rPr>
              <w:t>bn</w:t>
            </w:r>
            <w:r w:rsidR="00D41320" w:rsidRPr="00F96E38">
              <w:rPr>
                <w:spacing w:val="-2"/>
                <w:lang w:val="en-GB"/>
              </w:rPr>
              <w:t>) a</w:t>
            </w:r>
            <w:r w:rsidRPr="00F96E38">
              <w:rPr>
                <w:spacing w:val="-2"/>
                <w:lang w:val="en-GB"/>
              </w:rPr>
              <w:t xml:space="preserve">nd increased year-on-year by </w:t>
            </w:r>
            <w:r w:rsidR="00D41320" w:rsidRPr="00F96E38">
              <w:rPr>
                <w:spacing w:val="-2"/>
                <w:lang w:val="en-GB"/>
              </w:rPr>
              <w:t>71</w:t>
            </w:r>
            <w:r w:rsidRPr="00F96E38">
              <w:rPr>
                <w:spacing w:val="-2"/>
                <w:lang w:val="en-GB"/>
              </w:rPr>
              <w:t>.</w:t>
            </w:r>
            <w:r w:rsidR="00D41320" w:rsidRPr="00F96E38">
              <w:rPr>
                <w:spacing w:val="-2"/>
                <w:lang w:val="en-GB"/>
              </w:rPr>
              <w:t xml:space="preserve">4 </w:t>
            </w:r>
            <w:r w:rsidRPr="00F96E38">
              <w:rPr>
                <w:spacing w:val="-2"/>
                <w:lang w:val="en-GB"/>
              </w:rPr>
              <w:t xml:space="preserve">bn </w:t>
            </w:r>
            <w:r w:rsidR="00D41320" w:rsidRPr="00F96E38">
              <w:rPr>
                <w:spacing w:val="-2"/>
                <w:lang w:val="en-GB"/>
              </w:rPr>
              <w:t>(7</w:t>
            </w:r>
            <w:r w:rsidRPr="00F96E38">
              <w:rPr>
                <w:spacing w:val="-2"/>
                <w:lang w:val="en-GB"/>
              </w:rPr>
              <w:t>.</w:t>
            </w:r>
            <w:r w:rsidR="00D41320" w:rsidRPr="00F96E38">
              <w:rPr>
                <w:spacing w:val="-2"/>
                <w:lang w:val="en-GB"/>
              </w:rPr>
              <w:t xml:space="preserve">7%). </w:t>
            </w:r>
            <w:r w:rsidRPr="00F96E38">
              <w:rPr>
                <w:spacing w:val="-2"/>
                <w:lang w:val="en-GB"/>
              </w:rPr>
              <w:t xml:space="preserve">Motor vehicles formed </w:t>
            </w:r>
            <w:r w:rsidR="00D41320" w:rsidRPr="00F96E38">
              <w:rPr>
                <w:spacing w:val="-2"/>
                <w:lang w:val="en-GB"/>
              </w:rPr>
              <w:t>28</w:t>
            </w:r>
            <w:r w:rsidRPr="00F96E38">
              <w:rPr>
                <w:spacing w:val="-2"/>
                <w:lang w:val="en-GB"/>
              </w:rPr>
              <w:t>.</w:t>
            </w:r>
            <w:r w:rsidR="00D41320" w:rsidRPr="00F96E38">
              <w:rPr>
                <w:spacing w:val="-2"/>
                <w:lang w:val="en-GB"/>
              </w:rPr>
              <w:t xml:space="preserve">5% </w:t>
            </w:r>
            <w:r w:rsidRPr="00F96E38">
              <w:rPr>
                <w:spacing w:val="-2"/>
                <w:lang w:val="en-GB"/>
              </w:rPr>
              <w:t xml:space="preserve">of export last year. Exporters of machinery and equipment also experienced a favourable year </w:t>
            </w:r>
            <w:r w:rsidR="00D41320" w:rsidRPr="00F96E38">
              <w:rPr>
                <w:spacing w:val="-2"/>
                <w:lang w:val="en-GB"/>
              </w:rPr>
              <w:t>(</w:t>
            </w:r>
            <w:r w:rsidRPr="00F96E38">
              <w:rPr>
                <w:spacing w:val="-2"/>
                <w:lang w:val="en-GB"/>
              </w:rPr>
              <w:t xml:space="preserve">growth of </w:t>
            </w:r>
            <w:r w:rsidR="00D41320" w:rsidRPr="00F96E38">
              <w:rPr>
                <w:spacing w:val="-2"/>
                <w:lang w:val="en-GB"/>
              </w:rPr>
              <w:t>27</w:t>
            </w:r>
            <w:r w:rsidRPr="00F96E38">
              <w:rPr>
                <w:spacing w:val="-2"/>
                <w:lang w:val="en-GB"/>
              </w:rPr>
              <w:t>.</w:t>
            </w:r>
            <w:r w:rsidR="00D41320" w:rsidRPr="00F96E38">
              <w:rPr>
                <w:spacing w:val="-2"/>
                <w:lang w:val="en-GB"/>
              </w:rPr>
              <w:t xml:space="preserve">3 </w:t>
            </w:r>
            <w:r w:rsidRPr="00F96E38">
              <w:rPr>
                <w:spacing w:val="-2"/>
                <w:lang w:val="en-GB"/>
              </w:rPr>
              <w:t>CZK bn</w:t>
            </w:r>
            <w:r w:rsidR="00D41320" w:rsidRPr="00F96E38">
              <w:rPr>
                <w:spacing w:val="-2"/>
                <w:lang w:val="en-GB"/>
              </w:rPr>
              <w:t>, 7</w:t>
            </w:r>
            <w:r w:rsidRPr="00F96E38">
              <w:rPr>
                <w:spacing w:val="-2"/>
                <w:lang w:val="en-GB"/>
              </w:rPr>
              <w:t>.</w:t>
            </w:r>
            <w:r w:rsidR="00D41320" w:rsidRPr="00F96E38">
              <w:rPr>
                <w:spacing w:val="-2"/>
                <w:lang w:val="en-GB"/>
              </w:rPr>
              <w:t>5%) a</w:t>
            </w:r>
            <w:r w:rsidRPr="00F96E38">
              <w:rPr>
                <w:spacing w:val="-2"/>
                <w:lang w:val="en-GB"/>
              </w:rPr>
              <w:t xml:space="preserve">nd electrical appliances </w:t>
            </w:r>
            <w:r w:rsidR="00D41320" w:rsidRPr="00F96E38">
              <w:rPr>
                <w:spacing w:val="-2"/>
                <w:lang w:val="en-GB"/>
              </w:rPr>
              <w:t>(+21</w:t>
            </w:r>
            <w:r w:rsidRPr="00F96E38">
              <w:rPr>
                <w:spacing w:val="-2"/>
                <w:lang w:val="en-GB"/>
              </w:rPr>
              <w:t>.</w:t>
            </w:r>
            <w:r w:rsidR="00D41320" w:rsidRPr="00F96E38">
              <w:rPr>
                <w:spacing w:val="-2"/>
                <w:lang w:val="en-GB"/>
              </w:rPr>
              <w:t xml:space="preserve">8 </w:t>
            </w:r>
            <w:r w:rsidRPr="00F96E38">
              <w:rPr>
                <w:spacing w:val="-2"/>
                <w:lang w:val="en-GB"/>
              </w:rPr>
              <w:t>b</w:t>
            </w:r>
            <w:r w:rsidR="00654E14" w:rsidRPr="00F96E38">
              <w:rPr>
                <w:spacing w:val="-2"/>
                <w:lang w:val="en-GB"/>
              </w:rPr>
              <w:t>n</w:t>
            </w:r>
            <w:r w:rsidR="00D41320" w:rsidRPr="00F96E38">
              <w:rPr>
                <w:spacing w:val="-2"/>
                <w:lang w:val="en-GB"/>
              </w:rPr>
              <w:t>, 8</w:t>
            </w:r>
            <w:r w:rsidRPr="00F96E38">
              <w:rPr>
                <w:spacing w:val="-2"/>
                <w:lang w:val="en-GB"/>
              </w:rPr>
              <w:t>.</w:t>
            </w:r>
            <w:r w:rsidR="00D41320" w:rsidRPr="00F96E38">
              <w:rPr>
                <w:spacing w:val="-2"/>
                <w:lang w:val="en-GB"/>
              </w:rPr>
              <w:t>0</w:t>
            </w:r>
            <w:r w:rsidRPr="00F96E38">
              <w:rPr>
                <w:spacing w:val="-2"/>
                <w:lang w:val="en-GB"/>
              </w:rPr>
              <w:t>%</w:t>
            </w:r>
            <w:r w:rsidR="00D41320" w:rsidRPr="00F96E38">
              <w:rPr>
                <w:spacing w:val="-2"/>
                <w:lang w:val="en-GB"/>
              </w:rPr>
              <w:t xml:space="preserve">). </w:t>
            </w:r>
            <w:r w:rsidR="00F06158" w:rsidRPr="00F96E38">
              <w:rPr>
                <w:spacing w:val="-2"/>
                <w:lang w:val="en-GB"/>
              </w:rPr>
              <w:t xml:space="preserve">The value of export of computers, electrical and optical equipment </w:t>
            </w:r>
            <w:r w:rsidR="00D41320" w:rsidRPr="00F96E38">
              <w:rPr>
                <w:spacing w:val="-2"/>
                <w:lang w:val="en-GB"/>
              </w:rPr>
              <w:t>(+10</w:t>
            </w:r>
            <w:r w:rsidR="00F06158" w:rsidRPr="00F96E38">
              <w:rPr>
                <w:spacing w:val="-2"/>
                <w:lang w:val="en-GB"/>
              </w:rPr>
              <w:t>.</w:t>
            </w:r>
            <w:r w:rsidR="00D41320" w:rsidRPr="00F96E38">
              <w:rPr>
                <w:spacing w:val="-2"/>
                <w:lang w:val="en-GB"/>
              </w:rPr>
              <w:t>8</w:t>
            </w:r>
            <w:r w:rsidR="008D51E9" w:rsidRPr="00F96E38">
              <w:rPr>
                <w:spacing w:val="-2"/>
                <w:lang w:val="en-GB"/>
              </w:rPr>
              <w:t> </w:t>
            </w:r>
            <w:r w:rsidR="00F06158" w:rsidRPr="00F96E38">
              <w:rPr>
                <w:spacing w:val="-2"/>
                <w:lang w:val="en-GB"/>
              </w:rPr>
              <w:t>CZK bn</w:t>
            </w:r>
            <w:r w:rsidR="00D41320" w:rsidRPr="00F96E38">
              <w:rPr>
                <w:spacing w:val="-2"/>
                <w:lang w:val="en-GB"/>
              </w:rPr>
              <w:t>, 3</w:t>
            </w:r>
            <w:r w:rsidR="00F06158" w:rsidRPr="00F96E38">
              <w:rPr>
                <w:spacing w:val="-2"/>
                <w:lang w:val="en-GB"/>
              </w:rPr>
              <w:t>.</w:t>
            </w:r>
            <w:r w:rsidR="00D41320" w:rsidRPr="00F96E38">
              <w:rPr>
                <w:spacing w:val="-2"/>
                <w:lang w:val="en-GB"/>
              </w:rPr>
              <w:t>6</w:t>
            </w:r>
            <w:r w:rsidR="008D51E9" w:rsidRPr="00F96E38">
              <w:rPr>
                <w:spacing w:val="-2"/>
                <w:lang w:val="en-GB"/>
              </w:rPr>
              <w:t>%)</w:t>
            </w:r>
            <w:r w:rsidR="00F06158" w:rsidRPr="00F96E38">
              <w:rPr>
                <w:spacing w:val="-2"/>
                <w:lang w:val="en-GB"/>
              </w:rPr>
              <w:t xml:space="preserve"> also grew mildly in comparison to year 2016</w:t>
            </w:r>
            <w:r w:rsidR="008D51E9" w:rsidRPr="00F96E38">
              <w:rPr>
                <w:spacing w:val="-2"/>
                <w:lang w:val="en-GB"/>
              </w:rPr>
              <w:t xml:space="preserve">, </w:t>
            </w:r>
            <w:r w:rsidR="00F06158" w:rsidRPr="00F96E38">
              <w:rPr>
                <w:spacing w:val="-2"/>
                <w:lang w:val="en-GB"/>
              </w:rPr>
              <w:t xml:space="preserve">the value of export of these goods </w:t>
            </w:r>
            <w:r w:rsidR="00D41320" w:rsidRPr="00F96E38">
              <w:rPr>
                <w:spacing w:val="-2"/>
                <w:lang w:val="en-GB"/>
              </w:rPr>
              <w:t>(309</w:t>
            </w:r>
            <w:r w:rsidR="00F06158" w:rsidRPr="00F96E38">
              <w:rPr>
                <w:spacing w:val="-2"/>
                <w:lang w:val="en-GB"/>
              </w:rPr>
              <w:t>.</w:t>
            </w:r>
            <w:r w:rsidR="00D41320" w:rsidRPr="00F96E38">
              <w:rPr>
                <w:spacing w:val="-2"/>
                <w:lang w:val="en-GB"/>
              </w:rPr>
              <w:t xml:space="preserve">2 </w:t>
            </w:r>
            <w:r w:rsidR="00F06158" w:rsidRPr="00F96E38">
              <w:rPr>
                <w:spacing w:val="-2"/>
                <w:lang w:val="en-GB"/>
              </w:rPr>
              <w:t>CZK bn</w:t>
            </w:r>
            <w:r w:rsidR="00D41320" w:rsidRPr="00F96E38">
              <w:rPr>
                <w:spacing w:val="-2"/>
                <w:lang w:val="en-GB"/>
              </w:rPr>
              <w:t xml:space="preserve">) </w:t>
            </w:r>
            <w:r w:rsidR="00F06158" w:rsidRPr="00F96E38">
              <w:rPr>
                <w:spacing w:val="-2"/>
                <w:lang w:val="en-GB"/>
              </w:rPr>
              <w:t xml:space="preserve">however did not exceed year </w:t>
            </w:r>
            <w:r w:rsidR="00D41320" w:rsidRPr="00F96E38">
              <w:rPr>
                <w:spacing w:val="-2"/>
                <w:lang w:val="en-GB"/>
              </w:rPr>
              <w:t xml:space="preserve">2015. </w:t>
            </w:r>
            <w:r w:rsidR="004A1160" w:rsidRPr="00F96E38">
              <w:rPr>
                <w:spacing w:val="-2"/>
                <w:lang w:val="en-GB"/>
              </w:rPr>
              <w:t xml:space="preserve">The value of chemical </w:t>
            </w:r>
            <w:r w:rsidR="004C0B46" w:rsidRPr="00F96E38">
              <w:rPr>
                <w:spacing w:val="-2"/>
                <w:lang w:val="en-GB"/>
              </w:rPr>
              <w:t xml:space="preserve">substances and </w:t>
            </w:r>
            <w:r w:rsidR="004A1160" w:rsidRPr="00F96E38">
              <w:rPr>
                <w:spacing w:val="-2"/>
                <w:lang w:val="en-GB"/>
              </w:rPr>
              <w:t xml:space="preserve">products again rose following two years of decreases </w:t>
            </w:r>
            <w:r w:rsidR="00D41320" w:rsidRPr="00F96E38">
              <w:rPr>
                <w:spacing w:val="-2"/>
                <w:lang w:val="en-GB"/>
              </w:rPr>
              <w:t>(+18</w:t>
            </w:r>
            <w:r w:rsidR="004A1160" w:rsidRPr="00F96E38">
              <w:rPr>
                <w:spacing w:val="-2"/>
                <w:lang w:val="en-GB"/>
              </w:rPr>
              <w:t>.</w:t>
            </w:r>
            <w:r w:rsidR="00D41320" w:rsidRPr="00F96E38">
              <w:rPr>
                <w:spacing w:val="-2"/>
                <w:lang w:val="en-GB"/>
              </w:rPr>
              <w:t>8</w:t>
            </w:r>
            <w:r w:rsidR="001D12FB" w:rsidRPr="00F96E38">
              <w:rPr>
                <w:spacing w:val="-2"/>
                <w:lang w:val="en-GB"/>
              </w:rPr>
              <w:t> </w:t>
            </w:r>
            <w:r w:rsidR="004A1160" w:rsidRPr="00F96E38">
              <w:rPr>
                <w:spacing w:val="-2"/>
                <w:lang w:val="en-GB"/>
              </w:rPr>
              <w:t>CZK bn</w:t>
            </w:r>
            <w:r w:rsidR="00D41320" w:rsidRPr="00F96E38">
              <w:rPr>
                <w:spacing w:val="-2"/>
                <w:lang w:val="en-GB"/>
              </w:rPr>
              <w:t>, 13</w:t>
            </w:r>
            <w:r w:rsidR="004A1160" w:rsidRPr="00F96E38">
              <w:rPr>
                <w:spacing w:val="-2"/>
                <w:lang w:val="en-GB"/>
              </w:rPr>
              <w:t>.</w:t>
            </w:r>
            <w:r w:rsidR="00D41320" w:rsidRPr="00F96E38">
              <w:rPr>
                <w:spacing w:val="-2"/>
                <w:lang w:val="en-GB"/>
              </w:rPr>
              <w:t xml:space="preserve">4%). </w:t>
            </w:r>
            <w:r w:rsidR="00D74278" w:rsidRPr="00F96E38">
              <w:rPr>
                <w:spacing w:val="-2"/>
                <w:lang w:val="en-GB"/>
              </w:rPr>
              <w:t>Following the enforced outage, this branch thus gradually recovers (export reached the value of 159.7 CZK bn, which is more than in years 2015 and 2016, year 2014 has not been exceeded yet).</w:t>
            </w:r>
          </w:p>
          <w:p w:rsidR="00D41320" w:rsidRPr="00F96E38" w:rsidRDefault="00D41320" w:rsidP="006E4368">
            <w:pPr>
              <w:pStyle w:val="Textpoznpodarou"/>
              <w:jc w:val="both"/>
              <w:rPr>
                <w:spacing w:val="-2"/>
                <w:sz w:val="16"/>
                <w:szCs w:val="16"/>
                <w:lang w:val="en-GB"/>
              </w:rPr>
            </w:pPr>
          </w:p>
        </w:tc>
      </w:tr>
      <w:tr w:rsidR="00D41320" w:rsidRPr="00A74192" w:rsidTr="009B0676">
        <w:tc>
          <w:tcPr>
            <w:tcW w:w="1015" w:type="pct"/>
          </w:tcPr>
          <w:p w:rsidR="00D41320" w:rsidRPr="00636A55" w:rsidRDefault="007C5E52" w:rsidP="007C5E52">
            <w:pPr>
              <w:spacing w:line="240" w:lineRule="auto"/>
              <w:rPr>
                <w:sz w:val="16"/>
                <w:szCs w:val="16"/>
                <w:lang w:val="en-GB"/>
              </w:rPr>
            </w:pPr>
            <w:r w:rsidRPr="00636A55">
              <w:rPr>
                <w:sz w:val="16"/>
                <w:szCs w:val="16"/>
                <w:lang w:val="en-GB"/>
              </w:rPr>
              <w:t xml:space="preserve">Price shifts also affected the import dynamics. </w:t>
            </w:r>
          </w:p>
        </w:tc>
        <w:tc>
          <w:tcPr>
            <w:tcW w:w="144" w:type="pct"/>
          </w:tcPr>
          <w:p w:rsidR="00D41320" w:rsidRPr="00636A55" w:rsidRDefault="00D41320" w:rsidP="006E4368">
            <w:pPr>
              <w:pStyle w:val="Textpoznpodarou"/>
              <w:jc w:val="both"/>
              <w:rPr>
                <w:highlight w:val="yellow"/>
                <w:lang w:val="en-GB"/>
              </w:rPr>
            </w:pPr>
          </w:p>
        </w:tc>
        <w:tc>
          <w:tcPr>
            <w:tcW w:w="3841" w:type="pct"/>
            <w:gridSpan w:val="4"/>
          </w:tcPr>
          <w:p w:rsidR="00D41320" w:rsidRPr="00636A55" w:rsidRDefault="007C5E52" w:rsidP="006E4368">
            <w:pPr>
              <w:pStyle w:val="Textpoznpodarou"/>
              <w:jc w:val="both"/>
              <w:rPr>
                <w:spacing w:val="-4"/>
                <w:sz w:val="16"/>
                <w:szCs w:val="16"/>
                <w:lang w:val="en-GB"/>
              </w:rPr>
            </w:pPr>
            <w:r w:rsidRPr="00636A55">
              <w:rPr>
                <w:spacing w:val="-4"/>
                <w:lang w:val="en-GB"/>
              </w:rPr>
              <w:t xml:space="preserve">The value of imports into the CR also grew in </w:t>
            </w:r>
            <w:r w:rsidR="00D41320" w:rsidRPr="00636A55">
              <w:rPr>
                <w:spacing w:val="-4"/>
                <w:lang w:val="en-GB"/>
              </w:rPr>
              <w:t>2017</w:t>
            </w:r>
            <w:r w:rsidRPr="00636A55">
              <w:rPr>
                <w:spacing w:val="-4"/>
                <w:lang w:val="en-GB"/>
              </w:rPr>
              <w:t xml:space="preserve">. It arrived at </w:t>
            </w:r>
            <w:r w:rsidR="00D41320" w:rsidRPr="00636A55">
              <w:rPr>
                <w:spacing w:val="-4"/>
                <w:lang w:val="en-GB"/>
              </w:rPr>
              <w:t>343</w:t>
            </w:r>
            <w:r w:rsidRPr="00636A55">
              <w:rPr>
                <w:spacing w:val="-4"/>
                <w:lang w:val="en-GB"/>
              </w:rPr>
              <w:t>.</w:t>
            </w:r>
            <w:r w:rsidR="00D41320" w:rsidRPr="00636A55">
              <w:rPr>
                <w:spacing w:val="-4"/>
                <w:lang w:val="en-GB"/>
              </w:rPr>
              <w:t xml:space="preserve">8 </w:t>
            </w:r>
            <w:r w:rsidRPr="00636A55">
              <w:rPr>
                <w:spacing w:val="-4"/>
                <w:lang w:val="en-GB"/>
              </w:rPr>
              <w:t xml:space="preserve">CZK bn and increased by </w:t>
            </w:r>
            <w:r w:rsidR="00D41320" w:rsidRPr="00636A55">
              <w:rPr>
                <w:spacing w:val="-4"/>
                <w:lang w:val="en-GB"/>
              </w:rPr>
              <w:t>208</w:t>
            </w:r>
            <w:r w:rsidRPr="00636A55">
              <w:rPr>
                <w:spacing w:val="-4"/>
                <w:lang w:val="en-GB"/>
              </w:rPr>
              <w:t>.</w:t>
            </w:r>
            <w:r w:rsidR="00D41320" w:rsidRPr="00636A55">
              <w:rPr>
                <w:spacing w:val="-4"/>
                <w:lang w:val="en-GB"/>
              </w:rPr>
              <w:t xml:space="preserve">3 </w:t>
            </w:r>
            <w:r w:rsidRPr="00636A55">
              <w:rPr>
                <w:spacing w:val="-4"/>
                <w:lang w:val="en-GB"/>
              </w:rPr>
              <w:t xml:space="preserve">bn </w:t>
            </w:r>
            <w:r w:rsidR="00D41320" w:rsidRPr="00636A55">
              <w:rPr>
                <w:spacing w:val="-4"/>
                <w:lang w:val="en-GB"/>
              </w:rPr>
              <w:t>(6</w:t>
            </w:r>
            <w:r w:rsidRPr="00636A55">
              <w:rPr>
                <w:spacing w:val="-4"/>
                <w:lang w:val="en-GB"/>
              </w:rPr>
              <w:t>.</w:t>
            </w:r>
            <w:r w:rsidR="00D41320" w:rsidRPr="00636A55">
              <w:rPr>
                <w:spacing w:val="-4"/>
                <w:lang w:val="en-GB"/>
              </w:rPr>
              <w:t>6%). Import t</w:t>
            </w:r>
            <w:r w:rsidRPr="00636A55">
              <w:rPr>
                <w:spacing w:val="-4"/>
                <w:lang w:val="en-GB"/>
              </w:rPr>
              <w:t xml:space="preserve">hus grew faster than export last year. </w:t>
            </w:r>
            <w:r w:rsidR="00C31D16" w:rsidRPr="00636A55">
              <w:rPr>
                <w:spacing w:val="-4"/>
                <w:lang w:val="en-GB"/>
              </w:rPr>
              <w:t xml:space="preserve">Raised prices of some materials presented a significant factor (oil and natural gas, basic metals). The </w:t>
            </w:r>
            <w:r w:rsidR="00D74278" w:rsidRPr="00636A55">
              <w:rPr>
                <w:spacing w:val="-4"/>
                <w:lang w:val="en-GB"/>
              </w:rPr>
              <w:t>Czech Republic</w:t>
            </w:r>
            <w:r w:rsidR="00C31D16" w:rsidRPr="00636A55">
              <w:rPr>
                <w:spacing w:val="-4"/>
                <w:lang w:val="en-GB"/>
              </w:rPr>
              <w:t xml:space="preserve"> more imports than exports these materials, thus the price shifts led to a higher growth of import. </w:t>
            </w:r>
            <w:r w:rsidR="00D74278" w:rsidRPr="00636A55">
              <w:rPr>
                <w:spacing w:val="-4"/>
                <w:lang w:val="en-GB"/>
              </w:rPr>
              <w:t>Similarly,</w:t>
            </w:r>
            <w:r w:rsidR="00C31D16" w:rsidRPr="00636A55">
              <w:rPr>
                <w:spacing w:val="-4"/>
                <w:lang w:val="en-GB"/>
              </w:rPr>
              <w:t xml:space="preserve"> to export, the year-on-year growth rate of imports attained the highest values in the first half of the year. In Q4, the </w:t>
            </w:r>
            <w:r w:rsidR="00C31D16" w:rsidRPr="00636A55">
              <w:rPr>
                <w:spacing w:val="-4"/>
                <w:lang w:val="en-GB"/>
              </w:rPr>
              <w:lastRenderedPageBreak/>
              <w:t xml:space="preserve">year-on-year increase of imports was </w:t>
            </w:r>
            <w:r w:rsidR="00D41320" w:rsidRPr="00636A55">
              <w:rPr>
                <w:spacing w:val="-4"/>
                <w:lang w:val="en-GB"/>
              </w:rPr>
              <w:t>4</w:t>
            </w:r>
            <w:r w:rsidR="00C31D16" w:rsidRPr="00636A55">
              <w:rPr>
                <w:spacing w:val="-4"/>
                <w:lang w:val="en-GB"/>
              </w:rPr>
              <w:t>.</w:t>
            </w:r>
            <w:r w:rsidR="00D41320" w:rsidRPr="00636A55">
              <w:rPr>
                <w:spacing w:val="-4"/>
                <w:lang w:val="en-GB"/>
              </w:rPr>
              <w:t>9%.</w:t>
            </w:r>
          </w:p>
          <w:p w:rsidR="00D41320" w:rsidRPr="00636A55" w:rsidRDefault="00D41320" w:rsidP="006E4368">
            <w:pPr>
              <w:pStyle w:val="Textpoznpodarou"/>
              <w:jc w:val="both"/>
              <w:rPr>
                <w:spacing w:val="-4"/>
                <w:sz w:val="16"/>
                <w:szCs w:val="16"/>
                <w:lang w:val="en-GB"/>
              </w:rPr>
            </w:pPr>
          </w:p>
        </w:tc>
      </w:tr>
      <w:tr w:rsidR="00D41320" w:rsidRPr="00A74192" w:rsidTr="009B0676">
        <w:tc>
          <w:tcPr>
            <w:tcW w:w="1015" w:type="pct"/>
          </w:tcPr>
          <w:p w:rsidR="00D41320" w:rsidRPr="006A7257" w:rsidRDefault="007C5E52" w:rsidP="007C5E52">
            <w:pPr>
              <w:spacing w:line="240" w:lineRule="auto"/>
              <w:rPr>
                <w:sz w:val="16"/>
                <w:szCs w:val="16"/>
                <w:lang w:val="en-GB"/>
              </w:rPr>
            </w:pPr>
            <w:r w:rsidRPr="006A7257">
              <w:rPr>
                <w:sz w:val="16"/>
                <w:szCs w:val="16"/>
                <w:lang w:val="en-GB"/>
              </w:rPr>
              <w:lastRenderedPageBreak/>
              <w:t xml:space="preserve">Imports from countries outside the EU sharply increased. </w:t>
            </w:r>
          </w:p>
        </w:tc>
        <w:tc>
          <w:tcPr>
            <w:tcW w:w="144" w:type="pct"/>
          </w:tcPr>
          <w:p w:rsidR="00D41320" w:rsidRPr="006A7257" w:rsidRDefault="00D41320" w:rsidP="006E4368">
            <w:pPr>
              <w:pStyle w:val="Textpoznpodarou"/>
              <w:jc w:val="both"/>
              <w:rPr>
                <w:highlight w:val="yellow"/>
                <w:lang w:val="en-GB"/>
              </w:rPr>
            </w:pPr>
          </w:p>
        </w:tc>
        <w:tc>
          <w:tcPr>
            <w:tcW w:w="3841" w:type="pct"/>
            <w:gridSpan w:val="4"/>
          </w:tcPr>
          <w:p w:rsidR="00D41320" w:rsidRPr="006A7257" w:rsidRDefault="001D4EEB" w:rsidP="006E4368">
            <w:pPr>
              <w:pStyle w:val="Textpoznpodarou"/>
              <w:jc w:val="both"/>
              <w:rPr>
                <w:spacing w:val="-4"/>
                <w:sz w:val="16"/>
                <w:szCs w:val="16"/>
                <w:lang w:val="en-GB"/>
              </w:rPr>
            </w:pPr>
            <w:r w:rsidRPr="006A7257">
              <w:rPr>
                <w:spacing w:val="-4"/>
                <w:lang w:val="en-GB"/>
              </w:rPr>
              <w:t xml:space="preserve">A more detailed view of the import structure </w:t>
            </w:r>
            <w:r w:rsidR="006A7257" w:rsidRPr="006A7257">
              <w:rPr>
                <w:spacing w:val="-4"/>
                <w:lang w:val="en-GB"/>
              </w:rPr>
              <w:t>further</w:t>
            </w:r>
            <w:r w:rsidRPr="006A7257">
              <w:rPr>
                <w:spacing w:val="-4"/>
                <w:lang w:val="en-GB"/>
              </w:rPr>
              <w:t xml:space="preserve"> illustrates especially the price changes, that occurred in 2017. </w:t>
            </w:r>
            <w:r w:rsidR="0084002E" w:rsidRPr="006A7257">
              <w:rPr>
                <w:spacing w:val="-4"/>
                <w:lang w:val="en-GB"/>
              </w:rPr>
              <w:t xml:space="preserve">The increase of imports from countries outside the EU reached </w:t>
            </w:r>
            <w:r w:rsidR="00D41320" w:rsidRPr="006A7257">
              <w:rPr>
                <w:spacing w:val="-4"/>
                <w:lang w:val="en-GB"/>
              </w:rPr>
              <w:t>11</w:t>
            </w:r>
            <w:r w:rsidR="0084002E" w:rsidRPr="006A7257">
              <w:rPr>
                <w:spacing w:val="-4"/>
                <w:lang w:val="en-GB"/>
              </w:rPr>
              <w:t>.</w:t>
            </w:r>
            <w:r w:rsidR="00D41320" w:rsidRPr="006A7257">
              <w:rPr>
                <w:spacing w:val="-4"/>
                <w:lang w:val="en-GB"/>
              </w:rPr>
              <w:t>1% (104</w:t>
            </w:r>
            <w:r w:rsidR="0084002E" w:rsidRPr="006A7257">
              <w:rPr>
                <w:spacing w:val="-4"/>
                <w:lang w:val="en-GB"/>
              </w:rPr>
              <w:t>.</w:t>
            </w:r>
            <w:r w:rsidR="00D41320" w:rsidRPr="006A7257">
              <w:rPr>
                <w:spacing w:val="-4"/>
                <w:lang w:val="en-GB"/>
              </w:rPr>
              <w:t>3</w:t>
            </w:r>
            <w:r w:rsidR="00D97AAD" w:rsidRPr="006A7257">
              <w:rPr>
                <w:spacing w:val="-4"/>
                <w:lang w:val="en-GB"/>
              </w:rPr>
              <w:t> </w:t>
            </w:r>
            <w:r w:rsidR="0084002E" w:rsidRPr="006A7257">
              <w:rPr>
                <w:spacing w:val="-4"/>
                <w:lang w:val="en-GB"/>
              </w:rPr>
              <w:t>CZ</w:t>
            </w:r>
            <w:r w:rsidR="00C86509">
              <w:rPr>
                <w:spacing w:val="-4"/>
                <w:lang w:val="en-GB"/>
              </w:rPr>
              <w:t>K</w:t>
            </w:r>
            <w:r w:rsidR="0084002E" w:rsidRPr="006A7257">
              <w:rPr>
                <w:spacing w:val="-4"/>
                <w:lang w:val="en-GB"/>
              </w:rPr>
              <w:t xml:space="preserve"> bn</w:t>
            </w:r>
            <w:r w:rsidR="00D41320" w:rsidRPr="006A7257">
              <w:rPr>
                <w:spacing w:val="-4"/>
                <w:lang w:val="en-GB"/>
              </w:rPr>
              <w:t>) a</w:t>
            </w:r>
            <w:r w:rsidR="0084002E" w:rsidRPr="006A7257">
              <w:rPr>
                <w:spacing w:val="-4"/>
                <w:lang w:val="en-GB"/>
              </w:rPr>
              <w:t xml:space="preserve">nd it nearly became equal to the absolute additions to the imports from the EU </w:t>
            </w:r>
            <w:r w:rsidR="00D41320" w:rsidRPr="006A7257">
              <w:rPr>
                <w:spacing w:val="-4"/>
                <w:lang w:val="en-GB"/>
              </w:rPr>
              <w:t>(4</w:t>
            </w:r>
            <w:r w:rsidR="0084002E" w:rsidRPr="006A7257">
              <w:rPr>
                <w:spacing w:val="-4"/>
                <w:lang w:val="en-GB"/>
              </w:rPr>
              <w:t>.</w:t>
            </w:r>
            <w:r w:rsidR="00D41320" w:rsidRPr="006A7257">
              <w:rPr>
                <w:spacing w:val="-4"/>
                <w:lang w:val="en-GB"/>
              </w:rPr>
              <w:t>9%, 105</w:t>
            </w:r>
            <w:r w:rsidR="0084002E" w:rsidRPr="006A7257">
              <w:rPr>
                <w:spacing w:val="-4"/>
                <w:lang w:val="en-GB"/>
              </w:rPr>
              <w:t>.</w:t>
            </w:r>
            <w:r w:rsidR="00D41320" w:rsidRPr="006A7257">
              <w:rPr>
                <w:spacing w:val="-4"/>
                <w:lang w:val="en-GB"/>
              </w:rPr>
              <w:t>4</w:t>
            </w:r>
            <w:r w:rsidR="00D97AAD" w:rsidRPr="006A7257">
              <w:rPr>
                <w:spacing w:val="-4"/>
                <w:lang w:val="en-GB"/>
              </w:rPr>
              <w:t> </w:t>
            </w:r>
            <w:r w:rsidR="0084002E" w:rsidRPr="006A7257">
              <w:rPr>
                <w:spacing w:val="-4"/>
                <w:lang w:val="en-GB"/>
              </w:rPr>
              <w:t>bn</w:t>
            </w:r>
            <w:r w:rsidR="00D41320" w:rsidRPr="006A7257">
              <w:rPr>
                <w:spacing w:val="-4"/>
                <w:lang w:val="en-GB"/>
              </w:rPr>
              <w:t xml:space="preserve">). </w:t>
            </w:r>
            <w:r w:rsidR="0084002E" w:rsidRPr="006A7257">
              <w:rPr>
                <w:spacing w:val="-4"/>
                <w:lang w:val="en-GB"/>
              </w:rPr>
              <w:t xml:space="preserve">The rise of prices of oil and natural gas is the most apparent on the trade with Russia. </w:t>
            </w:r>
            <w:r w:rsidR="00BB51AF">
              <w:rPr>
                <w:spacing w:val="-4"/>
                <w:lang w:val="en-GB"/>
              </w:rPr>
              <w:t xml:space="preserve">Imports from this destination increased by 36.8% in </w:t>
            </w:r>
            <w:r w:rsidR="00D41320" w:rsidRPr="006A7257">
              <w:rPr>
                <w:spacing w:val="-4"/>
                <w:lang w:val="en-GB"/>
              </w:rPr>
              <w:t>2017</w:t>
            </w:r>
            <w:r w:rsidR="00BB51AF">
              <w:rPr>
                <w:spacing w:val="-4"/>
                <w:lang w:val="en-GB"/>
              </w:rPr>
              <w:t xml:space="preserve"> </w:t>
            </w:r>
            <w:r w:rsidR="00D41320" w:rsidRPr="006A7257">
              <w:rPr>
                <w:spacing w:val="-4"/>
                <w:lang w:val="en-GB"/>
              </w:rPr>
              <w:t>(30</w:t>
            </w:r>
            <w:r w:rsidR="00BB51AF">
              <w:rPr>
                <w:spacing w:val="-4"/>
                <w:lang w:val="en-GB"/>
              </w:rPr>
              <w:t>.</w:t>
            </w:r>
            <w:r w:rsidR="00D41320" w:rsidRPr="006A7257">
              <w:rPr>
                <w:spacing w:val="-4"/>
                <w:lang w:val="en-GB"/>
              </w:rPr>
              <w:t>9</w:t>
            </w:r>
            <w:r w:rsidR="00D97AAD" w:rsidRPr="006A7257">
              <w:rPr>
                <w:spacing w:val="-4"/>
                <w:lang w:val="en-GB"/>
              </w:rPr>
              <w:t> </w:t>
            </w:r>
            <w:r w:rsidR="00BB51AF">
              <w:rPr>
                <w:spacing w:val="-4"/>
                <w:lang w:val="en-GB"/>
              </w:rPr>
              <w:t>CZK bn</w:t>
            </w:r>
            <w:r w:rsidR="00D41320" w:rsidRPr="006A7257">
              <w:rPr>
                <w:spacing w:val="-4"/>
                <w:lang w:val="en-GB"/>
              </w:rPr>
              <w:t xml:space="preserve">). </w:t>
            </w:r>
            <w:r w:rsidR="00BB51AF">
              <w:rPr>
                <w:spacing w:val="-4"/>
                <w:lang w:val="en-GB"/>
              </w:rPr>
              <w:t xml:space="preserve">In 2016, the import generally stagnated and the last year changed it. The growth of imports from both Germany </w:t>
            </w:r>
            <w:r w:rsidR="00D41320" w:rsidRPr="006A7257">
              <w:rPr>
                <w:spacing w:val="-4"/>
                <w:lang w:val="en-GB"/>
              </w:rPr>
              <w:t>(+42</w:t>
            </w:r>
            <w:r w:rsidR="00BB51AF">
              <w:rPr>
                <w:spacing w:val="-4"/>
                <w:lang w:val="en-GB"/>
              </w:rPr>
              <w:t>.</w:t>
            </w:r>
            <w:r w:rsidR="00D41320" w:rsidRPr="006A7257">
              <w:rPr>
                <w:spacing w:val="-4"/>
                <w:lang w:val="en-GB"/>
              </w:rPr>
              <w:t>6</w:t>
            </w:r>
            <w:r w:rsidR="001D12FB" w:rsidRPr="006A7257">
              <w:rPr>
                <w:spacing w:val="-4"/>
                <w:lang w:val="en-GB"/>
              </w:rPr>
              <w:t> </w:t>
            </w:r>
            <w:r w:rsidR="00BB51AF">
              <w:rPr>
                <w:spacing w:val="-4"/>
                <w:lang w:val="en-GB"/>
              </w:rPr>
              <w:t>CZK</w:t>
            </w:r>
            <w:r w:rsidR="00784DCA">
              <w:rPr>
                <w:spacing w:val="-4"/>
                <w:lang w:val="en-GB"/>
              </w:rPr>
              <w:t xml:space="preserve"> bn</w:t>
            </w:r>
            <w:r w:rsidR="00D41320" w:rsidRPr="006A7257">
              <w:rPr>
                <w:spacing w:val="-4"/>
                <w:lang w:val="en-GB"/>
              </w:rPr>
              <w:t>, 5</w:t>
            </w:r>
            <w:r w:rsidR="00BB51AF">
              <w:rPr>
                <w:spacing w:val="-4"/>
                <w:lang w:val="en-GB"/>
              </w:rPr>
              <w:t>.</w:t>
            </w:r>
            <w:r w:rsidR="00D41320" w:rsidRPr="006A7257">
              <w:rPr>
                <w:spacing w:val="-4"/>
                <w:lang w:val="en-GB"/>
              </w:rPr>
              <w:t xml:space="preserve">0%) </w:t>
            </w:r>
            <w:r w:rsidR="00BB51AF">
              <w:rPr>
                <w:spacing w:val="-4"/>
                <w:lang w:val="en-GB"/>
              </w:rPr>
              <w:t xml:space="preserve">and Austria </w:t>
            </w:r>
            <w:r w:rsidR="00D41320" w:rsidRPr="006A7257">
              <w:rPr>
                <w:spacing w:val="-4"/>
                <w:lang w:val="en-GB"/>
              </w:rPr>
              <w:t>(+7</w:t>
            </w:r>
            <w:r w:rsidR="00BB51AF">
              <w:rPr>
                <w:spacing w:val="-4"/>
                <w:lang w:val="en-GB"/>
              </w:rPr>
              <w:t>.</w:t>
            </w:r>
            <w:r w:rsidR="00D41320" w:rsidRPr="006A7257">
              <w:rPr>
                <w:spacing w:val="-4"/>
                <w:lang w:val="en-GB"/>
              </w:rPr>
              <w:t xml:space="preserve">7 </w:t>
            </w:r>
            <w:r w:rsidR="00BB51AF">
              <w:rPr>
                <w:spacing w:val="-4"/>
                <w:lang w:val="en-GB"/>
              </w:rPr>
              <w:t>CZK bn</w:t>
            </w:r>
            <w:r w:rsidR="00D41320" w:rsidRPr="006A7257">
              <w:rPr>
                <w:spacing w:val="-4"/>
                <w:lang w:val="en-GB"/>
              </w:rPr>
              <w:t>, 8</w:t>
            </w:r>
            <w:r w:rsidR="00BB51AF">
              <w:rPr>
                <w:spacing w:val="-4"/>
                <w:lang w:val="en-GB"/>
              </w:rPr>
              <w:t>.</w:t>
            </w:r>
            <w:r w:rsidR="00D41320" w:rsidRPr="006A7257">
              <w:rPr>
                <w:spacing w:val="-4"/>
                <w:lang w:val="en-GB"/>
              </w:rPr>
              <w:t>0%)</w:t>
            </w:r>
            <w:r w:rsidR="00BB51AF">
              <w:rPr>
                <w:spacing w:val="-4"/>
                <w:lang w:val="en-GB"/>
              </w:rPr>
              <w:t xml:space="preserve"> fastened its pace</w:t>
            </w:r>
            <w:r w:rsidR="00D41320" w:rsidRPr="006A7257">
              <w:rPr>
                <w:spacing w:val="-4"/>
                <w:lang w:val="en-GB"/>
              </w:rPr>
              <w:t xml:space="preserve">. </w:t>
            </w:r>
            <w:r w:rsidR="002A5D3F">
              <w:rPr>
                <w:spacing w:val="-4"/>
                <w:lang w:val="en-GB"/>
              </w:rPr>
              <w:t xml:space="preserve">The import from the United States also increased by </w:t>
            </w:r>
            <w:r w:rsidR="00D41320" w:rsidRPr="006A7257">
              <w:rPr>
                <w:spacing w:val="-4"/>
                <w:lang w:val="en-GB"/>
              </w:rPr>
              <w:t>11</w:t>
            </w:r>
            <w:r w:rsidR="002A5D3F">
              <w:rPr>
                <w:spacing w:val="-4"/>
                <w:lang w:val="en-GB"/>
              </w:rPr>
              <w:t>.</w:t>
            </w:r>
            <w:r w:rsidR="00D41320" w:rsidRPr="006A7257">
              <w:rPr>
                <w:spacing w:val="-4"/>
                <w:lang w:val="en-GB"/>
              </w:rPr>
              <w:t>2</w:t>
            </w:r>
            <w:r w:rsidR="00D97AAD" w:rsidRPr="006A7257">
              <w:rPr>
                <w:spacing w:val="-4"/>
                <w:lang w:val="en-GB"/>
              </w:rPr>
              <w:t> </w:t>
            </w:r>
            <w:r w:rsidR="002A5D3F">
              <w:rPr>
                <w:spacing w:val="-4"/>
                <w:lang w:val="en-GB"/>
              </w:rPr>
              <w:t xml:space="preserve">bn </w:t>
            </w:r>
            <w:r w:rsidR="00D41320" w:rsidRPr="006A7257">
              <w:rPr>
                <w:spacing w:val="-4"/>
                <w:lang w:val="en-GB"/>
              </w:rPr>
              <w:t>(15</w:t>
            </w:r>
            <w:r w:rsidR="002A5D3F">
              <w:rPr>
                <w:spacing w:val="-4"/>
                <w:lang w:val="en-GB"/>
              </w:rPr>
              <w:t>.</w:t>
            </w:r>
            <w:r w:rsidR="00D41320" w:rsidRPr="006A7257">
              <w:rPr>
                <w:spacing w:val="-4"/>
                <w:lang w:val="en-GB"/>
              </w:rPr>
              <w:t>3%).</w:t>
            </w:r>
          </w:p>
          <w:p w:rsidR="00D41320" w:rsidRPr="006A7257" w:rsidRDefault="00D41320" w:rsidP="006E4368">
            <w:pPr>
              <w:pStyle w:val="Textpoznpodarou"/>
              <w:jc w:val="both"/>
              <w:rPr>
                <w:spacing w:val="-4"/>
                <w:sz w:val="16"/>
                <w:szCs w:val="16"/>
                <w:lang w:val="en-GB"/>
              </w:rPr>
            </w:pPr>
          </w:p>
        </w:tc>
      </w:tr>
      <w:tr w:rsidR="00D41320" w:rsidRPr="00A74192" w:rsidTr="009B0676">
        <w:tc>
          <w:tcPr>
            <w:tcW w:w="1015" w:type="pct"/>
          </w:tcPr>
          <w:p w:rsidR="00D41320" w:rsidRPr="00412044" w:rsidRDefault="00152FDD" w:rsidP="00152FDD">
            <w:pPr>
              <w:spacing w:line="240" w:lineRule="auto"/>
              <w:rPr>
                <w:sz w:val="16"/>
                <w:szCs w:val="16"/>
                <w:highlight w:val="yellow"/>
                <w:lang w:val="en-GB"/>
              </w:rPr>
            </w:pPr>
            <w:r w:rsidRPr="00412044">
              <w:rPr>
                <w:sz w:val="16"/>
                <w:szCs w:val="16"/>
                <w:lang w:val="en-GB"/>
              </w:rPr>
              <w:t xml:space="preserve">The value of oil and natural gas import markedly increased. </w:t>
            </w:r>
          </w:p>
        </w:tc>
        <w:tc>
          <w:tcPr>
            <w:tcW w:w="144" w:type="pct"/>
          </w:tcPr>
          <w:p w:rsidR="00D41320" w:rsidRPr="00412044" w:rsidRDefault="00D41320" w:rsidP="006E4368">
            <w:pPr>
              <w:pStyle w:val="Textpoznpodarou"/>
              <w:jc w:val="both"/>
              <w:rPr>
                <w:highlight w:val="yellow"/>
                <w:lang w:val="en-GB"/>
              </w:rPr>
            </w:pPr>
          </w:p>
        </w:tc>
        <w:tc>
          <w:tcPr>
            <w:tcW w:w="3841" w:type="pct"/>
            <w:gridSpan w:val="4"/>
          </w:tcPr>
          <w:p w:rsidR="00D41320" w:rsidRPr="00412044" w:rsidRDefault="00D41320" w:rsidP="006E4368">
            <w:pPr>
              <w:pStyle w:val="Textpoznpodarou"/>
              <w:jc w:val="both"/>
              <w:rPr>
                <w:spacing w:val="-4"/>
                <w:sz w:val="16"/>
                <w:szCs w:val="16"/>
                <w:lang w:val="en-GB"/>
              </w:rPr>
            </w:pPr>
            <w:r w:rsidRPr="00412044">
              <w:rPr>
                <w:spacing w:val="-4"/>
                <w:lang w:val="en-GB"/>
              </w:rPr>
              <w:t>S</w:t>
            </w:r>
            <w:r w:rsidR="00152FDD" w:rsidRPr="00412044">
              <w:rPr>
                <w:spacing w:val="-4"/>
                <w:lang w:val="en-GB"/>
              </w:rPr>
              <w:t xml:space="preserve">trong domestic demand supported the year-on-year rise of motor vehicle imports in 2017, reaching </w:t>
            </w:r>
            <w:r w:rsidRPr="00412044">
              <w:rPr>
                <w:spacing w:val="-4"/>
                <w:lang w:val="en-GB"/>
              </w:rPr>
              <w:t>40</w:t>
            </w:r>
            <w:r w:rsidR="00152FDD" w:rsidRPr="00412044">
              <w:rPr>
                <w:spacing w:val="-4"/>
                <w:lang w:val="en-GB"/>
              </w:rPr>
              <w:t>.</w:t>
            </w:r>
            <w:r w:rsidRPr="00412044">
              <w:rPr>
                <w:spacing w:val="-4"/>
                <w:lang w:val="en-GB"/>
              </w:rPr>
              <w:t xml:space="preserve">3 </w:t>
            </w:r>
            <w:r w:rsidR="00152FDD" w:rsidRPr="00412044">
              <w:rPr>
                <w:spacing w:val="-4"/>
                <w:lang w:val="en-GB"/>
              </w:rPr>
              <w:t xml:space="preserve">CZK bn </w:t>
            </w:r>
            <w:r w:rsidRPr="00412044">
              <w:rPr>
                <w:spacing w:val="-4"/>
                <w:lang w:val="en-GB"/>
              </w:rPr>
              <w:t>(7</w:t>
            </w:r>
            <w:r w:rsidR="00152FDD" w:rsidRPr="00412044">
              <w:rPr>
                <w:spacing w:val="-4"/>
                <w:lang w:val="en-GB"/>
              </w:rPr>
              <w:t>.</w:t>
            </w:r>
            <w:r w:rsidRPr="00412044">
              <w:rPr>
                <w:spacing w:val="-4"/>
                <w:lang w:val="en-GB"/>
              </w:rPr>
              <w:t xml:space="preserve">9%). </w:t>
            </w:r>
            <w:r w:rsidR="00412044" w:rsidRPr="00412044">
              <w:rPr>
                <w:spacing w:val="-4"/>
                <w:lang w:val="en-GB"/>
              </w:rPr>
              <w:t xml:space="preserve">The imports of electrical appliances also grew significantly </w:t>
            </w:r>
            <w:r w:rsidRPr="00412044">
              <w:rPr>
                <w:spacing w:val="-4"/>
                <w:lang w:val="en-GB"/>
              </w:rPr>
              <w:t>(+20</w:t>
            </w:r>
            <w:r w:rsidR="00412044" w:rsidRPr="00412044">
              <w:rPr>
                <w:spacing w:val="-4"/>
                <w:lang w:val="en-GB"/>
              </w:rPr>
              <w:t>.</w:t>
            </w:r>
            <w:r w:rsidRPr="00412044">
              <w:rPr>
                <w:spacing w:val="-4"/>
                <w:lang w:val="en-GB"/>
              </w:rPr>
              <w:t xml:space="preserve">0 </w:t>
            </w:r>
            <w:r w:rsidR="00412044" w:rsidRPr="00412044">
              <w:rPr>
                <w:spacing w:val="-4"/>
                <w:lang w:val="en-GB"/>
              </w:rPr>
              <w:t>bn</w:t>
            </w:r>
            <w:r w:rsidRPr="00412044">
              <w:rPr>
                <w:spacing w:val="-4"/>
                <w:lang w:val="en-GB"/>
              </w:rPr>
              <w:t>, 8</w:t>
            </w:r>
            <w:r w:rsidR="00412044" w:rsidRPr="00412044">
              <w:rPr>
                <w:spacing w:val="-4"/>
                <w:lang w:val="en-GB"/>
              </w:rPr>
              <w:t>.</w:t>
            </w:r>
            <w:r w:rsidRPr="00412044">
              <w:rPr>
                <w:spacing w:val="-4"/>
                <w:lang w:val="en-GB"/>
              </w:rPr>
              <w:t xml:space="preserve">5%). </w:t>
            </w:r>
            <w:r w:rsidR="00FD33E5">
              <w:rPr>
                <w:spacing w:val="-4"/>
                <w:lang w:val="en-GB"/>
              </w:rPr>
              <w:t xml:space="preserve">Raised prices were reflected in the jump increase of the value of import of basic metals </w:t>
            </w:r>
            <w:r w:rsidRPr="00412044">
              <w:rPr>
                <w:spacing w:val="-4"/>
                <w:lang w:val="en-GB"/>
              </w:rPr>
              <w:t>(+39</w:t>
            </w:r>
            <w:r w:rsidR="00FD33E5">
              <w:rPr>
                <w:spacing w:val="-4"/>
                <w:lang w:val="en-GB"/>
              </w:rPr>
              <w:t>.</w:t>
            </w:r>
            <w:r w:rsidRPr="00412044">
              <w:rPr>
                <w:spacing w:val="-4"/>
                <w:lang w:val="en-GB"/>
              </w:rPr>
              <w:t xml:space="preserve">7 </w:t>
            </w:r>
            <w:r w:rsidR="00FD33E5">
              <w:rPr>
                <w:spacing w:val="-4"/>
                <w:lang w:val="en-GB"/>
              </w:rPr>
              <w:t>bn</w:t>
            </w:r>
            <w:r w:rsidRPr="00412044">
              <w:rPr>
                <w:spacing w:val="-4"/>
                <w:lang w:val="en-GB"/>
              </w:rPr>
              <w:t>, 17</w:t>
            </w:r>
            <w:r w:rsidR="00FD33E5">
              <w:rPr>
                <w:spacing w:val="-4"/>
                <w:lang w:val="en-GB"/>
              </w:rPr>
              <w:t>.</w:t>
            </w:r>
            <w:r w:rsidRPr="00412044">
              <w:rPr>
                <w:spacing w:val="-4"/>
                <w:lang w:val="en-GB"/>
              </w:rPr>
              <w:t xml:space="preserve">7%). </w:t>
            </w:r>
            <w:r w:rsidR="00FD33E5">
              <w:rPr>
                <w:spacing w:val="-4"/>
                <w:lang w:val="en-GB"/>
              </w:rPr>
              <w:t xml:space="preserve">The higher demand on the part of the Czech chemical industry joined the price factor as well for the import of oil and natural gas. It resulted in the increased value of imports by 32.2 CZK bn </w:t>
            </w:r>
            <w:r w:rsidRPr="00412044">
              <w:rPr>
                <w:spacing w:val="-4"/>
                <w:lang w:val="en-GB"/>
              </w:rPr>
              <w:t>(36</w:t>
            </w:r>
            <w:r w:rsidR="00FD33E5">
              <w:rPr>
                <w:spacing w:val="-4"/>
                <w:lang w:val="en-GB"/>
              </w:rPr>
              <w:t>.</w:t>
            </w:r>
            <w:r w:rsidRPr="00412044">
              <w:rPr>
                <w:spacing w:val="-4"/>
                <w:lang w:val="en-GB"/>
              </w:rPr>
              <w:t>1%).</w:t>
            </w:r>
          </w:p>
          <w:p w:rsidR="00D41320" w:rsidRPr="00412044" w:rsidRDefault="00D41320" w:rsidP="006E4368">
            <w:pPr>
              <w:pStyle w:val="Textpoznpodarou"/>
              <w:jc w:val="both"/>
              <w:rPr>
                <w:spacing w:val="-4"/>
                <w:sz w:val="16"/>
                <w:szCs w:val="16"/>
                <w:lang w:val="en-GB"/>
              </w:rPr>
            </w:pPr>
          </w:p>
        </w:tc>
      </w:tr>
      <w:tr w:rsidR="00D41320" w:rsidRPr="00A74192" w:rsidTr="009B0676">
        <w:tc>
          <w:tcPr>
            <w:tcW w:w="1015" w:type="pct"/>
          </w:tcPr>
          <w:p w:rsidR="00D41320" w:rsidRPr="00986746" w:rsidRDefault="00986746" w:rsidP="006E4368">
            <w:pPr>
              <w:spacing w:line="240" w:lineRule="auto"/>
              <w:rPr>
                <w:sz w:val="16"/>
                <w:szCs w:val="16"/>
                <w:lang w:val="en-GB"/>
              </w:rPr>
            </w:pPr>
            <w:r w:rsidRPr="00986746">
              <w:rPr>
                <w:sz w:val="16"/>
                <w:szCs w:val="16"/>
                <w:lang w:val="en-GB"/>
              </w:rPr>
              <w:t xml:space="preserve">Foreign trade balance was positive, but the surplus fell year-on-year. </w:t>
            </w:r>
          </w:p>
        </w:tc>
        <w:tc>
          <w:tcPr>
            <w:tcW w:w="144" w:type="pct"/>
          </w:tcPr>
          <w:p w:rsidR="00D41320" w:rsidRPr="00986746" w:rsidRDefault="00D41320" w:rsidP="006E4368">
            <w:pPr>
              <w:pStyle w:val="Textpoznpodarou"/>
              <w:jc w:val="both"/>
              <w:rPr>
                <w:highlight w:val="yellow"/>
                <w:lang w:val="en-GB"/>
              </w:rPr>
            </w:pPr>
          </w:p>
        </w:tc>
        <w:tc>
          <w:tcPr>
            <w:tcW w:w="3841" w:type="pct"/>
            <w:gridSpan w:val="4"/>
          </w:tcPr>
          <w:p w:rsidR="00D41320" w:rsidRPr="00986746" w:rsidRDefault="00986746" w:rsidP="006E4368">
            <w:pPr>
              <w:pStyle w:val="Textpoznpodarou"/>
              <w:jc w:val="both"/>
              <w:rPr>
                <w:spacing w:val="-4"/>
                <w:sz w:val="16"/>
                <w:szCs w:val="16"/>
                <w:lang w:val="en-GB"/>
              </w:rPr>
            </w:pPr>
            <w:r>
              <w:rPr>
                <w:spacing w:val="-4"/>
                <w:lang w:val="en-GB"/>
              </w:rPr>
              <w:t xml:space="preserve">Balance of the foreign trade with goods achieved a surplus in the amount of 145.3 CZK bn in 2017. The positive balance thus year-on-year decreased by 18.4 bn. The drop can be connected to the above-mentioned year-on-year increase of prices of materials, which raised the value of imports. </w:t>
            </w:r>
            <w:r w:rsidR="001E0241">
              <w:rPr>
                <w:spacing w:val="-4"/>
                <w:lang w:val="en-GB"/>
              </w:rPr>
              <w:t>Also,</w:t>
            </w:r>
            <w:r>
              <w:rPr>
                <w:spacing w:val="-4"/>
                <w:lang w:val="en-GB"/>
              </w:rPr>
              <w:t xml:space="preserve"> for this reason, the deficit of trade with countries outside the EU markedly deepened </w:t>
            </w:r>
            <w:r w:rsidR="00D41320" w:rsidRPr="00986746">
              <w:rPr>
                <w:spacing w:val="-4"/>
                <w:lang w:val="en-GB"/>
              </w:rPr>
              <w:t>(</w:t>
            </w:r>
            <w:r>
              <w:rPr>
                <w:spacing w:val="-4"/>
                <w:lang w:val="en-GB"/>
              </w:rPr>
              <w:t>by</w:t>
            </w:r>
            <w:r w:rsidR="00E24871" w:rsidRPr="00986746">
              <w:rPr>
                <w:spacing w:val="-4"/>
                <w:lang w:val="en-GB"/>
              </w:rPr>
              <w:t> </w:t>
            </w:r>
            <w:r w:rsidR="00D41320" w:rsidRPr="00986746">
              <w:rPr>
                <w:spacing w:val="-4"/>
                <w:lang w:val="en-GB"/>
              </w:rPr>
              <w:t>71</w:t>
            </w:r>
            <w:r>
              <w:rPr>
                <w:spacing w:val="-4"/>
                <w:lang w:val="en-GB"/>
              </w:rPr>
              <w:t>.</w:t>
            </w:r>
            <w:r w:rsidR="00D41320" w:rsidRPr="00986746">
              <w:rPr>
                <w:spacing w:val="-4"/>
                <w:lang w:val="en-GB"/>
              </w:rPr>
              <w:t>7</w:t>
            </w:r>
            <w:r w:rsidR="00E24871" w:rsidRPr="00986746">
              <w:rPr>
                <w:spacing w:val="-4"/>
                <w:lang w:val="en-GB"/>
              </w:rPr>
              <w:t> </w:t>
            </w:r>
            <w:r>
              <w:rPr>
                <w:spacing w:val="-4"/>
                <w:lang w:val="en-GB"/>
              </w:rPr>
              <w:t>bn</w:t>
            </w:r>
            <w:r w:rsidR="00D41320" w:rsidRPr="00986746">
              <w:rPr>
                <w:spacing w:val="-4"/>
                <w:lang w:val="en-GB"/>
              </w:rPr>
              <w:t>)</w:t>
            </w:r>
            <w:r>
              <w:rPr>
                <w:spacing w:val="-4"/>
                <w:lang w:val="en-GB"/>
              </w:rPr>
              <w:t xml:space="preserve">, while the surplus of the trade with the EU increased by 51.3 bn in 2017. </w:t>
            </w:r>
            <w:r w:rsidR="001E0241">
              <w:rPr>
                <w:spacing w:val="-4"/>
                <w:lang w:val="en-GB"/>
              </w:rPr>
              <w:t xml:space="preserve">The positive balance of trade with Germany was growing the most (by </w:t>
            </w:r>
            <w:r w:rsidR="00D41320" w:rsidRPr="00986746">
              <w:rPr>
                <w:spacing w:val="-4"/>
                <w:lang w:val="en-GB"/>
              </w:rPr>
              <w:t>21</w:t>
            </w:r>
            <w:r w:rsidR="001E0241">
              <w:rPr>
                <w:spacing w:val="-4"/>
                <w:lang w:val="en-GB"/>
              </w:rPr>
              <w:t>.</w:t>
            </w:r>
            <w:r w:rsidR="00D41320" w:rsidRPr="00986746">
              <w:rPr>
                <w:spacing w:val="-4"/>
                <w:lang w:val="en-GB"/>
              </w:rPr>
              <w:t xml:space="preserve">9 </w:t>
            </w:r>
            <w:r w:rsidR="001E0241">
              <w:rPr>
                <w:spacing w:val="-4"/>
                <w:lang w:val="en-GB"/>
              </w:rPr>
              <w:t>bn</w:t>
            </w:r>
            <w:r w:rsidR="00D41320" w:rsidRPr="00986746">
              <w:rPr>
                <w:spacing w:val="-4"/>
                <w:lang w:val="en-GB"/>
              </w:rPr>
              <w:t xml:space="preserve">). </w:t>
            </w:r>
            <w:r w:rsidR="001E0241">
              <w:rPr>
                <w:spacing w:val="-4"/>
                <w:lang w:val="en-GB"/>
              </w:rPr>
              <w:t>The CR achieved trade surplus with the Netherlands (in the amount of 7.0 bn) following the five years of deficits. Positive trade balance with France rose by 7.5 CZK bn. Deficit with Poland, growing in the recent years, moderated by 17.6 CZK bn in 2017. Deficit with Russia more than doubled in 2017 (deeper by 24.9 CZK bn)</w:t>
            </w:r>
            <w:r w:rsidR="00D41320" w:rsidRPr="00986746">
              <w:rPr>
                <w:spacing w:val="-4"/>
                <w:lang w:val="en-GB"/>
              </w:rPr>
              <w:t xml:space="preserve">, </w:t>
            </w:r>
            <w:r w:rsidR="001E0241">
              <w:rPr>
                <w:spacing w:val="-4"/>
                <w:lang w:val="en-GB"/>
              </w:rPr>
              <w:t xml:space="preserve">trade deficit with China mildly increased </w:t>
            </w:r>
            <w:r w:rsidR="00D41320" w:rsidRPr="00986746">
              <w:rPr>
                <w:spacing w:val="-4"/>
                <w:lang w:val="en-GB"/>
              </w:rPr>
              <w:t>(</w:t>
            </w:r>
            <w:r w:rsidR="001E0241">
              <w:rPr>
                <w:spacing w:val="-4"/>
                <w:lang w:val="en-GB"/>
              </w:rPr>
              <w:t xml:space="preserve">by </w:t>
            </w:r>
            <w:r w:rsidR="00D41320" w:rsidRPr="00986746">
              <w:rPr>
                <w:spacing w:val="-4"/>
                <w:lang w:val="en-GB"/>
              </w:rPr>
              <w:t>8</w:t>
            </w:r>
            <w:r w:rsidR="001E0241">
              <w:rPr>
                <w:spacing w:val="-4"/>
                <w:lang w:val="en-GB"/>
              </w:rPr>
              <w:t>.</w:t>
            </w:r>
            <w:r w:rsidR="00D41320" w:rsidRPr="00986746">
              <w:rPr>
                <w:spacing w:val="-4"/>
                <w:lang w:val="en-GB"/>
              </w:rPr>
              <w:t xml:space="preserve">0 </w:t>
            </w:r>
            <w:r w:rsidR="001E0241">
              <w:rPr>
                <w:spacing w:val="-4"/>
                <w:lang w:val="en-GB"/>
              </w:rPr>
              <w:t>bn</w:t>
            </w:r>
            <w:r w:rsidR="00D41320" w:rsidRPr="00986746">
              <w:rPr>
                <w:spacing w:val="-4"/>
                <w:lang w:val="en-GB"/>
              </w:rPr>
              <w:t>.).</w:t>
            </w:r>
          </w:p>
          <w:p w:rsidR="00D41320" w:rsidRPr="00986746" w:rsidRDefault="00D41320" w:rsidP="006E4368">
            <w:pPr>
              <w:pStyle w:val="Textpoznpodarou"/>
              <w:jc w:val="both"/>
              <w:rPr>
                <w:spacing w:val="-4"/>
                <w:sz w:val="16"/>
                <w:szCs w:val="16"/>
                <w:lang w:val="en-GB"/>
              </w:rPr>
            </w:pPr>
          </w:p>
        </w:tc>
      </w:tr>
      <w:tr w:rsidR="00D41320" w:rsidRPr="00A74192" w:rsidTr="009B0676">
        <w:tc>
          <w:tcPr>
            <w:tcW w:w="1015" w:type="pct"/>
          </w:tcPr>
          <w:p w:rsidR="00D41320" w:rsidRPr="001E0241" w:rsidRDefault="00986746" w:rsidP="006E4368">
            <w:pPr>
              <w:spacing w:line="240" w:lineRule="auto"/>
              <w:rPr>
                <w:sz w:val="16"/>
                <w:szCs w:val="16"/>
                <w:lang w:val="en-GB"/>
              </w:rPr>
            </w:pPr>
            <w:r w:rsidRPr="001E0241">
              <w:rPr>
                <w:sz w:val="16"/>
                <w:szCs w:val="16"/>
                <w:lang w:val="en-GB"/>
              </w:rPr>
              <w:t xml:space="preserve">Deficit of the trade with the countries outside the EU deepened. </w:t>
            </w:r>
          </w:p>
        </w:tc>
        <w:tc>
          <w:tcPr>
            <w:tcW w:w="144" w:type="pct"/>
          </w:tcPr>
          <w:p w:rsidR="00D41320" w:rsidRPr="001E0241" w:rsidRDefault="00D41320" w:rsidP="006E4368">
            <w:pPr>
              <w:pStyle w:val="Textpoznpodarou"/>
              <w:jc w:val="both"/>
              <w:rPr>
                <w:highlight w:val="yellow"/>
                <w:lang w:val="en-GB"/>
              </w:rPr>
            </w:pPr>
          </w:p>
        </w:tc>
        <w:tc>
          <w:tcPr>
            <w:tcW w:w="3841" w:type="pct"/>
            <w:gridSpan w:val="4"/>
          </w:tcPr>
          <w:p w:rsidR="00D41320" w:rsidRPr="001E0241" w:rsidRDefault="00831E95" w:rsidP="006E4368">
            <w:pPr>
              <w:pStyle w:val="Textpoznpodarou"/>
              <w:jc w:val="both"/>
              <w:rPr>
                <w:spacing w:val="-4"/>
                <w:sz w:val="16"/>
                <w:szCs w:val="16"/>
                <w:lang w:val="en-GB"/>
              </w:rPr>
            </w:pPr>
            <w:r>
              <w:rPr>
                <w:spacing w:val="-4"/>
                <w:lang w:val="en-GB"/>
              </w:rPr>
              <w:t>From the view of the individual divisions of the classification of production, motor vehicles (447.1 CZK bn), machinery and equipment (76.8 CZK bn) and metal products (59.5 CZK bn) contributed the most to the resulting surplus of the trade balance in 2017.</w:t>
            </w:r>
            <w:r w:rsidR="00D41320" w:rsidRPr="001E0241">
              <w:rPr>
                <w:spacing w:val="-4"/>
                <w:lang w:val="en-GB"/>
              </w:rPr>
              <w:t xml:space="preserve"> </w:t>
            </w:r>
            <w:r w:rsidR="00385D71">
              <w:rPr>
                <w:spacing w:val="-4"/>
                <w:lang w:val="en-GB"/>
              </w:rPr>
              <w:t>First two divisions also experienced a considerable enlargement of the surplus (by 31.1 bn for the motor vehicles, 13.4 bn for the machinery and equipment). Basic metals</w:t>
            </w:r>
            <w:r w:rsidR="005C76F1">
              <w:rPr>
                <w:spacing w:val="-4"/>
                <w:lang w:val="en-GB"/>
              </w:rPr>
              <w:t xml:space="preserve"> (deficit in the size of 125.0 bn), oil and natural gas (-117.8 bn) and chemical </w:t>
            </w:r>
            <w:r w:rsidR="004C0B46">
              <w:rPr>
                <w:spacing w:val="-4"/>
                <w:lang w:val="en-GB"/>
              </w:rPr>
              <w:t xml:space="preserve">substances and </w:t>
            </w:r>
            <w:r w:rsidR="005C76F1">
              <w:rPr>
                <w:spacing w:val="-4"/>
                <w:lang w:val="en-GB"/>
              </w:rPr>
              <w:t xml:space="preserve">products (-108.3 bn) had the highest effect in the direction of the negative balance of the foreign trade in 2017. </w:t>
            </w:r>
            <w:r w:rsidR="00EF35CA">
              <w:rPr>
                <w:spacing w:val="-4"/>
                <w:lang w:val="en-GB"/>
              </w:rPr>
              <w:t xml:space="preserve">Because of the changes in prices, the deficit of trade with basic metals deepened by 29.2 CZK bn and the deficit with oil and natural gas by 40.1 bn. Already mentioned revival of the Czech chemical industry was apparent in the moderation of the deficit of trade with the chemical </w:t>
            </w:r>
            <w:r w:rsidR="004C0B46">
              <w:rPr>
                <w:spacing w:val="-4"/>
                <w:lang w:val="en-GB"/>
              </w:rPr>
              <w:t xml:space="preserve">substances and </w:t>
            </w:r>
            <w:r w:rsidR="00EF35CA">
              <w:rPr>
                <w:spacing w:val="-4"/>
                <w:lang w:val="en-GB"/>
              </w:rPr>
              <w:t>products by 11.2 CZK bn.</w:t>
            </w:r>
          </w:p>
          <w:p w:rsidR="00D41320" w:rsidRDefault="00D41320" w:rsidP="006E4368">
            <w:pPr>
              <w:pStyle w:val="Textpoznpodarou"/>
              <w:jc w:val="both"/>
              <w:rPr>
                <w:spacing w:val="-4"/>
                <w:sz w:val="16"/>
                <w:szCs w:val="16"/>
                <w:lang w:val="en-GB"/>
              </w:rPr>
            </w:pPr>
          </w:p>
          <w:p w:rsidR="002133D5" w:rsidRDefault="002133D5" w:rsidP="006E4368">
            <w:pPr>
              <w:pStyle w:val="Textpoznpodarou"/>
              <w:jc w:val="both"/>
              <w:rPr>
                <w:spacing w:val="-4"/>
                <w:sz w:val="16"/>
                <w:szCs w:val="16"/>
                <w:lang w:val="en-GB"/>
              </w:rPr>
            </w:pPr>
          </w:p>
          <w:p w:rsidR="002133D5" w:rsidRDefault="002133D5" w:rsidP="006E4368">
            <w:pPr>
              <w:pStyle w:val="Textpoznpodarou"/>
              <w:jc w:val="both"/>
              <w:rPr>
                <w:spacing w:val="-4"/>
                <w:sz w:val="16"/>
                <w:szCs w:val="16"/>
                <w:lang w:val="en-GB"/>
              </w:rPr>
            </w:pPr>
          </w:p>
          <w:p w:rsidR="002133D5" w:rsidRDefault="002133D5" w:rsidP="006E4368">
            <w:pPr>
              <w:pStyle w:val="Textpoznpodarou"/>
              <w:jc w:val="both"/>
              <w:rPr>
                <w:spacing w:val="-4"/>
                <w:sz w:val="16"/>
                <w:szCs w:val="16"/>
                <w:lang w:val="en-GB"/>
              </w:rPr>
            </w:pPr>
          </w:p>
          <w:p w:rsidR="002133D5" w:rsidRDefault="002133D5" w:rsidP="006E4368">
            <w:pPr>
              <w:pStyle w:val="Textpoznpodarou"/>
              <w:jc w:val="both"/>
              <w:rPr>
                <w:spacing w:val="-4"/>
                <w:sz w:val="16"/>
                <w:szCs w:val="16"/>
                <w:lang w:val="en-GB"/>
              </w:rPr>
            </w:pPr>
          </w:p>
          <w:p w:rsidR="002133D5" w:rsidRDefault="002133D5" w:rsidP="006E4368">
            <w:pPr>
              <w:pStyle w:val="Textpoznpodarou"/>
              <w:jc w:val="both"/>
              <w:rPr>
                <w:spacing w:val="-4"/>
                <w:sz w:val="16"/>
                <w:szCs w:val="16"/>
                <w:lang w:val="en-GB"/>
              </w:rPr>
            </w:pPr>
          </w:p>
          <w:p w:rsidR="002133D5" w:rsidRDefault="002133D5" w:rsidP="006E4368">
            <w:pPr>
              <w:pStyle w:val="Textpoznpodarou"/>
              <w:jc w:val="both"/>
              <w:rPr>
                <w:spacing w:val="-4"/>
                <w:sz w:val="16"/>
                <w:szCs w:val="16"/>
                <w:lang w:val="en-GB"/>
              </w:rPr>
            </w:pPr>
          </w:p>
          <w:p w:rsidR="002133D5" w:rsidRDefault="002133D5"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0421D1" w:rsidRDefault="000421D1" w:rsidP="006E4368">
            <w:pPr>
              <w:pStyle w:val="Textpoznpodarou"/>
              <w:jc w:val="both"/>
              <w:rPr>
                <w:spacing w:val="-4"/>
                <w:sz w:val="16"/>
                <w:szCs w:val="16"/>
                <w:lang w:val="en-GB"/>
              </w:rPr>
            </w:pPr>
          </w:p>
          <w:p w:rsidR="002133D5" w:rsidRPr="001E0241" w:rsidRDefault="002133D5" w:rsidP="006E4368">
            <w:pPr>
              <w:pStyle w:val="Textpoznpodarou"/>
              <w:jc w:val="both"/>
              <w:rPr>
                <w:spacing w:val="-4"/>
                <w:sz w:val="16"/>
                <w:szCs w:val="16"/>
                <w:lang w:val="en-GB"/>
              </w:rPr>
            </w:pPr>
          </w:p>
        </w:tc>
      </w:tr>
      <w:tr w:rsidR="00DD0726" w:rsidRPr="00A74192" w:rsidTr="009B0676">
        <w:tc>
          <w:tcPr>
            <w:tcW w:w="1015" w:type="pct"/>
          </w:tcPr>
          <w:p w:rsidR="00DD0726" w:rsidRPr="001E0241" w:rsidRDefault="00DD0726" w:rsidP="006C3DC1">
            <w:pPr>
              <w:spacing w:line="240" w:lineRule="auto"/>
              <w:rPr>
                <w:sz w:val="16"/>
                <w:szCs w:val="16"/>
                <w:highlight w:val="yellow"/>
                <w:lang w:val="en-GB"/>
              </w:rPr>
            </w:pPr>
          </w:p>
        </w:tc>
        <w:tc>
          <w:tcPr>
            <w:tcW w:w="144" w:type="pct"/>
          </w:tcPr>
          <w:p w:rsidR="00DD0726" w:rsidRPr="001E0241" w:rsidRDefault="00DD0726" w:rsidP="006C3DC1">
            <w:pPr>
              <w:pStyle w:val="Textpoznpodarou"/>
              <w:jc w:val="both"/>
              <w:rPr>
                <w:lang w:val="en-GB"/>
              </w:rPr>
            </w:pPr>
          </w:p>
        </w:tc>
        <w:tc>
          <w:tcPr>
            <w:tcW w:w="653" w:type="pct"/>
            <w:gridSpan w:val="2"/>
          </w:tcPr>
          <w:p w:rsidR="00DD0726" w:rsidRPr="001E0241" w:rsidRDefault="00986746" w:rsidP="006C3DC1">
            <w:pPr>
              <w:pStyle w:val="Textpoznpodarou"/>
              <w:jc w:val="both"/>
              <w:rPr>
                <w:spacing w:val="-4"/>
                <w:sz w:val="16"/>
                <w:szCs w:val="16"/>
                <w:highlight w:val="yellow"/>
                <w:lang w:val="en-GB"/>
              </w:rPr>
            </w:pPr>
            <w:r w:rsidRPr="001E0241">
              <w:rPr>
                <w:spacing w:val="-4"/>
                <w:lang w:val="en-GB"/>
              </w:rPr>
              <w:t xml:space="preserve">Chart </w:t>
            </w:r>
            <w:r w:rsidR="00DD0726" w:rsidRPr="001E0241">
              <w:rPr>
                <w:spacing w:val="-4"/>
                <w:lang w:val="en-GB"/>
              </w:rPr>
              <w:t>10</w:t>
            </w:r>
          </w:p>
        </w:tc>
        <w:tc>
          <w:tcPr>
            <w:tcW w:w="3188" w:type="pct"/>
            <w:gridSpan w:val="2"/>
          </w:tcPr>
          <w:p w:rsidR="00DD0726" w:rsidRPr="001E0241" w:rsidRDefault="00DD0726" w:rsidP="00D41320">
            <w:pPr>
              <w:pStyle w:val="Textpoznpodarou"/>
              <w:rPr>
                <w:spacing w:val="-4"/>
                <w:sz w:val="16"/>
                <w:szCs w:val="16"/>
                <w:highlight w:val="yellow"/>
                <w:lang w:val="en-GB"/>
              </w:rPr>
            </w:pPr>
            <w:r w:rsidRPr="001E0241">
              <w:rPr>
                <w:b/>
                <w:spacing w:val="-4"/>
                <w:lang w:val="en-GB"/>
              </w:rPr>
              <w:t>B</w:t>
            </w:r>
            <w:r w:rsidR="00ED7AA7">
              <w:rPr>
                <w:b/>
                <w:spacing w:val="-4"/>
                <w:lang w:val="en-GB"/>
              </w:rPr>
              <w:t>alance of foreign trade</w:t>
            </w:r>
            <w:r w:rsidRPr="001E0241">
              <w:rPr>
                <w:b/>
                <w:spacing w:val="-4"/>
                <w:lang w:val="en-GB"/>
              </w:rPr>
              <w:t xml:space="preserve">* </w:t>
            </w:r>
            <w:r w:rsidR="00ED7AA7">
              <w:rPr>
                <w:b/>
                <w:spacing w:val="-4"/>
                <w:lang w:val="en-GB"/>
              </w:rPr>
              <w:t xml:space="preserve">in foreign trade statistics </w:t>
            </w:r>
            <w:r w:rsidR="00ED7AA7" w:rsidRPr="00ED7AA7">
              <w:rPr>
                <w:spacing w:val="-4"/>
                <w:lang w:val="en-GB"/>
              </w:rPr>
              <w:t>(</w:t>
            </w:r>
            <w:r w:rsidR="00ED7AA7">
              <w:rPr>
                <w:spacing w:val="-4"/>
                <w:lang w:val="en-GB"/>
              </w:rPr>
              <w:t xml:space="preserve">accumulation Q1 to Q4, in CZK bn, selected divisions of the CZ-CPA classification) </w:t>
            </w:r>
          </w:p>
        </w:tc>
      </w:tr>
      <w:tr w:rsidR="00254069" w:rsidRPr="00A74192" w:rsidTr="009B0676">
        <w:tc>
          <w:tcPr>
            <w:tcW w:w="1015" w:type="pct"/>
          </w:tcPr>
          <w:p w:rsidR="00254069" w:rsidRPr="002804BB" w:rsidRDefault="00254069" w:rsidP="006C3DC1">
            <w:pPr>
              <w:spacing w:line="240" w:lineRule="auto"/>
              <w:rPr>
                <w:sz w:val="16"/>
                <w:szCs w:val="16"/>
                <w:highlight w:val="yellow"/>
              </w:rPr>
            </w:pPr>
          </w:p>
        </w:tc>
        <w:tc>
          <w:tcPr>
            <w:tcW w:w="144" w:type="pct"/>
          </w:tcPr>
          <w:p w:rsidR="00254069" w:rsidRPr="00A74192" w:rsidRDefault="00254069" w:rsidP="006C3DC1">
            <w:pPr>
              <w:pStyle w:val="Textpoznpodarou"/>
              <w:jc w:val="both"/>
            </w:pPr>
          </w:p>
        </w:tc>
        <w:tc>
          <w:tcPr>
            <w:tcW w:w="3841" w:type="pct"/>
            <w:gridSpan w:val="4"/>
          </w:tcPr>
          <w:p w:rsidR="00254069" w:rsidRPr="00DC21E2" w:rsidRDefault="00BD345F" w:rsidP="00333134">
            <w:pPr>
              <w:pStyle w:val="Textpoznpodarou"/>
              <w:ind w:left="-73"/>
              <w:jc w:val="right"/>
              <w:rPr>
                <w:spacing w:val="-4"/>
                <w:sz w:val="14"/>
                <w:szCs w:val="14"/>
              </w:rPr>
            </w:pPr>
            <w:r w:rsidRPr="00BD345F">
              <w:rPr>
                <w:noProof/>
                <w:spacing w:val="-4"/>
                <w:sz w:val="14"/>
                <w:szCs w:val="14"/>
              </w:rPr>
              <w:drawing>
                <wp:inline distT="0" distB="0" distL="0" distR="0">
                  <wp:extent cx="4734105" cy="3420000"/>
                  <wp:effectExtent l="1905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54069" w:rsidRPr="00ED7AA7" w:rsidTr="009B0676">
        <w:tc>
          <w:tcPr>
            <w:tcW w:w="1015" w:type="pct"/>
          </w:tcPr>
          <w:p w:rsidR="00254069" w:rsidRPr="00ED7AA7" w:rsidRDefault="00254069" w:rsidP="006C3DC1">
            <w:pPr>
              <w:spacing w:line="240" w:lineRule="auto"/>
              <w:rPr>
                <w:sz w:val="16"/>
                <w:szCs w:val="16"/>
                <w:lang w:val="en-GB"/>
              </w:rPr>
            </w:pPr>
          </w:p>
        </w:tc>
        <w:tc>
          <w:tcPr>
            <w:tcW w:w="144" w:type="pct"/>
          </w:tcPr>
          <w:p w:rsidR="00254069" w:rsidRPr="00ED7AA7" w:rsidRDefault="00254069" w:rsidP="006C3DC1">
            <w:pPr>
              <w:pStyle w:val="Textpoznpodarou"/>
              <w:jc w:val="both"/>
              <w:rPr>
                <w:highlight w:val="yellow"/>
                <w:lang w:val="en-GB"/>
              </w:rPr>
            </w:pPr>
          </w:p>
        </w:tc>
        <w:tc>
          <w:tcPr>
            <w:tcW w:w="1948" w:type="pct"/>
            <w:gridSpan w:val="3"/>
          </w:tcPr>
          <w:p w:rsidR="004C0B46" w:rsidRPr="00ED7AA7" w:rsidRDefault="00254069" w:rsidP="006C3DC1">
            <w:pPr>
              <w:pStyle w:val="Textpoznpodarou"/>
              <w:jc w:val="both"/>
              <w:rPr>
                <w:spacing w:val="-4"/>
                <w:sz w:val="14"/>
                <w:szCs w:val="14"/>
                <w:lang w:val="en-GB"/>
              </w:rPr>
            </w:pPr>
            <w:r w:rsidRPr="00ED7AA7">
              <w:rPr>
                <w:spacing w:val="-4"/>
                <w:sz w:val="14"/>
                <w:szCs w:val="14"/>
                <w:lang w:val="en-GB"/>
              </w:rPr>
              <w:t>*</w:t>
            </w:r>
            <w:r w:rsidR="00ED7AA7" w:rsidRPr="00ED7AA7">
              <w:rPr>
                <w:spacing w:val="-4"/>
                <w:sz w:val="14"/>
                <w:szCs w:val="14"/>
                <w:lang w:val="en-GB"/>
              </w:rPr>
              <w:t>in the national conception</w:t>
            </w:r>
          </w:p>
        </w:tc>
        <w:tc>
          <w:tcPr>
            <w:tcW w:w="1893" w:type="pct"/>
          </w:tcPr>
          <w:p w:rsidR="004C0B46" w:rsidRDefault="00ED7AA7" w:rsidP="00BD345F">
            <w:pPr>
              <w:pStyle w:val="Textpoznpodarou"/>
              <w:jc w:val="right"/>
              <w:rPr>
                <w:spacing w:val="-4"/>
                <w:sz w:val="14"/>
                <w:szCs w:val="14"/>
                <w:lang w:val="en-GB"/>
              </w:rPr>
            </w:pPr>
            <w:r w:rsidRPr="00ED7AA7">
              <w:rPr>
                <w:spacing w:val="-4"/>
                <w:sz w:val="14"/>
                <w:szCs w:val="14"/>
                <w:lang w:val="en-GB"/>
              </w:rPr>
              <w:t>Source</w:t>
            </w:r>
            <w:r w:rsidR="00254069" w:rsidRPr="00ED7AA7">
              <w:rPr>
                <w:spacing w:val="-4"/>
                <w:sz w:val="14"/>
                <w:szCs w:val="14"/>
                <w:lang w:val="en-GB"/>
              </w:rPr>
              <w:t xml:space="preserve">: </w:t>
            </w:r>
            <w:r w:rsidRPr="00ED7AA7">
              <w:rPr>
                <w:spacing w:val="-4"/>
                <w:sz w:val="14"/>
                <w:szCs w:val="14"/>
                <w:lang w:val="en-GB"/>
              </w:rPr>
              <w:t>CZSO</w:t>
            </w:r>
          </w:p>
          <w:p w:rsidR="002133D5" w:rsidRPr="00BD345F" w:rsidRDefault="002133D5" w:rsidP="000421D1">
            <w:pPr>
              <w:pStyle w:val="Textpoznpodarou"/>
              <w:rPr>
                <w:spacing w:val="-4"/>
                <w:sz w:val="14"/>
                <w:szCs w:val="14"/>
                <w:lang w:val="en-GB"/>
              </w:rPr>
            </w:pPr>
          </w:p>
        </w:tc>
      </w:tr>
      <w:bookmarkEnd w:id="2"/>
    </w:tbl>
    <w:p w:rsidR="008A03DE" w:rsidRPr="00CE7158" w:rsidRDefault="008A03DE" w:rsidP="00293553">
      <w:pPr>
        <w:pStyle w:val="Textpoznpodarou"/>
        <w:jc w:val="both"/>
        <w:rPr>
          <w:rFonts w:cs="Arial"/>
          <w:color w:val="000000"/>
          <w:sz w:val="10"/>
          <w:szCs w:val="10"/>
        </w:rPr>
      </w:pPr>
    </w:p>
    <w:sectPr w:rsidR="008A03DE" w:rsidRPr="00CE7158" w:rsidSect="000421D1">
      <w:headerReference w:type="even" r:id="rId13"/>
      <w:headerReference w:type="default" r:id="rId14"/>
      <w:footerReference w:type="even" r:id="rId15"/>
      <w:footerReference w:type="default" r:id="rId16"/>
      <w:type w:val="continuous"/>
      <w:pgSz w:w="11906" w:h="16838" w:code="9"/>
      <w:pgMar w:top="1134" w:right="1134" w:bottom="1418" w:left="1134" w:header="680" w:footer="680"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96" w:rsidRDefault="00700B96" w:rsidP="00E71A58">
      <w:r>
        <w:separator/>
      </w:r>
    </w:p>
  </w:endnote>
  <w:endnote w:type="continuationSeparator" w:id="0">
    <w:p w:rsidR="00700B96" w:rsidRDefault="00700B96"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Default="00224123"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4B54C0" w:rsidRPr="005A21E0">
      <w:rPr>
        <w:rFonts w:ascii="Arial" w:hAnsi="Arial" w:cs="Arial"/>
        <w:sz w:val="16"/>
        <w:szCs w:val="16"/>
      </w:rPr>
      <w:fldChar w:fldCharType="begin"/>
    </w:r>
    <w:r w:rsidRPr="005A21E0">
      <w:rPr>
        <w:rFonts w:ascii="Arial" w:hAnsi="Arial" w:cs="Arial"/>
        <w:sz w:val="16"/>
        <w:szCs w:val="16"/>
      </w:rPr>
      <w:instrText>PAGE   \* MERGEFORMAT</w:instrText>
    </w:r>
    <w:r w:rsidR="004B54C0" w:rsidRPr="005A21E0">
      <w:rPr>
        <w:rFonts w:ascii="Arial" w:hAnsi="Arial" w:cs="Arial"/>
        <w:sz w:val="16"/>
        <w:szCs w:val="16"/>
      </w:rPr>
      <w:fldChar w:fldCharType="separate"/>
    </w:r>
    <w:r w:rsidR="000421D1">
      <w:rPr>
        <w:rFonts w:ascii="Arial" w:hAnsi="Arial" w:cs="Arial"/>
        <w:noProof/>
        <w:sz w:val="16"/>
        <w:szCs w:val="16"/>
      </w:rPr>
      <w:t>16</w:t>
    </w:r>
    <w:r w:rsidR="004B54C0" w:rsidRPr="005A21E0">
      <w:rPr>
        <w:rFonts w:ascii="Arial" w:hAnsi="Arial" w:cs="Arial"/>
        <w:sz w:val="16"/>
        <w:szCs w:val="16"/>
      </w:rPr>
      <w:fldChar w:fldCharType="end"/>
    </w:r>
    <w:r>
      <w:rPr>
        <w:rFonts w:ascii="Arial" w:hAnsi="Arial" w:cs="Arial"/>
        <w:sz w:val="16"/>
        <w:szCs w:val="16"/>
      </w:rPr>
      <w:tab/>
      <w:t>2018</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Default="00B6349B" w:rsidP="00357449">
    <w:pPr>
      <w:pStyle w:val="Zpat"/>
      <w:tabs>
        <w:tab w:val="clear" w:pos="4536"/>
        <w:tab w:val="clear" w:pos="9072"/>
        <w:tab w:val="left" w:pos="1134"/>
        <w:tab w:val="left" w:pos="1920"/>
        <w:tab w:val="center" w:pos="4820"/>
        <w:tab w:val="right" w:pos="9639"/>
      </w:tabs>
    </w:pPr>
    <w:r w:rsidRPr="00B6349B">
      <w:rPr>
        <w:noProof/>
        <w:lang w:eastAsia="cs-CZ"/>
      </w:rPr>
      <w:drawing>
        <wp:anchor distT="0" distB="0" distL="114300" distR="114300" simplePos="0" relativeHeight="251662848" behindDoc="0" locked="0" layoutInCell="1" allowOverlap="1">
          <wp:simplePos x="0" y="0"/>
          <wp:positionH relativeFrom="column">
            <wp:posOffset>-100538</wp:posOffset>
          </wp:positionH>
          <wp:positionV relativeFrom="paragraph">
            <wp:posOffset>183818</wp:posOffset>
          </wp:positionV>
          <wp:extent cx="690633" cy="204716"/>
          <wp:effectExtent l="19050" t="0" r="0" b="0"/>
          <wp:wrapNone/>
          <wp:docPr id="5"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633" cy="204716"/>
                  </a:xfrm>
                  <a:prstGeom prst="rect">
                    <a:avLst/>
                  </a:prstGeom>
                  <a:noFill/>
                  <a:ln w="9525">
                    <a:noFill/>
                    <a:miter lim="800000"/>
                    <a:headEnd/>
                    <a:tailEnd/>
                  </a:ln>
                </pic:spPr>
              </pic:pic>
            </a:graphicData>
          </a:graphic>
        </wp:anchor>
      </w:drawing>
    </w:r>
    <w:r w:rsidR="00224123">
      <w:tab/>
    </w:r>
    <w:r w:rsidR="00224123">
      <w:tab/>
    </w:r>
    <w:r w:rsidR="00224123" w:rsidRPr="00DC5B3B">
      <w:t xml:space="preserve">                              </w:t>
    </w:r>
  </w:p>
  <w:p w:rsidR="00224123" w:rsidRPr="00223E00" w:rsidRDefault="0022412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2018</w:t>
    </w:r>
    <w:r>
      <w:rPr>
        <w:rFonts w:ascii="Arial" w:hAnsi="Arial" w:cs="Arial"/>
        <w:sz w:val="16"/>
        <w:szCs w:val="16"/>
      </w:rPr>
      <w:tab/>
    </w:r>
    <w:r w:rsidR="004B54C0"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4B54C0" w:rsidRPr="00223E00">
      <w:rPr>
        <w:rFonts w:ascii="Arial" w:hAnsi="Arial" w:cs="Arial"/>
        <w:sz w:val="16"/>
        <w:szCs w:val="16"/>
      </w:rPr>
      <w:fldChar w:fldCharType="separate"/>
    </w:r>
    <w:r w:rsidR="000421D1">
      <w:rPr>
        <w:rFonts w:ascii="Arial" w:hAnsi="Arial" w:cs="Arial"/>
        <w:noProof/>
        <w:sz w:val="16"/>
        <w:szCs w:val="16"/>
      </w:rPr>
      <w:t>15</w:t>
    </w:r>
    <w:r w:rsidR="004B54C0"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96" w:rsidRDefault="00700B96" w:rsidP="00E71A58">
      <w:r>
        <w:separator/>
      </w:r>
    </w:p>
  </w:footnote>
  <w:footnote w:type="continuationSeparator" w:id="0">
    <w:p w:rsidR="00700B96" w:rsidRDefault="00700B96" w:rsidP="00E71A58">
      <w:r>
        <w:continuationSeparator/>
      </w:r>
    </w:p>
  </w:footnote>
  <w:footnote w:id="1">
    <w:p w:rsidR="00224123" w:rsidRPr="004E70ED" w:rsidRDefault="00224123" w:rsidP="004E70ED">
      <w:pPr>
        <w:pStyle w:val="Textpoznpodarou"/>
        <w:jc w:val="both"/>
        <w:rPr>
          <w:sz w:val="16"/>
          <w:szCs w:val="16"/>
          <w:lang w:val="en-GB"/>
        </w:rPr>
      </w:pPr>
      <w:r w:rsidRPr="004E70ED">
        <w:rPr>
          <w:rStyle w:val="Znakapoznpodarou"/>
          <w:sz w:val="16"/>
          <w:szCs w:val="16"/>
          <w:lang w:val="en-GB"/>
        </w:rPr>
        <w:footnoteRef/>
      </w:r>
      <w:r w:rsidRPr="004E70ED">
        <w:rPr>
          <w:sz w:val="16"/>
          <w:szCs w:val="16"/>
          <w:lang w:val="en-GB"/>
        </w:rPr>
        <w:t xml:space="preserve"> </w:t>
      </w:r>
      <w:proofErr w:type="gramStart"/>
      <w:r w:rsidRPr="004E70ED">
        <w:rPr>
          <w:sz w:val="16"/>
          <w:szCs w:val="16"/>
          <w:lang w:val="en-GB"/>
        </w:rPr>
        <w:t>Data from the ARAD database of the Czech National Bank.</w:t>
      </w:r>
      <w:proofErr w:type="gramEnd"/>
    </w:p>
  </w:footnote>
  <w:footnote w:id="2">
    <w:p w:rsidR="00224123" w:rsidRPr="00507A87" w:rsidRDefault="00224123" w:rsidP="00C47D7C">
      <w:pPr>
        <w:pStyle w:val="Textpoznpodarou"/>
        <w:jc w:val="both"/>
        <w:rPr>
          <w:sz w:val="16"/>
          <w:szCs w:val="16"/>
          <w:lang w:val="en-GB"/>
        </w:rPr>
      </w:pPr>
      <w:r w:rsidRPr="001374E5">
        <w:rPr>
          <w:rStyle w:val="Znakapoznpodarou"/>
          <w:sz w:val="16"/>
          <w:szCs w:val="16"/>
        </w:rPr>
        <w:footnoteRef/>
      </w:r>
      <w:r w:rsidRPr="001374E5">
        <w:rPr>
          <w:sz w:val="16"/>
          <w:szCs w:val="16"/>
        </w:rPr>
        <w:t xml:space="preserve"> </w:t>
      </w:r>
      <w:proofErr w:type="gramStart"/>
      <w:r w:rsidRPr="00507A87">
        <w:rPr>
          <w:sz w:val="16"/>
          <w:szCs w:val="16"/>
          <w:lang w:val="en-GB"/>
        </w:rPr>
        <w:t>Based on the data from the Ministry of Finance of the CR. State bonds according to the type of holder.</w:t>
      </w:r>
      <w:proofErr w:type="gramEnd"/>
      <w:r w:rsidRPr="00507A87">
        <w:rPr>
          <w:sz w:val="16"/>
          <w:szCs w:val="16"/>
          <w:lang w:val="en-GB"/>
        </w:rPr>
        <w:t xml:space="preserve"> </w:t>
      </w:r>
    </w:p>
  </w:footnote>
  <w:footnote w:id="3">
    <w:p w:rsidR="00224123" w:rsidRPr="003279A7" w:rsidRDefault="00224123" w:rsidP="00C47D7C">
      <w:pPr>
        <w:pStyle w:val="Textpoznpodarou"/>
        <w:jc w:val="both"/>
        <w:rPr>
          <w:sz w:val="16"/>
          <w:szCs w:val="16"/>
        </w:rPr>
      </w:pPr>
      <w:r w:rsidRPr="00507A87">
        <w:rPr>
          <w:rStyle w:val="Znakapoznpodarou"/>
          <w:sz w:val="16"/>
          <w:szCs w:val="16"/>
          <w:lang w:val="en-GB"/>
        </w:rPr>
        <w:footnoteRef/>
      </w:r>
      <w:r w:rsidRPr="00507A87">
        <w:rPr>
          <w:sz w:val="16"/>
          <w:szCs w:val="16"/>
          <w:lang w:val="en-GB"/>
        </w:rPr>
        <w:t xml:space="preserve"> </w:t>
      </w:r>
      <w:proofErr w:type="gramStart"/>
      <w:r w:rsidRPr="00507A87">
        <w:rPr>
          <w:sz w:val="16"/>
          <w:szCs w:val="16"/>
          <w:lang w:val="en-GB"/>
        </w:rPr>
        <w:t>Statistical data of the foreign trade in the national conception in the nominal terms including only the trade with goods.</w:t>
      </w:r>
      <w:proofErr w:type="gramEnd"/>
      <w:r w:rsidRPr="00507A87">
        <w:rPr>
          <w:sz w:val="16"/>
          <w:szCs w:val="16"/>
          <w:lang w:val="en-GB"/>
        </w:rPr>
        <w:t xml:space="preserve"> The value of exports is captured in the FOB prices, i.e. including the costs connected with the transport to the CR boundaries. Import depicted lower in this chapter is in CIF prices, i.e. including costs associated with the transportation abroad, up all the way to the CR boundaries. </w:t>
      </w:r>
      <w:proofErr w:type="gramStart"/>
      <w:r w:rsidRPr="00507A87">
        <w:rPr>
          <w:sz w:val="16"/>
          <w:szCs w:val="16"/>
          <w:lang w:val="en-GB"/>
        </w:rPr>
        <w:t xml:space="preserve">Data valid as of </w:t>
      </w:r>
      <w:r>
        <w:rPr>
          <w:sz w:val="16"/>
          <w:szCs w:val="16"/>
          <w:lang w:val="en-GB"/>
        </w:rPr>
        <w:t>9</w:t>
      </w:r>
      <w:r w:rsidRPr="00507A87">
        <w:rPr>
          <w:sz w:val="16"/>
          <w:szCs w:val="16"/>
          <w:lang w:val="en-GB"/>
        </w:rPr>
        <w:t>.</w:t>
      </w:r>
      <w:proofErr w:type="gramEnd"/>
      <w:r>
        <w:rPr>
          <w:sz w:val="16"/>
          <w:szCs w:val="16"/>
          <w:lang w:val="en-GB"/>
        </w:rPr>
        <w:t xml:space="preserve"> 3</w:t>
      </w:r>
      <w:r w:rsidRPr="00507A87">
        <w:rPr>
          <w:sz w:val="16"/>
          <w:szCs w:val="16"/>
          <w:lang w:val="en-GB"/>
        </w:rPr>
        <w:t>.</w:t>
      </w:r>
      <w:r>
        <w:rPr>
          <w:sz w:val="16"/>
          <w:szCs w:val="16"/>
          <w:lang w:val="en-GB"/>
        </w:rPr>
        <w:t xml:space="preserve"> </w:t>
      </w:r>
      <w:r w:rsidRPr="00507A87">
        <w:rPr>
          <w:sz w:val="16"/>
          <w:szCs w:val="16"/>
          <w:lang w:val="en-GB"/>
        </w:rPr>
        <w:t>201</w:t>
      </w:r>
      <w:r>
        <w:rPr>
          <w:sz w:val="16"/>
          <w:szCs w:val="16"/>
          <w:lang w:val="en-GB"/>
        </w:rPr>
        <w:t>8</w:t>
      </w:r>
      <w:r w:rsidRPr="00507A87">
        <w:rPr>
          <w:sz w:val="16"/>
          <w:szCs w:val="16"/>
          <w:lang w:val="en-GB"/>
        </w:rPr>
        <w:t xml:space="preserve">. </w:t>
      </w:r>
      <w:r w:rsidRPr="003279A7">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Pr="002473CA" w:rsidRDefault="00224123" w:rsidP="00D766EF">
    <w:pPr>
      <w:pStyle w:val="Zhlav"/>
      <w:tabs>
        <w:tab w:val="clear" w:pos="4536"/>
        <w:tab w:val="clear" w:pos="9072"/>
        <w:tab w:val="left" w:pos="-6379"/>
        <w:tab w:val="center" w:pos="4820"/>
        <w:tab w:val="right" w:pos="9639"/>
      </w:tabs>
      <w:rPr>
        <w:rFonts w:ascii="Arial" w:hAnsi="Arial" w:cs="Arial"/>
        <w:sz w:val="16"/>
        <w:szCs w:val="16"/>
        <w:lang w:val="en-US"/>
      </w:rPr>
    </w:pPr>
    <w:r w:rsidRPr="002473CA">
      <w:rPr>
        <w:rFonts w:ascii="Arial" w:hAnsi="Arial" w:cs="Arial"/>
        <w:sz w:val="16"/>
        <w:szCs w:val="16"/>
        <w:lang w:val="en-US"/>
      </w:rPr>
      <w:t>The Czech Economy Development in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Pr="00ED0C9B" w:rsidRDefault="00224123" w:rsidP="0030768C">
    <w:pPr>
      <w:pStyle w:val="Zhlav"/>
      <w:tabs>
        <w:tab w:val="clear" w:pos="4536"/>
        <w:tab w:val="clear" w:pos="9072"/>
        <w:tab w:val="left" w:pos="-6379"/>
        <w:tab w:val="center" w:pos="4820"/>
        <w:tab w:val="right" w:pos="9639"/>
      </w:tabs>
      <w:rPr>
        <w:rFonts w:ascii="Arial" w:hAnsi="Arial" w:cs="Arial"/>
        <w:sz w:val="16"/>
        <w:szCs w:val="16"/>
        <w:lang w:val="en-GB"/>
      </w:rPr>
    </w:pPr>
    <w:r w:rsidRPr="00ED0C9B">
      <w:rPr>
        <w:rFonts w:ascii="Arial" w:hAnsi="Arial" w:cs="Arial"/>
        <w:sz w:val="16"/>
        <w:szCs w:val="16"/>
        <w:lang w:val="en-GB"/>
      </w:rPr>
      <w:t>The Czech Economy Development in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1A48046E"/>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5834D9B"/>
    <w:multiLevelType w:val="hybridMultilevel"/>
    <w:tmpl w:val="2A84725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BC47DB"/>
    <w:multiLevelType w:val="hybridMultilevel"/>
    <w:tmpl w:val="AA506508"/>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8"/>
  </w:num>
  <w:num w:numId="2">
    <w:abstractNumId w:val="24"/>
  </w:num>
  <w:num w:numId="3">
    <w:abstractNumId w:val="14"/>
  </w:num>
  <w:num w:numId="4">
    <w:abstractNumId w:val="22"/>
  </w:num>
  <w:num w:numId="5">
    <w:abstractNumId w:val="16"/>
  </w:num>
  <w:num w:numId="6">
    <w:abstractNumId w:val="19"/>
  </w:num>
  <w:num w:numId="7">
    <w:abstractNumId w:val="5"/>
  </w:num>
  <w:num w:numId="8">
    <w:abstractNumId w:val="11"/>
  </w:num>
  <w:num w:numId="9">
    <w:abstractNumId w:val="21"/>
  </w:num>
  <w:num w:numId="10">
    <w:abstractNumId w:val="4"/>
  </w:num>
  <w:num w:numId="11">
    <w:abstractNumId w:val="9"/>
  </w:num>
  <w:num w:numId="12">
    <w:abstractNumId w:val="2"/>
  </w:num>
  <w:num w:numId="13">
    <w:abstractNumId w:val="8"/>
  </w:num>
  <w:num w:numId="14">
    <w:abstractNumId w:val="0"/>
  </w:num>
  <w:num w:numId="15">
    <w:abstractNumId w:val="20"/>
  </w:num>
  <w:num w:numId="16">
    <w:abstractNumId w:val="17"/>
  </w:num>
  <w:num w:numId="17">
    <w:abstractNumId w:val="7"/>
  </w:num>
  <w:num w:numId="18">
    <w:abstractNumId w:val="23"/>
  </w:num>
  <w:num w:numId="19">
    <w:abstractNumId w:val="10"/>
  </w:num>
  <w:num w:numId="20">
    <w:abstractNumId w:val="1"/>
  </w:num>
  <w:num w:numId="21">
    <w:abstractNumId w:val="13"/>
  </w:num>
  <w:num w:numId="22">
    <w:abstractNumId w:val="15"/>
  </w:num>
  <w:num w:numId="23">
    <w:abstractNumId w:val="3"/>
  </w:num>
  <w:num w:numId="24">
    <w:abstractNumId w:val="6"/>
  </w:num>
  <w:num w:numId="25">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9B70BD"/>
    <w:rsid w:val="00000C43"/>
    <w:rsid w:val="00000FA7"/>
    <w:rsid w:val="00001EFF"/>
    <w:rsid w:val="00002F5C"/>
    <w:rsid w:val="00003687"/>
    <w:rsid w:val="00003C43"/>
    <w:rsid w:val="00004C5D"/>
    <w:rsid w:val="00004EB0"/>
    <w:rsid w:val="00004FF9"/>
    <w:rsid w:val="00006AAD"/>
    <w:rsid w:val="00007498"/>
    <w:rsid w:val="0000767A"/>
    <w:rsid w:val="000101F5"/>
    <w:rsid w:val="000104B9"/>
    <w:rsid w:val="00010702"/>
    <w:rsid w:val="00010770"/>
    <w:rsid w:val="00010982"/>
    <w:rsid w:val="00011191"/>
    <w:rsid w:val="0001159B"/>
    <w:rsid w:val="000117CA"/>
    <w:rsid w:val="00012986"/>
    <w:rsid w:val="000129CF"/>
    <w:rsid w:val="00013C75"/>
    <w:rsid w:val="00014028"/>
    <w:rsid w:val="00014690"/>
    <w:rsid w:val="00015195"/>
    <w:rsid w:val="0001519F"/>
    <w:rsid w:val="0001572B"/>
    <w:rsid w:val="0001573E"/>
    <w:rsid w:val="000157DA"/>
    <w:rsid w:val="0001589D"/>
    <w:rsid w:val="00016033"/>
    <w:rsid w:val="000162DB"/>
    <w:rsid w:val="00017F05"/>
    <w:rsid w:val="000202C6"/>
    <w:rsid w:val="00020315"/>
    <w:rsid w:val="000208B1"/>
    <w:rsid w:val="00020946"/>
    <w:rsid w:val="00021B1D"/>
    <w:rsid w:val="00022081"/>
    <w:rsid w:val="0002292C"/>
    <w:rsid w:val="00022983"/>
    <w:rsid w:val="00022B41"/>
    <w:rsid w:val="00022D8D"/>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41F6"/>
    <w:rsid w:val="00034D3F"/>
    <w:rsid w:val="00035CCF"/>
    <w:rsid w:val="00035FC6"/>
    <w:rsid w:val="0003705E"/>
    <w:rsid w:val="00037667"/>
    <w:rsid w:val="0003780E"/>
    <w:rsid w:val="0004075D"/>
    <w:rsid w:val="000411E1"/>
    <w:rsid w:val="00041E9C"/>
    <w:rsid w:val="000421D1"/>
    <w:rsid w:val="00042EC6"/>
    <w:rsid w:val="00043C68"/>
    <w:rsid w:val="00043E05"/>
    <w:rsid w:val="0004442E"/>
    <w:rsid w:val="00044913"/>
    <w:rsid w:val="00045681"/>
    <w:rsid w:val="0004694F"/>
    <w:rsid w:val="00046E43"/>
    <w:rsid w:val="000500DC"/>
    <w:rsid w:val="000509FD"/>
    <w:rsid w:val="000516F5"/>
    <w:rsid w:val="00051ADE"/>
    <w:rsid w:val="00052052"/>
    <w:rsid w:val="00052172"/>
    <w:rsid w:val="0005235A"/>
    <w:rsid w:val="000534FD"/>
    <w:rsid w:val="00053CBA"/>
    <w:rsid w:val="00054E43"/>
    <w:rsid w:val="00055059"/>
    <w:rsid w:val="000553E4"/>
    <w:rsid w:val="00055CE3"/>
    <w:rsid w:val="0005619C"/>
    <w:rsid w:val="000567FA"/>
    <w:rsid w:val="00056B26"/>
    <w:rsid w:val="00057C16"/>
    <w:rsid w:val="00060F26"/>
    <w:rsid w:val="00062D43"/>
    <w:rsid w:val="00062E1E"/>
    <w:rsid w:val="00062EC5"/>
    <w:rsid w:val="00063AF0"/>
    <w:rsid w:val="00064256"/>
    <w:rsid w:val="00065425"/>
    <w:rsid w:val="0006638F"/>
    <w:rsid w:val="00066B7B"/>
    <w:rsid w:val="000673F8"/>
    <w:rsid w:val="00070314"/>
    <w:rsid w:val="000706A4"/>
    <w:rsid w:val="00070A0C"/>
    <w:rsid w:val="00071F80"/>
    <w:rsid w:val="00072118"/>
    <w:rsid w:val="00073173"/>
    <w:rsid w:val="0007324C"/>
    <w:rsid w:val="00073655"/>
    <w:rsid w:val="000777FF"/>
    <w:rsid w:val="000779AC"/>
    <w:rsid w:val="00077C8D"/>
    <w:rsid w:val="000807ED"/>
    <w:rsid w:val="00080A41"/>
    <w:rsid w:val="00080AA8"/>
    <w:rsid w:val="00081851"/>
    <w:rsid w:val="0008376A"/>
    <w:rsid w:val="00083803"/>
    <w:rsid w:val="00083D7F"/>
    <w:rsid w:val="00083FE5"/>
    <w:rsid w:val="00084393"/>
    <w:rsid w:val="00084771"/>
    <w:rsid w:val="00085094"/>
    <w:rsid w:val="0008716A"/>
    <w:rsid w:val="00087634"/>
    <w:rsid w:val="0008769B"/>
    <w:rsid w:val="00091237"/>
    <w:rsid w:val="000916B1"/>
    <w:rsid w:val="0009191B"/>
    <w:rsid w:val="000920EC"/>
    <w:rsid w:val="000921B6"/>
    <w:rsid w:val="00092208"/>
    <w:rsid w:val="00092505"/>
    <w:rsid w:val="000927EB"/>
    <w:rsid w:val="00092832"/>
    <w:rsid w:val="00092C9A"/>
    <w:rsid w:val="00092D0F"/>
    <w:rsid w:val="00093F4B"/>
    <w:rsid w:val="00093FF2"/>
    <w:rsid w:val="0009437C"/>
    <w:rsid w:val="00096747"/>
    <w:rsid w:val="000973B6"/>
    <w:rsid w:val="000977F5"/>
    <w:rsid w:val="00097BFC"/>
    <w:rsid w:val="00097D02"/>
    <w:rsid w:val="000A1183"/>
    <w:rsid w:val="000A1A47"/>
    <w:rsid w:val="000A1B31"/>
    <w:rsid w:val="000A2121"/>
    <w:rsid w:val="000A2484"/>
    <w:rsid w:val="000A2929"/>
    <w:rsid w:val="000A36CE"/>
    <w:rsid w:val="000A4FFD"/>
    <w:rsid w:val="000A59BF"/>
    <w:rsid w:val="000A66C2"/>
    <w:rsid w:val="000A68A7"/>
    <w:rsid w:val="000A6F68"/>
    <w:rsid w:val="000B1CFE"/>
    <w:rsid w:val="000B210A"/>
    <w:rsid w:val="000B2324"/>
    <w:rsid w:val="000B249B"/>
    <w:rsid w:val="000B2729"/>
    <w:rsid w:val="000B27B2"/>
    <w:rsid w:val="000B2ADE"/>
    <w:rsid w:val="000B3B01"/>
    <w:rsid w:val="000B3C13"/>
    <w:rsid w:val="000B3DB9"/>
    <w:rsid w:val="000B3F02"/>
    <w:rsid w:val="000B4550"/>
    <w:rsid w:val="000B48A2"/>
    <w:rsid w:val="000B48E7"/>
    <w:rsid w:val="000B4E9F"/>
    <w:rsid w:val="000B4F41"/>
    <w:rsid w:val="000B5746"/>
    <w:rsid w:val="000B7663"/>
    <w:rsid w:val="000B7A90"/>
    <w:rsid w:val="000C1106"/>
    <w:rsid w:val="000C11D3"/>
    <w:rsid w:val="000C12F5"/>
    <w:rsid w:val="000C2F62"/>
    <w:rsid w:val="000C3408"/>
    <w:rsid w:val="000C4253"/>
    <w:rsid w:val="000C54AF"/>
    <w:rsid w:val="000C57C5"/>
    <w:rsid w:val="000C5C0F"/>
    <w:rsid w:val="000C5D56"/>
    <w:rsid w:val="000C60D8"/>
    <w:rsid w:val="000C6498"/>
    <w:rsid w:val="000C6F88"/>
    <w:rsid w:val="000C70D9"/>
    <w:rsid w:val="000D0B22"/>
    <w:rsid w:val="000D0D51"/>
    <w:rsid w:val="000D14B3"/>
    <w:rsid w:val="000D1BFB"/>
    <w:rsid w:val="000D1F52"/>
    <w:rsid w:val="000D208B"/>
    <w:rsid w:val="000D263E"/>
    <w:rsid w:val="000D2B8D"/>
    <w:rsid w:val="000D2BD3"/>
    <w:rsid w:val="000D2E41"/>
    <w:rsid w:val="000D342A"/>
    <w:rsid w:val="000D434D"/>
    <w:rsid w:val="000D43CB"/>
    <w:rsid w:val="000D5E7A"/>
    <w:rsid w:val="000D5FAA"/>
    <w:rsid w:val="000D65A4"/>
    <w:rsid w:val="000D6AEF"/>
    <w:rsid w:val="000D7414"/>
    <w:rsid w:val="000E025B"/>
    <w:rsid w:val="000E055F"/>
    <w:rsid w:val="000E0ECB"/>
    <w:rsid w:val="000E153A"/>
    <w:rsid w:val="000E19A8"/>
    <w:rsid w:val="000E1EEA"/>
    <w:rsid w:val="000E4241"/>
    <w:rsid w:val="000E4A42"/>
    <w:rsid w:val="000E5549"/>
    <w:rsid w:val="000E6184"/>
    <w:rsid w:val="000E6476"/>
    <w:rsid w:val="000E78D2"/>
    <w:rsid w:val="000F3332"/>
    <w:rsid w:val="000F33EE"/>
    <w:rsid w:val="000F3511"/>
    <w:rsid w:val="000F401E"/>
    <w:rsid w:val="000F45F0"/>
    <w:rsid w:val="000F5445"/>
    <w:rsid w:val="000F5598"/>
    <w:rsid w:val="000F5673"/>
    <w:rsid w:val="000F67B2"/>
    <w:rsid w:val="000F6CFB"/>
    <w:rsid w:val="000F7121"/>
    <w:rsid w:val="000F74B6"/>
    <w:rsid w:val="000F790F"/>
    <w:rsid w:val="000F7C25"/>
    <w:rsid w:val="000F7E1B"/>
    <w:rsid w:val="000F7F49"/>
    <w:rsid w:val="00100014"/>
    <w:rsid w:val="00100224"/>
    <w:rsid w:val="0010039A"/>
    <w:rsid w:val="001012BD"/>
    <w:rsid w:val="0010177A"/>
    <w:rsid w:val="00101E94"/>
    <w:rsid w:val="00101FB2"/>
    <w:rsid w:val="001028CF"/>
    <w:rsid w:val="00102CB8"/>
    <w:rsid w:val="00102F02"/>
    <w:rsid w:val="0010385D"/>
    <w:rsid w:val="00103E41"/>
    <w:rsid w:val="001041B6"/>
    <w:rsid w:val="00104F55"/>
    <w:rsid w:val="001070EA"/>
    <w:rsid w:val="001076CA"/>
    <w:rsid w:val="00107FF4"/>
    <w:rsid w:val="0011002A"/>
    <w:rsid w:val="001107CE"/>
    <w:rsid w:val="001109F0"/>
    <w:rsid w:val="0011110A"/>
    <w:rsid w:val="001118AF"/>
    <w:rsid w:val="00111CA5"/>
    <w:rsid w:val="0011256E"/>
    <w:rsid w:val="0011352E"/>
    <w:rsid w:val="0011365A"/>
    <w:rsid w:val="00114FC0"/>
    <w:rsid w:val="00115496"/>
    <w:rsid w:val="00115BDB"/>
    <w:rsid w:val="00116DB9"/>
    <w:rsid w:val="00116F28"/>
    <w:rsid w:val="00117597"/>
    <w:rsid w:val="00117CE8"/>
    <w:rsid w:val="00117F28"/>
    <w:rsid w:val="001201F0"/>
    <w:rsid w:val="00121961"/>
    <w:rsid w:val="00121C39"/>
    <w:rsid w:val="00123255"/>
    <w:rsid w:val="0012394A"/>
    <w:rsid w:val="00124D2D"/>
    <w:rsid w:val="00124DA1"/>
    <w:rsid w:val="00125326"/>
    <w:rsid w:val="00125CB5"/>
    <w:rsid w:val="001261B3"/>
    <w:rsid w:val="001264C1"/>
    <w:rsid w:val="00127535"/>
    <w:rsid w:val="001305B2"/>
    <w:rsid w:val="001307BE"/>
    <w:rsid w:val="00130C8F"/>
    <w:rsid w:val="001314F2"/>
    <w:rsid w:val="001317DA"/>
    <w:rsid w:val="00131FFA"/>
    <w:rsid w:val="001323BA"/>
    <w:rsid w:val="0013254D"/>
    <w:rsid w:val="00133643"/>
    <w:rsid w:val="00133AAC"/>
    <w:rsid w:val="00133FBD"/>
    <w:rsid w:val="00134DFD"/>
    <w:rsid w:val="001350B3"/>
    <w:rsid w:val="00136168"/>
    <w:rsid w:val="00136561"/>
    <w:rsid w:val="00136AE8"/>
    <w:rsid w:val="00136B6B"/>
    <w:rsid w:val="001400E1"/>
    <w:rsid w:val="001405FA"/>
    <w:rsid w:val="001408DD"/>
    <w:rsid w:val="001413B3"/>
    <w:rsid w:val="00142533"/>
    <w:rsid w:val="001425C3"/>
    <w:rsid w:val="00142F16"/>
    <w:rsid w:val="001432C1"/>
    <w:rsid w:val="00143E03"/>
    <w:rsid w:val="00143E93"/>
    <w:rsid w:val="00143FA3"/>
    <w:rsid w:val="0014428D"/>
    <w:rsid w:val="0014514D"/>
    <w:rsid w:val="00145AF9"/>
    <w:rsid w:val="00146FE4"/>
    <w:rsid w:val="0014731B"/>
    <w:rsid w:val="00147E55"/>
    <w:rsid w:val="00150040"/>
    <w:rsid w:val="001500FC"/>
    <w:rsid w:val="00150CEC"/>
    <w:rsid w:val="00151AC0"/>
    <w:rsid w:val="00151B27"/>
    <w:rsid w:val="00152046"/>
    <w:rsid w:val="001520AF"/>
    <w:rsid w:val="00152488"/>
    <w:rsid w:val="00152E53"/>
    <w:rsid w:val="00152FDD"/>
    <w:rsid w:val="0015323B"/>
    <w:rsid w:val="00153FED"/>
    <w:rsid w:val="00154147"/>
    <w:rsid w:val="001550F3"/>
    <w:rsid w:val="00155746"/>
    <w:rsid w:val="00156318"/>
    <w:rsid w:val="0015639A"/>
    <w:rsid w:val="0016081D"/>
    <w:rsid w:val="00160CF3"/>
    <w:rsid w:val="00160DCA"/>
    <w:rsid w:val="00160E61"/>
    <w:rsid w:val="00161300"/>
    <w:rsid w:val="00161DB6"/>
    <w:rsid w:val="001620FA"/>
    <w:rsid w:val="00162853"/>
    <w:rsid w:val="00162C62"/>
    <w:rsid w:val="00163793"/>
    <w:rsid w:val="00163841"/>
    <w:rsid w:val="00163F4D"/>
    <w:rsid w:val="00164978"/>
    <w:rsid w:val="001663DE"/>
    <w:rsid w:val="00167FB2"/>
    <w:rsid w:val="001707DE"/>
    <w:rsid w:val="00170B04"/>
    <w:rsid w:val="00170F47"/>
    <w:rsid w:val="001711F2"/>
    <w:rsid w:val="001714F2"/>
    <w:rsid w:val="001718C2"/>
    <w:rsid w:val="00171E6C"/>
    <w:rsid w:val="00172B64"/>
    <w:rsid w:val="00173583"/>
    <w:rsid w:val="00173642"/>
    <w:rsid w:val="001736BB"/>
    <w:rsid w:val="00173AF4"/>
    <w:rsid w:val="00173CB0"/>
    <w:rsid w:val="00174CE8"/>
    <w:rsid w:val="00174E7D"/>
    <w:rsid w:val="001752CB"/>
    <w:rsid w:val="00175351"/>
    <w:rsid w:val="00175F60"/>
    <w:rsid w:val="00176050"/>
    <w:rsid w:val="001764D8"/>
    <w:rsid w:val="00176A8F"/>
    <w:rsid w:val="00180D58"/>
    <w:rsid w:val="00181410"/>
    <w:rsid w:val="001814AE"/>
    <w:rsid w:val="00181938"/>
    <w:rsid w:val="001827CE"/>
    <w:rsid w:val="00182981"/>
    <w:rsid w:val="001833E9"/>
    <w:rsid w:val="00184CF9"/>
    <w:rsid w:val="00184DE8"/>
    <w:rsid w:val="00185010"/>
    <w:rsid w:val="001852EC"/>
    <w:rsid w:val="00185D56"/>
    <w:rsid w:val="00186447"/>
    <w:rsid w:val="001874CF"/>
    <w:rsid w:val="00187F91"/>
    <w:rsid w:val="00190214"/>
    <w:rsid w:val="00190D9B"/>
    <w:rsid w:val="0019161A"/>
    <w:rsid w:val="00191BAE"/>
    <w:rsid w:val="001921B5"/>
    <w:rsid w:val="00193432"/>
    <w:rsid w:val="0019346C"/>
    <w:rsid w:val="0019357D"/>
    <w:rsid w:val="00194096"/>
    <w:rsid w:val="0019431C"/>
    <w:rsid w:val="00194AE3"/>
    <w:rsid w:val="00195335"/>
    <w:rsid w:val="00195444"/>
    <w:rsid w:val="0019579E"/>
    <w:rsid w:val="00197806"/>
    <w:rsid w:val="001A1087"/>
    <w:rsid w:val="001A199D"/>
    <w:rsid w:val="001A2855"/>
    <w:rsid w:val="001A2BDB"/>
    <w:rsid w:val="001A30F4"/>
    <w:rsid w:val="001A47AB"/>
    <w:rsid w:val="001A4C0D"/>
    <w:rsid w:val="001A552F"/>
    <w:rsid w:val="001A56F3"/>
    <w:rsid w:val="001A5A2F"/>
    <w:rsid w:val="001A68CA"/>
    <w:rsid w:val="001A737B"/>
    <w:rsid w:val="001A750C"/>
    <w:rsid w:val="001B008E"/>
    <w:rsid w:val="001B05FE"/>
    <w:rsid w:val="001B1D89"/>
    <w:rsid w:val="001B1EFA"/>
    <w:rsid w:val="001B1FE2"/>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B1E"/>
    <w:rsid w:val="001C0E0E"/>
    <w:rsid w:val="001C0E66"/>
    <w:rsid w:val="001C0EB9"/>
    <w:rsid w:val="001C1219"/>
    <w:rsid w:val="001C357A"/>
    <w:rsid w:val="001C3657"/>
    <w:rsid w:val="001C3961"/>
    <w:rsid w:val="001C3A37"/>
    <w:rsid w:val="001C4384"/>
    <w:rsid w:val="001C55F5"/>
    <w:rsid w:val="001C65FF"/>
    <w:rsid w:val="001C6747"/>
    <w:rsid w:val="001C677A"/>
    <w:rsid w:val="001D05E6"/>
    <w:rsid w:val="001D12FB"/>
    <w:rsid w:val="001D1383"/>
    <w:rsid w:val="001D1D45"/>
    <w:rsid w:val="001D1E7C"/>
    <w:rsid w:val="001D2583"/>
    <w:rsid w:val="001D3787"/>
    <w:rsid w:val="001D3A7A"/>
    <w:rsid w:val="001D47E5"/>
    <w:rsid w:val="001D4EEB"/>
    <w:rsid w:val="001D53CB"/>
    <w:rsid w:val="001D584C"/>
    <w:rsid w:val="001D5E1B"/>
    <w:rsid w:val="001D66C1"/>
    <w:rsid w:val="001D6EF6"/>
    <w:rsid w:val="001D7C6F"/>
    <w:rsid w:val="001E0024"/>
    <w:rsid w:val="001E0241"/>
    <w:rsid w:val="001E0735"/>
    <w:rsid w:val="001E0C65"/>
    <w:rsid w:val="001E23E3"/>
    <w:rsid w:val="001E29AF"/>
    <w:rsid w:val="001E3731"/>
    <w:rsid w:val="001E387A"/>
    <w:rsid w:val="001E3DA4"/>
    <w:rsid w:val="001E5469"/>
    <w:rsid w:val="001E5830"/>
    <w:rsid w:val="001E5F62"/>
    <w:rsid w:val="001E684C"/>
    <w:rsid w:val="001E701C"/>
    <w:rsid w:val="001E7552"/>
    <w:rsid w:val="001E7C03"/>
    <w:rsid w:val="001F02AF"/>
    <w:rsid w:val="001F0649"/>
    <w:rsid w:val="001F28F4"/>
    <w:rsid w:val="001F2902"/>
    <w:rsid w:val="001F2CC6"/>
    <w:rsid w:val="001F3055"/>
    <w:rsid w:val="001F31BC"/>
    <w:rsid w:val="001F378E"/>
    <w:rsid w:val="001F3C79"/>
    <w:rsid w:val="001F3D52"/>
    <w:rsid w:val="001F3E68"/>
    <w:rsid w:val="001F4597"/>
    <w:rsid w:val="001F56A9"/>
    <w:rsid w:val="001F5C6A"/>
    <w:rsid w:val="001F63A7"/>
    <w:rsid w:val="001F670A"/>
    <w:rsid w:val="001F7C2A"/>
    <w:rsid w:val="00200D15"/>
    <w:rsid w:val="00200D2A"/>
    <w:rsid w:val="00201E7B"/>
    <w:rsid w:val="0020223B"/>
    <w:rsid w:val="0020294A"/>
    <w:rsid w:val="00203074"/>
    <w:rsid w:val="0020340C"/>
    <w:rsid w:val="00203B09"/>
    <w:rsid w:val="00203B46"/>
    <w:rsid w:val="00203FCB"/>
    <w:rsid w:val="002047DA"/>
    <w:rsid w:val="002048E1"/>
    <w:rsid w:val="00205711"/>
    <w:rsid w:val="002070AB"/>
    <w:rsid w:val="00207DB6"/>
    <w:rsid w:val="00210278"/>
    <w:rsid w:val="00210CC2"/>
    <w:rsid w:val="00210F5B"/>
    <w:rsid w:val="00210FFA"/>
    <w:rsid w:val="00211262"/>
    <w:rsid w:val="0021139C"/>
    <w:rsid w:val="002115F5"/>
    <w:rsid w:val="00211AC9"/>
    <w:rsid w:val="00212491"/>
    <w:rsid w:val="0021329E"/>
    <w:rsid w:val="002133D5"/>
    <w:rsid w:val="0021355B"/>
    <w:rsid w:val="002137A1"/>
    <w:rsid w:val="0021396F"/>
    <w:rsid w:val="00215061"/>
    <w:rsid w:val="0021507A"/>
    <w:rsid w:val="0021552C"/>
    <w:rsid w:val="00215A2C"/>
    <w:rsid w:val="00217980"/>
    <w:rsid w:val="002179F9"/>
    <w:rsid w:val="002205F2"/>
    <w:rsid w:val="0022080E"/>
    <w:rsid w:val="00220895"/>
    <w:rsid w:val="00220B20"/>
    <w:rsid w:val="0022139E"/>
    <w:rsid w:val="002224C1"/>
    <w:rsid w:val="0022272B"/>
    <w:rsid w:val="00222A99"/>
    <w:rsid w:val="00223678"/>
    <w:rsid w:val="002236F7"/>
    <w:rsid w:val="00223E00"/>
    <w:rsid w:val="00224048"/>
    <w:rsid w:val="00224123"/>
    <w:rsid w:val="002244CE"/>
    <w:rsid w:val="002250AD"/>
    <w:rsid w:val="002252E0"/>
    <w:rsid w:val="002255F6"/>
    <w:rsid w:val="00225F36"/>
    <w:rsid w:val="00226466"/>
    <w:rsid w:val="002266D0"/>
    <w:rsid w:val="00226887"/>
    <w:rsid w:val="00227991"/>
    <w:rsid w:val="00227A27"/>
    <w:rsid w:val="00230574"/>
    <w:rsid w:val="00230CA7"/>
    <w:rsid w:val="00230DAD"/>
    <w:rsid w:val="0023229C"/>
    <w:rsid w:val="00232A3C"/>
    <w:rsid w:val="0023301B"/>
    <w:rsid w:val="002334DF"/>
    <w:rsid w:val="0023355C"/>
    <w:rsid w:val="00234280"/>
    <w:rsid w:val="00234DD5"/>
    <w:rsid w:val="00235000"/>
    <w:rsid w:val="002350E3"/>
    <w:rsid w:val="00235330"/>
    <w:rsid w:val="00236443"/>
    <w:rsid w:val="00240773"/>
    <w:rsid w:val="00240815"/>
    <w:rsid w:val="00240924"/>
    <w:rsid w:val="00240A5B"/>
    <w:rsid w:val="00240C76"/>
    <w:rsid w:val="002411EF"/>
    <w:rsid w:val="00241446"/>
    <w:rsid w:val="00241FC7"/>
    <w:rsid w:val="00242730"/>
    <w:rsid w:val="002436BA"/>
    <w:rsid w:val="002439C3"/>
    <w:rsid w:val="002444ED"/>
    <w:rsid w:val="00244A15"/>
    <w:rsid w:val="00244D40"/>
    <w:rsid w:val="002452E5"/>
    <w:rsid w:val="0024644F"/>
    <w:rsid w:val="00246AE9"/>
    <w:rsid w:val="002473CA"/>
    <w:rsid w:val="0024799E"/>
    <w:rsid w:val="00250C59"/>
    <w:rsid w:val="00250E0D"/>
    <w:rsid w:val="002518F6"/>
    <w:rsid w:val="00251D59"/>
    <w:rsid w:val="00252602"/>
    <w:rsid w:val="00252609"/>
    <w:rsid w:val="00252FDC"/>
    <w:rsid w:val="002532E2"/>
    <w:rsid w:val="00253E11"/>
    <w:rsid w:val="00254069"/>
    <w:rsid w:val="00254B3B"/>
    <w:rsid w:val="00254C4B"/>
    <w:rsid w:val="002550D8"/>
    <w:rsid w:val="00255A44"/>
    <w:rsid w:val="00257083"/>
    <w:rsid w:val="00257613"/>
    <w:rsid w:val="002609C2"/>
    <w:rsid w:val="00261A0F"/>
    <w:rsid w:val="00261E5B"/>
    <w:rsid w:val="00262EB9"/>
    <w:rsid w:val="00262F34"/>
    <w:rsid w:val="002633E5"/>
    <w:rsid w:val="00263470"/>
    <w:rsid w:val="00263733"/>
    <w:rsid w:val="00264676"/>
    <w:rsid w:val="00264A46"/>
    <w:rsid w:val="00265536"/>
    <w:rsid w:val="0026595E"/>
    <w:rsid w:val="00265E54"/>
    <w:rsid w:val="00266306"/>
    <w:rsid w:val="002664A1"/>
    <w:rsid w:val="00266534"/>
    <w:rsid w:val="00266F3E"/>
    <w:rsid w:val="00270785"/>
    <w:rsid w:val="00271B9B"/>
    <w:rsid w:val="0027224A"/>
    <w:rsid w:val="00272464"/>
    <w:rsid w:val="00272B0B"/>
    <w:rsid w:val="00272CC5"/>
    <w:rsid w:val="00273C60"/>
    <w:rsid w:val="00273DCD"/>
    <w:rsid w:val="00274291"/>
    <w:rsid w:val="00276C09"/>
    <w:rsid w:val="00276CFE"/>
    <w:rsid w:val="00277071"/>
    <w:rsid w:val="002776A5"/>
    <w:rsid w:val="0027786C"/>
    <w:rsid w:val="00277BF7"/>
    <w:rsid w:val="0028019B"/>
    <w:rsid w:val="00280A72"/>
    <w:rsid w:val="00281416"/>
    <w:rsid w:val="00282084"/>
    <w:rsid w:val="00283720"/>
    <w:rsid w:val="00283C61"/>
    <w:rsid w:val="00283D6A"/>
    <w:rsid w:val="00284C6F"/>
    <w:rsid w:val="00285CD3"/>
    <w:rsid w:val="0028633E"/>
    <w:rsid w:val="0028686A"/>
    <w:rsid w:val="00286E66"/>
    <w:rsid w:val="002870B7"/>
    <w:rsid w:val="002919B5"/>
    <w:rsid w:val="002920F5"/>
    <w:rsid w:val="00292D0B"/>
    <w:rsid w:val="00293441"/>
    <w:rsid w:val="00293553"/>
    <w:rsid w:val="00294238"/>
    <w:rsid w:val="00294776"/>
    <w:rsid w:val="0029493E"/>
    <w:rsid w:val="002962E0"/>
    <w:rsid w:val="00296C2E"/>
    <w:rsid w:val="002A04C7"/>
    <w:rsid w:val="002A1B05"/>
    <w:rsid w:val="002A267F"/>
    <w:rsid w:val="002A3354"/>
    <w:rsid w:val="002A35EA"/>
    <w:rsid w:val="002A37B6"/>
    <w:rsid w:val="002A3BD5"/>
    <w:rsid w:val="002A43A2"/>
    <w:rsid w:val="002A44ED"/>
    <w:rsid w:val="002A4612"/>
    <w:rsid w:val="002A4F70"/>
    <w:rsid w:val="002A5263"/>
    <w:rsid w:val="002A5D3F"/>
    <w:rsid w:val="002A5DF2"/>
    <w:rsid w:val="002A63B9"/>
    <w:rsid w:val="002A6821"/>
    <w:rsid w:val="002A6F67"/>
    <w:rsid w:val="002A74D2"/>
    <w:rsid w:val="002A7A78"/>
    <w:rsid w:val="002A7CDA"/>
    <w:rsid w:val="002A7F47"/>
    <w:rsid w:val="002B1544"/>
    <w:rsid w:val="002B1DC1"/>
    <w:rsid w:val="002B36C8"/>
    <w:rsid w:val="002B385B"/>
    <w:rsid w:val="002B4ADE"/>
    <w:rsid w:val="002B6B7A"/>
    <w:rsid w:val="002B71B4"/>
    <w:rsid w:val="002B7240"/>
    <w:rsid w:val="002B725B"/>
    <w:rsid w:val="002B7323"/>
    <w:rsid w:val="002B7937"/>
    <w:rsid w:val="002C0FF4"/>
    <w:rsid w:val="002C125A"/>
    <w:rsid w:val="002C2668"/>
    <w:rsid w:val="002C43BD"/>
    <w:rsid w:val="002C493D"/>
    <w:rsid w:val="002C5261"/>
    <w:rsid w:val="002C5CB7"/>
    <w:rsid w:val="002C6091"/>
    <w:rsid w:val="002C63C1"/>
    <w:rsid w:val="002C6A6E"/>
    <w:rsid w:val="002D0562"/>
    <w:rsid w:val="002D1B5A"/>
    <w:rsid w:val="002D2500"/>
    <w:rsid w:val="002D338A"/>
    <w:rsid w:val="002D3E4C"/>
    <w:rsid w:val="002D3F00"/>
    <w:rsid w:val="002D4A1E"/>
    <w:rsid w:val="002D4D59"/>
    <w:rsid w:val="002D50CF"/>
    <w:rsid w:val="002D54BF"/>
    <w:rsid w:val="002D5C3D"/>
    <w:rsid w:val="002D5E94"/>
    <w:rsid w:val="002D632D"/>
    <w:rsid w:val="002D6B01"/>
    <w:rsid w:val="002D6B11"/>
    <w:rsid w:val="002D6FC7"/>
    <w:rsid w:val="002D778C"/>
    <w:rsid w:val="002D7EF4"/>
    <w:rsid w:val="002E02A1"/>
    <w:rsid w:val="002E0982"/>
    <w:rsid w:val="002E0DB9"/>
    <w:rsid w:val="002E10D3"/>
    <w:rsid w:val="002E1BFA"/>
    <w:rsid w:val="002E1C23"/>
    <w:rsid w:val="002E2CE4"/>
    <w:rsid w:val="002E31A0"/>
    <w:rsid w:val="002E34F3"/>
    <w:rsid w:val="002E4217"/>
    <w:rsid w:val="002E435E"/>
    <w:rsid w:val="002E4C1C"/>
    <w:rsid w:val="002E6DB8"/>
    <w:rsid w:val="002E73F2"/>
    <w:rsid w:val="002F0709"/>
    <w:rsid w:val="002F0FDB"/>
    <w:rsid w:val="002F149A"/>
    <w:rsid w:val="002F19CC"/>
    <w:rsid w:val="002F33FB"/>
    <w:rsid w:val="002F36D0"/>
    <w:rsid w:val="002F663A"/>
    <w:rsid w:val="002F68A4"/>
    <w:rsid w:val="002F7594"/>
    <w:rsid w:val="002F7902"/>
    <w:rsid w:val="003003E7"/>
    <w:rsid w:val="003004EB"/>
    <w:rsid w:val="00300D6F"/>
    <w:rsid w:val="00301357"/>
    <w:rsid w:val="0030192C"/>
    <w:rsid w:val="00301D04"/>
    <w:rsid w:val="003035D4"/>
    <w:rsid w:val="00303A3C"/>
    <w:rsid w:val="00303DCB"/>
    <w:rsid w:val="0030464E"/>
    <w:rsid w:val="00304771"/>
    <w:rsid w:val="00304E6C"/>
    <w:rsid w:val="00305736"/>
    <w:rsid w:val="00305C33"/>
    <w:rsid w:val="0030607B"/>
    <w:rsid w:val="00306C5B"/>
    <w:rsid w:val="00306E3B"/>
    <w:rsid w:val="0030768C"/>
    <w:rsid w:val="00310ADB"/>
    <w:rsid w:val="003119B6"/>
    <w:rsid w:val="003124EF"/>
    <w:rsid w:val="00312A00"/>
    <w:rsid w:val="00312C3D"/>
    <w:rsid w:val="003131A6"/>
    <w:rsid w:val="00313F7F"/>
    <w:rsid w:val="00314331"/>
    <w:rsid w:val="00317E31"/>
    <w:rsid w:val="00320214"/>
    <w:rsid w:val="003209D6"/>
    <w:rsid w:val="0032109A"/>
    <w:rsid w:val="0032214F"/>
    <w:rsid w:val="00322164"/>
    <w:rsid w:val="00322719"/>
    <w:rsid w:val="0032330F"/>
    <w:rsid w:val="00323486"/>
    <w:rsid w:val="00323A13"/>
    <w:rsid w:val="00323CF7"/>
    <w:rsid w:val="00323E61"/>
    <w:rsid w:val="00324055"/>
    <w:rsid w:val="0032513D"/>
    <w:rsid w:val="00326251"/>
    <w:rsid w:val="0032739C"/>
    <w:rsid w:val="003273BB"/>
    <w:rsid w:val="00327602"/>
    <w:rsid w:val="003276D1"/>
    <w:rsid w:val="00327DEE"/>
    <w:rsid w:val="003301FD"/>
    <w:rsid w:val="003302DA"/>
    <w:rsid w:val="00330EB0"/>
    <w:rsid w:val="00331574"/>
    <w:rsid w:val="0033229B"/>
    <w:rsid w:val="003329F3"/>
    <w:rsid w:val="00333134"/>
    <w:rsid w:val="0033352E"/>
    <w:rsid w:val="00333690"/>
    <w:rsid w:val="00333D20"/>
    <w:rsid w:val="00333F53"/>
    <w:rsid w:val="003340EF"/>
    <w:rsid w:val="00334A49"/>
    <w:rsid w:val="0033536F"/>
    <w:rsid w:val="00335BB0"/>
    <w:rsid w:val="00335BE6"/>
    <w:rsid w:val="00335E99"/>
    <w:rsid w:val="0033627B"/>
    <w:rsid w:val="003406BD"/>
    <w:rsid w:val="00343474"/>
    <w:rsid w:val="00343F84"/>
    <w:rsid w:val="00344135"/>
    <w:rsid w:val="003450E2"/>
    <w:rsid w:val="00351315"/>
    <w:rsid w:val="00351B63"/>
    <w:rsid w:val="00352482"/>
    <w:rsid w:val="00352E57"/>
    <w:rsid w:val="00352FC0"/>
    <w:rsid w:val="003541B0"/>
    <w:rsid w:val="0035457E"/>
    <w:rsid w:val="00355885"/>
    <w:rsid w:val="00355CAA"/>
    <w:rsid w:val="0035605E"/>
    <w:rsid w:val="00356244"/>
    <w:rsid w:val="00356CAE"/>
    <w:rsid w:val="00356FED"/>
    <w:rsid w:val="00357449"/>
    <w:rsid w:val="00357C28"/>
    <w:rsid w:val="00361F76"/>
    <w:rsid w:val="0036238B"/>
    <w:rsid w:val="00362408"/>
    <w:rsid w:val="003630B0"/>
    <w:rsid w:val="00364087"/>
    <w:rsid w:val="003649FC"/>
    <w:rsid w:val="00364C0E"/>
    <w:rsid w:val="00364EAD"/>
    <w:rsid w:val="003651A4"/>
    <w:rsid w:val="00365680"/>
    <w:rsid w:val="003657F3"/>
    <w:rsid w:val="00366D4D"/>
    <w:rsid w:val="00366F77"/>
    <w:rsid w:val="00367038"/>
    <w:rsid w:val="003670FE"/>
    <w:rsid w:val="0036710C"/>
    <w:rsid w:val="0037040B"/>
    <w:rsid w:val="00370963"/>
    <w:rsid w:val="0037144E"/>
    <w:rsid w:val="00372272"/>
    <w:rsid w:val="0037290D"/>
    <w:rsid w:val="00372B1D"/>
    <w:rsid w:val="003736B5"/>
    <w:rsid w:val="00374546"/>
    <w:rsid w:val="00374DB6"/>
    <w:rsid w:val="00374F1E"/>
    <w:rsid w:val="003750CF"/>
    <w:rsid w:val="003769F0"/>
    <w:rsid w:val="00376DEC"/>
    <w:rsid w:val="00377200"/>
    <w:rsid w:val="00377666"/>
    <w:rsid w:val="00377E93"/>
    <w:rsid w:val="0038034A"/>
    <w:rsid w:val="00380E04"/>
    <w:rsid w:val="00380E6C"/>
    <w:rsid w:val="00381171"/>
    <w:rsid w:val="0038187C"/>
    <w:rsid w:val="00383227"/>
    <w:rsid w:val="003839C9"/>
    <w:rsid w:val="00383FD2"/>
    <w:rsid w:val="0038422D"/>
    <w:rsid w:val="003843B1"/>
    <w:rsid w:val="00384D8F"/>
    <w:rsid w:val="003857A2"/>
    <w:rsid w:val="00385D71"/>
    <w:rsid w:val="00385D98"/>
    <w:rsid w:val="00385EC5"/>
    <w:rsid w:val="0038658E"/>
    <w:rsid w:val="003875C2"/>
    <w:rsid w:val="0039066E"/>
    <w:rsid w:val="00391C95"/>
    <w:rsid w:val="00392110"/>
    <w:rsid w:val="00392B64"/>
    <w:rsid w:val="00392B9E"/>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1F5"/>
    <w:rsid w:val="003A6B38"/>
    <w:rsid w:val="003B2142"/>
    <w:rsid w:val="003B2580"/>
    <w:rsid w:val="003B2721"/>
    <w:rsid w:val="003B293F"/>
    <w:rsid w:val="003B2D28"/>
    <w:rsid w:val="003B2E63"/>
    <w:rsid w:val="003B3189"/>
    <w:rsid w:val="003B3A9D"/>
    <w:rsid w:val="003B3DDD"/>
    <w:rsid w:val="003B5031"/>
    <w:rsid w:val="003B5A32"/>
    <w:rsid w:val="003B6105"/>
    <w:rsid w:val="003B769D"/>
    <w:rsid w:val="003B7F20"/>
    <w:rsid w:val="003C03CC"/>
    <w:rsid w:val="003C04C4"/>
    <w:rsid w:val="003C08E2"/>
    <w:rsid w:val="003C0B96"/>
    <w:rsid w:val="003C0CB5"/>
    <w:rsid w:val="003C26F4"/>
    <w:rsid w:val="003C3686"/>
    <w:rsid w:val="003C3E2C"/>
    <w:rsid w:val="003C4852"/>
    <w:rsid w:val="003C5BC7"/>
    <w:rsid w:val="003C5F05"/>
    <w:rsid w:val="003C601E"/>
    <w:rsid w:val="003C66C4"/>
    <w:rsid w:val="003C6DB9"/>
    <w:rsid w:val="003D1FA0"/>
    <w:rsid w:val="003D2393"/>
    <w:rsid w:val="003D2519"/>
    <w:rsid w:val="003D2C4E"/>
    <w:rsid w:val="003D3600"/>
    <w:rsid w:val="003D3825"/>
    <w:rsid w:val="003D3EC4"/>
    <w:rsid w:val="003D3FB2"/>
    <w:rsid w:val="003D44E2"/>
    <w:rsid w:val="003D4760"/>
    <w:rsid w:val="003D49DC"/>
    <w:rsid w:val="003D49E0"/>
    <w:rsid w:val="003D4DD9"/>
    <w:rsid w:val="003D4FB5"/>
    <w:rsid w:val="003D59BE"/>
    <w:rsid w:val="003D5D7A"/>
    <w:rsid w:val="003D5E4B"/>
    <w:rsid w:val="003D653F"/>
    <w:rsid w:val="003D6B55"/>
    <w:rsid w:val="003E0261"/>
    <w:rsid w:val="003E0663"/>
    <w:rsid w:val="003E133F"/>
    <w:rsid w:val="003E1A70"/>
    <w:rsid w:val="003E2469"/>
    <w:rsid w:val="003E49F6"/>
    <w:rsid w:val="003E699C"/>
    <w:rsid w:val="003E69F3"/>
    <w:rsid w:val="003E782E"/>
    <w:rsid w:val="003E7A0B"/>
    <w:rsid w:val="003E7B2B"/>
    <w:rsid w:val="003E7F69"/>
    <w:rsid w:val="003F01D7"/>
    <w:rsid w:val="003F0293"/>
    <w:rsid w:val="003F116D"/>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D19"/>
    <w:rsid w:val="003F7631"/>
    <w:rsid w:val="003F7948"/>
    <w:rsid w:val="004000D5"/>
    <w:rsid w:val="00400244"/>
    <w:rsid w:val="004005C1"/>
    <w:rsid w:val="00400BBD"/>
    <w:rsid w:val="00401716"/>
    <w:rsid w:val="004018F7"/>
    <w:rsid w:val="00401A09"/>
    <w:rsid w:val="0040273A"/>
    <w:rsid w:val="00402C25"/>
    <w:rsid w:val="004036FB"/>
    <w:rsid w:val="00403D65"/>
    <w:rsid w:val="0040501E"/>
    <w:rsid w:val="004050D7"/>
    <w:rsid w:val="004076EE"/>
    <w:rsid w:val="004078BD"/>
    <w:rsid w:val="00407C32"/>
    <w:rsid w:val="00410132"/>
    <w:rsid w:val="004104E4"/>
    <w:rsid w:val="00410A97"/>
    <w:rsid w:val="00410BCD"/>
    <w:rsid w:val="00410DE5"/>
    <w:rsid w:val="0041175D"/>
    <w:rsid w:val="004117CE"/>
    <w:rsid w:val="00412044"/>
    <w:rsid w:val="004120DE"/>
    <w:rsid w:val="004121D6"/>
    <w:rsid w:val="004123BE"/>
    <w:rsid w:val="0041329F"/>
    <w:rsid w:val="00414CE5"/>
    <w:rsid w:val="00416618"/>
    <w:rsid w:val="00416673"/>
    <w:rsid w:val="0041677D"/>
    <w:rsid w:val="00420D92"/>
    <w:rsid w:val="0042160D"/>
    <w:rsid w:val="0042254E"/>
    <w:rsid w:val="00423A3C"/>
    <w:rsid w:val="00423C04"/>
    <w:rsid w:val="00424D9B"/>
    <w:rsid w:val="00424F18"/>
    <w:rsid w:val="00425612"/>
    <w:rsid w:val="0042681B"/>
    <w:rsid w:val="00426B7F"/>
    <w:rsid w:val="00426E44"/>
    <w:rsid w:val="00427193"/>
    <w:rsid w:val="00427332"/>
    <w:rsid w:val="0043068A"/>
    <w:rsid w:val="004306E0"/>
    <w:rsid w:val="00430BD6"/>
    <w:rsid w:val="00431D54"/>
    <w:rsid w:val="00431F98"/>
    <w:rsid w:val="004325CC"/>
    <w:rsid w:val="004329BE"/>
    <w:rsid w:val="00432C38"/>
    <w:rsid w:val="004333B9"/>
    <w:rsid w:val="004342EC"/>
    <w:rsid w:val="00434D5A"/>
    <w:rsid w:val="00435874"/>
    <w:rsid w:val="00436EDB"/>
    <w:rsid w:val="00437C76"/>
    <w:rsid w:val="00437F4A"/>
    <w:rsid w:val="0044105C"/>
    <w:rsid w:val="00441306"/>
    <w:rsid w:val="00442197"/>
    <w:rsid w:val="00442BD1"/>
    <w:rsid w:val="00443293"/>
    <w:rsid w:val="00443CC7"/>
    <w:rsid w:val="00443E95"/>
    <w:rsid w:val="004441A0"/>
    <w:rsid w:val="00444268"/>
    <w:rsid w:val="00444326"/>
    <w:rsid w:val="004443BF"/>
    <w:rsid w:val="00444C19"/>
    <w:rsid w:val="00444EC5"/>
    <w:rsid w:val="00445218"/>
    <w:rsid w:val="00445CDD"/>
    <w:rsid w:val="0044683E"/>
    <w:rsid w:val="00446892"/>
    <w:rsid w:val="00447267"/>
    <w:rsid w:val="004475C7"/>
    <w:rsid w:val="00447E36"/>
    <w:rsid w:val="00450700"/>
    <w:rsid w:val="00450C30"/>
    <w:rsid w:val="004514C2"/>
    <w:rsid w:val="004522AE"/>
    <w:rsid w:val="004529C7"/>
    <w:rsid w:val="004540FF"/>
    <w:rsid w:val="004541F1"/>
    <w:rsid w:val="00454921"/>
    <w:rsid w:val="00454D31"/>
    <w:rsid w:val="00455BB8"/>
    <w:rsid w:val="00455ECA"/>
    <w:rsid w:val="00456EA3"/>
    <w:rsid w:val="0045707D"/>
    <w:rsid w:val="004570DE"/>
    <w:rsid w:val="00457296"/>
    <w:rsid w:val="00457320"/>
    <w:rsid w:val="00457D0F"/>
    <w:rsid w:val="00460164"/>
    <w:rsid w:val="0046039A"/>
    <w:rsid w:val="00460A6B"/>
    <w:rsid w:val="00460F61"/>
    <w:rsid w:val="004616F1"/>
    <w:rsid w:val="00461977"/>
    <w:rsid w:val="00461A3F"/>
    <w:rsid w:val="00461C4C"/>
    <w:rsid w:val="004620C7"/>
    <w:rsid w:val="004629FD"/>
    <w:rsid w:val="00462AD2"/>
    <w:rsid w:val="00463B4B"/>
    <w:rsid w:val="00463F4D"/>
    <w:rsid w:val="00464658"/>
    <w:rsid w:val="0046471F"/>
    <w:rsid w:val="00464BE8"/>
    <w:rsid w:val="00465019"/>
    <w:rsid w:val="00465317"/>
    <w:rsid w:val="00465FA4"/>
    <w:rsid w:val="0046613F"/>
    <w:rsid w:val="0046655D"/>
    <w:rsid w:val="00466808"/>
    <w:rsid w:val="00466AAE"/>
    <w:rsid w:val="0046765E"/>
    <w:rsid w:val="004676E2"/>
    <w:rsid w:val="004703E3"/>
    <w:rsid w:val="00471B64"/>
    <w:rsid w:val="00471EDD"/>
    <w:rsid w:val="00473E94"/>
    <w:rsid w:val="0047400C"/>
    <w:rsid w:val="00474471"/>
    <w:rsid w:val="004745D9"/>
    <w:rsid w:val="00474619"/>
    <w:rsid w:val="0047494A"/>
    <w:rsid w:val="00474B94"/>
    <w:rsid w:val="00475076"/>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F81"/>
    <w:rsid w:val="00490082"/>
    <w:rsid w:val="00490247"/>
    <w:rsid w:val="00490524"/>
    <w:rsid w:val="00490B20"/>
    <w:rsid w:val="0049104F"/>
    <w:rsid w:val="00491218"/>
    <w:rsid w:val="00491CFD"/>
    <w:rsid w:val="00492991"/>
    <w:rsid w:val="00493362"/>
    <w:rsid w:val="00493F5F"/>
    <w:rsid w:val="00494343"/>
    <w:rsid w:val="00494AAB"/>
    <w:rsid w:val="00494FB8"/>
    <w:rsid w:val="0049548B"/>
    <w:rsid w:val="00496C2F"/>
    <w:rsid w:val="0049740D"/>
    <w:rsid w:val="004978D3"/>
    <w:rsid w:val="004A06A6"/>
    <w:rsid w:val="004A1160"/>
    <w:rsid w:val="004A11F8"/>
    <w:rsid w:val="004A22BD"/>
    <w:rsid w:val="004A22FA"/>
    <w:rsid w:val="004A25E2"/>
    <w:rsid w:val="004A269A"/>
    <w:rsid w:val="004A26AF"/>
    <w:rsid w:val="004A26DB"/>
    <w:rsid w:val="004A30FB"/>
    <w:rsid w:val="004A35DD"/>
    <w:rsid w:val="004A37D3"/>
    <w:rsid w:val="004A3AD6"/>
    <w:rsid w:val="004A3BCE"/>
    <w:rsid w:val="004A4A6D"/>
    <w:rsid w:val="004A4D61"/>
    <w:rsid w:val="004A5155"/>
    <w:rsid w:val="004A56EB"/>
    <w:rsid w:val="004A5865"/>
    <w:rsid w:val="004A7670"/>
    <w:rsid w:val="004A77DF"/>
    <w:rsid w:val="004B0295"/>
    <w:rsid w:val="004B0803"/>
    <w:rsid w:val="004B10A8"/>
    <w:rsid w:val="004B1F58"/>
    <w:rsid w:val="004B1F9D"/>
    <w:rsid w:val="004B2093"/>
    <w:rsid w:val="004B22DA"/>
    <w:rsid w:val="004B314A"/>
    <w:rsid w:val="004B3CB7"/>
    <w:rsid w:val="004B3D55"/>
    <w:rsid w:val="004B41DC"/>
    <w:rsid w:val="004B54C0"/>
    <w:rsid w:val="004B55B7"/>
    <w:rsid w:val="004B5836"/>
    <w:rsid w:val="004B5E1F"/>
    <w:rsid w:val="004B5F05"/>
    <w:rsid w:val="004C0009"/>
    <w:rsid w:val="004C00A6"/>
    <w:rsid w:val="004C0243"/>
    <w:rsid w:val="004C08F1"/>
    <w:rsid w:val="004C0B46"/>
    <w:rsid w:val="004C0BBB"/>
    <w:rsid w:val="004C1AD6"/>
    <w:rsid w:val="004C1B86"/>
    <w:rsid w:val="004C1DEE"/>
    <w:rsid w:val="004C3382"/>
    <w:rsid w:val="004C3867"/>
    <w:rsid w:val="004C4AB7"/>
    <w:rsid w:val="004C4B88"/>
    <w:rsid w:val="004C4CD0"/>
    <w:rsid w:val="004C5121"/>
    <w:rsid w:val="004C57B5"/>
    <w:rsid w:val="004C5C25"/>
    <w:rsid w:val="004C6717"/>
    <w:rsid w:val="004C6CFF"/>
    <w:rsid w:val="004C7065"/>
    <w:rsid w:val="004C70DC"/>
    <w:rsid w:val="004C7268"/>
    <w:rsid w:val="004C77A8"/>
    <w:rsid w:val="004C7C50"/>
    <w:rsid w:val="004D0211"/>
    <w:rsid w:val="004D1C9C"/>
    <w:rsid w:val="004D2A0E"/>
    <w:rsid w:val="004D2D7A"/>
    <w:rsid w:val="004D3B7D"/>
    <w:rsid w:val="004D458D"/>
    <w:rsid w:val="004D474F"/>
    <w:rsid w:val="004D4F13"/>
    <w:rsid w:val="004D504B"/>
    <w:rsid w:val="004D536E"/>
    <w:rsid w:val="004D58CE"/>
    <w:rsid w:val="004D6307"/>
    <w:rsid w:val="004D70B1"/>
    <w:rsid w:val="004D745A"/>
    <w:rsid w:val="004D76CC"/>
    <w:rsid w:val="004E1415"/>
    <w:rsid w:val="004E1839"/>
    <w:rsid w:val="004E38D2"/>
    <w:rsid w:val="004E4A75"/>
    <w:rsid w:val="004E541A"/>
    <w:rsid w:val="004E5A5C"/>
    <w:rsid w:val="004E7007"/>
    <w:rsid w:val="004E70ED"/>
    <w:rsid w:val="004E76D6"/>
    <w:rsid w:val="004E7F57"/>
    <w:rsid w:val="004F06F5"/>
    <w:rsid w:val="004F0B25"/>
    <w:rsid w:val="004F191F"/>
    <w:rsid w:val="004F2A4D"/>
    <w:rsid w:val="004F2A73"/>
    <w:rsid w:val="004F33A0"/>
    <w:rsid w:val="004F353A"/>
    <w:rsid w:val="004F3B06"/>
    <w:rsid w:val="004F4353"/>
    <w:rsid w:val="004F447D"/>
    <w:rsid w:val="004F4C28"/>
    <w:rsid w:val="004F4E82"/>
    <w:rsid w:val="004F5470"/>
    <w:rsid w:val="004F5950"/>
    <w:rsid w:val="004F5CC5"/>
    <w:rsid w:val="004F5DCC"/>
    <w:rsid w:val="004F6350"/>
    <w:rsid w:val="004F7170"/>
    <w:rsid w:val="00501BFD"/>
    <w:rsid w:val="005028E1"/>
    <w:rsid w:val="00503955"/>
    <w:rsid w:val="005041D8"/>
    <w:rsid w:val="00505989"/>
    <w:rsid w:val="00506309"/>
    <w:rsid w:val="0050692E"/>
    <w:rsid w:val="00507040"/>
    <w:rsid w:val="00507638"/>
    <w:rsid w:val="005079F8"/>
    <w:rsid w:val="00507A87"/>
    <w:rsid w:val="00510189"/>
    <w:rsid w:val="00510428"/>
    <w:rsid w:val="005108C0"/>
    <w:rsid w:val="00510C81"/>
    <w:rsid w:val="00511873"/>
    <w:rsid w:val="00512495"/>
    <w:rsid w:val="00512603"/>
    <w:rsid w:val="00512B54"/>
    <w:rsid w:val="00512CC5"/>
    <w:rsid w:val="0051367B"/>
    <w:rsid w:val="00513A89"/>
    <w:rsid w:val="00513B7E"/>
    <w:rsid w:val="005140DE"/>
    <w:rsid w:val="00514474"/>
    <w:rsid w:val="005147E9"/>
    <w:rsid w:val="0051507D"/>
    <w:rsid w:val="0051593C"/>
    <w:rsid w:val="0051668A"/>
    <w:rsid w:val="00516CF6"/>
    <w:rsid w:val="00516F2B"/>
    <w:rsid w:val="00517567"/>
    <w:rsid w:val="0051778E"/>
    <w:rsid w:val="005177BB"/>
    <w:rsid w:val="005215EF"/>
    <w:rsid w:val="00521CFC"/>
    <w:rsid w:val="00522795"/>
    <w:rsid w:val="00522F36"/>
    <w:rsid w:val="00524637"/>
    <w:rsid w:val="0052495F"/>
    <w:rsid w:val="00524FDD"/>
    <w:rsid w:val="00525137"/>
    <w:rsid w:val="005251DD"/>
    <w:rsid w:val="005257A8"/>
    <w:rsid w:val="00526A54"/>
    <w:rsid w:val="00526D50"/>
    <w:rsid w:val="00526DB6"/>
    <w:rsid w:val="00527F5A"/>
    <w:rsid w:val="005300CB"/>
    <w:rsid w:val="0053017A"/>
    <w:rsid w:val="0053030C"/>
    <w:rsid w:val="00530492"/>
    <w:rsid w:val="005308E4"/>
    <w:rsid w:val="005325A8"/>
    <w:rsid w:val="00532854"/>
    <w:rsid w:val="005350F2"/>
    <w:rsid w:val="00535152"/>
    <w:rsid w:val="00535359"/>
    <w:rsid w:val="005357A2"/>
    <w:rsid w:val="005359E3"/>
    <w:rsid w:val="00535D87"/>
    <w:rsid w:val="00535EF0"/>
    <w:rsid w:val="00535F78"/>
    <w:rsid w:val="005363DF"/>
    <w:rsid w:val="005369CF"/>
    <w:rsid w:val="0053734B"/>
    <w:rsid w:val="005375B1"/>
    <w:rsid w:val="00537AFD"/>
    <w:rsid w:val="00537CB4"/>
    <w:rsid w:val="00540CB3"/>
    <w:rsid w:val="00540D25"/>
    <w:rsid w:val="005412E0"/>
    <w:rsid w:val="00541822"/>
    <w:rsid w:val="00542D19"/>
    <w:rsid w:val="00543989"/>
    <w:rsid w:val="005440E1"/>
    <w:rsid w:val="0054516B"/>
    <w:rsid w:val="0054531C"/>
    <w:rsid w:val="0054559E"/>
    <w:rsid w:val="005459BD"/>
    <w:rsid w:val="00546833"/>
    <w:rsid w:val="0054787A"/>
    <w:rsid w:val="00551147"/>
    <w:rsid w:val="00551259"/>
    <w:rsid w:val="005513D5"/>
    <w:rsid w:val="00551A4F"/>
    <w:rsid w:val="00552112"/>
    <w:rsid w:val="005523B9"/>
    <w:rsid w:val="005538E2"/>
    <w:rsid w:val="00553C88"/>
    <w:rsid w:val="005545E0"/>
    <w:rsid w:val="00554865"/>
    <w:rsid w:val="00554E57"/>
    <w:rsid w:val="00556C12"/>
    <w:rsid w:val="00557E6A"/>
    <w:rsid w:val="00562749"/>
    <w:rsid w:val="00562DE9"/>
    <w:rsid w:val="0056303C"/>
    <w:rsid w:val="00563270"/>
    <w:rsid w:val="005638A5"/>
    <w:rsid w:val="00564137"/>
    <w:rsid w:val="00566381"/>
    <w:rsid w:val="00566A03"/>
    <w:rsid w:val="00571932"/>
    <w:rsid w:val="00573A00"/>
    <w:rsid w:val="00573C97"/>
    <w:rsid w:val="00574240"/>
    <w:rsid w:val="005743B4"/>
    <w:rsid w:val="0057454C"/>
    <w:rsid w:val="005752BD"/>
    <w:rsid w:val="005752EB"/>
    <w:rsid w:val="005755FE"/>
    <w:rsid w:val="0057569E"/>
    <w:rsid w:val="00575CDC"/>
    <w:rsid w:val="005765D5"/>
    <w:rsid w:val="00576A3E"/>
    <w:rsid w:val="0057703D"/>
    <w:rsid w:val="005807D6"/>
    <w:rsid w:val="00581892"/>
    <w:rsid w:val="0058366F"/>
    <w:rsid w:val="00583D5B"/>
    <w:rsid w:val="00583FFD"/>
    <w:rsid w:val="00585EFE"/>
    <w:rsid w:val="00587CCD"/>
    <w:rsid w:val="005908AE"/>
    <w:rsid w:val="00590CDE"/>
    <w:rsid w:val="0059176E"/>
    <w:rsid w:val="00592854"/>
    <w:rsid w:val="00593152"/>
    <w:rsid w:val="005934CE"/>
    <w:rsid w:val="00593CA3"/>
    <w:rsid w:val="00593D14"/>
    <w:rsid w:val="00593ECE"/>
    <w:rsid w:val="00594161"/>
    <w:rsid w:val="00594969"/>
    <w:rsid w:val="00594B91"/>
    <w:rsid w:val="00595035"/>
    <w:rsid w:val="005959ED"/>
    <w:rsid w:val="00595C7C"/>
    <w:rsid w:val="0059649D"/>
    <w:rsid w:val="00596601"/>
    <w:rsid w:val="00596C5E"/>
    <w:rsid w:val="005A038A"/>
    <w:rsid w:val="005A198E"/>
    <w:rsid w:val="005A1FEE"/>
    <w:rsid w:val="005A20D8"/>
    <w:rsid w:val="005A2194"/>
    <w:rsid w:val="005A21E0"/>
    <w:rsid w:val="005A3210"/>
    <w:rsid w:val="005A33A1"/>
    <w:rsid w:val="005A3687"/>
    <w:rsid w:val="005A54EE"/>
    <w:rsid w:val="005A563B"/>
    <w:rsid w:val="005A5F82"/>
    <w:rsid w:val="005A61D1"/>
    <w:rsid w:val="005A6CD0"/>
    <w:rsid w:val="005A6E85"/>
    <w:rsid w:val="005A7500"/>
    <w:rsid w:val="005A77E4"/>
    <w:rsid w:val="005A77F6"/>
    <w:rsid w:val="005A7896"/>
    <w:rsid w:val="005B0262"/>
    <w:rsid w:val="005B0B4C"/>
    <w:rsid w:val="005B0B8F"/>
    <w:rsid w:val="005B1BDB"/>
    <w:rsid w:val="005B22A7"/>
    <w:rsid w:val="005B2BAA"/>
    <w:rsid w:val="005B2D53"/>
    <w:rsid w:val="005B3247"/>
    <w:rsid w:val="005B3409"/>
    <w:rsid w:val="005B498A"/>
    <w:rsid w:val="005B513A"/>
    <w:rsid w:val="005B52AE"/>
    <w:rsid w:val="005B6E77"/>
    <w:rsid w:val="005B75C7"/>
    <w:rsid w:val="005B7B12"/>
    <w:rsid w:val="005C16CB"/>
    <w:rsid w:val="005C21D6"/>
    <w:rsid w:val="005C27C5"/>
    <w:rsid w:val="005C3F9F"/>
    <w:rsid w:val="005C406F"/>
    <w:rsid w:val="005C40BA"/>
    <w:rsid w:val="005C419C"/>
    <w:rsid w:val="005C4A23"/>
    <w:rsid w:val="005C562C"/>
    <w:rsid w:val="005C571E"/>
    <w:rsid w:val="005C5812"/>
    <w:rsid w:val="005C5885"/>
    <w:rsid w:val="005C6400"/>
    <w:rsid w:val="005C76F1"/>
    <w:rsid w:val="005C7F1E"/>
    <w:rsid w:val="005D0341"/>
    <w:rsid w:val="005D073B"/>
    <w:rsid w:val="005D11D2"/>
    <w:rsid w:val="005D1E78"/>
    <w:rsid w:val="005D1EDA"/>
    <w:rsid w:val="005D25B4"/>
    <w:rsid w:val="005D374F"/>
    <w:rsid w:val="005D5802"/>
    <w:rsid w:val="005D6CFC"/>
    <w:rsid w:val="005D73E2"/>
    <w:rsid w:val="005D7503"/>
    <w:rsid w:val="005D757A"/>
    <w:rsid w:val="005D76AE"/>
    <w:rsid w:val="005D7C4B"/>
    <w:rsid w:val="005E1871"/>
    <w:rsid w:val="005E1E4B"/>
    <w:rsid w:val="005E362D"/>
    <w:rsid w:val="005E3A0C"/>
    <w:rsid w:val="005E3FAC"/>
    <w:rsid w:val="005E4395"/>
    <w:rsid w:val="005E4483"/>
    <w:rsid w:val="005E492C"/>
    <w:rsid w:val="005E4BAA"/>
    <w:rsid w:val="005E52EF"/>
    <w:rsid w:val="005E5B56"/>
    <w:rsid w:val="005E6088"/>
    <w:rsid w:val="005E61DF"/>
    <w:rsid w:val="005E6AB8"/>
    <w:rsid w:val="005E6B65"/>
    <w:rsid w:val="005E6B78"/>
    <w:rsid w:val="005E7506"/>
    <w:rsid w:val="005E75B8"/>
    <w:rsid w:val="005F0976"/>
    <w:rsid w:val="005F26CE"/>
    <w:rsid w:val="005F38D3"/>
    <w:rsid w:val="005F393C"/>
    <w:rsid w:val="005F3F04"/>
    <w:rsid w:val="005F4057"/>
    <w:rsid w:val="005F4088"/>
    <w:rsid w:val="005F42F4"/>
    <w:rsid w:val="005F49ED"/>
    <w:rsid w:val="005F4C83"/>
    <w:rsid w:val="005F5628"/>
    <w:rsid w:val="005F5916"/>
    <w:rsid w:val="005F5A4E"/>
    <w:rsid w:val="005F5F61"/>
    <w:rsid w:val="005F601D"/>
    <w:rsid w:val="005F6119"/>
    <w:rsid w:val="005F7940"/>
    <w:rsid w:val="00600712"/>
    <w:rsid w:val="0060091A"/>
    <w:rsid w:val="0060107A"/>
    <w:rsid w:val="00601AFF"/>
    <w:rsid w:val="00602D1D"/>
    <w:rsid w:val="00603A13"/>
    <w:rsid w:val="00604307"/>
    <w:rsid w:val="0060487F"/>
    <w:rsid w:val="00604CF7"/>
    <w:rsid w:val="00605419"/>
    <w:rsid w:val="00605814"/>
    <w:rsid w:val="00606B93"/>
    <w:rsid w:val="00607727"/>
    <w:rsid w:val="00607934"/>
    <w:rsid w:val="00610BD5"/>
    <w:rsid w:val="00611363"/>
    <w:rsid w:val="00611531"/>
    <w:rsid w:val="006118AA"/>
    <w:rsid w:val="0061196F"/>
    <w:rsid w:val="00611C28"/>
    <w:rsid w:val="006122F3"/>
    <w:rsid w:val="00612E84"/>
    <w:rsid w:val="006139C7"/>
    <w:rsid w:val="00615023"/>
    <w:rsid w:val="006150EA"/>
    <w:rsid w:val="006153E3"/>
    <w:rsid w:val="006155F1"/>
    <w:rsid w:val="006167AB"/>
    <w:rsid w:val="0061718A"/>
    <w:rsid w:val="00617D2D"/>
    <w:rsid w:val="00617D83"/>
    <w:rsid w:val="00620430"/>
    <w:rsid w:val="00620AC5"/>
    <w:rsid w:val="00621575"/>
    <w:rsid w:val="006215FC"/>
    <w:rsid w:val="00624093"/>
    <w:rsid w:val="006260B8"/>
    <w:rsid w:val="00626576"/>
    <w:rsid w:val="00627F1F"/>
    <w:rsid w:val="0063030A"/>
    <w:rsid w:val="006305C4"/>
    <w:rsid w:val="00630E82"/>
    <w:rsid w:val="00630F66"/>
    <w:rsid w:val="00631FC2"/>
    <w:rsid w:val="00632171"/>
    <w:rsid w:val="0063332A"/>
    <w:rsid w:val="00633729"/>
    <w:rsid w:val="00633C64"/>
    <w:rsid w:val="006347F9"/>
    <w:rsid w:val="0063494E"/>
    <w:rsid w:val="00634C90"/>
    <w:rsid w:val="00635818"/>
    <w:rsid w:val="00635E79"/>
    <w:rsid w:val="006365E8"/>
    <w:rsid w:val="00636A55"/>
    <w:rsid w:val="00636A84"/>
    <w:rsid w:val="00636E26"/>
    <w:rsid w:val="00636E5E"/>
    <w:rsid w:val="00637211"/>
    <w:rsid w:val="006379E0"/>
    <w:rsid w:val="00637D0E"/>
    <w:rsid w:val="006404A7"/>
    <w:rsid w:val="006407F3"/>
    <w:rsid w:val="006408EC"/>
    <w:rsid w:val="0064129B"/>
    <w:rsid w:val="00641DF7"/>
    <w:rsid w:val="00643497"/>
    <w:rsid w:val="00643735"/>
    <w:rsid w:val="00643A80"/>
    <w:rsid w:val="00644DFC"/>
    <w:rsid w:val="006451E4"/>
    <w:rsid w:val="006454B4"/>
    <w:rsid w:val="0064574A"/>
    <w:rsid w:val="00645A9C"/>
    <w:rsid w:val="006460B8"/>
    <w:rsid w:val="00646448"/>
    <w:rsid w:val="006467D0"/>
    <w:rsid w:val="00646B41"/>
    <w:rsid w:val="006504A0"/>
    <w:rsid w:val="00650784"/>
    <w:rsid w:val="00650C83"/>
    <w:rsid w:val="006520C7"/>
    <w:rsid w:val="006520D5"/>
    <w:rsid w:val="00652179"/>
    <w:rsid w:val="00652CBB"/>
    <w:rsid w:val="00652CF0"/>
    <w:rsid w:val="006530B8"/>
    <w:rsid w:val="006535D6"/>
    <w:rsid w:val="00654093"/>
    <w:rsid w:val="00654E14"/>
    <w:rsid w:val="006564FB"/>
    <w:rsid w:val="00656716"/>
    <w:rsid w:val="006572ED"/>
    <w:rsid w:val="00657E87"/>
    <w:rsid w:val="0066026B"/>
    <w:rsid w:val="00660457"/>
    <w:rsid w:val="00660CB4"/>
    <w:rsid w:val="00660E1E"/>
    <w:rsid w:val="006637B1"/>
    <w:rsid w:val="00663CFD"/>
    <w:rsid w:val="006647AD"/>
    <w:rsid w:val="00664B64"/>
    <w:rsid w:val="00665691"/>
    <w:rsid w:val="00665B35"/>
    <w:rsid w:val="00665D67"/>
    <w:rsid w:val="00665D77"/>
    <w:rsid w:val="006660CD"/>
    <w:rsid w:val="00666883"/>
    <w:rsid w:val="00666B1D"/>
    <w:rsid w:val="00666EC8"/>
    <w:rsid w:val="00666F4B"/>
    <w:rsid w:val="006676D0"/>
    <w:rsid w:val="0066796E"/>
    <w:rsid w:val="00670FAC"/>
    <w:rsid w:val="006710C9"/>
    <w:rsid w:val="006716A5"/>
    <w:rsid w:val="006717CC"/>
    <w:rsid w:val="006743E8"/>
    <w:rsid w:val="00675E37"/>
    <w:rsid w:val="00675E9B"/>
    <w:rsid w:val="00675F0F"/>
    <w:rsid w:val="006764ED"/>
    <w:rsid w:val="00676AFC"/>
    <w:rsid w:val="00676F11"/>
    <w:rsid w:val="00680079"/>
    <w:rsid w:val="00680ECC"/>
    <w:rsid w:val="00680F68"/>
    <w:rsid w:val="0068260E"/>
    <w:rsid w:val="0068373D"/>
    <w:rsid w:val="00683BFE"/>
    <w:rsid w:val="00683EAB"/>
    <w:rsid w:val="00683EC9"/>
    <w:rsid w:val="0068437D"/>
    <w:rsid w:val="006847C5"/>
    <w:rsid w:val="006857DF"/>
    <w:rsid w:val="00685E66"/>
    <w:rsid w:val="00686B72"/>
    <w:rsid w:val="00686BF1"/>
    <w:rsid w:val="006873E5"/>
    <w:rsid w:val="00687AE5"/>
    <w:rsid w:val="00690A09"/>
    <w:rsid w:val="00690A25"/>
    <w:rsid w:val="00691748"/>
    <w:rsid w:val="00691E14"/>
    <w:rsid w:val="0069340D"/>
    <w:rsid w:val="006936AD"/>
    <w:rsid w:val="00693EA1"/>
    <w:rsid w:val="00693FEA"/>
    <w:rsid w:val="00694930"/>
    <w:rsid w:val="00695170"/>
    <w:rsid w:val="00695BEF"/>
    <w:rsid w:val="006960D6"/>
    <w:rsid w:val="006963FB"/>
    <w:rsid w:val="00696AA5"/>
    <w:rsid w:val="006977F6"/>
    <w:rsid w:val="0069789D"/>
    <w:rsid w:val="00697A13"/>
    <w:rsid w:val="006A109C"/>
    <w:rsid w:val="006A14D5"/>
    <w:rsid w:val="006A1582"/>
    <w:rsid w:val="006A18AE"/>
    <w:rsid w:val="006A23E5"/>
    <w:rsid w:val="006A288C"/>
    <w:rsid w:val="006A2EE8"/>
    <w:rsid w:val="006A3CF3"/>
    <w:rsid w:val="006A4522"/>
    <w:rsid w:val="006A568F"/>
    <w:rsid w:val="006A5B57"/>
    <w:rsid w:val="006A65EF"/>
    <w:rsid w:val="006A672B"/>
    <w:rsid w:val="006A683F"/>
    <w:rsid w:val="006A7257"/>
    <w:rsid w:val="006B1781"/>
    <w:rsid w:val="006B1913"/>
    <w:rsid w:val="006B23A9"/>
    <w:rsid w:val="006B23D8"/>
    <w:rsid w:val="006B281D"/>
    <w:rsid w:val="006B3F8A"/>
    <w:rsid w:val="006B5152"/>
    <w:rsid w:val="006B59D7"/>
    <w:rsid w:val="006B5CA3"/>
    <w:rsid w:val="006B6171"/>
    <w:rsid w:val="006B6B3B"/>
    <w:rsid w:val="006B7248"/>
    <w:rsid w:val="006B7714"/>
    <w:rsid w:val="006B78D8"/>
    <w:rsid w:val="006B797F"/>
    <w:rsid w:val="006B7CCE"/>
    <w:rsid w:val="006C090F"/>
    <w:rsid w:val="006C0935"/>
    <w:rsid w:val="006C0BCE"/>
    <w:rsid w:val="006C0E9E"/>
    <w:rsid w:val="006C113F"/>
    <w:rsid w:val="006C1AA9"/>
    <w:rsid w:val="006C1CE7"/>
    <w:rsid w:val="006C20A0"/>
    <w:rsid w:val="006C2927"/>
    <w:rsid w:val="006C2AED"/>
    <w:rsid w:val="006C38DD"/>
    <w:rsid w:val="006C3DC1"/>
    <w:rsid w:val="006C457F"/>
    <w:rsid w:val="006C53C7"/>
    <w:rsid w:val="006C5577"/>
    <w:rsid w:val="006C559A"/>
    <w:rsid w:val="006C586D"/>
    <w:rsid w:val="006C58FA"/>
    <w:rsid w:val="006C6197"/>
    <w:rsid w:val="006C7A7B"/>
    <w:rsid w:val="006C7D09"/>
    <w:rsid w:val="006D004F"/>
    <w:rsid w:val="006D042D"/>
    <w:rsid w:val="006D06EF"/>
    <w:rsid w:val="006D07EC"/>
    <w:rsid w:val="006D1418"/>
    <w:rsid w:val="006D142E"/>
    <w:rsid w:val="006D231B"/>
    <w:rsid w:val="006D3976"/>
    <w:rsid w:val="006D3B87"/>
    <w:rsid w:val="006D4497"/>
    <w:rsid w:val="006D4E6F"/>
    <w:rsid w:val="006D61F6"/>
    <w:rsid w:val="006D710C"/>
    <w:rsid w:val="006D7297"/>
    <w:rsid w:val="006E0EB0"/>
    <w:rsid w:val="006E182C"/>
    <w:rsid w:val="006E1F4C"/>
    <w:rsid w:val="006E22C8"/>
    <w:rsid w:val="006E279A"/>
    <w:rsid w:val="006E2C28"/>
    <w:rsid w:val="006E2F3F"/>
    <w:rsid w:val="006E2F44"/>
    <w:rsid w:val="006E313B"/>
    <w:rsid w:val="006E394C"/>
    <w:rsid w:val="006E4368"/>
    <w:rsid w:val="006E442A"/>
    <w:rsid w:val="006E4434"/>
    <w:rsid w:val="006E4A1B"/>
    <w:rsid w:val="006E59FC"/>
    <w:rsid w:val="006E5CFD"/>
    <w:rsid w:val="006E5FC4"/>
    <w:rsid w:val="006E635B"/>
    <w:rsid w:val="006E642F"/>
    <w:rsid w:val="006E76BE"/>
    <w:rsid w:val="006E7E2C"/>
    <w:rsid w:val="006F0D32"/>
    <w:rsid w:val="006F0E00"/>
    <w:rsid w:val="006F1326"/>
    <w:rsid w:val="006F1553"/>
    <w:rsid w:val="006F1DDD"/>
    <w:rsid w:val="006F2280"/>
    <w:rsid w:val="006F2BEE"/>
    <w:rsid w:val="006F32FF"/>
    <w:rsid w:val="006F3708"/>
    <w:rsid w:val="006F376C"/>
    <w:rsid w:val="006F3A90"/>
    <w:rsid w:val="006F3E6B"/>
    <w:rsid w:val="006F440D"/>
    <w:rsid w:val="006F4619"/>
    <w:rsid w:val="006F4A59"/>
    <w:rsid w:val="006F5693"/>
    <w:rsid w:val="006F6968"/>
    <w:rsid w:val="00700232"/>
    <w:rsid w:val="00700B96"/>
    <w:rsid w:val="00701382"/>
    <w:rsid w:val="007014C7"/>
    <w:rsid w:val="00702100"/>
    <w:rsid w:val="00702358"/>
    <w:rsid w:val="00702D6F"/>
    <w:rsid w:val="007031C6"/>
    <w:rsid w:val="00703B6C"/>
    <w:rsid w:val="00703C6B"/>
    <w:rsid w:val="00703CFE"/>
    <w:rsid w:val="007047D5"/>
    <w:rsid w:val="00705A91"/>
    <w:rsid w:val="00705D98"/>
    <w:rsid w:val="00707891"/>
    <w:rsid w:val="00707D43"/>
    <w:rsid w:val="00710F7C"/>
    <w:rsid w:val="00711398"/>
    <w:rsid w:val="00711970"/>
    <w:rsid w:val="00711EF1"/>
    <w:rsid w:val="0071229A"/>
    <w:rsid w:val="00712572"/>
    <w:rsid w:val="00712691"/>
    <w:rsid w:val="00713495"/>
    <w:rsid w:val="00713EEB"/>
    <w:rsid w:val="007142C1"/>
    <w:rsid w:val="0071479D"/>
    <w:rsid w:val="00715487"/>
    <w:rsid w:val="00715504"/>
    <w:rsid w:val="007159D2"/>
    <w:rsid w:val="00716DCC"/>
    <w:rsid w:val="00717726"/>
    <w:rsid w:val="0072050E"/>
    <w:rsid w:val="00720958"/>
    <w:rsid w:val="00720FA2"/>
    <w:rsid w:val="007211F5"/>
    <w:rsid w:val="00722985"/>
    <w:rsid w:val="007240C5"/>
    <w:rsid w:val="00724666"/>
    <w:rsid w:val="00724E80"/>
    <w:rsid w:val="00725492"/>
    <w:rsid w:val="007256B7"/>
    <w:rsid w:val="00726043"/>
    <w:rsid w:val="007260C3"/>
    <w:rsid w:val="007265C6"/>
    <w:rsid w:val="0072671B"/>
    <w:rsid w:val="0072704A"/>
    <w:rsid w:val="007273DC"/>
    <w:rsid w:val="007279B9"/>
    <w:rsid w:val="00727F9F"/>
    <w:rsid w:val="00730AE8"/>
    <w:rsid w:val="00730BBC"/>
    <w:rsid w:val="007315DA"/>
    <w:rsid w:val="00731963"/>
    <w:rsid w:val="00732706"/>
    <w:rsid w:val="0073325D"/>
    <w:rsid w:val="00733C96"/>
    <w:rsid w:val="0073402C"/>
    <w:rsid w:val="00734321"/>
    <w:rsid w:val="00734597"/>
    <w:rsid w:val="00735044"/>
    <w:rsid w:val="0073532E"/>
    <w:rsid w:val="00735B01"/>
    <w:rsid w:val="007367F6"/>
    <w:rsid w:val="00740310"/>
    <w:rsid w:val="00740652"/>
    <w:rsid w:val="00740F02"/>
    <w:rsid w:val="00740FEC"/>
    <w:rsid w:val="0074132E"/>
    <w:rsid w:val="00741493"/>
    <w:rsid w:val="0074240C"/>
    <w:rsid w:val="007426B3"/>
    <w:rsid w:val="007426FD"/>
    <w:rsid w:val="007430AB"/>
    <w:rsid w:val="007430BF"/>
    <w:rsid w:val="0074329D"/>
    <w:rsid w:val="00744376"/>
    <w:rsid w:val="007449EA"/>
    <w:rsid w:val="00744D00"/>
    <w:rsid w:val="00744D2B"/>
    <w:rsid w:val="00745273"/>
    <w:rsid w:val="00745650"/>
    <w:rsid w:val="00745F3C"/>
    <w:rsid w:val="00746DD9"/>
    <w:rsid w:val="00747459"/>
    <w:rsid w:val="0075057A"/>
    <w:rsid w:val="00751771"/>
    <w:rsid w:val="00751C1C"/>
    <w:rsid w:val="00752180"/>
    <w:rsid w:val="007521A1"/>
    <w:rsid w:val="0075274D"/>
    <w:rsid w:val="00752BC3"/>
    <w:rsid w:val="0075315D"/>
    <w:rsid w:val="007538F9"/>
    <w:rsid w:val="00753AFD"/>
    <w:rsid w:val="00754253"/>
    <w:rsid w:val="007552BB"/>
    <w:rsid w:val="007558D3"/>
    <w:rsid w:val="007559D7"/>
    <w:rsid w:val="00755D3A"/>
    <w:rsid w:val="00755EA0"/>
    <w:rsid w:val="00760141"/>
    <w:rsid w:val="007609C6"/>
    <w:rsid w:val="00760C01"/>
    <w:rsid w:val="007610A0"/>
    <w:rsid w:val="00762036"/>
    <w:rsid w:val="007620F2"/>
    <w:rsid w:val="0076290D"/>
    <w:rsid w:val="00762EBA"/>
    <w:rsid w:val="0076359D"/>
    <w:rsid w:val="00763A13"/>
    <w:rsid w:val="00763D86"/>
    <w:rsid w:val="00766109"/>
    <w:rsid w:val="00766F78"/>
    <w:rsid w:val="0076719C"/>
    <w:rsid w:val="0077058D"/>
    <w:rsid w:val="00770931"/>
    <w:rsid w:val="00770FA7"/>
    <w:rsid w:val="00772536"/>
    <w:rsid w:val="00773613"/>
    <w:rsid w:val="0077430F"/>
    <w:rsid w:val="00774782"/>
    <w:rsid w:val="00776476"/>
    <w:rsid w:val="00776527"/>
    <w:rsid w:val="00777DB1"/>
    <w:rsid w:val="007805E1"/>
    <w:rsid w:val="00780DDF"/>
    <w:rsid w:val="0078113E"/>
    <w:rsid w:val="00781834"/>
    <w:rsid w:val="00781EBB"/>
    <w:rsid w:val="007821DB"/>
    <w:rsid w:val="00782235"/>
    <w:rsid w:val="00782818"/>
    <w:rsid w:val="007838F1"/>
    <w:rsid w:val="007841BB"/>
    <w:rsid w:val="00784C4A"/>
    <w:rsid w:val="00784DCA"/>
    <w:rsid w:val="00785C7A"/>
    <w:rsid w:val="00787432"/>
    <w:rsid w:val="00787507"/>
    <w:rsid w:val="0078778C"/>
    <w:rsid w:val="007879F2"/>
    <w:rsid w:val="00790164"/>
    <w:rsid w:val="00790393"/>
    <w:rsid w:val="007904B2"/>
    <w:rsid w:val="00790C15"/>
    <w:rsid w:val="00791804"/>
    <w:rsid w:val="0079197F"/>
    <w:rsid w:val="00791CF8"/>
    <w:rsid w:val="00791EF9"/>
    <w:rsid w:val="00792262"/>
    <w:rsid w:val="00793387"/>
    <w:rsid w:val="00793BAE"/>
    <w:rsid w:val="007941C3"/>
    <w:rsid w:val="00794870"/>
    <w:rsid w:val="00794E0A"/>
    <w:rsid w:val="00795B04"/>
    <w:rsid w:val="0079638B"/>
    <w:rsid w:val="00796642"/>
    <w:rsid w:val="00797354"/>
    <w:rsid w:val="007A11D9"/>
    <w:rsid w:val="007A327B"/>
    <w:rsid w:val="007A36DE"/>
    <w:rsid w:val="007A4048"/>
    <w:rsid w:val="007A45B1"/>
    <w:rsid w:val="007A4606"/>
    <w:rsid w:val="007A4D58"/>
    <w:rsid w:val="007A5039"/>
    <w:rsid w:val="007A6772"/>
    <w:rsid w:val="007A684C"/>
    <w:rsid w:val="007A74B4"/>
    <w:rsid w:val="007A796D"/>
    <w:rsid w:val="007B04E8"/>
    <w:rsid w:val="007B0920"/>
    <w:rsid w:val="007B0D67"/>
    <w:rsid w:val="007B0F90"/>
    <w:rsid w:val="007B1966"/>
    <w:rsid w:val="007B2257"/>
    <w:rsid w:val="007B22E6"/>
    <w:rsid w:val="007B2779"/>
    <w:rsid w:val="007B2AF7"/>
    <w:rsid w:val="007B2F37"/>
    <w:rsid w:val="007B3DCC"/>
    <w:rsid w:val="007B4518"/>
    <w:rsid w:val="007B4EEC"/>
    <w:rsid w:val="007B5031"/>
    <w:rsid w:val="007B573F"/>
    <w:rsid w:val="007B70B8"/>
    <w:rsid w:val="007B72AC"/>
    <w:rsid w:val="007B78F8"/>
    <w:rsid w:val="007C0065"/>
    <w:rsid w:val="007C010B"/>
    <w:rsid w:val="007C29B0"/>
    <w:rsid w:val="007C3289"/>
    <w:rsid w:val="007C32B6"/>
    <w:rsid w:val="007C3AE3"/>
    <w:rsid w:val="007C3C8E"/>
    <w:rsid w:val="007C5363"/>
    <w:rsid w:val="007C5E52"/>
    <w:rsid w:val="007C605B"/>
    <w:rsid w:val="007C6557"/>
    <w:rsid w:val="007C6EA2"/>
    <w:rsid w:val="007C6EBA"/>
    <w:rsid w:val="007C75CA"/>
    <w:rsid w:val="007C7BAC"/>
    <w:rsid w:val="007C7CC5"/>
    <w:rsid w:val="007D0ACF"/>
    <w:rsid w:val="007D2749"/>
    <w:rsid w:val="007D2A5A"/>
    <w:rsid w:val="007D2AD8"/>
    <w:rsid w:val="007D2C47"/>
    <w:rsid w:val="007D2C61"/>
    <w:rsid w:val="007D2DA3"/>
    <w:rsid w:val="007D2F81"/>
    <w:rsid w:val="007D3167"/>
    <w:rsid w:val="007D329F"/>
    <w:rsid w:val="007D3A2C"/>
    <w:rsid w:val="007D3CF7"/>
    <w:rsid w:val="007D4128"/>
    <w:rsid w:val="007D4281"/>
    <w:rsid w:val="007D42F5"/>
    <w:rsid w:val="007D44C3"/>
    <w:rsid w:val="007D5947"/>
    <w:rsid w:val="007D65C1"/>
    <w:rsid w:val="007D7936"/>
    <w:rsid w:val="007E030F"/>
    <w:rsid w:val="007E0D49"/>
    <w:rsid w:val="007E0E59"/>
    <w:rsid w:val="007E0F4B"/>
    <w:rsid w:val="007E12C1"/>
    <w:rsid w:val="007E15E9"/>
    <w:rsid w:val="007E1EF7"/>
    <w:rsid w:val="007E20C0"/>
    <w:rsid w:val="007E34F7"/>
    <w:rsid w:val="007E3715"/>
    <w:rsid w:val="007E4996"/>
    <w:rsid w:val="007E5036"/>
    <w:rsid w:val="007E5880"/>
    <w:rsid w:val="007E5F3D"/>
    <w:rsid w:val="007E61FF"/>
    <w:rsid w:val="007E6588"/>
    <w:rsid w:val="007E7063"/>
    <w:rsid w:val="007E7E61"/>
    <w:rsid w:val="007F0316"/>
    <w:rsid w:val="007F0845"/>
    <w:rsid w:val="007F0DF6"/>
    <w:rsid w:val="007F1092"/>
    <w:rsid w:val="007F16F9"/>
    <w:rsid w:val="007F2801"/>
    <w:rsid w:val="007F2BF6"/>
    <w:rsid w:val="007F3E3E"/>
    <w:rsid w:val="007F42E0"/>
    <w:rsid w:val="007F45FF"/>
    <w:rsid w:val="007F500D"/>
    <w:rsid w:val="007F5F14"/>
    <w:rsid w:val="007F61D3"/>
    <w:rsid w:val="007F646D"/>
    <w:rsid w:val="007F69EE"/>
    <w:rsid w:val="007F7B54"/>
    <w:rsid w:val="007F7C60"/>
    <w:rsid w:val="00800073"/>
    <w:rsid w:val="008001F0"/>
    <w:rsid w:val="008005D7"/>
    <w:rsid w:val="00801547"/>
    <w:rsid w:val="00801D15"/>
    <w:rsid w:val="00801FDD"/>
    <w:rsid w:val="008020C2"/>
    <w:rsid w:val="00802386"/>
    <w:rsid w:val="0080255C"/>
    <w:rsid w:val="008054FB"/>
    <w:rsid w:val="0080585A"/>
    <w:rsid w:val="00806088"/>
    <w:rsid w:val="00806D07"/>
    <w:rsid w:val="0081019B"/>
    <w:rsid w:val="00810971"/>
    <w:rsid w:val="0081187C"/>
    <w:rsid w:val="00811E24"/>
    <w:rsid w:val="008120C5"/>
    <w:rsid w:val="00812386"/>
    <w:rsid w:val="00812E2B"/>
    <w:rsid w:val="00813A70"/>
    <w:rsid w:val="00813CB4"/>
    <w:rsid w:val="00813DB0"/>
    <w:rsid w:val="00813FE6"/>
    <w:rsid w:val="00814833"/>
    <w:rsid w:val="00814965"/>
    <w:rsid w:val="00815B82"/>
    <w:rsid w:val="00815C6E"/>
    <w:rsid w:val="00815DD0"/>
    <w:rsid w:val="00815F10"/>
    <w:rsid w:val="0081645F"/>
    <w:rsid w:val="00816A28"/>
    <w:rsid w:val="00816DDF"/>
    <w:rsid w:val="008174A3"/>
    <w:rsid w:val="00817755"/>
    <w:rsid w:val="00817865"/>
    <w:rsid w:val="008178C2"/>
    <w:rsid w:val="008178CF"/>
    <w:rsid w:val="00817BBE"/>
    <w:rsid w:val="00817C98"/>
    <w:rsid w:val="00820C9F"/>
    <w:rsid w:val="00821AAE"/>
    <w:rsid w:val="00821C4A"/>
    <w:rsid w:val="00821CEB"/>
    <w:rsid w:val="00821FF6"/>
    <w:rsid w:val="00823AAF"/>
    <w:rsid w:val="00824081"/>
    <w:rsid w:val="0082409A"/>
    <w:rsid w:val="00824626"/>
    <w:rsid w:val="008252D7"/>
    <w:rsid w:val="008259CC"/>
    <w:rsid w:val="00825C0F"/>
    <w:rsid w:val="00826376"/>
    <w:rsid w:val="00826ED1"/>
    <w:rsid w:val="00827181"/>
    <w:rsid w:val="0082733C"/>
    <w:rsid w:val="00827746"/>
    <w:rsid w:val="00827D56"/>
    <w:rsid w:val="0083102D"/>
    <w:rsid w:val="0083143E"/>
    <w:rsid w:val="0083159D"/>
    <w:rsid w:val="008318FF"/>
    <w:rsid w:val="00831E95"/>
    <w:rsid w:val="00832187"/>
    <w:rsid w:val="00832493"/>
    <w:rsid w:val="008328C9"/>
    <w:rsid w:val="008329BD"/>
    <w:rsid w:val="008334C3"/>
    <w:rsid w:val="008336D8"/>
    <w:rsid w:val="008339C4"/>
    <w:rsid w:val="00834B56"/>
    <w:rsid w:val="00834F0A"/>
    <w:rsid w:val="00834FAA"/>
    <w:rsid w:val="00835181"/>
    <w:rsid w:val="00835991"/>
    <w:rsid w:val="00836086"/>
    <w:rsid w:val="00837566"/>
    <w:rsid w:val="00837871"/>
    <w:rsid w:val="0084002E"/>
    <w:rsid w:val="00840458"/>
    <w:rsid w:val="00840699"/>
    <w:rsid w:val="00841D9F"/>
    <w:rsid w:val="00842078"/>
    <w:rsid w:val="00842604"/>
    <w:rsid w:val="008434B0"/>
    <w:rsid w:val="00843ECF"/>
    <w:rsid w:val="0084535E"/>
    <w:rsid w:val="00845A11"/>
    <w:rsid w:val="00845AB1"/>
    <w:rsid w:val="00846673"/>
    <w:rsid w:val="00846891"/>
    <w:rsid w:val="008508A9"/>
    <w:rsid w:val="00851087"/>
    <w:rsid w:val="0085188D"/>
    <w:rsid w:val="008518D8"/>
    <w:rsid w:val="0085220C"/>
    <w:rsid w:val="008525F9"/>
    <w:rsid w:val="0085281A"/>
    <w:rsid w:val="00853C0F"/>
    <w:rsid w:val="00853F33"/>
    <w:rsid w:val="008548EA"/>
    <w:rsid w:val="008550EA"/>
    <w:rsid w:val="008559FE"/>
    <w:rsid w:val="0085686D"/>
    <w:rsid w:val="00857339"/>
    <w:rsid w:val="00860706"/>
    <w:rsid w:val="00861C98"/>
    <w:rsid w:val="00862A7A"/>
    <w:rsid w:val="00862FBD"/>
    <w:rsid w:val="00863104"/>
    <w:rsid w:val="008636CD"/>
    <w:rsid w:val="00863702"/>
    <w:rsid w:val="00863D9E"/>
    <w:rsid w:val="00863FDC"/>
    <w:rsid w:val="008642AF"/>
    <w:rsid w:val="00864B5A"/>
    <w:rsid w:val="00864F00"/>
    <w:rsid w:val="00865286"/>
    <w:rsid w:val="00865729"/>
    <w:rsid w:val="0086590D"/>
    <w:rsid w:val="00865EA8"/>
    <w:rsid w:val="00865ED4"/>
    <w:rsid w:val="008669A7"/>
    <w:rsid w:val="00867464"/>
    <w:rsid w:val="00867B8F"/>
    <w:rsid w:val="00867D15"/>
    <w:rsid w:val="00867E29"/>
    <w:rsid w:val="00870F2B"/>
    <w:rsid w:val="00873B2E"/>
    <w:rsid w:val="00874097"/>
    <w:rsid w:val="008746E6"/>
    <w:rsid w:val="0087515D"/>
    <w:rsid w:val="00875740"/>
    <w:rsid w:val="0087594C"/>
    <w:rsid w:val="00876086"/>
    <w:rsid w:val="008765FA"/>
    <w:rsid w:val="008768D6"/>
    <w:rsid w:val="008775D1"/>
    <w:rsid w:val="008777BB"/>
    <w:rsid w:val="00877D68"/>
    <w:rsid w:val="00877E5D"/>
    <w:rsid w:val="00880150"/>
    <w:rsid w:val="00880ABA"/>
    <w:rsid w:val="00880F23"/>
    <w:rsid w:val="008810BB"/>
    <w:rsid w:val="00883A67"/>
    <w:rsid w:val="00883D45"/>
    <w:rsid w:val="00884519"/>
    <w:rsid w:val="00884D69"/>
    <w:rsid w:val="0088503D"/>
    <w:rsid w:val="00885620"/>
    <w:rsid w:val="00885EC6"/>
    <w:rsid w:val="008869D2"/>
    <w:rsid w:val="00886A8F"/>
    <w:rsid w:val="0088733A"/>
    <w:rsid w:val="008901CC"/>
    <w:rsid w:val="0089061C"/>
    <w:rsid w:val="00891251"/>
    <w:rsid w:val="00891BE0"/>
    <w:rsid w:val="008929A0"/>
    <w:rsid w:val="00893269"/>
    <w:rsid w:val="00893302"/>
    <w:rsid w:val="00893648"/>
    <w:rsid w:val="00893D05"/>
    <w:rsid w:val="00893D83"/>
    <w:rsid w:val="00893F0C"/>
    <w:rsid w:val="00893F3C"/>
    <w:rsid w:val="008945A1"/>
    <w:rsid w:val="00894A63"/>
    <w:rsid w:val="00894F71"/>
    <w:rsid w:val="00895A54"/>
    <w:rsid w:val="008963A7"/>
    <w:rsid w:val="00896776"/>
    <w:rsid w:val="00896874"/>
    <w:rsid w:val="00896916"/>
    <w:rsid w:val="00896BDE"/>
    <w:rsid w:val="0089763E"/>
    <w:rsid w:val="008A03DE"/>
    <w:rsid w:val="008A0861"/>
    <w:rsid w:val="008A0BB2"/>
    <w:rsid w:val="008A1AB3"/>
    <w:rsid w:val="008A1D5C"/>
    <w:rsid w:val="008A2890"/>
    <w:rsid w:val="008A3292"/>
    <w:rsid w:val="008A3A85"/>
    <w:rsid w:val="008A43E9"/>
    <w:rsid w:val="008A4CB1"/>
    <w:rsid w:val="008A5F34"/>
    <w:rsid w:val="008A615E"/>
    <w:rsid w:val="008A632B"/>
    <w:rsid w:val="008A6720"/>
    <w:rsid w:val="008A6BFE"/>
    <w:rsid w:val="008A6F21"/>
    <w:rsid w:val="008A6F3F"/>
    <w:rsid w:val="008A6F67"/>
    <w:rsid w:val="008A73DA"/>
    <w:rsid w:val="008B00C2"/>
    <w:rsid w:val="008B04A0"/>
    <w:rsid w:val="008B05E8"/>
    <w:rsid w:val="008B07EF"/>
    <w:rsid w:val="008B16DE"/>
    <w:rsid w:val="008B190E"/>
    <w:rsid w:val="008B1A8A"/>
    <w:rsid w:val="008B1FC9"/>
    <w:rsid w:val="008B4EEA"/>
    <w:rsid w:val="008B531F"/>
    <w:rsid w:val="008B54A3"/>
    <w:rsid w:val="008B5F41"/>
    <w:rsid w:val="008B634C"/>
    <w:rsid w:val="008B6B67"/>
    <w:rsid w:val="008B7306"/>
    <w:rsid w:val="008B775F"/>
    <w:rsid w:val="008B77D1"/>
    <w:rsid w:val="008B7C02"/>
    <w:rsid w:val="008B7D13"/>
    <w:rsid w:val="008B7F9E"/>
    <w:rsid w:val="008C034E"/>
    <w:rsid w:val="008C0E88"/>
    <w:rsid w:val="008C1399"/>
    <w:rsid w:val="008C18A5"/>
    <w:rsid w:val="008C1AA8"/>
    <w:rsid w:val="008C22A8"/>
    <w:rsid w:val="008C4DBA"/>
    <w:rsid w:val="008C5B43"/>
    <w:rsid w:val="008C63FD"/>
    <w:rsid w:val="008C6CB8"/>
    <w:rsid w:val="008C6D92"/>
    <w:rsid w:val="008C777A"/>
    <w:rsid w:val="008C7815"/>
    <w:rsid w:val="008C7A07"/>
    <w:rsid w:val="008C7E90"/>
    <w:rsid w:val="008C7EB3"/>
    <w:rsid w:val="008D0171"/>
    <w:rsid w:val="008D0632"/>
    <w:rsid w:val="008D0A23"/>
    <w:rsid w:val="008D0E3B"/>
    <w:rsid w:val="008D13EA"/>
    <w:rsid w:val="008D21DE"/>
    <w:rsid w:val="008D2671"/>
    <w:rsid w:val="008D2A16"/>
    <w:rsid w:val="008D2ECF"/>
    <w:rsid w:val="008D347D"/>
    <w:rsid w:val="008D3F3D"/>
    <w:rsid w:val="008D4376"/>
    <w:rsid w:val="008D4F04"/>
    <w:rsid w:val="008D51E9"/>
    <w:rsid w:val="008D5BAD"/>
    <w:rsid w:val="008D699D"/>
    <w:rsid w:val="008E0367"/>
    <w:rsid w:val="008E2DCD"/>
    <w:rsid w:val="008E308D"/>
    <w:rsid w:val="008E31FF"/>
    <w:rsid w:val="008E3B0F"/>
    <w:rsid w:val="008E46A3"/>
    <w:rsid w:val="008E5DE6"/>
    <w:rsid w:val="008E5E90"/>
    <w:rsid w:val="008E6113"/>
    <w:rsid w:val="008E6AB3"/>
    <w:rsid w:val="008E6AD3"/>
    <w:rsid w:val="008E6EBD"/>
    <w:rsid w:val="008E71A6"/>
    <w:rsid w:val="008E77B6"/>
    <w:rsid w:val="008E7C55"/>
    <w:rsid w:val="008F032E"/>
    <w:rsid w:val="008F062F"/>
    <w:rsid w:val="008F0F14"/>
    <w:rsid w:val="008F1638"/>
    <w:rsid w:val="008F1723"/>
    <w:rsid w:val="008F2097"/>
    <w:rsid w:val="008F2F44"/>
    <w:rsid w:val="008F352D"/>
    <w:rsid w:val="008F3F1C"/>
    <w:rsid w:val="008F4FCE"/>
    <w:rsid w:val="008F5301"/>
    <w:rsid w:val="008F6967"/>
    <w:rsid w:val="008F6A0C"/>
    <w:rsid w:val="008F6F38"/>
    <w:rsid w:val="008F7721"/>
    <w:rsid w:val="008F7D28"/>
    <w:rsid w:val="009003A8"/>
    <w:rsid w:val="009010A7"/>
    <w:rsid w:val="009010E3"/>
    <w:rsid w:val="00901703"/>
    <w:rsid w:val="00901AF3"/>
    <w:rsid w:val="0090229C"/>
    <w:rsid w:val="00902CBE"/>
    <w:rsid w:val="00902D74"/>
    <w:rsid w:val="00902EFF"/>
    <w:rsid w:val="00902FAC"/>
    <w:rsid w:val="00903E06"/>
    <w:rsid w:val="009045D1"/>
    <w:rsid w:val="00904B9D"/>
    <w:rsid w:val="009057D4"/>
    <w:rsid w:val="00905A11"/>
    <w:rsid w:val="00905FE8"/>
    <w:rsid w:val="009066E1"/>
    <w:rsid w:val="00906F67"/>
    <w:rsid w:val="00907A41"/>
    <w:rsid w:val="00910098"/>
    <w:rsid w:val="009102BD"/>
    <w:rsid w:val="00910F93"/>
    <w:rsid w:val="00910FBC"/>
    <w:rsid w:val="00911E3B"/>
    <w:rsid w:val="0091255A"/>
    <w:rsid w:val="00914426"/>
    <w:rsid w:val="0091561A"/>
    <w:rsid w:val="0091675F"/>
    <w:rsid w:val="00917709"/>
    <w:rsid w:val="00917918"/>
    <w:rsid w:val="00920874"/>
    <w:rsid w:val="00921F14"/>
    <w:rsid w:val="009227C6"/>
    <w:rsid w:val="0092347C"/>
    <w:rsid w:val="00923750"/>
    <w:rsid w:val="009243A5"/>
    <w:rsid w:val="0092465F"/>
    <w:rsid w:val="0092500F"/>
    <w:rsid w:val="009250D2"/>
    <w:rsid w:val="0092519D"/>
    <w:rsid w:val="0092540B"/>
    <w:rsid w:val="009256C5"/>
    <w:rsid w:val="00925A21"/>
    <w:rsid w:val="00926283"/>
    <w:rsid w:val="009306BE"/>
    <w:rsid w:val="00930CD7"/>
    <w:rsid w:val="0093161F"/>
    <w:rsid w:val="009339FD"/>
    <w:rsid w:val="00934836"/>
    <w:rsid w:val="00934963"/>
    <w:rsid w:val="00936ECA"/>
    <w:rsid w:val="00937320"/>
    <w:rsid w:val="00937B11"/>
    <w:rsid w:val="00940F1F"/>
    <w:rsid w:val="00941250"/>
    <w:rsid w:val="00941339"/>
    <w:rsid w:val="0094396E"/>
    <w:rsid w:val="0094427A"/>
    <w:rsid w:val="00944380"/>
    <w:rsid w:val="00945904"/>
    <w:rsid w:val="009459C5"/>
    <w:rsid w:val="009459DE"/>
    <w:rsid w:val="00945E5E"/>
    <w:rsid w:val="0094626C"/>
    <w:rsid w:val="00946552"/>
    <w:rsid w:val="0095013A"/>
    <w:rsid w:val="00953AEF"/>
    <w:rsid w:val="00954FC3"/>
    <w:rsid w:val="009551E2"/>
    <w:rsid w:val="00955783"/>
    <w:rsid w:val="009558A6"/>
    <w:rsid w:val="00955E5F"/>
    <w:rsid w:val="009560B0"/>
    <w:rsid w:val="009564B2"/>
    <w:rsid w:val="00956F23"/>
    <w:rsid w:val="009576AC"/>
    <w:rsid w:val="00957871"/>
    <w:rsid w:val="00960077"/>
    <w:rsid w:val="00960769"/>
    <w:rsid w:val="00960D56"/>
    <w:rsid w:val="00962D2E"/>
    <w:rsid w:val="00963724"/>
    <w:rsid w:val="00963D22"/>
    <w:rsid w:val="00964498"/>
    <w:rsid w:val="0096504D"/>
    <w:rsid w:val="00965795"/>
    <w:rsid w:val="00965A2D"/>
    <w:rsid w:val="009663EB"/>
    <w:rsid w:val="0096650F"/>
    <w:rsid w:val="00967801"/>
    <w:rsid w:val="00967AD2"/>
    <w:rsid w:val="00967AE9"/>
    <w:rsid w:val="009700DB"/>
    <w:rsid w:val="0097040B"/>
    <w:rsid w:val="00971DC6"/>
    <w:rsid w:val="00971DD6"/>
    <w:rsid w:val="00972263"/>
    <w:rsid w:val="0097242E"/>
    <w:rsid w:val="00972502"/>
    <w:rsid w:val="00972D8D"/>
    <w:rsid w:val="00973A9E"/>
    <w:rsid w:val="00973AAE"/>
    <w:rsid w:val="00974236"/>
    <w:rsid w:val="009742F7"/>
    <w:rsid w:val="0097476C"/>
    <w:rsid w:val="00974923"/>
    <w:rsid w:val="00974D48"/>
    <w:rsid w:val="00974D5F"/>
    <w:rsid w:val="00975017"/>
    <w:rsid w:val="009759DF"/>
    <w:rsid w:val="009777B3"/>
    <w:rsid w:val="00977A4D"/>
    <w:rsid w:val="00980373"/>
    <w:rsid w:val="00980621"/>
    <w:rsid w:val="0098095B"/>
    <w:rsid w:val="00982072"/>
    <w:rsid w:val="009821FE"/>
    <w:rsid w:val="009833FA"/>
    <w:rsid w:val="00983ACF"/>
    <w:rsid w:val="00983DBB"/>
    <w:rsid w:val="00983ECF"/>
    <w:rsid w:val="00985157"/>
    <w:rsid w:val="00986208"/>
    <w:rsid w:val="00986745"/>
    <w:rsid w:val="00986746"/>
    <w:rsid w:val="009867BC"/>
    <w:rsid w:val="009869C4"/>
    <w:rsid w:val="009870EF"/>
    <w:rsid w:val="00987109"/>
    <w:rsid w:val="00987309"/>
    <w:rsid w:val="00987351"/>
    <w:rsid w:val="0099012D"/>
    <w:rsid w:val="00990363"/>
    <w:rsid w:val="00991266"/>
    <w:rsid w:val="00991952"/>
    <w:rsid w:val="009928AE"/>
    <w:rsid w:val="00993BE6"/>
    <w:rsid w:val="00993D9C"/>
    <w:rsid w:val="00993F56"/>
    <w:rsid w:val="00994835"/>
    <w:rsid w:val="0099483E"/>
    <w:rsid w:val="009954FF"/>
    <w:rsid w:val="0099571E"/>
    <w:rsid w:val="00995E2F"/>
    <w:rsid w:val="009961BC"/>
    <w:rsid w:val="00996355"/>
    <w:rsid w:val="00997301"/>
    <w:rsid w:val="0099788F"/>
    <w:rsid w:val="00997ADD"/>
    <w:rsid w:val="00997CDD"/>
    <w:rsid w:val="009A05A2"/>
    <w:rsid w:val="009A1374"/>
    <w:rsid w:val="009A13FA"/>
    <w:rsid w:val="009A1EA4"/>
    <w:rsid w:val="009A2014"/>
    <w:rsid w:val="009A2030"/>
    <w:rsid w:val="009A3A87"/>
    <w:rsid w:val="009A4E12"/>
    <w:rsid w:val="009A5003"/>
    <w:rsid w:val="009A5C68"/>
    <w:rsid w:val="009A5DE2"/>
    <w:rsid w:val="009A6EF7"/>
    <w:rsid w:val="009B04D0"/>
    <w:rsid w:val="009B052C"/>
    <w:rsid w:val="009B0676"/>
    <w:rsid w:val="009B0975"/>
    <w:rsid w:val="009B0EF2"/>
    <w:rsid w:val="009B19B8"/>
    <w:rsid w:val="009B23A3"/>
    <w:rsid w:val="009B25CE"/>
    <w:rsid w:val="009B2C0E"/>
    <w:rsid w:val="009B4925"/>
    <w:rsid w:val="009B4B4B"/>
    <w:rsid w:val="009B4BD4"/>
    <w:rsid w:val="009B4CE3"/>
    <w:rsid w:val="009B6342"/>
    <w:rsid w:val="009B6FD3"/>
    <w:rsid w:val="009B70BD"/>
    <w:rsid w:val="009C07A5"/>
    <w:rsid w:val="009C0CD4"/>
    <w:rsid w:val="009C24A3"/>
    <w:rsid w:val="009C3705"/>
    <w:rsid w:val="009C6215"/>
    <w:rsid w:val="009C7388"/>
    <w:rsid w:val="009C74C2"/>
    <w:rsid w:val="009D0CFF"/>
    <w:rsid w:val="009D1551"/>
    <w:rsid w:val="009D2859"/>
    <w:rsid w:val="009D36EC"/>
    <w:rsid w:val="009D3757"/>
    <w:rsid w:val="009D3CD0"/>
    <w:rsid w:val="009D3E88"/>
    <w:rsid w:val="009D4076"/>
    <w:rsid w:val="009D4173"/>
    <w:rsid w:val="009D51CA"/>
    <w:rsid w:val="009D6095"/>
    <w:rsid w:val="009D6306"/>
    <w:rsid w:val="009D6727"/>
    <w:rsid w:val="009E048A"/>
    <w:rsid w:val="009E1124"/>
    <w:rsid w:val="009E1FBA"/>
    <w:rsid w:val="009E2C54"/>
    <w:rsid w:val="009E3710"/>
    <w:rsid w:val="009E6F65"/>
    <w:rsid w:val="009E72A1"/>
    <w:rsid w:val="009E7340"/>
    <w:rsid w:val="009E7B1F"/>
    <w:rsid w:val="009F07B5"/>
    <w:rsid w:val="009F346F"/>
    <w:rsid w:val="009F371A"/>
    <w:rsid w:val="009F3F25"/>
    <w:rsid w:val="009F3FC3"/>
    <w:rsid w:val="009F41C4"/>
    <w:rsid w:val="009F5846"/>
    <w:rsid w:val="009F63D2"/>
    <w:rsid w:val="009F777A"/>
    <w:rsid w:val="009F7B52"/>
    <w:rsid w:val="009F7D77"/>
    <w:rsid w:val="00A004D2"/>
    <w:rsid w:val="00A015EA"/>
    <w:rsid w:val="00A0172C"/>
    <w:rsid w:val="00A02610"/>
    <w:rsid w:val="00A03343"/>
    <w:rsid w:val="00A03965"/>
    <w:rsid w:val="00A03B8A"/>
    <w:rsid w:val="00A05B91"/>
    <w:rsid w:val="00A06B3D"/>
    <w:rsid w:val="00A07BB0"/>
    <w:rsid w:val="00A10D66"/>
    <w:rsid w:val="00A12BA8"/>
    <w:rsid w:val="00A133F2"/>
    <w:rsid w:val="00A138D7"/>
    <w:rsid w:val="00A13993"/>
    <w:rsid w:val="00A14081"/>
    <w:rsid w:val="00A1420C"/>
    <w:rsid w:val="00A1456C"/>
    <w:rsid w:val="00A14821"/>
    <w:rsid w:val="00A14C9D"/>
    <w:rsid w:val="00A15B39"/>
    <w:rsid w:val="00A17754"/>
    <w:rsid w:val="00A2055B"/>
    <w:rsid w:val="00A20E22"/>
    <w:rsid w:val="00A219FE"/>
    <w:rsid w:val="00A22210"/>
    <w:rsid w:val="00A2253C"/>
    <w:rsid w:val="00A23545"/>
    <w:rsid w:val="00A23A55"/>
    <w:rsid w:val="00A23E43"/>
    <w:rsid w:val="00A23EF0"/>
    <w:rsid w:val="00A243A3"/>
    <w:rsid w:val="00A24F8C"/>
    <w:rsid w:val="00A262BF"/>
    <w:rsid w:val="00A264F5"/>
    <w:rsid w:val="00A271AD"/>
    <w:rsid w:val="00A276D5"/>
    <w:rsid w:val="00A27D2E"/>
    <w:rsid w:val="00A301C5"/>
    <w:rsid w:val="00A30336"/>
    <w:rsid w:val="00A30BB5"/>
    <w:rsid w:val="00A3128F"/>
    <w:rsid w:val="00A326D0"/>
    <w:rsid w:val="00A33C9A"/>
    <w:rsid w:val="00A348DC"/>
    <w:rsid w:val="00A35287"/>
    <w:rsid w:val="00A355F2"/>
    <w:rsid w:val="00A35CB2"/>
    <w:rsid w:val="00A37201"/>
    <w:rsid w:val="00A37229"/>
    <w:rsid w:val="00A375DE"/>
    <w:rsid w:val="00A378F8"/>
    <w:rsid w:val="00A40965"/>
    <w:rsid w:val="00A40B19"/>
    <w:rsid w:val="00A40F56"/>
    <w:rsid w:val="00A41D07"/>
    <w:rsid w:val="00A424F8"/>
    <w:rsid w:val="00A42883"/>
    <w:rsid w:val="00A437B7"/>
    <w:rsid w:val="00A43EA2"/>
    <w:rsid w:val="00A45E2F"/>
    <w:rsid w:val="00A46C70"/>
    <w:rsid w:val="00A46D48"/>
    <w:rsid w:val="00A46DE0"/>
    <w:rsid w:val="00A4778A"/>
    <w:rsid w:val="00A47C94"/>
    <w:rsid w:val="00A504C0"/>
    <w:rsid w:val="00A5067F"/>
    <w:rsid w:val="00A517C1"/>
    <w:rsid w:val="00A518E0"/>
    <w:rsid w:val="00A529C8"/>
    <w:rsid w:val="00A5408A"/>
    <w:rsid w:val="00A5421F"/>
    <w:rsid w:val="00A5430D"/>
    <w:rsid w:val="00A55301"/>
    <w:rsid w:val="00A572FB"/>
    <w:rsid w:val="00A57B3C"/>
    <w:rsid w:val="00A57E77"/>
    <w:rsid w:val="00A57F1B"/>
    <w:rsid w:val="00A600D2"/>
    <w:rsid w:val="00A60383"/>
    <w:rsid w:val="00A6128E"/>
    <w:rsid w:val="00A614EB"/>
    <w:rsid w:val="00A62CE1"/>
    <w:rsid w:val="00A631FA"/>
    <w:rsid w:val="00A63517"/>
    <w:rsid w:val="00A64203"/>
    <w:rsid w:val="00A64348"/>
    <w:rsid w:val="00A644E1"/>
    <w:rsid w:val="00A65A2B"/>
    <w:rsid w:val="00A67641"/>
    <w:rsid w:val="00A6766C"/>
    <w:rsid w:val="00A70765"/>
    <w:rsid w:val="00A711B0"/>
    <w:rsid w:val="00A71279"/>
    <w:rsid w:val="00A721FB"/>
    <w:rsid w:val="00A727BA"/>
    <w:rsid w:val="00A72CA4"/>
    <w:rsid w:val="00A72D4B"/>
    <w:rsid w:val="00A732AE"/>
    <w:rsid w:val="00A738E8"/>
    <w:rsid w:val="00A74192"/>
    <w:rsid w:val="00A750EB"/>
    <w:rsid w:val="00A75837"/>
    <w:rsid w:val="00A75E40"/>
    <w:rsid w:val="00A76B12"/>
    <w:rsid w:val="00A76EF2"/>
    <w:rsid w:val="00A7727E"/>
    <w:rsid w:val="00A77EB2"/>
    <w:rsid w:val="00A803A1"/>
    <w:rsid w:val="00A81094"/>
    <w:rsid w:val="00A827B4"/>
    <w:rsid w:val="00A82B66"/>
    <w:rsid w:val="00A82C52"/>
    <w:rsid w:val="00A83798"/>
    <w:rsid w:val="00A83914"/>
    <w:rsid w:val="00A83B58"/>
    <w:rsid w:val="00A84D59"/>
    <w:rsid w:val="00A84D7D"/>
    <w:rsid w:val="00A84FAF"/>
    <w:rsid w:val="00A85100"/>
    <w:rsid w:val="00A851B6"/>
    <w:rsid w:val="00A851ED"/>
    <w:rsid w:val="00A85729"/>
    <w:rsid w:val="00A8574B"/>
    <w:rsid w:val="00A857C0"/>
    <w:rsid w:val="00A85F5E"/>
    <w:rsid w:val="00A90343"/>
    <w:rsid w:val="00A90B8B"/>
    <w:rsid w:val="00A91336"/>
    <w:rsid w:val="00A9221C"/>
    <w:rsid w:val="00A92277"/>
    <w:rsid w:val="00A92916"/>
    <w:rsid w:val="00A929D1"/>
    <w:rsid w:val="00A92B4C"/>
    <w:rsid w:val="00A9334B"/>
    <w:rsid w:val="00A94628"/>
    <w:rsid w:val="00A94954"/>
    <w:rsid w:val="00A9497A"/>
    <w:rsid w:val="00A949A6"/>
    <w:rsid w:val="00A95545"/>
    <w:rsid w:val="00A95AAE"/>
    <w:rsid w:val="00A95AF3"/>
    <w:rsid w:val="00A96241"/>
    <w:rsid w:val="00A96463"/>
    <w:rsid w:val="00A96F21"/>
    <w:rsid w:val="00A97E3F"/>
    <w:rsid w:val="00A97EC0"/>
    <w:rsid w:val="00AA09D3"/>
    <w:rsid w:val="00AA0CDE"/>
    <w:rsid w:val="00AA1034"/>
    <w:rsid w:val="00AA1356"/>
    <w:rsid w:val="00AA220F"/>
    <w:rsid w:val="00AA23FB"/>
    <w:rsid w:val="00AA34FE"/>
    <w:rsid w:val="00AA42AB"/>
    <w:rsid w:val="00AA4A76"/>
    <w:rsid w:val="00AA50E5"/>
    <w:rsid w:val="00AA559A"/>
    <w:rsid w:val="00AA57A4"/>
    <w:rsid w:val="00AA5F10"/>
    <w:rsid w:val="00AA6FA8"/>
    <w:rsid w:val="00AA7C35"/>
    <w:rsid w:val="00AB0BB9"/>
    <w:rsid w:val="00AB104D"/>
    <w:rsid w:val="00AB1441"/>
    <w:rsid w:val="00AB1653"/>
    <w:rsid w:val="00AB2AF1"/>
    <w:rsid w:val="00AB440B"/>
    <w:rsid w:val="00AB47E3"/>
    <w:rsid w:val="00AB74C5"/>
    <w:rsid w:val="00AB75A7"/>
    <w:rsid w:val="00AB7BEE"/>
    <w:rsid w:val="00AB7DF2"/>
    <w:rsid w:val="00AC0725"/>
    <w:rsid w:val="00AC0B14"/>
    <w:rsid w:val="00AC1E3F"/>
    <w:rsid w:val="00AC20EB"/>
    <w:rsid w:val="00AC219A"/>
    <w:rsid w:val="00AC2CE1"/>
    <w:rsid w:val="00AC3D02"/>
    <w:rsid w:val="00AC49B5"/>
    <w:rsid w:val="00AC4F18"/>
    <w:rsid w:val="00AC5F5B"/>
    <w:rsid w:val="00AC69CA"/>
    <w:rsid w:val="00AC7501"/>
    <w:rsid w:val="00AC79F3"/>
    <w:rsid w:val="00AD0B46"/>
    <w:rsid w:val="00AD1094"/>
    <w:rsid w:val="00AD2565"/>
    <w:rsid w:val="00AD2862"/>
    <w:rsid w:val="00AD306C"/>
    <w:rsid w:val="00AD3111"/>
    <w:rsid w:val="00AD31B8"/>
    <w:rsid w:val="00AD3424"/>
    <w:rsid w:val="00AD3E3F"/>
    <w:rsid w:val="00AD4FEF"/>
    <w:rsid w:val="00AD50D1"/>
    <w:rsid w:val="00AD5414"/>
    <w:rsid w:val="00AD59BB"/>
    <w:rsid w:val="00AD5D68"/>
    <w:rsid w:val="00AD5D71"/>
    <w:rsid w:val="00AD6483"/>
    <w:rsid w:val="00AD675A"/>
    <w:rsid w:val="00AD6A63"/>
    <w:rsid w:val="00AD6BE5"/>
    <w:rsid w:val="00AD6C73"/>
    <w:rsid w:val="00AD7D49"/>
    <w:rsid w:val="00AE06D0"/>
    <w:rsid w:val="00AE1B8A"/>
    <w:rsid w:val="00AE20DF"/>
    <w:rsid w:val="00AE26E1"/>
    <w:rsid w:val="00AE39DC"/>
    <w:rsid w:val="00AE3CDA"/>
    <w:rsid w:val="00AE481D"/>
    <w:rsid w:val="00AE5270"/>
    <w:rsid w:val="00AE608F"/>
    <w:rsid w:val="00AE6734"/>
    <w:rsid w:val="00AE684E"/>
    <w:rsid w:val="00AE7968"/>
    <w:rsid w:val="00AE7B2B"/>
    <w:rsid w:val="00AE7DFF"/>
    <w:rsid w:val="00AF128B"/>
    <w:rsid w:val="00AF13A0"/>
    <w:rsid w:val="00AF1AEA"/>
    <w:rsid w:val="00AF2536"/>
    <w:rsid w:val="00AF2852"/>
    <w:rsid w:val="00AF3225"/>
    <w:rsid w:val="00AF398B"/>
    <w:rsid w:val="00AF4983"/>
    <w:rsid w:val="00AF4A95"/>
    <w:rsid w:val="00AF4B98"/>
    <w:rsid w:val="00AF4CA7"/>
    <w:rsid w:val="00AF518B"/>
    <w:rsid w:val="00AF5275"/>
    <w:rsid w:val="00AF5D62"/>
    <w:rsid w:val="00AF6367"/>
    <w:rsid w:val="00AF6A79"/>
    <w:rsid w:val="00AF6B7C"/>
    <w:rsid w:val="00AF724E"/>
    <w:rsid w:val="00AF73A9"/>
    <w:rsid w:val="00AF7C9B"/>
    <w:rsid w:val="00B013C0"/>
    <w:rsid w:val="00B01436"/>
    <w:rsid w:val="00B0178A"/>
    <w:rsid w:val="00B01C2C"/>
    <w:rsid w:val="00B0231C"/>
    <w:rsid w:val="00B034DC"/>
    <w:rsid w:val="00B05A37"/>
    <w:rsid w:val="00B07372"/>
    <w:rsid w:val="00B079BC"/>
    <w:rsid w:val="00B07C2A"/>
    <w:rsid w:val="00B10100"/>
    <w:rsid w:val="00B1076A"/>
    <w:rsid w:val="00B111CA"/>
    <w:rsid w:val="00B128E5"/>
    <w:rsid w:val="00B13681"/>
    <w:rsid w:val="00B13BCE"/>
    <w:rsid w:val="00B15C1D"/>
    <w:rsid w:val="00B15DCD"/>
    <w:rsid w:val="00B16201"/>
    <w:rsid w:val="00B16796"/>
    <w:rsid w:val="00B17335"/>
    <w:rsid w:val="00B17E71"/>
    <w:rsid w:val="00B17FDE"/>
    <w:rsid w:val="00B208FC"/>
    <w:rsid w:val="00B20C65"/>
    <w:rsid w:val="00B20DF8"/>
    <w:rsid w:val="00B2153E"/>
    <w:rsid w:val="00B21953"/>
    <w:rsid w:val="00B22E17"/>
    <w:rsid w:val="00B2419B"/>
    <w:rsid w:val="00B25567"/>
    <w:rsid w:val="00B25E31"/>
    <w:rsid w:val="00B266C5"/>
    <w:rsid w:val="00B26CDA"/>
    <w:rsid w:val="00B27293"/>
    <w:rsid w:val="00B300E8"/>
    <w:rsid w:val="00B301BB"/>
    <w:rsid w:val="00B30737"/>
    <w:rsid w:val="00B3216D"/>
    <w:rsid w:val="00B321E3"/>
    <w:rsid w:val="00B3229E"/>
    <w:rsid w:val="00B32DDB"/>
    <w:rsid w:val="00B340AD"/>
    <w:rsid w:val="00B3447A"/>
    <w:rsid w:val="00B3448C"/>
    <w:rsid w:val="00B34931"/>
    <w:rsid w:val="00B34FC6"/>
    <w:rsid w:val="00B35174"/>
    <w:rsid w:val="00B35BEA"/>
    <w:rsid w:val="00B365CB"/>
    <w:rsid w:val="00B37915"/>
    <w:rsid w:val="00B3793D"/>
    <w:rsid w:val="00B40879"/>
    <w:rsid w:val="00B41BE6"/>
    <w:rsid w:val="00B42831"/>
    <w:rsid w:val="00B428A4"/>
    <w:rsid w:val="00B428EA"/>
    <w:rsid w:val="00B454B4"/>
    <w:rsid w:val="00B457E7"/>
    <w:rsid w:val="00B45D1B"/>
    <w:rsid w:val="00B45DE5"/>
    <w:rsid w:val="00B461D6"/>
    <w:rsid w:val="00B46248"/>
    <w:rsid w:val="00B46D25"/>
    <w:rsid w:val="00B47430"/>
    <w:rsid w:val="00B4795A"/>
    <w:rsid w:val="00B47AC6"/>
    <w:rsid w:val="00B52D2D"/>
    <w:rsid w:val="00B534EF"/>
    <w:rsid w:val="00B548DA"/>
    <w:rsid w:val="00B54B85"/>
    <w:rsid w:val="00B55BA8"/>
    <w:rsid w:val="00B55F15"/>
    <w:rsid w:val="00B561A6"/>
    <w:rsid w:val="00B56645"/>
    <w:rsid w:val="00B57CC4"/>
    <w:rsid w:val="00B60062"/>
    <w:rsid w:val="00B606B9"/>
    <w:rsid w:val="00B6136C"/>
    <w:rsid w:val="00B62960"/>
    <w:rsid w:val="00B6349B"/>
    <w:rsid w:val="00B63A11"/>
    <w:rsid w:val="00B63FD0"/>
    <w:rsid w:val="00B643EC"/>
    <w:rsid w:val="00B6449F"/>
    <w:rsid w:val="00B6493D"/>
    <w:rsid w:val="00B6553E"/>
    <w:rsid w:val="00B65C84"/>
    <w:rsid w:val="00B6608F"/>
    <w:rsid w:val="00B661F6"/>
    <w:rsid w:val="00B6724D"/>
    <w:rsid w:val="00B67E42"/>
    <w:rsid w:val="00B73180"/>
    <w:rsid w:val="00B74317"/>
    <w:rsid w:val="00B74D75"/>
    <w:rsid w:val="00B75700"/>
    <w:rsid w:val="00B75AAD"/>
    <w:rsid w:val="00B760C1"/>
    <w:rsid w:val="00B76D1E"/>
    <w:rsid w:val="00B77ABC"/>
    <w:rsid w:val="00B77BC8"/>
    <w:rsid w:val="00B77DC3"/>
    <w:rsid w:val="00B77FB7"/>
    <w:rsid w:val="00B800EB"/>
    <w:rsid w:val="00B822D2"/>
    <w:rsid w:val="00B823F1"/>
    <w:rsid w:val="00B831B4"/>
    <w:rsid w:val="00B83CFE"/>
    <w:rsid w:val="00B83D46"/>
    <w:rsid w:val="00B848B8"/>
    <w:rsid w:val="00B84A41"/>
    <w:rsid w:val="00B84D57"/>
    <w:rsid w:val="00B8504B"/>
    <w:rsid w:val="00B853C2"/>
    <w:rsid w:val="00B85689"/>
    <w:rsid w:val="00B8672A"/>
    <w:rsid w:val="00B86748"/>
    <w:rsid w:val="00B86B70"/>
    <w:rsid w:val="00B907EA"/>
    <w:rsid w:val="00B91EC9"/>
    <w:rsid w:val="00B924CA"/>
    <w:rsid w:val="00B92A4B"/>
    <w:rsid w:val="00B92C9D"/>
    <w:rsid w:val="00B93384"/>
    <w:rsid w:val="00B93530"/>
    <w:rsid w:val="00B93616"/>
    <w:rsid w:val="00B94417"/>
    <w:rsid w:val="00B945B0"/>
    <w:rsid w:val="00B945C1"/>
    <w:rsid w:val="00B94DE2"/>
    <w:rsid w:val="00B95566"/>
    <w:rsid w:val="00B95940"/>
    <w:rsid w:val="00B95EF8"/>
    <w:rsid w:val="00B95F50"/>
    <w:rsid w:val="00B96BD9"/>
    <w:rsid w:val="00B979A0"/>
    <w:rsid w:val="00BA094F"/>
    <w:rsid w:val="00BA0DED"/>
    <w:rsid w:val="00BA0F99"/>
    <w:rsid w:val="00BA1EC9"/>
    <w:rsid w:val="00BA622C"/>
    <w:rsid w:val="00BA6D2C"/>
    <w:rsid w:val="00BB0274"/>
    <w:rsid w:val="00BB0B13"/>
    <w:rsid w:val="00BB12AC"/>
    <w:rsid w:val="00BB16AD"/>
    <w:rsid w:val="00BB1CFD"/>
    <w:rsid w:val="00BB2C53"/>
    <w:rsid w:val="00BB32DA"/>
    <w:rsid w:val="00BB3A54"/>
    <w:rsid w:val="00BB4286"/>
    <w:rsid w:val="00BB462A"/>
    <w:rsid w:val="00BB4D26"/>
    <w:rsid w:val="00BB4E21"/>
    <w:rsid w:val="00BB51AF"/>
    <w:rsid w:val="00BB6F86"/>
    <w:rsid w:val="00BB7746"/>
    <w:rsid w:val="00BC10DE"/>
    <w:rsid w:val="00BC22EB"/>
    <w:rsid w:val="00BC26CA"/>
    <w:rsid w:val="00BC6556"/>
    <w:rsid w:val="00BC682B"/>
    <w:rsid w:val="00BC68BA"/>
    <w:rsid w:val="00BC6B04"/>
    <w:rsid w:val="00BC6D27"/>
    <w:rsid w:val="00BD059A"/>
    <w:rsid w:val="00BD08A0"/>
    <w:rsid w:val="00BD0CBB"/>
    <w:rsid w:val="00BD186B"/>
    <w:rsid w:val="00BD1EAC"/>
    <w:rsid w:val="00BD254C"/>
    <w:rsid w:val="00BD3428"/>
    <w:rsid w:val="00BD345F"/>
    <w:rsid w:val="00BD366B"/>
    <w:rsid w:val="00BD5298"/>
    <w:rsid w:val="00BD534C"/>
    <w:rsid w:val="00BD557B"/>
    <w:rsid w:val="00BD55A9"/>
    <w:rsid w:val="00BD56BC"/>
    <w:rsid w:val="00BD5D91"/>
    <w:rsid w:val="00BD6445"/>
    <w:rsid w:val="00BD6526"/>
    <w:rsid w:val="00BD6615"/>
    <w:rsid w:val="00BD6D50"/>
    <w:rsid w:val="00BE0D79"/>
    <w:rsid w:val="00BE0DB0"/>
    <w:rsid w:val="00BE15B9"/>
    <w:rsid w:val="00BE2C15"/>
    <w:rsid w:val="00BE3381"/>
    <w:rsid w:val="00BE3F09"/>
    <w:rsid w:val="00BE670A"/>
    <w:rsid w:val="00BE6906"/>
    <w:rsid w:val="00BE6CA9"/>
    <w:rsid w:val="00BF18F4"/>
    <w:rsid w:val="00BF1907"/>
    <w:rsid w:val="00BF1A69"/>
    <w:rsid w:val="00BF2C67"/>
    <w:rsid w:val="00BF3BC8"/>
    <w:rsid w:val="00BF3DF1"/>
    <w:rsid w:val="00BF3FE5"/>
    <w:rsid w:val="00BF4C31"/>
    <w:rsid w:val="00BF4E57"/>
    <w:rsid w:val="00BF53B8"/>
    <w:rsid w:val="00BF71D5"/>
    <w:rsid w:val="00BF786A"/>
    <w:rsid w:val="00BF7CB8"/>
    <w:rsid w:val="00BF7F08"/>
    <w:rsid w:val="00BF7F28"/>
    <w:rsid w:val="00C00831"/>
    <w:rsid w:val="00C00F20"/>
    <w:rsid w:val="00C01354"/>
    <w:rsid w:val="00C01700"/>
    <w:rsid w:val="00C01B84"/>
    <w:rsid w:val="00C027C8"/>
    <w:rsid w:val="00C034E6"/>
    <w:rsid w:val="00C05715"/>
    <w:rsid w:val="00C05926"/>
    <w:rsid w:val="00C06370"/>
    <w:rsid w:val="00C0784A"/>
    <w:rsid w:val="00C10B28"/>
    <w:rsid w:val="00C10B3B"/>
    <w:rsid w:val="00C10D62"/>
    <w:rsid w:val="00C10FAE"/>
    <w:rsid w:val="00C1135D"/>
    <w:rsid w:val="00C11DAF"/>
    <w:rsid w:val="00C11E1F"/>
    <w:rsid w:val="00C123B4"/>
    <w:rsid w:val="00C12A69"/>
    <w:rsid w:val="00C13150"/>
    <w:rsid w:val="00C13737"/>
    <w:rsid w:val="00C150BE"/>
    <w:rsid w:val="00C158B0"/>
    <w:rsid w:val="00C15A0C"/>
    <w:rsid w:val="00C15CEB"/>
    <w:rsid w:val="00C15DCB"/>
    <w:rsid w:val="00C16208"/>
    <w:rsid w:val="00C1711F"/>
    <w:rsid w:val="00C17AB1"/>
    <w:rsid w:val="00C17BF1"/>
    <w:rsid w:val="00C17E38"/>
    <w:rsid w:val="00C20027"/>
    <w:rsid w:val="00C2038A"/>
    <w:rsid w:val="00C205BF"/>
    <w:rsid w:val="00C20744"/>
    <w:rsid w:val="00C20B1C"/>
    <w:rsid w:val="00C20C4D"/>
    <w:rsid w:val="00C21D46"/>
    <w:rsid w:val="00C21F94"/>
    <w:rsid w:val="00C222A1"/>
    <w:rsid w:val="00C22C59"/>
    <w:rsid w:val="00C23371"/>
    <w:rsid w:val="00C23CBD"/>
    <w:rsid w:val="00C23D22"/>
    <w:rsid w:val="00C2412D"/>
    <w:rsid w:val="00C2463B"/>
    <w:rsid w:val="00C24E77"/>
    <w:rsid w:val="00C2613A"/>
    <w:rsid w:val="00C268AD"/>
    <w:rsid w:val="00C2732D"/>
    <w:rsid w:val="00C273C6"/>
    <w:rsid w:val="00C27913"/>
    <w:rsid w:val="00C3004E"/>
    <w:rsid w:val="00C300C6"/>
    <w:rsid w:val="00C30828"/>
    <w:rsid w:val="00C30924"/>
    <w:rsid w:val="00C31D16"/>
    <w:rsid w:val="00C31DD8"/>
    <w:rsid w:val="00C3271C"/>
    <w:rsid w:val="00C32A35"/>
    <w:rsid w:val="00C336DD"/>
    <w:rsid w:val="00C339DE"/>
    <w:rsid w:val="00C34D57"/>
    <w:rsid w:val="00C34FDE"/>
    <w:rsid w:val="00C35C16"/>
    <w:rsid w:val="00C36EC3"/>
    <w:rsid w:val="00C40E09"/>
    <w:rsid w:val="00C40F81"/>
    <w:rsid w:val="00C41463"/>
    <w:rsid w:val="00C41A06"/>
    <w:rsid w:val="00C41A72"/>
    <w:rsid w:val="00C42D45"/>
    <w:rsid w:val="00C43CB1"/>
    <w:rsid w:val="00C4422D"/>
    <w:rsid w:val="00C44EBB"/>
    <w:rsid w:val="00C466D1"/>
    <w:rsid w:val="00C476C5"/>
    <w:rsid w:val="00C47D7C"/>
    <w:rsid w:val="00C47EB6"/>
    <w:rsid w:val="00C503B0"/>
    <w:rsid w:val="00C511C2"/>
    <w:rsid w:val="00C51D4B"/>
    <w:rsid w:val="00C527C6"/>
    <w:rsid w:val="00C538FC"/>
    <w:rsid w:val="00C53CDB"/>
    <w:rsid w:val="00C53D7B"/>
    <w:rsid w:val="00C53D82"/>
    <w:rsid w:val="00C54748"/>
    <w:rsid w:val="00C553E8"/>
    <w:rsid w:val="00C574CF"/>
    <w:rsid w:val="00C575FB"/>
    <w:rsid w:val="00C60696"/>
    <w:rsid w:val="00C60943"/>
    <w:rsid w:val="00C60EEF"/>
    <w:rsid w:val="00C610C5"/>
    <w:rsid w:val="00C6121D"/>
    <w:rsid w:val="00C615F1"/>
    <w:rsid w:val="00C61627"/>
    <w:rsid w:val="00C6369F"/>
    <w:rsid w:val="00C636C0"/>
    <w:rsid w:val="00C63B1A"/>
    <w:rsid w:val="00C64E60"/>
    <w:rsid w:val="00C6517A"/>
    <w:rsid w:val="00C657A4"/>
    <w:rsid w:val="00C65B84"/>
    <w:rsid w:val="00C66589"/>
    <w:rsid w:val="00C6736C"/>
    <w:rsid w:val="00C7179C"/>
    <w:rsid w:val="00C71A1D"/>
    <w:rsid w:val="00C71EC4"/>
    <w:rsid w:val="00C73ED2"/>
    <w:rsid w:val="00C7410A"/>
    <w:rsid w:val="00C74735"/>
    <w:rsid w:val="00C74791"/>
    <w:rsid w:val="00C7591E"/>
    <w:rsid w:val="00C75C7E"/>
    <w:rsid w:val="00C75C9B"/>
    <w:rsid w:val="00C76425"/>
    <w:rsid w:val="00C76D8E"/>
    <w:rsid w:val="00C77833"/>
    <w:rsid w:val="00C80953"/>
    <w:rsid w:val="00C80C9B"/>
    <w:rsid w:val="00C8180B"/>
    <w:rsid w:val="00C8335E"/>
    <w:rsid w:val="00C83F9C"/>
    <w:rsid w:val="00C844CA"/>
    <w:rsid w:val="00C84CE3"/>
    <w:rsid w:val="00C85614"/>
    <w:rsid w:val="00C86127"/>
    <w:rsid w:val="00C864FB"/>
    <w:rsid w:val="00C86509"/>
    <w:rsid w:val="00C86F39"/>
    <w:rsid w:val="00C9003C"/>
    <w:rsid w:val="00C905B2"/>
    <w:rsid w:val="00C90CF4"/>
    <w:rsid w:val="00C91C19"/>
    <w:rsid w:val="00C92988"/>
    <w:rsid w:val="00C929A0"/>
    <w:rsid w:val="00C930FB"/>
    <w:rsid w:val="00C93389"/>
    <w:rsid w:val="00C937DB"/>
    <w:rsid w:val="00C93F0E"/>
    <w:rsid w:val="00C94519"/>
    <w:rsid w:val="00C94E11"/>
    <w:rsid w:val="00C94E83"/>
    <w:rsid w:val="00C9567E"/>
    <w:rsid w:val="00C9613F"/>
    <w:rsid w:val="00C97038"/>
    <w:rsid w:val="00C9730D"/>
    <w:rsid w:val="00C97D46"/>
    <w:rsid w:val="00CA02B2"/>
    <w:rsid w:val="00CA0883"/>
    <w:rsid w:val="00CA1085"/>
    <w:rsid w:val="00CA140F"/>
    <w:rsid w:val="00CA25C2"/>
    <w:rsid w:val="00CA2BF5"/>
    <w:rsid w:val="00CA37BB"/>
    <w:rsid w:val="00CA37CA"/>
    <w:rsid w:val="00CA39E1"/>
    <w:rsid w:val="00CA5016"/>
    <w:rsid w:val="00CA5724"/>
    <w:rsid w:val="00CA6508"/>
    <w:rsid w:val="00CA6B87"/>
    <w:rsid w:val="00CA6BA1"/>
    <w:rsid w:val="00CA6CD5"/>
    <w:rsid w:val="00CA6D0B"/>
    <w:rsid w:val="00CB158C"/>
    <w:rsid w:val="00CB1910"/>
    <w:rsid w:val="00CB2150"/>
    <w:rsid w:val="00CB289A"/>
    <w:rsid w:val="00CB28EE"/>
    <w:rsid w:val="00CB2B15"/>
    <w:rsid w:val="00CB2EEA"/>
    <w:rsid w:val="00CB39FE"/>
    <w:rsid w:val="00CB43A7"/>
    <w:rsid w:val="00CB49F6"/>
    <w:rsid w:val="00CB4DF1"/>
    <w:rsid w:val="00CB5996"/>
    <w:rsid w:val="00CB6809"/>
    <w:rsid w:val="00CB7452"/>
    <w:rsid w:val="00CC0E10"/>
    <w:rsid w:val="00CC0F96"/>
    <w:rsid w:val="00CC1DAF"/>
    <w:rsid w:val="00CC212E"/>
    <w:rsid w:val="00CC2642"/>
    <w:rsid w:val="00CC2967"/>
    <w:rsid w:val="00CC2A1E"/>
    <w:rsid w:val="00CC2A36"/>
    <w:rsid w:val="00CC2E15"/>
    <w:rsid w:val="00CC30E2"/>
    <w:rsid w:val="00CC3440"/>
    <w:rsid w:val="00CC351B"/>
    <w:rsid w:val="00CC3908"/>
    <w:rsid w:val="00CC4F3D"/>
    <w:rsid w:val="00CC575E"/>
    <w:rsid w:val="00CC62AD"/>
    <w:rsid w:val="00CC6CA2"/>
    <w:rsid w:val="00CC7086"/>
    <w:rsid w:val="00CC7B80"/>
    <w:rsid w:val="00CD0080"/>
    <w:rsid w:val="00CD0779"/>
    <w:rsid w:val="00CD1A5C"/>
    <w:rsid w:val="00CD2B3C"/>
    <w:rsid w:val="00CD2DA6"/>
    <w:rsid w:val="00CD30F6"/>
    <w:rsid w:val="00CD4907"/>
    <w:rsid w:val="00CD4B29"/>
    <w:rsid w:val="00CD5493"/>
    <w:rsid w:val="00CD5FE3"/>
    <w:rsid w:val="00CD6339"/>
    <w:rsid w:val="00CD6607"/>
    <w:rsid w:val="00CD67CA"/>
    <w:rsid w:val="00CD6954"/>
    <w:rsid w:val="00CD6DA3"/>
    <w:rsid w:val="00CD6EF1"/>
    <w:rsid w:val="00CD6FE1"/>
    <w:rsid w:val="00CD7E35"/>
    <w:rsid w:val="00CE0ABC"/>
    <w:rsid w:val="00CE0B0C"/>
    <w:rsid w:val="00CE0CD6"/>
    <w:rsid w:val="00CE1313"/>
    <w:rsid w:val="00CE21C7"/>
    <w:rsid w:val="00CE2682"/>
    <w:rsid w:val="00CE2756"/>
    <w:rsid w:val="00CE29D6"/>
    <w:rsid w:val="00CE31D8"/>
    <w:rsid w:val="00CE442A"/>
    <w:rsid w:val="00CE44CE"/>
    <w:rsid w:val="00CE4DEB"/>
    <w:rsid w:val="00CE57D8"/>
    <w:rsid w:val="00CE5F03"/>
    <w:rsid w:val="00CE617A"/>
    <w:rsid w:val="00CE6E3C"/>
    <w:rsid w:val="00CE7158"/>
    <w:rsid w:val="00CE797F"/>
    <w:rsid w:val="00CF0826"/>
    <w:rsid w:val="00CF107E"/>
    <w:rsid w:val="00CF15BF"/>
    <w:rsid w:val="00CF243E"/>
    <w:rsid w:val="00CF25D2"/>
    <w:rsid w:val="00CF28C2"/>
    <w:rsid w:val="00CF3D3A"/>
    <w:rsid w:val="00CF42BD"/>
    <w:rsid w:val="00CF51EC"/>
    <w:rsid w:val="00CF56A8"/>
    <w:rsid w:val="00CF5BD8"/>
    <w:rsid w:val="00CF6A9D"/>
    <w:rsid w:val="00CF6CD7"/>
    <w:rsid w:val="00CF7276"/>
    <w:rsid w:val="00CF75EC"/>
    <w:rsid w:val="00D002DF"/>
    <w:rsid w:val="00D0037A"/>
    <w:rsid w:val="00D0061E"/>
    <w:rsid w:val="00D00DAF"/>
    <w:rsid w:val="00D017EC"/>
    <w:rsid w:val="00D01CDA"/>
    <w:rsid w:val="00D020FC"/>
    <w:rsid w:val="00D024A1"/>
    <w:rsid w:val="00D03866"/>
    <w:rsid w:val="00D040DD"/>
    <w:rsid w:val="00D04E1B"/>
    <w:rsid w:val="00D0547B"/>
    <w:rsid w:val="00D076DB"/>
    <w:rsid w:val="00D07EFF"/>
    <w:rsid w:val="00D1067C"/>
    <w:rsid w:val="00D110AB"/>
    <w:rsid w:val="00D11102"/>
    <w:rsid w:val="00D11CBB"/>
    <w:rsid w:val="00D132AD"/>
    <w:rsid w:val="00D136D4"/>
    <w:rsid w:val="00D13830"/>
    <w:rsid w:val="00D13ECF"/>
    <w:rsid w:val="00D142E5"/>
    <w:rsid w:val="00D148CD"/>
    <w:rsid w:val="00D14AFA"/>
    <w:rsid w:val="00D155E4"/>
    <w:rsid w:val="00D1611E"/>
    <w:rsid w:val="00D163CC"/>
    <w:rsid w:val="00D16E69"/>
    <w:rsid w:val="00D17F4A"/>
    <w:rsid w:val="00D205A9"/>
    <w:rsid w:val="00D217EE"/>
    <w:rsid w:val="00D24299"/>
    <w:rsid w:val="00D245BA"/>
    <w:rsid w:val="00D248FE"/>
    <w:rsid w:val="00D250C2"/>
    <w:rsid w:val="00D252D6"/>
    <w:rsid w:val="00D2689E"/>
    <w:rsid w:val="00D26923"/>
    <w:rsid w:val="00D26E27"/>
    <w:rsid w:val="00D277FF"/>
    <w:rsid w:val="00D27856"/>
    <w:rsid w:val="00D27D34"/>
    <w:rsid w:val="00D3006B"/>
    <w:rsid w:val="00D301CA"/>
    <w:rsid w:val="00D30740"/>
    <w:rsid w:val="00D309C0"/>
    <w:rsid w:val="00D30DC4"/>
    <w:rsid w:val="00D31075"/>
    <w:rsid w:val="00D31445"/>
    <w:rsid w:val="00D31932"/>
    <w:rsid w:val="00D32AE0"/>
    <w:rsid w:val="00D360DA"/>
    <w:rsid w:val="00D3614A"/>
    <w:rsid w:val="00D369AD"/>
    <w:rsid w:val="00D374B3"/>
    <w:rsid w:val="00D37689"/>
    <w:rsid w:val="00D378CC"/>
    <w:rsid w:val="00D37E80"/>
    <w:rsid w:val="00D4042C"/>
    <w:rsid w:val="00D40B9E"/>
    <w:rsid w:val="00D41281"/>
    <w:rsid w:val="00D41320"/>
    <w:rsid w:val="00D42312"/>
    <w:rsid w:val="00D433F5"/>
    <w:rsid w:val="00D43998"/>
    <w:rsid w:val="00D439C2"/>
    <w:rsid w:val="00D44A1D"/>
    <w:rsid w:val="00D451E0"/>
    <w:rsid w:val="00D4538D"/>
    <w:rsid w:val="00D455F9"/>
    <w:rsid w:val="00D45A1D"/>
    <w:rsid w:val="00D45B52"/>
    <w:rsid w:val="00D4615E"/>
    <w:rsid w:val="00D4651F"/>
    <w:rsid w:val="00D478E2"/>
    <w:rsid w:val="00D51739"/>
    <w:rsid w:val="00D5264C"/>
    <w:rsid w:val="00D53794"/>
    <w:rsid w:val="00D53B5F"/>
    <w:rsid w:val="00D547BA"/>
    <w:rsid w:val="00D55626"/>
    <w:rsid w:val="00D556BC"/>
    <w:rsid w:val="00D5626D"/>
    <w:rsid w:val="00D56631"/>
    <w:rsid w:val="00D56D85"/>
    <w:rsid w:val="00D5759D"/>
    <w:rsid w:val="00D577A4"/>
    <w:rsid w:val="00D57E4B"/>
    <w:rsid w:val="00D60277"/>
    <w:rsid w:val="00D60336"/>
    <w:rsid w:val="00D61B06"/>
    <w:rsid w:val="00D61F88"/>
    <w:rsid w:val="00D623F7"/>
    <w:rsid w:val="00D62688"/>
    <w:rsid w:val="00D62901"/>
    <w:rsid w:val="00D6345E"/>
    <w:rsid w:val="00D6470C"/>
    <w:rsid w:val="00D64853"/>
    <w:rsid w:val="00D64CB5"/>
    <w:rsid w:val="00D66D48"/>
    <w:rsid w:val="00D7162F"/>
    <w:rsid w:val="00D72897"/>
    <w:rsid w:val="00D7305B"/>
    <w:rsid w:val="00D73256"/>
    <w:rsid w:val="00D7383E"/>
    <w:rsid w:val="00D73A30"/>
    <w:rsid w:val="00D73E6F"/>
    <w:rsid w:val="00D73FB6"/>
    <w:rsid w:val="00D74278"/>
    <w:rsid w:val="00D74ABF"/>
    <w:rsid w:val="00D74C65"/>
    <w:rsid w:val="00D74E97"/>
    <w:rsid w:val="00D74F21"/>
    <w:rsid w:val="00D754CE"/>
    <w:rsid w:val="00D758D0"/>
    <w:rsid w:val="00D75DC2"/>
    <w:rsid w:val="00D75DC3"/>
    <w:rsid w:val="00D766EF"/>
    <w:rsid w:val="00D76C03"/>
    <w:rsid w:val="00D77D68"/>
    <w:rsid w:val="00D77E0D"/>
    <w:rsid w:val="00D77F8D"/>
    <w:rsid w:val="00D80A6A"/>
    <w:rsid w:val="00D80E07"/>
    <w:rsid w:val="00D8118B"/>
    <w:rsid w:val="00D8119B"/>
    <w:rsid w:val="00D81B44"/>
    <w:rsid w:val="00D82462"/>
    <w:rsid w:val="00D831C6"/>
    <w:rsid w:val="00D83EF3"/>
    <w:rsid w:val="00D84BD1"/>
    <w:rsid w:val="00D85773"/>
    <w:rsid w:val="00D85886"/>
    <w:rsid w:val="00D85D55"/>
    <w:rsid w:val="00D867A7"/>
    <w:rsid w:val="00D868CE"/>
    <w:rsid w:val="00D86DAE"/>
    <w:rsid w:val="00D875C9"/>
    <w:rsid w:val="00D8776A"/>
    <w:rsid w:val="00D90116"/>
    <w:rsid w:val="00D90C1E"/>
    <w:rsid w:val="00D91BDF"/>
    <w:rsid w:val="00D91F2C"/>
    <w:rsid w:val="00D9266B"/>
    <w:rsid w:val="00D93F09"/>
    <w:rsid w:val="00D94859"/>
    <w:rsid w:val="00D954C2"/>
    <w:rsid w:val="00D95D83"/>
    <w:rsid w:val="00D96368"/>
    <w:rsid w:val="00D9640A"/>
    <w:rsid w:val="00D97AAD"/>
    <w:rsid w:val="00D97BB8"/>
    <w:rsid w:val="00DA1318"/>
    <w:rsid w:val="00DA1382"/>
    <w:rsid w:val="00DA28B7"/>
    <w:rsid w:val="00DA2FE8"/>
    <w:rsid w:val="00DA3F70"/>
    <w:rsid w:val="00DA4AF6"/>
    <w:rsid w:val="00DA649A"/>
    <w:rsid w:val="00DA7AB2"/>
    <w:rsid w:val="00DB016E"/>
    <w:rsid w:val="00DB06E9"/>
    <w:rsid w:val="00DB0870"/>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08E4"/>
    <w:rsid w:val="00DC176E"/>
    <w:rsid w:val="00DC226A"/>
    <w:rsid w:val="00DC257F"/>
    <w:rsid w:val="00DC2A9F"/>
    <w:rsid w:val="00DC2FA9"/>
    <w:rsid w:val="00DC350B"/>
    <w:rsid w:val="00DC3790"/>
    <w:rsid w:val="00DC408A"/>
    <w:rsid w:val="00DC436D"/>
    <w:rsid w:val="00DC519B"/>
    <w:rsid w:val="00DC53D9"/>
    <w:rsid w:val="00DC5B3B"/>
    <w:rsid w:val="00DC60C2"/>
    <w:rsid w:val="00DC6796"/>
    <w:rsid w:val="00DC68E7"/>
    <w:rsid w:val="00DC6CC6"/>
    <w:rsid w:val="00DC78DF"/>
    <w:rsid w:val="00DC7D4C"/>
    <w:rsid w:val="00DD0726"/>
    <w:rsid w:val="00DD0821"/>
    <w:rsid w:val="00DD0E32"/>
    <w:rsid w:val="00DD1878"/>
    <w:rsid w:val="00DD1DC1"/>
    <w:rsid w:val="00DD20FA"/>
    <w:rsid w:val="00DD21F1"/>
    <w:rsid w:val="00DD2670"/>
    <w:rsid w:val="00DD2872"/>
    <w:rsid w:val="00DD2A62"/>
    <w:rsid w:val="00DD2BB1"/>
    <w:rsid w:val="00DD2BD0"/>
    <w:rsid w:val="00DD2BFE"/>
    <w:rsid w:val="00DD36E7"/>
    <w:rsid w:val="00DD373E"/>
    <w:rsid w:val="00DD3867"/>
    <w:rsid w:val="00DD57AD"/>
    <w:rsid w:val="00DD7435"/>
    <w:rsid w:val="00DD7C6D"/>
    <w:rsid w:val="00DE009B"/>
    <w:rsid w:val="00DE08F8"/>
    <w:rsid w:val="00DE0C31"/>
    <w:rsid w:val="00DE0E40"/>
    <w:rsid w:val="00DE1460"/>
    <w:rsid w:val="00DE2ED9"/>
    <w:rsid w:val="00DE319A"/>
    <w:rsid w:val="00DE5AD3"/>
    <w:rsid w:val="00DE6EAC"/>
    <w:rsid w:val="00DE74A8"/>
    <w:rsid w:val="00DE7B69"/>
    <w:rsid w:val="00DF0615"/>
    <w:rsid w:val="00DF0DC3"/>
    <w:rsid w:val="00DF1328"/>
    <w:rsid w:val="00DF18C6"/>
    <w:rsid w:val="00DF1A2F"/>
    <w:rsid w:val="00DF204C"/>
    <w:rsid w:val="00DF2078"/>
    <w:rsid w:val="00DF21FD"/>
    <w:rsid w:val="00DF2873"/>
    <w:rsid w:val="00DF293C"/>
    <w:rsid w:val="00DF330C"/>
    <w:rsid w:val="00DF34B2"/>
    <w:rsid w:val="00DF3A10"/>
    <w:rsid w:val="00DF4C74"/>
    <w:rsid w:val="00DF52AE"/>
    <w:rsid w:val="00DF5578"/>
    <w:rsid w:val="00DF594F"/>
    <w:rsid w:val="00DF6CF8"/>
    <w:rsid w:val="00DF6F6E"/>
    <w:rsid w:val="00DF78DD"/>
    <w:rsid w:val="00DF7FEC"/>
    <w:rsid w:val="00E00CCA"/>
    <w:rsid w:val="00E01B16"/>
    <w:rsid w:val="00E01B6E"/>
    <w:rsid w:val="00E01C0E"/>
    <w:rsid w:val="00E02086"/>
    <w:rsid w:val="00E023BE"/>
    <w:rsid w:val="00E02740"/>
    <w:rsid w:val="00E03B27"/>
    <w:rsid w:val="00E03B58"/>
    <w:rsid w:val="00E04694"/>
    <w:rsid w:val="00E049F6"/>
    <w:rsid w:val="00E04CA9"/>
    <w:rsid w:val="00E05B2B"/>
    <w:rsid w:val="00E05EAD"/>
    <w:rsid w:val="00E065FC"/>
    <w:rsid w:val="00E06A2A"/>
    <w:rsid w:val="00E07F05"/>
    <w:rsid w:val="00E106A2"/>
    <w:rsid w:val="00E127E1"/>
    <w:rsid w:val="00E12BCE"/>
    <w:rsid w:val="00E1409E"/>
    <w:rsid w:val="00E144D2"/>
    <w:rsid w:val="00E144D6"/>
    <w:rsid w:val="00E14A98"/>
    <w:rsid w:val="00E15346"/>
    <w:rsid w:val="00E15B7D"/>
    <w:rsid w:val="00E16157"/>
    <w:rsid w:val="00E17C5F"/>
    <w:rsid w:val="00E2097E"/>
    <w:rsid w:val="00E215EA"/>
    <w:rsid w:val="00E21CAB"/>
    <w:rsid w:val="00E221FC"/>
    <w:rsid w:val="00E222BB"/>
    <w:rsid w:val="00E22782"/>
    <w:rsid w:val="00E22E78"/>
    <w:rsid w:val="00E24619"/>
    <w:rsid w:val="00E24871"/>
    <w:rsid w:val="00E25223"/>
    <w:rsid w:val="00E25999"/>
    <w:rsid w:val="00E26123"/>
    <w:rsid w:val="00E263A8"/>
    <w:rsid w:val="00E30BEA"/>
    <w:rsid w:val="00E31764"/>
    <w:rsid w:val="00E3288A"/>
    <w:rsid w:val="00E329AB"/>
    <w:rsid w:val="00E32BC2"/>
    <w:rsid w:val="00E32DFC"/>
    <w:rsid w:val="00E33313"/>
    <w:rsid w:val="00E3405E"/>
    <w:rsid w:val="00E34985"/>
    <w:rsid w:val="00E34E4A"/>
    <w:rsid w:val="00E365B3"/>
    <w:rsid w:val="00E366BB"/>
    <w:rsid w:val="00E372FD"/>
    <w:rsid w:val="00E37C45"/>
    <w:rsid w:val="00E40844"/>
    <w:rsid w:val="00E40AAA"/>
    <w:rsid w:val="00E4164E"/>
    <w:rsid w:val="00E41A59"/>
    <w:rsid w:val="00E42444"/>
    <w:rsid w:val="00E427EA"/>
    <w:rsid w:val="00E42C77"/>
    <w:rsid w:val="00E42D52"/>
    <w:rsid w:val="00E438CF"/>
    <w:rsid w:val="00E43B06"/>
    <w:rsid w:val="00E43C41"/>
    <w:rsid w:val="00E4500E"/>
    <w:rsid w:val="00E450CE"/>
    <w:rsid w:val="00E45703"/>
    <w:rsid w:val="00E45A00"/>
    <w:rsid w:val="00E45CE7"/>
    <w:rsid w:val="00E4631F"/>
    <w:rsid w:val="00E46735"/>
    <w:rsid w:val="00E46A4A"/>
    <w:rsid w:val="00E46E03"/>
    <w:rsid w:val="00E46F78"/>
    <w:rsid w:val="00E4793B"/>
    <w:rsid w:val="00E479D8"/>
    <w:rsid w:val="00E47B32"/>
    <w:rsid w:val="00E47CB8"/>
    <w:rsid w:val="00E47FCD"/>
    <w:rsid w:val="00E522BB"/>
    <w:rsid w:val="00E52A3D"/>
    <w:rsid w:val="00E533B7"/>
    <w:rsid w:val="00E539E4"/>
    <w:rsid w:val="00E53C14"/>
    <w:rsid w:val="00E549C7"/>
    <w:rsid w:val="00E569C7"/>
    <w:rsid w:val="00E569D7"/>
    <w:rsid w:val="00E571F2"/>
    <w:rsid w:val="00E57429"/>
    <w:rsid w:val="00E60FCE"/>
    <w:rsid w:val="00E61EA8"/>
    <w:rsid w:val="00E62A33"/>
    <w:rsid w:val="00E63200"/>
    <w:rsid w:val="00E63221"/>
    <w:rsid w:val="00E63960"/>
    <w:rsid w:val="00E63BFD"/>
    <w:rsid w:val="00E63EC6"/>
    <w:rsid w:val="00E64AE4"/>
    <w:rsid w:val="00E64CFF"/>
    <w:rsid w:val="00E64EA1"/>
    <w:rsid w:val="00E6582D"/>
    <w:rsid w:val="00E669C7"/>
    <w:rsid w:val="00E67611"/>
    <w:rsid w:val="00E67859"/>
    <w:rsid w:val="00E70510"/>
    <w:rsid w:val="00E705CD"/>
    <w:rsid w:val="00E71262"/>
    <w:rsid w:val="00E71A58"/>
    <w:rsid w:val="00E71C3A"/>
    <w:rsid w:val="00E72BA7"/>
    <w:rsid w:val="00E737F6"/>
    <w:rsid w:val="00E7568F"/>
    <w:rsid w:val="00E764AE"/>
    <w:rsid w:val="00E76733"/>
    <w:rsid w:val="00E76F80"/>
    <w:rsid w:val="00E7724B"/>
    <w:rsid w:val="00E776DE"/>
    <w:rsid w:val="00E80E31"/>
    <w:rsid w:val="00E81130"/>
    <w:rsid w:val="00E813EF"/>
    <w:rsid w:val="00E81556"/>
    <w:rsid w:val="00E83DAB"/>
    <w:rsid w:val="00E841E3"/>
    <w:rsid w:val="00E84F21"/>
    <w:rsid w:val="00E85720"/>
    <w:rsid w:val="00E8618A"/>
    <w:rsid w:val="00E90A4B"/>
    <w:rsid w:val="00E90D67"/>
    <w:rsid w:val="00E90F73"/>
    <w:rsid w:val="00E910A7"/>
    <w:rsid w:val="00E91607"/>
    <w:rsid w:val="00E921C7"/>
    <w:rsid w:val="00E92995"/>
    <w:rsid w:val="00E92A8C"/>
    <w:rsid w:val="00E93035"/>
    <w:rsid w:val="00E932EA"/>
    <w:rsid w:val="00E9446C"/>
    <w:rsid w:val="00E94612"/>
    <w:rsid w:val="00E94ADB"/>
    <w:rsid w:val="00E95797"/>
    <w:rsid w:val="00E9682F"/>
    <w:rsid w:val="00E96A8D"/>
    <w:rsid w:val="00E96FC2"/>
    <w:rsid w:val="00E970D9"/>
    <w:rsid w:val="00E972BA"/>
    <w:rsid w:val="00E97FA2"/>
    <w:rsid w:val="00EA06CB"/>
    <w:rsid w:val="00EA0AF3"/>
    <w:rsid w:val="00EA0C68"/>
    <w:rsid w:val="00EA19E2"/>
    <w:rsid w:val="00EA1CFB"/>
    <w:rsid w:val="00EA2169"/>
    <w:rsid w:val="00EA3BF6"/>
    <w:rsid w:val="00EA3EBE"/>
    <w:rsid w:val="00EA3FAC"/>
    <w:rsid w:val="00EA4153"/>
    <w:rsid w:val="00EA421A"/>
    <w:rsid w:val="00EA5CD6"/>
    <w:rsid w:val="00EA76FD"/>
    <w:rsid w:val="00EA77CA"/>
    <w:rsid w:val="00EA78FE"/>
    <w:rsid w:val="00EB03D4"/>
    <w:rsid w:val="00EB0555"/>
    <w:rsid w:val="00EB0938"/>
    <w:rsid w:val="00EB0FCC"/>
    <w:rsid w:val="00EB1298"/>
    <w:rsid w:val="00EB20A0"/>
    <w:rsid w:val="00EB29CA"/>
    <w:rsid w:val="00EB2CE9"/>
    <w:rsid w:val="00EB30B6"/>
    <w:rsid w:val="00EB4335"/>
    <w:rsid w:val="00EB4FA4"/>
    <w:rsid w:val="00EB5146"/>
    <w:rsid w:val="00EB514B"/>
    <w:rsid w:val="00EB522B"/>
    <w:rsid w:val="00EB5410"/>
    <w:rsid w:val="00EB55E9"/>
    <w:rsid w:val="00EB5641"/>
    <w:rsid w:val="00EB592C"/>
    <w:rsid w:val="00EB599D"/>
    <w:rsid w:val="00EB5CA9"/>
    <w:rsid w:val="00EB5ED4"/>
    <w:rsid w:val="00EB6537"/>
    <w:rsid w:val="00EB70E1"/>
    <w:rsid w:val="00EB7EB5"/>
    <w:rsid w:val="00EC0860"/>
    <w:rsid w:val="00EC0EC1"/>
    <w:rsid w:val="00EC424C"/>
    <w:rsid w:val="00EC454B"/>
    <w:rsid w:val="00EC4941"/>
    <w:rsid w:val="00EC4D9C"/>
    <w:rsid w:val="00EC6153"/>
    <w:rsid w:val="00EC7F92"/>
    <w:rsid w:val="00ED00A8"/>
    <w:rsid w:val="00ED0A79"/>
    <w:rsid w:val="00ED0C9B"/>
    <w:rsid w:val="00ED2989"/>
    <w:rsid w:val="00ED2B0B"/>
    <w:rsid w:val="00ED2CA5"/>
    <w:rsid w:val="00ED336F"/>
    <w:rsid w:val="00ED390A"/>
    <w:rsid w:val="00ED3A94"/>
    <w:rsid w:val="00ED40F0"/>
    <w:rsid w:val="00ED4AC0"/>
    <w:rsid w:val="00ED54D6"/>
    <w:rsid w:val="00ED5726"/>
    <w:rsid w:val="00ED7AA7"/>
    <w:rsid w:val="00ED7C3C"/>
    <w:rsid w:val="00EE0113"/>
    <w:rsid w:val="00EE0298"/>
    <w:rsid w:val="00EE0384"/>
    <w:rsid w:val="00EE043A"/>
    <w:rsid w:val="00EE0473"/>
    <w:rsid w:val="00EE07DE"/>
    <w:rsid w:val="00EE1057"/>
    <w:rsid w:val="00EE10AA"/>
    <w:rsid w:val="00EE1637"/>
    <w:rsid w:val="00EE208C"/>
    <w:rsid w:val="00EE3547"/>
    <w:rsid w:val="00EE3B7A"/>
    <w:rsid w:val="00EE3CA2"/>
    <w:rsid w:val="00EE3E78"/>
    <w:rsid w:val="00EE450E"/>
    <w:rsid w:val="00EE4534"/>
    <w:rsid w:val="00EE495A"/>
    <w:rsid w:val="00EE5E02"/>
    <w:rsid w:val="00EE617D"/>
    <w:rsid w:val="00EE61BF"/>
    <w:rsid w:val="00EE6538"/>
    <w:rsid w:val="00EE6748"/>
    <w:rsid w:val="00EE6C6B"/>
    <w:rsid w:val="00EF0E75"/>
    <w:rsid w:val="00EF1D92"/>
    <w:rsid w:val="00EF1ED5"/>
    <w:rsid w:val="00EF1F5A"/>
    <w:rsid w:val="00EF303D"/>
    <w:rsid w:val="00EF3486"/>
    <w:rsid w:val="00EF35CA"/>
    <w:rsid w:val="00EF3CF0"/>
    <w:rsid w:val="00EF4685"/>
    <w:rsid w:val="00EF51FE"/>
    <w:rsid w:val="00EF5397"/>
    <w:rsid w:val="00EF63CC"/>
    <w:rsid w:val="00EF6B4F"/>
    <w:rsid w:val="00EF6BE3"/>
    <w:rsid w:val="00F00D0E"/>
    <w:rsid w:val="00F00D3C"/>
    <w:rsid w:val="00F020EA"/>
    <w:rsid w:val="00F02A72"/>
    <w:rsid w:val="00F032C4"/>
    <w:rsid w:val="00F0356B"/>
    <w:rsid w:val="00F04811"/>
    <w:rsid w:val="00F0488C"/>
    <w:rsid w:val="00F0496E"/>
    <w:rsid w:val="00F04D10"/>
    <w:rsid w:val="00F04FAE"/>
    <w:rsid w:val="00F053EA"/>
    <w:rsid w:val="00F0540C"/>
    <w:rsid w:val="00F06158"/>
    <w:rsid w:val="00F0625B"/>
    <w:rsid w:val="00F068A8"/>
    <w:rsid w:val="00F06944"/>
    <w:rsid w:val="00F069AC"/>
    <w:rsid w:val="00F06C6F"/>
    <w:rsid w:val="00F0732D"/>
    <w:rsid w:val="00F101FF"/>
    <w:rsid w:val="00F104DF"/>
    <w:rsid w:val="00F10A33"/>
    <w:rsid w:val="00F10B64"/>
    <w:rsid w:val="00F1186C"/>
    <w:rsid w:val="00F11AD5"/>
    <w:rsid w:val="00F126D0"/>
    <w:rsid w:val="00F12A83"/>
    <w:rsid w:val="00F14ACD"/>
    <w:rsid w:val="00F15309"/>
    <w:rsid w:val="00F15BEF"/>
    <w:rsid w:val="00F160EC"/>
    <w:rsid w:val="00F172BE"/>
    <w:rsid w:val="00F1776C"/>
    <w:rsid w:val="00F2037E"/>
    <w:rsid w:val="00F20D17"/>
    <w:rsid w:val="00F2103E"/>
    <w:rsid w:val="00F214FC"/>
    <w:rsid w:val="00F21837"/>
    <w:rsid w:val="00F21C31"/>
    <w:rsid w:val="00F23825"/>
    <w:rsid w:val="00F2389A"/>
    <w:rsid w:val="00F23F6C"/>
    <w:rsid w:val="00F23FFF"/>
    <w:rsid w:val="00F24115"/>
    <w:rsid w:val="00F243F6"/>
    <w:rsid w:val="00F2441D"/>
    <w:rsid w:val="00F2490D"/>
    <w:rsid w:val="00F24FAA"/>
    <w:rsid w:val="00F25226"/>
    <w:rsid w:val="00F25860"/>
    <w:rsid w:val="00F26197"/>
    <w:rsid w:val="00F273D4"/>
    <w:rsid w:val="00F307DD"/>
    <w:rsid w:val="00F30C2E"/>
    <w:rsid w:val="00F30CB4"/>
    <w:rsid w:val="00F30EBF"/>
    <w:rsid w:val="00F318FC"/>
    <w:rsid w:val="00F31D53"/>
    <w:rsid w:val="00F31F76"/>
    <w:rsid w:val="00F325A3"/>
    <w:rsid w:val="00F3267A"/>
    <w:rsid w:val="00F3364D"/>
    <w:rsid w:val="00F339D0"/>
    <w:rsid w:val="00F353AE"/>
    <w:rsid w:val="00F35ACD"/>
    <w:rsid w:val="00F365BF"/>
    <w:rsid w:val="00F36BB9"/>
    <w:rsid w:val="00F36BF8"/>
    <w:rsid w:val="00F36FC0"/>
    <w:rsid w:val="00F375BA"/>
    <w:rsid w:val="00F37760"/>
    <w:rsid w:val="00F37F3C"/>
    <w:rsid w:val="00F403D1"/>
    <w:rsid w:val="00F40562"/>
    <w:rsid w:val="00F4170B"/>
    <w:rsid w:val="00F43292"/>
    <w:rsid w:val="00F43921"/>
    <w:rsid w:val="00F44E1B"/>
    <w:rsid w:val="00F45222"/>
    <w:rsid w:val="00F4524F"/>
    <w:rsid w:val="00F45530"/>
    <w:rsid w:val="00F4591F"/>
    <w:rsid w:val="00F47321"/>
    <w:rsid w:val="00F4736B"/>
    <w:rsid w:val="00F47804"/>
    <w:rsid w:val="00F47997"/>
    <w:rsid w:val="00F47D05"/>
    <w:rsid w:val="00F50030"/>
    <w:rsid w:val="00F502F5"/>
    <w:rsid w:val="00F50B9D"/>
    <w:rsid w:val="00F51FC9"/>
    <w:rsid w:val="00F529EE"/>
    <w:rsid w:val="00F52AE1"/>
    <w:rsid w:val="00F53243"/>
    <w:rsid w:val="00F541ED"/>
    <w:rsid w:val="00F54B31"/>
    <w:rsid w:val="00F54C70"/>
    <w:rsid w:val="00F54FD3"/>
    <w:rsid w:val="00F554F9"/>
    <w:rsid w:val="00F55605"/>
    <w:rsid w:val="00F56375"/>
    <w:rsid w:val="00F56E04"/>
    <w:rsid w:val="00F57CAD"/>
    <w:rsid w:val="00F57CD7"/>
    <w:rsid w:val="00F6080A"/>
    <w:rsid w:val="00F61BFE"/>
    <w:rsid w:val="00F62F02"/>
    <w:rsid w:val="00F6339F"/>
    <w:rsid w:val="00F638E6"/>
    <w:rsid w:val="00F63DDE"/>
    <w:rsid w:val="00F63FB7"/>
    <w:rsid w:val="00F64726"/>
    <w:rsid w:val="00F64C5B"/>
    <w:rsid w:val="00F64F44"/>
    <w:rsid w:val="00F6561A"/>
    <w:rsid w:val="00F66243"/>
    <w:rsid w:val="00F66CA8"/>
    <w:rsid w:val="00F67BDA"/>
    <w:rsid w:val="00F70309"/>
    <w:rsid w:val="00F7078A"/>
    <w:rsid w:val="00F70C8E"/>
    <w:rsid w:val="00F70E45"/>
    <w:rsid w:val="00F727D5"/>
    <w:rsid w:val="00F72F44"/>
    <w:rsid w:val="00F73150"/>
    <w:rsid w:val="00F73A0C"/>
    <w:rsid w:val="00F7593A"/>
    <w:rsid w:val="00F7593B"/>
    <w:rsid w:val="00F759DC"/>
    <w:rsid w:val="00F76309"/>
    <w:rsid w:val="00F76563"/>
    <w:rsid w:val="00F76F35"/>
    <w:rsid w:val="00F7717C"/>
    <w:rsid w:val="00F771A5"/>
    <w:rsid w:val="00F77387"/>
    <w:rsid w:val="00F80021"/>
    <w:rsid w:val="00F804FA"/>
    <w:rsid w:val="00F80D1E"/>
    <w:rsid w:val="00F817A4"/>
    <w:rsid w:val="00F81C3A"/>
    <w:rsid w:val="00F83573"/>
    <w:rsid w:val="00F835E1"/>
    <w:rsid w:val="00F835FC"/>
    <w:rsid w:val="00F8373A"/>
    <w:rsid w:val="00F83E21"/>
    <w:rsid w:val="00F83FA4"/>
    <w:rsid w:val="00F8410C"/>
    <w:rsid w:val="00F84E18"/>
    <w:rsid w:val="00F852E5"/>
    <w:rsid w:val="00F853A5"/>
    <w:rsid w:val="00F8630A"/>
    <w:rsid w:val="00F86F2E"/>
    <w:rsid w:val="00F90350"/>
    <w:rsid w:val="00F916FB"/>
    <w:rsid w:val="00F91EAF"/>
    <w:rsid w:val="00F9310A"/>
    <w:rsid w:val="00F94681"/>
    <w:rsid w:val="00F95117"/>
    <w:rsid w:val="00F951D6"/>
    <w:rsid w:val="00F96E38"/>
    <w:rsid w:val="00F97ED2"/>
    <w:rsid w:val="00FA05D7"/>
    <w:rsid w:val="00FA16BD"/>
    <w:rsid w:val="00FA1992"/>
    <w:rsid w:val="00FA1C6C"/>
    <w:rsid w:val="00FA23C1"/>
    <w:rsid w:val="00FA2447"/>
    <w:rsid w:val="00FA2A4A"/>
    <w:rsid w:val="00FA2BDE"/>
    <w:rsid w:val="00FA2C2A"/>
    <w:rsid w:val="00FA309A"/>
    <w:rsid w:val="00FA6B3F"/>
    <w:rsid w:val="00FA7644"/>
    <w:rsid w:val="00FA76E1"/>
    <w:rsid w:val="00FB0A9A"/>
    <w:rsid w:val="00FB16AD"/>
    <w:rsid w:val="00FB1BC4"/>
    <w:rsid w:val="00FB1F21"/>
    <w:rsid w:val="00FB332E"/>
    <w:rsid w:val="00FB3763"/>
    <w:rsid w:val="00FB483B"/>
    <w:rsid w:val="00FB56F1"/>
    <w:rsid w:val="00FB5A54"/>
    <w:rsid w:val="00FB5FD4"/>
    <w:rsid w:val="00FB6398"/>
    <w:rsid w:val="00FB67F3"/>
    <w:rsid w:val="00FB6AF4"/>
    <w:rsid w:val="00FB7710"/>
    <w:rsid w:val="00FC0D8A"/>
    <w:rsid w:val="00FC0E5F"/>
    <w:rsid w:val="00FC135D"/>
    <w:rsid w:val="00FC26FB"/>
    <w:rsid w:val="00FC2CF4"/>
    <w:rsid w:val="00FC3C84"/>
    <w:rsid w:val="00FC3EED"/>
    <w:rsid w:val="00FC428D"/>
    <w:rsid w:val="00FC4660"/>
    <w:rsid w:val="00FC56DE"/>
    <w:rsid w:val="00FC5E01"/>
    <w:rsid w:val="00FC6140"/>
    <w:rsid w:val="00FC6DB5"/>
    <w:rsid w:val="00FC740A"/>
    <w:rsid w:val="00FD1261"/>
    <w:rsid w:val="00FD1627"/>
    <w:rsid w:val="00FD1BBD"/>
    <w:rsid w:val="00FD33E5"/>
    <w:rsid w:val="00FD38B2"/>
    <w:rsid w:val="00FD38F7"/>
    <w:rsid w:val="00FD4262"/>
    <w:rsid w:val="00FD43A0"/>
    <w:rsid w:val="00FD473D"/>
    <w:rsid w:val="00FD55BA"/>
    <w:rsid w:val="00FD61C8"/>
    <w:rsid w:val="00FD63CE"/>
    <w:rsid w:val="00FD77BB"/>
    <w:rsid w:val="00FD7D49"/>
    <w:rsid w:val="00FE1251"/>
    <w:rsid w:val="00FE16E6"/>
    <w:rsid w:val="00FE2F3B"/>
    <w:rsid w:val="00FE2F78"/>
    <w:rsid w:val="00FE3510"/>
    <w:rsid w:val="00FE371D"/>
    <w:rsid w:val="00FE375F"/>
    <w:rsid w:val="00FE3D8B"/>
    <w:rsid w:val="00FE4FCB"/>
    <w:rsid w:val="00FE60A8"/>
    <w:rsid w:val="00FE688F"/>
    <w:rsid w:val="00FE6920"/>
    <w:rsid w:val="00FE705E"/>
    <w:rsid w:val="00FF02EB"/>
    <w:rsid w:val="00FF288B"/>
    <w:rsid w:val="00FF28E0"/>
    <w:rsid w:val="00FF2FB4"/>
    <w:rsid w:val="00FF30B3"/>
    <w:rsid w:val="00FF3DF3"/>
    <w:rsid w:val="00FF4027"/>
    <w:rsid w:val="00FF45A2"/>
    <w:rsid w:val="00FF4BD5"/>
    <w:rsid w:val="00FF55B1"/>
    <w:rsid w:val="00FF5A33"/>
    <w:rsid w:val="00FF65DF"/>
    <w:rsid w:val="00FF6B00"/>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 w:type="paragraph" w:styleId="Pedmtkomente">
    <w:name w:val="annotation subject"/>
    <w:basedOn w:val="Textkomente"/>
    <w:next w:val="Textkomente"/>
    <w:link w:val="PedmtkomenteChar"/>
    <w:uiPriority w:val="99"/>
    <w:semiHidden/>
    <w:unhideWhenUsed/>
    <w:locked/>
    <w:rsid w:val="009E72A1"/>
    <w:rPr>
      <w:b/>
      <w:bCs/>
    </w:rPr>
  </w:style>
  <w:style w:type="character" w:customStyle="1" w:styleId="PedmtkomenteChar">
    <w:name w:val="Předmět komentáře Char"/>
    <w:basedOn w:val="TextkomenteChar"/>
    <w:link w:val="Pedmtkomente"/>
    <w:uiPriority w:val="99"/>
    <w:semiHidden/>
    <w:rsid w:val="009E72A1"/>
    <w:rPr>
      <w:rFonts w:ascii="Arial" w:hAnsi="Arial"/>
      <w:b/>
      <w:bCs/>
    </w:rPr>
  </w:style>
  <w:style w:type="character" w:styleId="Zvraznn">
    <w:name w:val="Emphasis"/>
    <w:basedOn w:val="Standardnpsmoodstavce"/>
    <w:uiPriority w:val="20"/>
    <w:qFormat/>
    <w:locked/>
    <w:rsid w:val="005D7503"/>
    <w:rPr>
      <w:i/>
      <w:iCs/>
    </w:rPr>
  </w:style>
  <w:style w:type="paragraph" w:styleId="Revize">
    <w:name w:val="Revision"/>
    <w:hidden/>
    <w:uiPriority w:val="99"/>
    <w:semiHidden/>
    <w:rsid w:val="0079638B"/>
    <w:rPr>
      <w:rFonts w:ascii="Arial" w:hAnsi="Arial"/>
      <w:szCs w:val="24"/>
    </w:rPr>
  </w:style>
  <w:style w:type="character" w:customStyle="1" w:styleId="shorttext">
    <w:name w:val="short_text"/>
    <w:basedOn w:val="Standardnpsmoodstavce"/>
    <w:rsid w:val="00F96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 w:type="paragraph" w:styleId="Pedmtkomente">
    <w:name w:val="annotation subject"/>
    <w:basedOn w:val="Textkomente"/>
    <w:next w:val="Textkomente"/>
    <w:link w:val="PedmtkomenteChar"/>
    <w:uiPriority w:val="99"/>
    <w:semiHidden/>
    <w:unhideWhenUsed/>
    <w:locked/>
    <w:rsid w:val="009E72A1"/>
    <w:rPr>
      <w:b/>
      <w:bCs/>
    </w:rPr>
  </w:style>
  <w:style w:type="character" w:customStyle="1" w:styleId="PedmtkomenteChar">
    <w:name w:val="Předmět komentáře Char"/>
    <w:basedOn w:val="TextkomenteChar"/>
    <w:link w:val="Pedmtkomente"/>
    <w:uiPriority w:val="99"/>
    <w:semiHidden/>
    <w:rsid w:val="009E72A1"/>
    <w:rPr>
      <w:rFonts w:ascii="Arial" w:hAnsi="Arial"/>
      <w:b/>
      <w:bCs/>
    </w:rPr>
  </w:style>
  <w:style w:type="character" w:styleId="Zvraznn">
    <w:name w:val="Emphasis"/>
    <w:basedOn w:val="Standardnpsmoodstavce"/>
    <w:uiPriority w:val="20"/>
    <w:qFormat/>
    <w:locked/>
    <w:rsid w:val="005D7503"/>
    <w:rPr>
      <w:i/>
      <w:iCs/>
    </w:rPr>
  </w:style>
  <w:style w:type="paragraph" w:styleId="Revize">
    <w:name w:val="Revision"/>
    <w:hidden/>
    <w:uiPriority w:val="99"/>
    <w:semiHidden/>
    <w:rsid w:val="0079638B"/>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2268191">
      <w:bodyDiv w:val="1"/>
      <w:marLeft w:val="0"/>
      <w:marRight w:val="0"/>
      <w:marTop w:val="0"/>
      <w:marBottom w:val="0"/>
      <w:divBdr>
        <w:top w:val="none" w:sz="0" w:space="0" w:color="auto"/>
        <w:left w:val="none" w:sz="0" w:space="0" w:color="auto"/>
        <w:bottom w:val="none" w:sz="0" w:space="0" w:color="auto"/>
        <w:right w:val="none" w:sz="0" w:space="0" w:color="auto"/>
      </w:divBdr>
    </w:div>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328634465">
      <w:bodyDiv w:val="1"/>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 w:id="1749158053">
      <w:bodyDiv w:val="1"/>
      <w:marLeft w:val="0"/>
      <w:marRight w:val="0"/>
      <w:marTop w:val="0"/>
      <w:marBottom w:val="0"/>
      <w:divBdr>
        <w:top w:val="none" w:sz="0" w:space="0" w:color="auto"/>
        <w:left w:val="none" w:sz="0" w:space="0" w:color="auto"/>
        <w:bottom w:val="none" w:sz="0" w:space="0" w:color="auto"/>
        <w:right w:val="none" w:sz="0" w:space="0" w:color="auto"/>
      </w:divBdr>
    </w:div>
    <w:div w:id="2084790664">
      <w:bodyDiv w:val="1"/>
      <w:marLeft w:val="0"/>
      <w:marRight w:val="0"/>
      <w:marTop w:val="0"/>
      <w:marBottom w:val="0"/>
      <w:divBdr>
        <w:top w:val="none" w:sz="0" w:space="0" w:color="auto"/>
        <w:left w:val="none" w:sz="0" w:space="0" w:color="auto"/>
        <w:bottom w:val="none" w:sz="0" w:space="0" w:color="auto"/>
        <w:right w:val="none" w:sz="0" w:space="0" w:color="auto"/>
      </w:divBdr>
    </w:div>
    <w:div w:id="21453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7Q4\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7Q4\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9865404755441174E-2"/>
          <c:y val="3.3960026067356604E-2"/>
          <c:w val="0.90126857480580858"/>
          <c:h val="0.78310705842620731"/>
        </c:manualLayout>
      </c:layout>
      <c:barChart>
        <c:barDir val="col"/>
        <c:grouping val="stacked"/>
        <c:ser>
          <c:idx val="3"/>
          <c:order val="1"/>
          <c:tx>
            <c:strRef>
              <c:f>'Vnější vztahy 1'!$E$5</c:f>
              <c:strCache>
                <c:ptCount val="1"/>
                <c:pt idx="0">
                  <c:v>Balance of goods</c:v>
                </c:pt>
              </c:strCache>
            </c:strRef>
          </c:tx>
          <c:spPr>
            <a:solidFill>
              <a:srgbClr val="BD1B21"/>
            </a:solidFill>
            <a:ln>
              <a:noFill/>
            </a:ln>
          </c:spPr>
          <c:val>
            <c:numRef>
              <c:f>'Vnější vztahy 1'!$E$6:$E$15</c:f>
              <c:numCache>
                <c:formatCode>0.0</c:formatCode>
                <c:ptCount val="10"/>
                <c:pt idx="0">
                  <c:v>-4.4290999999999983</c:v>
                </c:pt>
                <c:pt idx="1">
                  <c:v>64.959600000000023</c:v>
                </c:pt>
                <c:pt idx="2">
                  <c:v>40.389599999999994</c:v>
                </c:pt>
                <c:pt idx="3">
                  <c:v>75.477600000000024</c:v>
                </c:pt>
                <c:pt idx="4">
                  <c:v>123.79790000000013</c:v>
                </c:pt>
                <c:pt idx="5">
                  <c:v>166.97310000000002</c:v>
                </c:pt>
                <c:pt idx="6">
                  <c:v>219.95090000000027</c:v>
                </c:pt>
                <c:pt idx="7">
                  <c:v>188.03190000000001</c:v>
                </c:pt>
                <c:pt idx="8">
                  <c:v>245.69</c:v>
                </c:pt>
                <c:pt idx="9" formatCode="General">
                  <c:v>240.94940000000003</c:v>
                </c:pt>
              </c:numCache>
            </c:numRef>
          </c:val>
        </c:ser>
        <c:ser>
          <c:idx val="4"/>
          <c:order val="2"/>
          <c:tx>
            <c:strRef>
              <c:f>'Vnější vztahy 1'!$F$5</c:f>
              <c:strCache>
                <c:ptCount val="1"/>
                <c:pt idx="0">
                  <c:v>Balance of services</c:v>
                </c:pt>
              </c:strCache>
            </c:strRef>
          </c:tx>
          <c:spPr>
            <a:solidFill>
              <a:srgbClr val="E8AFB2"/>
            </a:solidFill>
            <a:ln>
              <a:noFill/>
            </a:ln>
          </c:spPr>
          <c:val>
            <c:numRef>
              <c:f>'Vnější vztahy 1'!$F$6:$F$15</c:f>
              <c:numCache>
                <c:formatCode>0.0</c:formatCode>
                <c:ptCount val="10"/>
                <c:pt idx="0">
                  <c:v>89.274299999999997</c:v>
                </c:pt>
                <c:pt idx="1">
                  <c:v>81.917000000000144</c:v>
                </c:pt>
                <c:pt idx="2">
                  <c:v>78.475799999999978</c:v>
                </c:pt>
                <c:pt idx="3">
                  <c:v>81.281700000000001</c:v>
                </c:pt>
                <c:pt idx="4">
                  <c:v>77.626200000000011</c:v>
                </c:pt>
                <c:pt idx="5">
                  <c:v>70.35929999999999</c:v>
                </c:pt>
                <c:pt idx="6">
                  <c:v>55.650800000000004</c:v>
                </c:pt>
                <c:pt idx="7">
                  <c:v>78.0381</c:v>
                </c:pt>
                <c:pt idx="8">
                  <c:v>107.60920000000002</c:v>
                </c:pt>
                <c:pt idx="9" formatCode="General">
                  <c:v>121.9937</c:v>
                </c:pt>
              </c:numCache>
            </c:numRef>
          </c:val>
        </c:ser>
        <c:ser>
          <c:idx val="2"/>
          <c:order val="3"/>
          <c:tx>
            <c:strRef>
              <c:f>'Vnější vztahy 1'!$D$5</c:f>
              <c:strCache>
                <c:ptCount val="1"/>
                <c:pt idx="0">
                  <c:v>Primary income balance</c:v>
                </c:pt>
              </c:strCache>
            </c:strRef>
          </c:tx>
          <c:spPr>
            <a:solidFill>
              <a:srgbClr val="A6CDE8"/>
            </a:solidFill>
            <a:ln>
              <a:noFill/>
            </a:ln>
          </c:spPr>
          <c:val>
            <c:numRef>
              <c:f>'Vnější vztahy 1'!$D$6:$D$15</c:f>
              <c:numCache>
                <c:formatCode>0.0</c:formatCode>
                <c:ptCount val="10"/>
                <c:pt idx="0">
                  <c:v>-147.68770000000001</c:v>
                </c:pt>
                <c:pt idx="1">
                  <c:v>-216.65909999999997</c:v>
                </c:pt>
                <c:pt idx="2">
                  <c:v>-249.9298</c:v>
                </c:pt>
                <c:pt idx="3">
                  <c:v>-223.34540000000001</c:v>
                </c:pt>
                <c:pt idx="4">
                  <c:v>-237.52780000000001</c:v>
                </c:pt>
                <c:pt idx="5">
                  <c:v>-249.01870000000002</c:v>
                </c:pt>
                <c:pt idx="6">
                  <c:v>-260.78889999999944</c:v>
                </c:pt>
                <c:pt idx="7">
                  <c:v>-254.83810000000025</c:v>
                </c:pt>
                <c:pt idx="8">
                  <c:v>-251.7878</c:v>
                </c:pt>
                <c:pt idx="9" formatCode="General">
                  <c:v>-260.83799999999951</c:v>
                </c:pt>
              </c:numCache>
            </c:numRef>
          </c:val>
        </c:ser>
        <c:ser>
          <c:idx val="1"/>
          <c:order val="4"/>
          <c:tx>
            <c:strRef>
              <c:f>'Vnější vztahy 1'!$C$5</c:f>
              <c:strCache>
                <c:ptCount val="1"/>
                <c:pt idx="0">
                  <c:v>Secondary income balnce</c:v>
                </c:pt>
              </c:strCache>
            </c:strRef>
          </c:tx>
          <c:spPr>
            <a:solidFill>
              <a:srgbClr val="0071BC"/>
            </a:solidFill>
            <a:ln>
              <a:noFill/>
            </a:ln>
          </c:spPr>
          <c:val>
            <c:numRef>
              <c:f>'Vnější vztahy 1'!$C$6:$C$15</c:f>
              <c:numCache>
                <c:formatCode>0.0</c:formatCode>
                <c:ptCount val="10"/>
                <c:pt idx="0">
                  <c:v>-12.4122</c:v>
                </c:pt>
                <c:pt idx="1">
                  <c:v>-19.420499999999958</c:v>
                </c:pt>
                <c:pt idx="2">
                  <c:v>-10.712</c:v>
                </c:pt>
                <c:pt idx="3">
                  <c:v>-18.214599999999987</c:v>
                </c:pt>
                <c:pt idx="4">
                  <c:v>-27.209300000000002</c:v>
                </c:pt>
                <c:pt idx="5">
                  <c:v>-10.098199999999999</c:v>
                </c:pt>
                <c:pt idx="6">
                  <c:v>-6.9301000000000004</c:v>
                </c:pt>
                <c:pt idx="7">
                  <c:v>5.1300000000001122E-2</c:v>
                </c:pt>
                <c:pt idx="8">
                  <c:v>-27.292000000000002</c:v>
                </c:pt>
                <c:pt idx="9" formatCode="General">
                  <c:v>-44.957499999999996</c:v>
                </c:pt>
              </c:numCache>
            </c:numRef>
          </c:val>
        </c:ser>
        <c:gapWidth val="60"/>
        <c:overlap val="100"/>
        <c:axId val="170820736"/>
        <c:axId val="171012864"/>
      </c:barChart>
      <c:lineChart>
        <c:grouping val="standard"/>
        <c:ser>
          <c:idx val="0"/>
          <c:order val="0"/>
          <c:tx>
            <c:strRef>
              <c:f>'Vnější vztahy 1'!$B$5</c:f>
              <c:strCache>
                <c:ptCount val="1"/>
                <c:pt idx="0">
                  <c:v>Current account</c:v>
                </c:pt>
              </c:strCache>
            </c:strRef>
          </c:tx>
          <c:spPr>
            <a:ln>
              <a:solidFill>
                <a:schemeClr val="tx1"/>
              </a:solidFill>
            </a:ln>
          </c:spPr>
          <c:marker>
            <c:symbol val="none"/>
          </c:marker>
          <c:cat>
            <c:strRef>
              <c:f>'Vnější vztahy 1'!$A$6:$A$15</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'Vnější vztahy 1'!$B$6:$B$15</c:f>
              <c:numCache>
                <c:formatCode>0.0</c:formatCode>
                <c:ptCount val="10"/>
                <c:pt idx="0">
                  <c:v>-75.2547</c:v>
                </c:pt>
                <c:pt idx="1">
                  <c:v>-89.203000000000003</c:v>
                </c:pt>
                <c:pt idx="2">
                  <c:v>-141.77669999999998</c:v>
                </c:pt>
                <c:pt idx="3">
                  <c:v>-84.800900000000013</c:v>
                </c:pt>
                <c:pt idx="4">
                  <c:v>-63.312999999999995</c:v>
                </c:pt>
                <c:pt idx="5">
                  <c:v>-21.784299999999959</c:v>
                </c:pt>
                <c:pt idx="6">
                  <c:v>7.8828000000000005</c:v>
                </c:pt>
                <c:pt idx="7">
                  <c:v>11.283000000000001</c:v>
                </c:pt>
                <c:pt idx="8">
                  <c:v>74.219300000000004</c:v>
                </c:pt>
                <c:pt idx="9" formatCode="General">
                  <c:v>54.157000000000004</c:v>
                </c:pt>
              </c:numCache>
            </c:numRef>
          </c:val>
        </c:ser>
        <c:marker val="1"/>
        <c:axId val="170820736"/>
        <c:axId val="171012864"/>
      </c:lineChart>
      <c:catAx>
        <c:axId val="170820736"/>
        <c:scaling>
          <c:orientation val="minMax"/>
        </c:scaling>
        <c:axPos val="b"/>
        <c:tickLblPos val="low"/>
        <c:spPr>
          <a:ln>
            <a:solidFill>
              <a:schemeClr val="tx1"/>
            </a:solidFill>
          </a:ln>
        </c:spPr>
        <c:txPr>
          <a:bodyPr rot="0" vert="horz"/>
          <a:lstStyle/>
          <a:p>
            <a:pPr>
              <a:defRPr/>
            </a:pPr>
            <a:endParaRPr lang="cs-CZ"/>
          </a:p>
        </c:txPr>
        <c:crossAx val="171012864"/>
        <c:crosses val="autoZero"/>
        <c:auto val="1"/>
        <c:lblAlgn val="ctr"/>
        <c:lblOffset val="100"/>
      </c:catAx>
      <c:valAx>
        <c:axId val="171012864"/>
        <c:scaling>
          <c:orientation val="minMax"/>
          <c:max val="400"/>
          <c:min val="-350"/>
        </c:scaling>
        <c:axPos val="l"/>
        <c:majorGridlines>
          <c:spPr>
            <a:ln w="6350">
              <a:solidFill>
                <a:schemeClr val="bg1">
                  <a:lumMod val="75000"/>
                </a:schemeClr>
              </a:solidFill>
            </a:ln>
          </c:spPr>
        </c:majorGridlines>
        <c:numFmt formatCode="0" sourceLinked="0"/>
        <c:tickLblPos val="nextTo"/>
        <c:spPr>
          <a:ln>
            <a:solidFill>
              <a:schemeClr val="tx1"/>
            </a:solidFill>
          </a:ln>
        </c:spPr>
        <c:crossAx val="170820736"/>
        <c:crosses val="autoZero"/>
        <c:crossBetween val="between"/>
        <c:majorUnit val="50"/>
      </c:valAx>
      <c:spPr>
        <a:ln>
          <a:solidFill>
            <a:schemeClr val="tx1"/>
          </a:solidFill>
        </a:ln>
      </c:spPr>
    </c:plotArea>
    <c:legend>
      <c:legendPos val="b"/>
      <c:layout>
        <c:manualLayout>
          <c:xMode val="edge"/>
          <c:yMode val="edge"/>
          <c:x val="6.5159268884492888E-2"/>
          <c:y val="0.88053282633520458"/>
          <c:w val="0.89859169199594657"/>
          <c:h val="0.1007754440717701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656266097578916E-2"/>
          <c:y val="2.3304908251716772E-2"/>
          <c:w val="0.92389825103638479"/>
          <c:h val="0.63153439153439161"/>
        </c:manualLayout>
      </c:layout>
      <c:barChart>
        <c:barDir val="col"/>
        <c:grouping val="clustered"/>
        <c:ser>
          <c:idx val="0"/>
          <c:order val="0"/>
          <c:tx>
            <c:strRef>
              <c:f>'Vnější vztahy 2'!$A$6</c:f>
              <c:strCache>
                <c:ptCount val="1"/>
                <c:pt idx="0">
                  <c:v>2016</c:v>
                </c:pt>
              </c:strCache>
            </c:strRef>
          </c:tx>
          <c:spPr>
            <a:solidFill>
              <a:schemeClr val="tx1">
                <a:lumMod val="50000"/>
                <a:lumOff val="50000"/>
              </a:schemeClr>
            </a:solidFill>
            <a:ln>
              <a:noFill/>
            </a:ln>
          </c:spPr>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2'!$B$6:$N$6</c:f>
              <c:numCache>
                <c:formatCode>General</c:formatCode>
                <c:ptCount val="13"/>
                <c:pt idx="0">
                  <c:v>-77.664999999999992</c:v>
                </c:pt>
                <c:pt idx="1">
                  <c:v>-36.097000000000001</c:v>
                </c:pt>
                <c:pt idx="2">
                  <c:v>-27.305</c:v>
                </c:pt>
                <c:pt idx="3">
                  <c:v>-30.190999999999999</c:v>
                </c:pt>
                <c:pt idx="4">
                  <c:v>-119.44500000000002</c:v>
                </c:pt>
                <c:pt idx="5">
                  <c:v>-45.016000000000005</c:v>
                </c:pt>
                <c:pt idx="6">
                  <c:v>23.847999999999999</c:v>
                </c:pt>
                <c:pt idx="7">
                  <c:v>-95.741000000000128</c:v>
                </c:pt>
                <c:pt idx="8">
                  <c:v>60.407000000000004</c:v>
                </c:pt>
                <c:pt idx="9">
                  <c:v>-59.457999999999998</c:v>
                </c:pt>
                <c:pt idx="10">
                  <c:v>39.121000000000002</c:v>
                </c:pt>
                <c:pt idx="11">
                  <c:v>63.431000000000004</c:v>
                </c:pt>
                <c:pt idx="12">
                  <c:v>415.952</c:v>
                </c:pt>
              </c:numCache>
            </c:numRef>
          </c:val>
        </c:ser>
        <c:ser>
          <c:idx val="1"/>
          <c:order val="1"/>
          <c:tx>
            <c:strRef>
              <c:f>'Vnější vztahy 2'!$A$7</c:f>
              <c:strCache>
                <c:ptCount val="1"/>
                <c:pt idx="0">
                  <c:v>2017</c:v>
                </c:pt>
              </c:strCache>
            </c:strRef>
          </c:tx>
          <c:spPr>
            <a:solidFill>
              <a:schemeClr val="bg1">
                <a:lumMod val="65000"/>
              </a:schemeClr>
            </a:solidFill>
          </c:spPr>
          <c:val>
            <c:numRef>
              <c:f>'Vnější vztahy 2'!$B$7:$N$7</c:f>
              <c:numCache>
                <c:formatCode>General</c:formatCode>
                <c:ptCount val="13"/>
                <c:pt idx="0">
                  <c:v>-117.798</c:v>
                </c:pt>
                <c:pt idx="1">
                  <c:v>-41.052</c:v>
                </c:pt>
                <c:pt idx="2">
                  <c:v>-29.896000000000001</c:v>
                </c:pt>
                <c:pt idx="3">
                  <c:v>-16.481999999999989</c:v>
                </c:pt>
                <c:pt idx="4">
                  <c:v>-108.26400000000002</c:v>
                </c:pt>
                <c:pt idx="5">
                  <c:v>-50.586000000000006</c:v>
                </c:pt>
                <c:pt idx="6">
                  <c:v>23.992999999999963</c:v>
                </c:pt>
                <c:pt idx="7">
                  <c:v>-124.97799999999999</c:v>
                </c:pt>
                <c:pt idx="8">
                  <c:v>59.509</c:v>
                </c:pt>
                <c:pt idx="9">
                  <c:v>-61.706000000000003</c:v>
                </c:pt>
                <c:pt idx="10">
                  <c:v>40.922000000000011</c:v>
                </c:pt>
                <c:pt idx="11">
                  <c:v>76.837999999999994</c:v>
                </c:pt>
                <c:pt idx="12">
                  <c:v>447.09099999999944</c:v>
                </c:pt>
              </c:numCache>
            </c:numRef>
          </c:val>
        </c:ser>
        <c:gapWidth val="97"/>
        <c:axId val="198130688"/>
        <c:axId val="198256128"/>
      </c:barChart>
      <c:catAx>
        <c:axId val="198130688"/>
        <c:scaling>
          <c:orientation val="minMax"/>
        </c:scaling>
        <c:axPos val="b"/>
        <c:tickLblPos val="low"/>
        <c:spPr>
          <a:ln>
            <a:solidFill>
              <a:schemeClr val="tx1"/>
            </a:solidFill>
          </a:ln>
        </c:spPr>
        <c:txPr>
          <a:bodyPr rot="-5400000" vert="horz"/>
          <a:lstStyle/>
          <a:p>
            <a:pPr>
              <a:defRPr/>
            </a:pPr>
            <a:endParaRPr lang="cs-CZ"/>
          </a:p>
        </c:txPr>
        <c:crossAx val="198256128"/>
        <c:crosses val="autoZero"/>
        <c:auto val="1"/>
        <c:lblAlgn val="ctr"/>
        <c:lblOffset val="100"/>
      </c:catAx>
      <c:valAx>
        <c:axId val="198256128"/>
        <c:scaling>
          <c:orientation val="minMax"/>
          <c:max val="450"/>
          <c:min val="-150"/>
        </c:scaling>
        <c:axPos val="l"/>
        <c:majorGridlines>
          <c:spPr>
            <a:ln w="6350">
              <a:solidFill>
                <a:schemeClr val="bg1">
                  <a:lumMod val="75000"/>
                </a:schemeClr>
              </a:solidFill>
            </a:ln>
          </c:spPr>
        </c:majorGridlines>
        <c:numFmt formatCode="General" sourceLinked="1"/>
        <c:tickLblPos val="nextTo"/>
        <c:crossAx val="198130688"/>
        <c:crosses val="autoZero"/>
        <c:crossBetween val="between"/>
        <c:majorUnit val="50"/>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94EA0-C52B-47AF-B482-6DDA897E0A9C}">
  <ds:schemaRefs>
    <ds:schemaRef ds:uri="http://schemas.openxmlformats.org/officeDocument/2006/bibliography"/>
  </ds:schemaRefs>
</ds:datastoreItem>
</file>

<file path=customXml/itemProps2.xml><?xml version="1.0" encoding="utf-8"?>
<ds:datastoreItem xmlns:ds="http://schemas.openxmlformats.org/officeDocument/2006/customXml" ds:itemID="{D4241A31-CAFB-4C57-9B5F-19A269087AEA}">
  <ds:schemaRefs>
    <ds:schemaRef ds:uri="http://schemas.openxmlformats.org/officeDocument/2006/bibliography"/>
  </ds:schemaRefs>
</ds:datastoreItem>
</file>

<file path=customXml/itemProps3.xml><?xml version="1.0" encoding="utf-8"?>
<ds:datastoreItem xmlns:ds="http://schemas.openxmlformats.org/officeDocument/2006/customXml" ds:itemID="{8E5E5140-4C24-4ABB-8FAE-0E549D8007E9}">
  <ds:schemaRefs>
    <ds:schemaRef ds:uri="http://schemas.openxmlformats.org/officeDocument/2006/bibliography"/>
  </ds:schemaRefs>
</ds:datastoreItem>
</file>

<file path=customXml/itemProps4.xml><?xml version="1.0" encoding="utf-8"?>
<ds:datastoreItem xmlns:ds="http://schemas.openxmlformats.org/officeDocument/2006/customXml" ds:itemID="{AE113EC9-7DFD-490E-9E0C-F4F255D0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TotalTime>
  <Pages>4</Pages>
  <Words>1584</Words>
  <Characters>9349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10912</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2018-03-14T17:02:00Z</cp:lastPrinted>
  <dcterms:created xsi:type="dcterms:W3CDTF">2018-04-23T12:13:00Z</dcterms:created>
  <dcterms:modified xsi:type="dcterms:W3CDTF">2018-04-23T12:14:00Z</dcterms:modified>
</cp:coreProperties>
</file>