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26" w:rsidRPr="00C336DD" w:rsidRDefault="00383FD2" w:rsidP="006C2A70">
      <w:pPr>
        <w:pStyle w:val="Nadpis1"/>
        <w:numPr>
          <w:ilvl w:val="0"/>
          <w:numId w:val="25"/>
        </w:numPr>
        <w:jc w:val="both"/>
        <w:rPr>
          <w:lang w:val="en-GB"/>
        </w:rPr>
      </w:pPr>
      <w:bookmarkStart w:id="0" w:name="_Toc469299930"/>
      <w:bookmarkStart w:id="1" w:name="_Toc493683634"/>
      <w:bookmarkStart w:id="2" w:name="_Toc454185150"/>
      <w:r>
        <w:rPr>
          <w:lang w:val="en-GB"/>
        </w:rPr>
        <w:t>Overall Economic Performance</w:t>
      </w:r>
      <w:bookmarkEnd w:id="0"/>
      <w:bookmarkEnd w:id="1"/>
    </w:p>
    <w:p w:rsidR="00DD0726" w:rsidRPr="00C336DD" w:rsidRDefault="005D1EDA" w:rsidP="00DD0726">
      <w:pPr>
        <w:pStyle w:val="Textpoznpodarou"/>
        <w:jc w:val="both"/>
        <w:rPr>
          <w:sz w:val="2"/>
          <w:szCs w:val="2"/>
          <w:lang w:val="en-GB"/>
        </w:rPr>
      </w:pPr>
      <w:r>
        <w:rPr>
          <w:sz w:val="2"/>
          <w:szCs w:val="2"/>
          <w:lang w:val="en-GB"/>
        </w:rPr>
        <w:t>=%</w:t>
      </w:r>
    </w:p>
    <w:tbl>
      <w:tblPr>
        <w:tblW w:w="5000" w:type="pct"/>
        <w:tblInd w:w="108" w:type="dxa"/>
        <w:tblLayout w:type="fixed"/>
        <w:tblLook w:val="00A0"/>
      </w:tblPr>
      <w:tblGrid>
        <w:gridCol w:w="1985"/>
        <w:gridCol w:w="284"/>
        <w:gridCol w:w="1133"/>
        <w:gridCol w:w="5104"/>
        <w:gridCol w:w="1348"/>
      </w:tblGrid>
      <w:tr w:rsidR="00C10B3B" w:rsidRPr="00C336DD" w:rsidTr="006C3DC1">
        <w:tc>
          <w:tcPr>
            <w:tcW w:w="1007" w:type="pct"/>
          </w:tcPr>
          <w:p w:rsidR="00C10B3B" w:rsidRPr="00C336DD" w:rsidRDefault="00153FED" w:rsidP="00153FED">
            <w:pPr>
              <w:spacing w:line="240" w:lineRule="auto"/>
              <w:rPr>
                <w:rFonts w:cs="Arial"/>
                <w:sz w:val="16"/>
                <w:szCs w:val="16"/>
                <w:lang w:val="en-GB"/>
              </w:rPr>
            </w:pPr>
            <w:r>
              <w:rPr>
                <w:rFonts w:cs="Arial"/>
                <w:sz w:val="16"/>
                <w:szCs w:val="16"/>
                <w:lang w:val="en-GB"/>
              </w:rPr>
              <w:t>Year-on-year dynamics of the gross domestic product was exceeding 5% in H2</w:t>
            </w:r>
            <w:r w:rsidR="00C10B3B" w:rsidRPr="00C336DD">
              <w:rPr>
                <w:rFonts w:cs="Arial"/>
                <w:sz w:val="16"/>
                <w:szCs w:val="16"/>
                <w:lang w:val="en-GB"/>
              </w:rPr>
              <w:t xml:space="preserve">. </w:t>
            </w:r>
          </w:p>
        </w:tc>
        <w:tc>
          <w:tcPr>
            <w:tcW w:w="144" w:type="pct"/>
          </w:tcPr>
          <w:p w:rsidR="00C10B3B" w:rsidRPr="00C336DD" w:rsidRDefault="00C10B3B" w:rsidP="006E4368">
            <w:pPr>
              <w:pStyle w:val="Textpoznpodarou"/>
              <w:ind w:left="-132" w:firstLine="132"/>
              <w:rPr>
                <w:rFonts w:cs="Arial"/>
                <w:lang w:val="en-GB"/>
              </w:rPr>
            </w:pPr>
          </w:p>
        </w:tc>
        <w:tc>
          <w:tcPr>
            <w:tcW w:w="3849" w:type="pct"/>
            <w:gridSpan w:val="3"/>
          </w:tcPr>
          <w:p w:rsidR="00C10B3B" w:rsidRPr="004F0B25" w:rsidRDefault="005D1EDA" w:rsidP="006E4368">
            <w:pPr>
              <w:pStyle w:val="Bezmezer"/>
              <w:rPr>
                <w:lang w:val="en-GB"/>
              </w:rPr>
            </w:pPr>
            <w:r>
              <w:rPr>
                <w:lang w:val="en-GB"/>
              </w:rPr>
              <w:t xml:space="preserve">The gross domestic product </w:t>
            </w:r>
            <w:r w:rsidR="00C10B3B" w:rsidRPr="00C336DD">
              <w:rPr>
                <w:lang w:val="en-GB"/>
              </w:rPr>
              <w:t>(</w:t>
            </w:r>
            <w:r>
              <w:rPr>
                <w:lang w:val="en-GB"/>
              </w:rPr>
              <w:t>GDP</w:t>
            </w:r>
            <w:r w:rsidR="00C10B3B" w:rsidRPr="00C336DD">
              <w:rPr>
                <w:lang w:val="en-GB"/>
              </w:rPr>
              <w:t xml:space="preserve">) </w:t>
            </w:r>
            <w:r>
              <w:rPr>
                <w:lang w:val="en-GB"/>
              </w:rPr>
              <w:t>expanded by 4.5%</w:t>
            </w:r>
            <w:r w:rsidR="00C10B3B" w:rsidRPr="00C336DD">
              <w:rPr>
                <w:rStyle w:val="Znakapoznpodarou"/>
                <w:rFonts w:cs="Arial"/>
                <w:lang w:val="en-GB"/>
              </w:rPr>
              <w:footnoteReference w:id="1"/>
            </w:r>
            <w:r>
              <w:rPr>
                <w:lang w:val="en-GB"/>
              </w:rPr>
              <w:t xml:space="preserve"> in 2017</w:t>
            </w:r>
            <w:r w:rsidR="00C10B3B" w:rsidRPr="00C336DD">
              <w:rPr>
                <w:lang w:val="en-GB"/>
              </w:rPr>
              <w:t xml:space="preserve">. </w:t>
            </w:r>
            <w:r w:rsidR="00E14A98" w:rsidRPr="00C336DD">
              <w:rPr>
                <w:lang w:val="en-GB"/>
              </w:rPr>
              <w:t xml:space="preserve">It represents the second highest value since the </w:t>
            </w:r>
            <w:r w:rsidR="00C268AD">
              <w:rPr>
                <w:lang w:val="en-GB"/>
              </w:rPr>
              <w:t xml:space="preserve">expansion </w:t>
            </w:r>
            <w:r w:rsidR="00E14A98" w:rsidRPr="00C336DD">
              <w:rPr>
                <w:lang w:val="en-GB"/>
              </w:rPr>
              <w:t xml:space="preserve">year </w:t>
            </w:r>
            <w:r w:rsidR="00C10B3B" w:rsidRPr="00C336DD">
              <w:rPr>
                <w:lang w:val="en-GB"/>
              </w:rPr>
              <w:t xml:space="preserve">2007. </w:t>
            </w:r>
            <w:r w:rsidR="00E14A98" w:rsidRPr="00C336DD">
              <w:rPr>
                <w:lang w:val="en-GB"/>
              </w:rPr>
              <w:t xml:space="preserve">The economic growth was higher only in </w:t>
            </w:r>
            <w:r w:rsidR="00C10B3B" w:rsidRPr="00C336DD">
              <w:rPr>
                <w:lang w:val="en-GB"/>
              </w:rPr>
              <w:t xml:space="preserve">2015, </w:t>
            </w:r>
            <w:r>
              <w:rPr>
                <w:lang w:val="en-GB"/>
              </w:rPr>
              <w:t>when the economy was considerably stimulated by the finalisation of drawing of resources from the European funds. The year-on-</w:t>
            </w:r>
            <w:r w:rsidR="00654E14">
              <w:rPr>
                <w:lang w:val="en-GB"/>
              </w:rPr>
              <w:t>year dynamics</w:t>
            </w:r>
            <w:r>
              <w:rPr>
                <w:lang w:val="en-GB"/>
              </w:rPr>
              <w:t xml:space="preserve"> was strengthening in the course of the last year. </w:t>
            </w:r>
            <w:r w:rsidR="00AF398B">
              <w:rPr>
                <w:lang w:val="en-GB"/>
              </w:rPr>
              <w:t>Acceleration manifested in comparison to year 2016 alread</w:t>
            </w:r>
            <w:r w:rsidR="00DE5AD3">
              <w:rPr>
                <w:lang w:val="en-GB"/>
              </w:rPr>
              <w:t>y</w:t>
            </w:r>
            <w:r w:rsidR="00AF398B">
              <w:rPr>
                <w:lang w:val="en-GB"/>
              </w:rPr>
              <w:t xml:space="preserve"> in H</w:t>
            </w:r>
            <w:r w:rsidR="00C10B3B" w:rsidRPr="00C336DD">
              <w:rPr>
                <w:lang w:val="en-GB"/>
              </w:rPr>
              <w:t>1</w:t>
            </w:r>
            <w:r w:rsidR="00AF398B">
              <w:rPr>
                <w:lang w:val="en-GB"/>
              </w:rPr>
              <w:t xml:space="preserve"> </w:t>
            </w:r>
            <w:r w:rsidR="00C10B3B" w:rsidRPr="00C336DD">
              <w:rPr>
                <w:lang w:val="en-GB"/>
              </w:rPr>
              <w:t>(3</w:t>
            </w:r>
            <w:r w:rsidR="00AF398B">
              <w:rPr>
                <w:lang w:val="en-GB"/>
              </w:rPr>
              <w:t>.</w:t>
            </w:r>
            <w:r w:rsidR="00C10B3B" w:rsidRPr="00C336DD">
              <w:rPr>
                <w:lang w:val="en-GB"/>
              </w:rPr>
              <w:t>0%</w:t>
            </w:r>
            <w:r w:rsidR="00AF398B">
              <w:rPr>
                <w:lang w:val="en-GB"/>
              </w:rPr>
              <w:t xml:space="preserve"> in Q</w:t>
            </w:r>
            <w:r w:rsidR="00C10B3B" w:rsidRPr="00C336DD">
              <w:rPr>
                <w:lang w:val="en-GB"/>
              </w:rPr>
              <w:t>1, 4</w:t>
            </w:r>
            <w:r w:rsidR="00AF398B">
              <w:rPr>
                <w:lang w:val="en-GB"/>
              </w:rPr>
              <w:t>.</w:t>
            </w:r>
            <w:r w:rsidR="00C10B3B" w:rsidRPr="00C336DD">
              <w:rPr>
                <w:lang w:val="en-GB"/>
              </w:rPr>
              <w:t xml:space="preserve">6% </w:t>
            </w:r>
            <w:r w:rsidR="00AF398B">
              <w:rPr>
                <w:lang w:val="en-GB"/>
              </w:rPr>
              <w:t>in Q</w:t>
            </w:r>
            <w:r w:rsidR="00C10B3B" w:rsidRPr="00C336DD">
              <w:rPr>
                <w:lang w:val="en-GB"/>
              </w:rPr>
              <w:t xml:space="preserve">2). </w:t>
            </w:r>
            <w:r w:rsidR="00DE5AD3">
              <w:rPr>
                <w:lang w:val="en-GB"/>
              </w:rPr>
              <w:t>The year-on-year growth was 5.1% in Q</w:t>
            </w:r>
            <w:r w:rsidR="00C10B3B" w:rsidRPr="00C336DD">
              <w:rPr>
                <w:lang w:val="en-GB"/>
              </w:rPr>
              <w:t>3</w:t>
            </w:r>
            <w:r w:rsidR="00DE5AD3">
              <w:rPr>
                <w:lang w:val="en-GB"/>
              </w:rPr>
              <w:t xml:space="preserve"> and 5.2% in Q</w:t>
            </w:r>
            <w:r w:rsidR="00C10B3B" w:rsidRPr="00C336DD">
              <w:rPr>
                <w:lang w:val="en-GB"/>
              </w:rPr>
              <w:t xml:space="preserve">4. </w:t>
            </w:r>
            <w:r w:rsidR="00145AF9">
              <w:rPr>
                <w:lang w:val="en-GB"/>
              </w:rPr>
              <w:t xml:space="preserve">All GDP components shared in the high year-on-year increase. The growth was supported in a stable manner by the large contribution of the domestic consumption (especially households) as well as the </w:t>
            </w:r>
            <w:r w:rsidR="004F0B25">
              <w:rPr>
                <w:lang w:val="en-GB"/>
              </w:rPr>
              <w:t>foreign</w:t>
            </w:r>
            <w:r w:rsidR="00145AF9">
              <w:rPr>
                <w:lang w:val="en-GB"/>
              </w:rPr>
              <w:t xml:space="preserve"> demand over the whole year. </w:t>
            </w:r>
            <w:r w:rsidR="004F0B25">
              <w:rPr>
                <w:lang w:val="en-GB"/>
              </w:rPr>
              <w:t xml:space="preserve">On these foundations, a growing contribution of the investment activity could </w:t>
            </w:r>
            <w:r w:rsidR="00654E14">
              <w:rPr>
                <w:lang w:val="en-GB"/>
              </w:rPr>
              <w:t>have built</w:t>
            </w:r>
            <w:r w:rsidR="004F0B25">
              <w:rPr>
                <w:lang w:val="en-GB"/>
              </w:rPr>
              <w:t xml:space="preserve"> in the second half of the year. The quarter-on-quarter dynamics differed from the year-on-year one. The GDP attained the highest quarter-on-quarter additions in Q1 and 2 </w:t>
            </w:r>
            <w:r w:rsidR="00C10B3B" w:rsidRPr="00C336DD">
              <w:rPr>
                <w:lang w:val="en-GB"/>
              </w:rPr>
              <w:t>(1</w:t>
            </w:r>
            <w:r w:rsidR="004F0B25">
              <w:rPr>
                <w:lang w:val="en-GB"/>
              </w:rPr>
              <w:t>.</w:t>
            </w:r>
            <w:r w:rsidR="00C10B3B" w:rsidRPr="00C336DD">
              <w:rPr>
                <w:lang w:val="en-GB"/>
              </w:rPr>
              <w:t>5% a</w:t>
            </w:r>
            <w:r w:rsidR="004F0B25">
              <w:rPr>
                <w:lang w:val="en-GB"/>
              </w:rPr>
              <w:t>nd</w:t>
            </w:r>
            <w:r w:rsidR="00C10B3B" w:rsidRPr="00C336DD">
              <w:rPr>
                <w:lang w:val="en-GB"/>
              </w:rPr>
              <w:t> 2</w:t>
            </w:r>
            <w:r w:rsidR="004F0B25">
              <w:rPr>
                <w:lang w:val="en-GB"/>
              </w:rPr>
              <w:t>.</w:t>
            </w:r>
            <w:r w:rsidR="00C10B3B" w:rsidRPr="00C336DD">
              <w:rPr>
                <w:lang w:val="en-GB"/>
              </w:rPr>
              <w:t>4%)</w:t>
            </w:r>
            <w:proofErr w:type="gramStart"/>
            <w:r w:rsidR="00C10B3B" w:rsidRPr="00C336DD">
              <w:rPr>
                <w:lang w:val="en-GB"/>
              </w:rPr>
              <w:t>,</w:t>
            </w:r>
            <w:proofErr w:type="gramEnd"/>
            <w:r w:rsidR="00C10B3B" w:rsidRPr="00C336DD">
              <w:rPr>
                <w:lang w:val="en-GB"/>
              </w:rPr>
              <w:t xml:space="preserve"> </w:t>
            </w:r>
            <w:r w:rsidR="004F0B25">
              <w:rPr>
                <w:lang w:val="en-GB"/>
              </w:rPr>
              <w:t xml:space="preserve">the pace slackened to 0.6% and 0.5% in individual quarters in the second half of the year. The gross value added (GVA) increased by 4.5% in 2017. </w:t>
            </w:r>
            <w:r w:rsidR="00AD31B8">
              <w:rPr>
                <w:lang w:val="en-GB"/>
              </w:rPr>
              <w:t xml:space="preserve">The year-on-year growth of GVA somewhat exceeded the GDP addition in Q4 itself, when it reached </w:t>
            </w:r>
            <w:r w:rsidR="00C10B3B" w:rsidRPr="00C336DD">
              <w:rPr>
                <w:lang w:val="en-GB"/>
              </w:rPr>
              <w:t>5</w:t>
            </w:r>
            <w:r w:rsidR="00AD31B8">
              <w:rPr>
                <w:lang w:val="en-GB"/>
              </w:rPr>
              <w:t>.</w:t>
            </w:r>
            <w:r w:rsidR="00C10B3B" w:rsidRPr="00C336DD">
              <w:rPr>
                <w:lang w:val="en-GB"/>
              </w:rPr>
              <w:t>4%.</w:t>
            </w:r>
          </w:p>
          <w:p w:rsidR="00C10B3B" w:rsidRPr="00C336DD" w:rsidRDefault="00C10B3B" w:rsidP="006E4368">
            <w:pPr>
              <w:pStyle w:val="Bezmezer"/>
              <w:rPr>
                <w:sz w:val="16"/>
                <w:szCs w:val="16"/>
                <w:lang w:val="en-GB"/>
              </w:rPr>
            </w:pPr>
          </w:p>
        </w:tc>
      </w:tr>
      <w:tr w:rsidR="00DD0726" w:rsidRPr="00A74192" w:rsidTr="006C3DC1">
        <w:tblPrEx>
          <w:tblCellMar>
            <w:left w:w="70" w:type="dxa"/>
            <w:right w:w="70" w:type="dxa"/>
          </w:tblCellMar>
        </w:tblPrEx>
        <w:tc>
          <w:tcPr>
            <w:tcW w:w="1007" w:type="pct"/>
          </w:tcPr>
          <w:p w:rsidR="00DD0726" w:rsidRDefault="00DD0726" w:rsidP="006C3DC1">
            <w:pPr>
              <w:spacing w:line="240" w:lineRule="auto"/>
              <w:rPr>
                <w:rFonts w:cs="Arial"/>
                <w:sz w:val="16"/>
                <w:szCs w:val="16"/>
              </w:rPr>
            </w:pPr>
          </w:p>
        </w:tc>
        <w:tc>
          <w:tcPr>
            <w:tcW w:w="144" w:type="pct"/>
          </w:tcPr>
          <w:p w:rsidR="00DD0726" w:rsidRPr="005E2AB2" w:rsidRDefault="00DD0726" w:rsidP="006C3DC1">
            <w:pPr>
              <w:pStyle w:val="Textpoznpodarou"/>
              <w:jc w:val="both"/>
              <w:rPr>
                <w:rFonts w:cs="Arial"/>
              </w:rPr>
            </w:pPr>
          </w:p>
        </w:tc>
        <w:tc>
          <w:tcPr>
            <w:tcW w:w="575" w:type="pct"/>
          </w:tcPr>
          <w:p w:rsidR="00DD0726" w:rsidRPr="00E14A98" w:rsidRDefault="00E14A98" w:rsidP="006C3DC1">
            <w:pPr>
              <w:pStyle w:val="Textpoznpodarou"/>
              <w:jc w:val="both"/>
              <w:rPr>
                <w:rFonts w:cs="Arial"/>
                <w:lang w:val="en-GB"/>
              </w:rPr>
            </w:pPr>
            <w:r w:rsidRPr="00E14A98">
              <w:rPr>
                <w:rFonts w:cs="Arial"/>
                <w:lang w:val="en-GB"/>
              </w:rPr>
              <w:t>Chart</w:t>
            </w:r>
            <w:r w:rsidR="00DD0726" w:rsidRPr="00E14A98">
              <w:rPr>
                <w:rFonts w:cs="Arial"/>
                <w:lang w:val="en-GB"/>
              </w:rPr>
              <w:t xml:space="preserve"> 1</w:t>
            </w:r>
          </w:p>
        </w:tc>
        <w:tc>
          <w:tcPr>
            <w:tcW w:w="3274" w:type="pct"/>
            <w:gridSpan w:val="2"/>
          </w:tcPr>
          <w:p w:rsidR="00DD0726" w:rsidRPr="00E14A98" w:rsidRDefault="00E14A98" w:rsidP="00E14A98">
            <w:pPr>
              <w:pStyle w:val="Textpoznpodarou"/>
              <w:spacing w:after="60"/>
              <w:jc w:val="both"/>
              <w:rPr>
                <w:rFonts w:cs="Arial"/>
                <w:lang w:val="en-GB"/>
              </w:rPr>
            </w:pPr>
            <w:r w:rsidRPr="00E14A98">
              <w:rPr>
                <w:rFonts w:cs="Arial"/>
                <w:b/>
                <w:lang w:val="en-GB" w:eastAsia="en-US"/>
              </w:rPr>
              <w:t>GDP</w:t>
            </w:r>
            <w:r w:rsidR="00DD0726" w:rsidRPr="00E14A98">
              <w:rPr>
                <w:rFonts w:cs="Arial"/>
                <w:b/>
                <w:lang w:val="en-GB" w:eastAsia="en-US"/>
              </w:rPr>
              <w:t xml:space="preserve"> </w:t>
            </w:r>
            <w:r w:rsidR="00DD0726" w:rsidRPr="002A7A78">
              <w:rPr>
                <w:rFonts w:cs="Arial"/>
                <w:spacing w:val="-2"/>
                <w:lang w:val="en-GB" w:eastAsia="en-US"/>
              </w:rPr>
              <w:t>(</w:t>
            </w:r>
            <w:r w:rsidRPr="002A7A78">
              <w:rPr>
                <w:rFonts w:cs="Arial"/>
                <w:spacing w:val="-2"/>
                <w:lang w:val="en-GB" w:eastAsia="en-US"/>
              </w:rPr>
              <w:t>volume indices</w:t>
            </w:r>
            <w:r w:rsidR="00DD0726" w:rsidRPr="002A7A78">
              <w:rPr>
                <w:rFonts w:cs="Arial"/>
                <w:spacing w:val="-2"/>
                <w:lang w:val="en-GB" w:eastAsia="en-US"/>
              </w:rPr>
              <w:t xml:space="preserve">, </w:t>
            </w:r>
            <w:r w:rsidRPr="002A7A78">
              <w:rPr>
                <w:rFonts w:cs="Arial"/>
                <w:spacing w:val="-2"/>
                <w:lang w:val="en-GB" w:eastAsia="en-US"/>
              </w:rPr>
              <w:t>adjusted for seasonal and calendar effects</w:t>
            </w:r>
            <w:r w:rsidR="00DD0726" w:rsidRPr="002A7A78">
              <w:rPr>
                <w:rFonts w:cs="Arial"/>
                <w:spacing w:val="-2"/>
                <w:lang w:val="en-GB" w:eastAsia="en-US"/>
              </w:rPr>
              <w:t xml:space="preserve">, </w:t>
            </w:r>
            <w:r w:rsidRPr="002A7A78">
              <w:rPr>
                <w:rFonts w:cs="Arial"/>
                <w:spacing w:val="-2"/>
                <w:lang w:val="en-GB" w:eastAsia="en-US"/>
              </w:rPr>
              <w:t>in</w:t>
            </w:r>
            <w:r w:rsidR="00DD0726" w:rsidRPr="002A7A78">
              <w:rPr>
                <w:rFonts w:cs="Arial"/>
                <w:spacing w:val="-2"/>
                <w:lang w:val="en-GB" w:eastAsia="en-US"/>
              </w:rPr>
              <w:t xml:space="preserve"> %)</w:t>
            </w:r>
          </w:p>
        </w:tc>
      </w:tr>
      <w:tr w:rsidR="00DD0726" w:rsidRPr="00A74192" w:rsidTr="006C3DC1">
        <w:tblPrEx>
          <w:tblCellMar>
            <w:left w:w="70" w:type="dxa"/>
            <w:right w:w="70" w:type="dxa"/>
          </w:tblCellMar>
        </w:tblPrEx>
        <w:tc>
          <w:tcPr>
            <w:tcW w:w="1007" w:type="pct"/>
          </w:tcPr>
          <w:p w:rsidR="00DD0726" w:rsidRDefault="00DD0726" w:rsidP="006C3DC1">
            <w:pPr>
              <w:spacing w:line="240" w:lineRule="auto"/>
              <w:rPr>
                <w:rFonts w:cs="Arial"/>
                <w:sz w:val="16"/>
                <w:szCs w:val="16"/>
              </w:rPr>
            </w:pPr>
          </w:p>
        </w:tc>
        <w:tc>
          <w:tcPr>
            <w:tcW w:w="144" w:type="pct"/>
          </w:tcPr>
          <w:p w:rsidR="00DD0726" w:rsidRPr="005E2AB2" w:rsidRDefault="00DD0726" w:rsidP="006C3DC1">
            <w:pPr>
              <w:pStyle w:val="Textpoznpodarou"/>
              <w:jc w:val="both"/>
              <w:rPr>
                <w:rFonts w:cs="Arial"/>
              </w:rPr>
            </w:pPr>
          </w:p>
        </w:tc>
        <w:tc>
          <w:tcPr>
            <w:tcW w:w="3849" w:type="pct"/>
            <w:gridSpan w:val="3"/>
          </w:tcPr>
          <w:p w:rsidR="00DD0726" w:rsidRDefault="001D53CB" w:rsidP="006C3DC1">
            <w:pPr>
              <w:pStyle w:val="Textpoznpodarou"/>
              <w:rPr>
                <w:rFonts w:cs="Arial"/>
                <w:sz w:val="14"/>
                <w:szCs w:val="14"/>
              </w:rPr>
            </w:pPr>
            <w:r w:rsidRPr="001D53CB">
              <w:rPr>
                <w:rFonts w:cs="Arial"/>
                <w:noProof/>
                <w:sz w:val="14"/>
                <w:szCs w:val="14"/>
              </w:rPr>
              <w:drawing>
                <wp:inline distT="0" distB="0" distL="0" distR="0">
                  <wp:extent cx="4734105" cy="3420000"/>
                  <wp:effectExtent l="0" t="0" r="0" b="0"/>
                  <wp:docPr id="9"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0726" w:rsidRPr="002E4069" w:rsidRDefault="00AD31B8" w:rsidP="004570DE">
            <w:pPr>
              <w:pStyle w:val="Textpoznpodarou"/>
              <w:jc w:val="right"/>
              <w:rPr>
                <w:rFonts w:cs="Arial"/>
                <w:sz w:val="14"/>
                <w:szCs w:val="14"/>
              </w:rPr>
            </w:pPr>
            <w:proofErr w:type="spellStart"/>
            <w:r>
              <w:rPr>
                <w:rFonts w:cs="Arial"/>
                <w:sz w:val="14"/>
                <w:szCs w:val="14"/>
              </w:rPr>
              <w:t>Source</w:t>
            </w:r>
            <w:proofErr w:type="spellEnd"/>
            <w:r w:rsidR="00DD0726" w:rsidRPr="002E4069">
              <w:rPr>
                <w:rFonts w:cs="Arial"/>
                <w:sz w:val="14"/>
                <w:szCs w:val="14"/>
              </w:rPr>
              <w:t xml:space="preserve">: </w:t>
            </w:r>
            <w:r>
              <w:rPr>
                <w:rFonts w:cs="Arial"/>
                <w:sz w:val="14"/>
                <w:szCs w:val="14"/>
              </w:rPr>
              <w:t>CZSO</w:t>
            </w:r>
            <w:r w:rsidR="00DD0726" w:rsidRPr="002E4069">
              <w:rPr>
                <w:rFonts w:cs="Arial"/>
                <w:sz w:val="14"/>
                <w:szCs w:val="14"/>
              </w:rPr>
              <w:t xml:space="preserve">, </w:t>
            </w:r>
            <w:proofErr w:type="spellStart"/>
            <w:r w:rsidR="00DD0726" w:rsidRPr="002E4069">
              <w:rPr>
                <w:rFonts w:cs="Arial"/>
                <w:sz w:val="14"/>
                <w:szCs w:val="14"/>
              </w:rPr>
              <w:t>Eurostat</w:t>
            </w:r>
            <w:proofErr w:type="spellEnd"/>
          </w:p>
        </w:tc>
      </w:tr>
      <w:tr w:rsidR="00C10B3B" w:rsidRPr="00A74192" w:rsidTr="006C3DC1">
        <w:tblPrEx>
          <w:tblCellMar>
            <w:left w:w="70" w:type="dxa"/>
            <w:right w:w="70" w:type="dxa"/>
          </w:tblCellMar>
        </w:tblPrEx>
        <w:tc>
          <w:tcPr>
            <w:tcW w:w="1007" w:type="pct"/>
          </w:tcPr>
          <w:p w:rsidR="00C10B3B" w:rsidRPr="00E4164E" w:rsidRDefault="00526A54" w:rsidP="00526A54">
            <w:pPr>
              <w:spacing w:line="240" w:lineRule="auto"/>
              <w:rPr>
                <w:rFonts w:cs="Arial"/>
                <w:sz w:val="16"/>
                <w:szCs w:val="16"/>
                <w:lang w:val="en-GB"/>
              </w:rPr>
            </w:pPr>
            <w:r w:rsidRPr="00E4164E">
              <w:rPr>
                <w:rFonts w:cs="Arial"/>
                <w:sz w:val="16"/>
                <w:szCs w:val="16"/>
                <w:lang w:val="en-GB"/>
              </w:rPr>
              <w:t xml:space="preserve">The European economy also prospered. </w:t>
            </w:r>
          </w:p>
        </w:tc>
        <w:tc>
          <w:tcPr>
            <w:tcW w:w="144" w:type="pct"/>
          </w:tcPr>
          <w:p w:rsidR="00C10B3B" w:rsidRPr="00E4164E" w:rsidRDefault="00C10B3B" w:rsidP="006E4368">
            <w:pPr>
              <w:pStyle w:val="Textpoznpodarou"/>
              <w:ind w:left="-132" w:firstLine="132"/>
              <w:rPr>
                <w:rFonts w:cs="Arial"/>
                <w:lang w:val="en-GB"/>
              </w:rPr>
            </w:pPr>
          </w:p>
        </w:tc>
        <w:tc>
          <w:tcPr>
            <w:tcW w:w="3849" w:type="pct"/>
            <w:gridSpan w:val="3"/>
          </w:tcPr>
          <w:p w:rsidR="00C10B3B" w:rsidRPr="00E4164E" w:rsidRDefault="00E4164E" w:rsidP="00420D92">
            <w:pPr>
              <w:pStyle w:val="Textpoznpodarou"/>
              <w:jc w:val="both"/>
              <w:rPr>
                <w:rFonts w:cs="Arial"/>
                <w:sz w:val="16"/>
                <w:szCs w:val="16"/>
                <w:lang w:val="en-GB" w:eastAsia="en-US"/>
              </w:rPr>
            </w:pPr>
            <w:r>
              <w:rPr>
                <w:rFonts w:cs="Arial"/>
                <w:lang w:val="en-GB" w:eastAsia="en-US"/>
              </w:rPr>
              <w:t>The year-on-year GDP growth gained pace compared to year 2016 in the European Union as well. The GDP expanded by 2.4%</w:t>
            </w:r>
            <w:r w:rsidR="00C10B3B" w:rsidRPr="00E4164E">
              <w:rPr>
                <w:rStyle w:val="Znakapoznpodarou"/>
                <w:spacing w:val="-2"/>
                <w:lang w:val="en-GB"/>
              </w:rPr>
              <w:footnoteReference w:id="2"/>
            </w:r>
            <w:r>
              <w:rPr>
                <w:rFonts w:cs="Arial"/>
                <w:lang w:val="en-GB" w:eastAsia="en-US"/>
              </w:rPr>
              <w:t xml:space="preserve"> in the EU last year</w:t>
            </w:r>
            <w:r w:rsidR="00C10B3B" w:rsidRPr="00E4164E">
              <w:rPr>
                <w:rFonts w:cs="Arial"/>
                <w:lang w:val="en-GB" w:eastAsia="en-US"/>
              </w:rPr>
              <w:t xml:space="preserve">. </w:t>
            </w:r>
            <w:r>
              <w:rPr>
                <w:rFonts w:cs="Arial"/>
                <w:lang w:val="en-GB" w:eastAsia="en-US"/>
              </w:rPr>
              <w:t xml:space="preserve">It moderated to 2.6% year-on-year in Q4 itself. </w:t>
            </w:r>
            <w:r w:rsidR="00C2412D">
              <w:rPr>
                <w:rFonts w:cs="Arial"/>
                <w:lang w:val="en-GB" w:eastAsia="en-US"/>
              </w:rPr>
              <w:t xml:space="preserve">Romania achieved the highest GDP increase based on the available data in </w:t>
            </w:r>
            <w:r w:rsidR="00C10B3B" w:rsidRPr="00E4164E">
              <w:rPr>
                <w:rFonts w:cs="Arial"/>
                <w:lang w:val="en-GB" w:eastAsia="en-US"/>
              </w:rPr>
              <w:t>2017</w:t>
            </w:r>
            <w:r w:rsidR="00C2412D">
              <w:rPr>
                <w:rFonts w:cs="Arial"/>
                <w:lang w:val="en-GB" w:eastAsia="en-US"/>
              </w:rPr>
              <w:t xml:space="preserve">, specifically </w:t>
            </w:r>
            <w:r w:rsidR="00CD1A5C" w:rsidRPr="00E4164E">
              <w:rPr>
                <w:rFonts w:cs="Arial"/>
                <w:lang w:val="en-GB" w:eastAsia="en-US"/>
              </w:rPr>
              <w:t>7</w:t>
            </w:r>
            <w:r w:rsidR="00C2412D">
              <w:rPr>
                <w:rFonts w:cs="Arial"/>
                <w:lang w:val="en-GB" w:eastAsia="en-US"/>
              </w:rPr>
              <w:t>.</w:t>
            </w:r>
            <w:r w:rsidR="00CD1A5C" w:rsidRPr="00E4164E">
              <w:rPr>
                <w:rFonts w:cs="Arial"/>
                <w:lang w:val="en-GB" w:eastAsia="en-US"/>
              </w:rPr>
              <w:t xml:space="preserve">0%. </w:t>
            </w:r>
            <w:r w:rsidR="00C2412D">
              <w:rPr>
                <w:rFonts w:cs="Arial"/>
                <w:lang w:val="en-GB" w:eastAsia="en-US"/>
              </w:rPr>
              <w:t xml:space="preserve">Malta (6.6%) and Slovenia (5.0%) were other strongly growing economies. According to data for Q1 to Q3, Ireland will likely be placed on the position of the fastest growing economy or tightly below, where the year-on-year dynamics was manifesting even </w:t>
            </w:r>
            <w:r w:rsidR="00654E14">
              <w:rPr>
                <w:rFonts w:cs="Arial"/>
                <w:lang w:val="en-GB" w:eastAsia="en-US"/>
              </w:rPr>
              <w:t>double-digit</w:t>
            </w:r>
            <w:r w:rsidR="00C2412D">
              <w:rPr>
                <w:rFonts w:cs="Arial"/>
                <w:lang w:val="en-GB" w:eastAsia="en-US"/>
              </w:rPr>
              <w:t xml:space="preserve"> values. Economies of Italy (1.5%, still the highest growth since 2010), Belgium (1.7%), Great Britain (1.7%) and France (1.8%) had to face less than </w:t>
            </w:r>
            <w:r w:rsidR="00CD1A5C" w:rsidRPr="00E4164E">
              <w:rPr>
                <w:rFonts w:cs="Arial"/>
                <w:lang w:val="en-GB" w:eastAsia="en-US"/>
              </w:rPr>
              <w:t xml:space="preserve">2% </w:t>
            </w:r>
            <w:r w:rsidR="00C2412D">
              <w:rPr>
                <w:rFonts w:cs="Arial"/>
                <w:lang w:val="en-GB" w:eastAsia="en-US"/>
              </w:rPr>
              <w:t xml:space="preserve">growth. Countries neighbouring the </w:t>
            </w:r>
            <w:r w:rsidR="00654E14">
              <w:rPr>
                <w:rFonts w:cs="Arial"/>
                <w:lang w:val="en-GB" w:eastAsia="en-US"/>
              </w:rPr>
              <w:t>Czech Republic</w:t>
            </w:r>
            <w:r w:rsidR="00C2412D">
              <w:rPr>
                <w:rFonts w:cs="Arial"/>
                <w:lang w:val="en-GB" w:eastAsia="en-US"/>
              </w:rPr>
              <w:t xml:space="preserve"> also enjoyed a successful year, which was in the end favourably mirrored in the performance of the domestic economy via foreign </w:t>
            </w:r>
            <w:r w:rsidR="00C2412D">
              <w:rPr>
                <w:rFonts w:cs="Arial"/>
                <w:lang w:val="en-GB" w:eastAsia="en-US"/>
              </w:rPr>
              <w:lastRenderedPageBreak/>
              <w:t xml:space="preserve">trade. </w:t>
            </w:r>
            <w:r w:rsidR="00B6136C">
              <w:rPr>
                <w:rFonts w:cs="Arial"/>
                <w:lang w:val="en-GB" w:eastAsia="en-US"/>
              </w:rPr>
              <w:t xml:space="preserve">German economy increased pace and its GDP rose by 2.2% in 2017 here, Slovakia strengthened by 3.4%, Poland experienced </w:t>
            </w:r>
            <w:proofErr w:type="gramStart"/>
            <w:r w:rsidR="00B6136C">
              <w:rPr>
                <w:rFonts w:cs="Arial"/>
                <w:lang w:val="en-GB" w:eastAsia="en-US"/>
              </w:rPr>
              <w:t>a jump</w:t>
            </w:r>
            <w:proofErr w:type="gramEnd"/>
            <w:r w:rsidR="00B6136C">
              <w:rPr>
                <w:rFonts w:cs="Arial"/>
                <w:lang w:val="en-GB" w:eastAsia="en-US"/>
              </w:rPr>
              <w:t xml:space="preserve"> </w:t>
            </w:r>
            <w:r w:rsidR="00AE5270">
              <w:rPr>
                <w:rFonts w:cs="Arial"/>
                <w:lang w:val="en-GB" w:eastAsia="en-US"/>
              </w:rPr>
              <w:t>acceleration</w:t>
            </w:r>
            <w:r w:rsidR="00B6136C">
              <w:rPr>
                <w:rFonts w:cs="Arial"/>
                <w:lang w:val="en-GB" w:eastAsia="en-US"/>
              </w:rPr>
              <w:t xml:space="preserve"> to 4.6% and Austria also nearly doubled its growth (2.9%)</w:t>
            </w:r>
            <w:r w:rsidR="00AE5270">
              <w:rPr>
                <w:rFonts w:cs="Arial"/>
                <w:lang w:val="en-GB" w:eastAsia="en-US"/>
              </w:rPr>
              <w:t xml:space="preserve"> compared to year 2016. Quarter-on-quarter dynamics of the GDP growth in the EU crossed the 0.5% boundary in </w:t>
            </w:r>
            <w:r w:rsidR="00C10B3B" w:rsidRPr="00E4164E">
              <w:rPr>
                <w:rFonts w:cs="Arial"/>
                <w:lang w:val="en-GB" w:eastAsia="en-US"/>
              </w:rPr>
              <w:t>2017</w:t>
            </w:r>
            <w:r w:rsidR="00AE5270">
              <w:rPr>
                <w:rFonts w:cs="Arial"/>
                <w:lang w:val="en-GB" w:eastAsia="en-US"/>
              </w:rPr>
              <w:t xml:space="preserve"> </w:t>
            </w:r>
            <w:r w:rsidR="00C10B3B" w:rsidRPr="00E4164E">
              <w:rPr>
                <w:rFonts w:cs="Arial"/>
                <w:lang w:val="en-GB" w:eastAsia="en-US"/>
              </w:rPr>
              <w:t>(0</w:t>
            </w:r>
            <w:r w:rsidR="00AE5270">
              <w:rPr>
                <w:rFonts w:cs="Arial"/>
                <w:lang w:val="en-GB" w:eastAsia="en-US"/>
              </w:rPr>
              <w:t>.</w:t>
            </w:r>
            <w:r w:rsidR="00C10B3B" w:rsidRPr="00E4164E">
              <w:rPr>
                <w:rFonts w:cs="Arial"/>
                <w:lang w:val="en-GB" w:eastAsia="en-US"/>
              </w:rPr>
              <w:t>6%, 0</w:t>
            </w:r>
            <w:r w:rsidR="00AE5270">
              <w:rPr>
                <w:rFonts w:cs="Arial"/>
                <w:lang w:val="en-GB" w:eastAsia="en-US"/>
              </w:rPr>
              <w:t>.</w:t>
            </w:r>
            <w:r w:rsidR="00C10B3B" w:rsidRPr="00E4164E">
              <w:rPr>
                <w:rFonts w:cs="Arial"/>
                <w:lang w:val="en-GB" w:eastAsia="en-US"/>
              </w:rPr>
              <w:t>7%, 0</w:t>
            </w:r>
            <w:r w:rsidR="00AE5270">
              <w:rPr>
                <w:rFonts w:cs="Arial"/>
                <w:lang w:val="en-GB" w:eastAsia="en-US"/>
              </w:rPr>
              <w:t>.</w:t>
            </w:r>
            <w:r w:rsidR="00C10B3B" w:rsidRPr="00E4164E">
              <w:rPr>
                <w:rFonts w:cs="Arial"/>
                <w:lang w:val="en-GB" w:eastAsia="en-US"/>
              </w:rPr>
              <w:t>7% a</w:t>
            </w:r>
            <w:r w:rsidR="00AE5270">
              <w:rPr>
                <w:rFonts w:cs="Arial"/>
                <w:lang w:val="en-GB" w:eastAsia="en-US"/>
              </w:rPr>
              <w:t>nd</w:t>
            </w:r>
            <w:r w:rsidR="00C10B3B" w:rsidRPr="00E4164E">
              <w:rPr>
                <w:rFonts w:cs="Arial"/>
                <w:lang w:val="en-GB" w:eastAsia="en-US"/>
              </w:rPr>
              <w:t xml:space="preserve"> 0</w:t>
            </w:r>
            <w:r w:rsidR="00AE5270">
              <w:rPr>
                <w:rFonts w:cs="Arial"/>
                <w:lang w:val="en-GB" w:eastAsia="en-US"/>
              </w:rPr>
              <w:t>.</w:t>
            </w:r>
            <w:r w:rsidR="00C10B3B" w:rsidRPr="00E4164E">
              <w:rPr>
                <w:rFonts w:cs="Arial"/>
                <w:lang w:val="en-GB" w:eastAsia="en-US"/>
              </w:rPr>
              <w:t xml:space="preserve">6% </w:t>
            </w:r>
            <w:r w:rsidR="00AE5270">
              <w:rPr>
                <w:rFonts w:cs="Arial"/>
                <w:lang w:val="en-GB" w:eastAsia="en-US"/>
              </w:rPr>
              <w:t>in individual quarters</w:t>
            </w:r>
            <w:r w:rsidR="00C10B3B" w:rsidRPr="00E4164E">
              <w:rPr>
                <w:rFonts w:cs="Arial"/>
                <w:lang w:val="en-GB" w:eastAsia="en-US"/>
              </w:rPr>
              <w:t>).</w:t>
            </w:r>
          </w:p>
          <w:p w:rsidR="00420D92" w:rsidRPr="00E4164E" w:rsidRDefault="00420D92" w:rsidP="00420D92">
            <w:pPr>
              <w:pStyle w:val="Textpoznpodarou"/>
              <w:jc w:val="both"/>
              <w:rPr>
                <w:rFonts w:cs="Arial"/>
                <w:sz w:val="16"/>
                <w:szCs w:val="16"/>
                <w:lang w:val="en-GB" w:eastAsia="en-US"/>
              </w:rPr>
            </w:pPr>
          </w:p>
        </w:tc>
      </w:tr>
      <w:tr w:rsidR="00DD0726" w:rsidRPr="00A6766C" w:rsidTr="006C3DC1">
        <w:tc>
          <w:tcPr>
            <w:tcW w:w="1007" w:type="pct"/>
          </w:tcPr>
          <w:p w:rsidR="00DD0726" w:rsidRPr="00A6766C" w:rsidRDefault="00DD0726" w:rsidP="006C3DC1">
            <w:pPr>
              <w:spacing w:line="240" w:lineRule="auto"/>
              <w:jc w:val="center"/>
              <w:rPr>
                <w:rFonts w:cs="Arial"/>
                <w:szCs w:val="20"/>
              </w:rPr>
            </w:pPr>
          </w:p>
        </w:tc>
        <w:tc>
          <w:tcPr>
            <w:tcW w:w="144" w:type="pct"/>
          </w:tcPr>
          <w:p w:rsidR="00DD0726" w:rsidRPr="00A6766C" w:rsidRDefault="00DD0726" w:rsidP="006C3DC1">
            <w:pPr>
              <w:pStyle w:val="Textpoznpodarou"/>
              <w:jc w:val="both"/>
              <w:rPr>
                <w:rFonts w:cs="Arial"/>
              </w:rPr>
            </w:pPr>
          </w:p>
        </w:tc>
        <w:tc>
          <w:tcPr>
            <w:tcW w:w="575" w:type="pct"/>
          </w:tcPr>
          <w:p w:rsidR="00DD0726" w:rsidRPr="00A6766C" w:rsidRDefault="0084535E" w:rsidP="0084535E">
            <w:pPr>
              <w:pStyle w:val="Textpoznpodarou"/>
              <w:jc w:val="both"/>
              <w:rPr>
                <w:rFonts w:cs="Arial"/>
              </w:rPr>
            </w:pPr>
            <w:r>
              <w:rPr>
                <w:rFonts w:cs="Arial"/>
                <w:lang w:eastAsia="en-US"/>
              </w:rPr>
              <w:t xml:space="preserve">Chart </w:t>
            </w:r>
            <w:r w:rsidR="00DD0726" w:rsidRPr="00A6766C">
              <w:rPr>
                <w:rFonts w:cs="Arial"/>
                <w:lang w:eastAsia="en-US"/>
              </w:rPr>
              <w:t>2</w:t>
            </w:r>
          </w:p>
        </w:tc>
        <w:tc>
          <w:tcPr>
            <w:tcW w:w="3274" w:type="pct"/>
            <w:gridSpan w:val="2"/>
          </w:tcPr>
          <w:p w:rsidR="00DD0726" w:rsidRPr="000B5746" w:rsidRDefault="0084535E" w:rsidP="000B5746">
            <w:pPr>
              <w:pStyle w:val="Textpoznpodarou"/>
              <w:jc w:val="both"/>
              <w:rPr>
                <w:rFonts w:cs="Arial"/>
                <w:lang w:val="en-GB" w:eastAsia="en-US"/>
              </w:rPr>
            </w:pPr>
            <w:r w:rsidRPr="000B5746">
              <w:rPr>
                <w:rFonts w:cs="Arial"/>
                <w:b/>
                <w:lang w:val="en-GB" w:eastAsia="en-US"/>
              </w:rPr>
              <w:t>GDP</w:t>
            </w:r>
            <w:r w:rsidR="00DD0726" w:rsidRPr="000B5746">
              <w:rPr>
                <w:rFonts w:cs="Arial"/>
                <w:b/>
                <w:lang w:val="en-GB" w:eastAsia="en-US"/>
              </w:rPr>
              <w:t xml:space="preserve"> </w:t>
            </w:r>
            <w:r w:rsidR="00DD0726" w:rsidRPr="000B5746">
              <w:rPr>
                <w:rFonts w:cs="Arial"/>
                <w:lang w:val="en-GB" w:eastAsia="en-US"/>
              </w:rPr>
              <w:t>(</w:t>
            </w:r>
            <w:r w:rsidR="000B5746" w:rsidRPr="000B5746">
              <w:rPr>
                <w:rFonts w:cs="Arial"/>
                <w:lang w:val="en-GB" w:eastAsia="en-US"/>
              </w:rPr>
              <w:t>volume indices</w:t>
            </w:r>
            <w:r w:rsidR="00DD0726" w:rsidRPr="000B5746">
              <w:rPr>
                <w:rFonts w:cs="Arial"/>
                <w:lang w:val="en-GB" w:eastAsia="en-US"/>
              </w:rPr>
              <w:t xml:space="preserve">, </w:t>
            </w:r>
            <w:r w:rsidR="000B5746" w:rsidRPr="000B5746">
              <w:rPr>
                <w:rFonts w:cs="Arial"/>
                <w:lang w:val="en-GB" w:eastAsia="en-US"/>
              </w:rPr>
              <w:t>adjusted for seasonal and calendar effects</w:t>
            </w:r>
            <w:r w:rsidR="00DD0726" w:rsidRPr="000B5746">
              <w:rPr>
                <w:rFonts w:cs="Arial"/>
                <w:lang w:val="en-GB" w:eastAsia="en-US"/>
              </w:rPr>
              <w:t xml:space="preserve">, </w:t>
            </w:r>
            <w:r w:rsidR="000B5746" w:rsidRPr="000B5746">
              <w:rPr>
                <w:rFonts w:cs="Arial"/>
                <w:lang w:val="en-GB" w:eastAsia="en-US"/>
              </w:rPr>
              <w:t xml:space="preserve">year-on-year in </w:t>
            </w:r>
            <w:r w:rsidR="00DD0726" w:rsidRPr="000B5746">
              <w:rPr>
                <w:rFonts w:cs="Arial"/>
                <w:lang w:val="en-GB" w:eastAsia="en-US"/>
              </w:rPr>
              <w:t xml:space="preserve">%, </w:t>
            </w:r>
            <w:r w:rsidR="000B5746" w:rsidRPr="000B5746">
              <w:rPr>
                <w:rFonts w:cs="Arial"/>
                <w:lang w:val="en-GB" w:eastAsia="en-US"/>
              </w:rPr>
              <w:t>right axis</w:t>
            </w:r>
            <w:r w:rsidR="00DD0726" w:rsidRPr="000B5746">
              <w:rPr>
                <w:rFonts w:cs="Arial"/>
                <w:lang w:val="en-GB" w:eastAsia="en-US"/>
              </w:rPr>
              <w:t xml:space="preserve">) </w:t>
            </w:r>
            <w:r w:rsidR="00DD0726" w:rsidRPr="000B5746">
              <w:rPr>
                <w:rFonts w:cs="Arial"/>
                <w:b/>
                <w:lang w:val="en-GB" w:eastAsia="en-US"/>
              </w:rPr>
              <w:t>a</w:t>
            </w:r>
            <w:r w:rsidR="000B5746" w:rsidRPr="000B5746">
              <w:rPr>
                <w:rFonts w:cs="Arial"/>
                <w:b/>
                <w:lang w:val="en-GB" w:eastAsia="en-US"/>
              </w:rPr>
              <w:t xml:space="preserve">nd confidence indicators </w:t>
            </w:r>
            <w:r w:rsidR="00DD0726" w:rsidRPr="000B5746">
              <w:rPr>
                <w:rFonts w:cs="Arial"/>
                <w:lang w:val="en-GB" w:eastAsia="en-US"/>
              </w:rPr>
              <w:t>(2005=100, le</w:t>
            </w:r>
            <w:r w:rsidR="000B5746" w:rsidRPr="000B5746">
              <w:rPr>
                <w:rFonts w:cs="Arial"/>
                <w:lang w:val="en-GB" w:eastAsia="en-US"/>
              </w:rPr>
              <w:t>ft axis</w:t>
            </w:r>
            <w:r w:rsidR="00DD0726" w:rsidRPr="000B5746">
              <w:rPr>
                <w:rFonts w:cs="Arial"/>
                <w:lang w:val="en-GB" w:eastAsia="en-US"/>
              </w:rPr>
              <w:t>)</w:t>
            </w:r>
          </w:p>
        </w:tc>
      </w:tr>
      <w:tr w:rsidR="00DD0726" w:rsidRPr="00A74192" w:rsidTr="006C3DC1">
        <w:tc>
          <w:tcPr>
            <w:tcW w:w="1007" w:type="pct"/>
          </w:tcPr>
          <w:p w:rsidR="00DD0726" w:rsidRDefault="00DD0726" w:rsidP="006C3DC1">
            <w:pPr>
              <w:spacing w:line="240" w:lineRule="auto"/>
              <w:rPr>
                <w:rFonts w:cs="Arial"/>
                <w:sz w:val="16"/>
                <w:szCs w:val="16"/>
              </w:rPr>
            </w:pPr>
          </w:p>
        </w:tc>
        <w:tc>
          <w:tcPr>
            <w:tcW w:w="144" w:type="pct"/>
          </w:tcPr>
          <w:p w:rsidR="00DD0726" w:rsidRPr="005E2AB2" w:rsidRDefault="00DD0726" w:rsidP="006C3DC1">
            <w:pPr>
              <w:pStyle w:val="Textpoznpodarou"/>
              <w:jc w:val="both"/>
              <w:rPr>
                <w:rFonts w:cs="Arial"/>
              </w:rPr>
            </w:pPr>
          </w:p>
        </w:tc>
        <w:tc>
          <w:tcPr>
            <w:tcW w:w="3849" w:type="pct"/>
            <w:gridSpan w:val="3"/>
          </w:tcPr>
          <w:p w:rsidR="00DD0726" w:rsidRPr="000B5746" w:rsidRDefault="001D53CB" w:rsidP="006C3DC1">
            <w:pPr>
              <w:pStyle w:val="Textpoznpodarou"/>
              <w:ind w:left="-94"/>
              <w:jc w:val="both"/>
              <w:rPr>
                <w:rFonts w:cs="Arial"/>
                <w:lang w:val="en-GB"/>
              </w:rPr>
            </w:pPr>
            <w:r w:rsidRPr="001D53CB">
              <w:rPr>
                <w:rFonts w:cs="Arial"/>
                <w:noProof/>
              </w:rPr>
              <w:drawing>
                <wp:inline distT="0" distB="0" distL="0" distR="0">
                  <wp:extent cx="4735901" cy="3420000"/>
                  <wp:effectExtent l="0" t="0" r="0" b="0"/>
                  <wp:docPr id="10"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0726" w:rsidRDefault="0084535E" w:rsidP="001D53CB">
            <w:pPr>
              <w:pStyle w:val="Textpoznpodarou"/>
              <w:ind w:left="-94"/>
              <w:jc w:val="right"/>
              <w:rPr>
                <w:rFonts w:cs="Arial"/>
                <w:sz w:val="14"/>
                <w:szCs w:val="14"/>
                <w:lang w:val="en-GB"/>
              </w:rPr>
            </w:pPr>
            <w:r w:rsidRPr="000B5746">
              <w:rPr>
                <w:rFonts w:cs="Arial"/>
                <w:sz w:val="14"/>
                <w:szCs w:val="14"/>
                <w:lang w:val="en-GB"/>
              </w:rPr>
              <w:t>Source</w:t>
            </w:r>
            <w:r w:rsidR="00DD0726" w:rsidRPr="000B5746">
              <w:rPr>
                <w:rFonts w:cs="Arial"/>
                <w:sz w:val="14"/>
                <w:szCs w:val="14"/>
                <w:lang w:val="en-GB"/>
              </w:rPr>
              <w:t xml:space="preserve">: </w:t>
            </w:r>
            <w:r w:rsidRPr="000B5746">
              <w:rPr>
                <w:rFonts w:cs="Arial"/>
                <w:sz w:val="14"/>
                <w:szCs w:val="14"/>
                <w:lang w:val="en-GB"/>
              </w:rPr>
              <w:t>CZSO</w:t>
            </w:r>
          </w:p>
          <w:p w:rsidR="001D53CB" w:rsidRPr="001D53CB" w:rsidRDefault="001D53CB" w:rsidP="001D53CB">
            <w:pPr>
              <w:pStyle w:val="Textpoznpodarou"/>
              <w:ind w:left="-94"/>
              <w:jc w:val="right"/>
              <w:rPr>
                <w:rFonts w:cs="Arial"/>
                <w:sz w:val="14"/>
                <w:szCs w:val="14"/>
                <w:lang w:val="en-GB"/>
              </w:rPr>
            </w:pPr>
          </w:p>
        </w:tc>
      </w:tr>
      <w:tr w:rsidR="00A33C9A" w:rsidRPr="00A74192" w:rsidTr="006C3DC1">
        <w:tc>
          <w:tcPr>
            <w:tcW w:w="1007" w:type="pct"/>
          </w:tcPr>
          <w:p w:rsidR="00E46E03" w:rsidRPr="006B797F" w:rsidRDefault="00543989" w:rsidP="006E4368">
            <w:pPr>
              <w:spacing w:line="240" w:lineRule="auto"/>
              <w:rPr>
                <w:rFonts w:cs="Arial"/>
                <w:sz w:val="16"/>
                <w:szCs w:val="16"/>
                <w:lang w:val="en-GB"/>
              </w:rPr>
            </w:pPr>
            <w:r w:rsidRPr="006B797F">
              <w:rPr>
                <w:rFonts w:cs="Arial"/>
                <w:sz w:val="16"/>
                <w:szCs w:val="16"/>
                <w:lang w:val="en-GB"/>
              </w:rPr>
              <w:t xml:space="preserve">Domestic consumption expanded fastest since year </w:t>
            </w:r>
            <w:r w:rsidR="00A33C9A" w:rsidRPr="006B797F">
              <w:rPr>
                <w:rFonts w:cs="Arial"/>
                <w:sz w:val="16"/>
                <w:szCs w:val="16"/>
                <w:lang w:val="en-GB"/>
              </w:rPr>
              <w:t xml:space="preserve">2007. </w:t>
            </w:r>
            <w:r w:rsidR="006B797F" w:rsidRPr="006B797F">
              <w:rPr>
                <w:rFonts w:cs="Arial"/>
                <w:sz w:val="16"/>
                <w:szCs w:val="16"/>
                <w:lang w:val="en-GB"/>
              </w:rPr>
              <w:t>Mostly households were spending.</w:t>
            </w:r>
          </w:p>
          <w:p w:rsidR="00E46E03" w:rsidRPr="006B797F" w:rsidRDefault="00E46E03" w:rsidP="006E4368">
            <w:pPr>
              <w:spacing w:line="240" w:lineRule="auto"/>
              <w:rPr>
                <w:rFonts w:cs="Arial"/>
                <w:sz w:val="16"/>
                <w:szCs w:val="16"/>
                <w:lang w:val="en-GB"/>
              </w:rPr>
            </w:pPr>
          </w:p>
          <w:p w:rsidR="00E46E03" w:rsidRPr="006B797F" w:rsidRDefault="00E46E03" w:rsidP="006E4368">
            <w:pPr>
              <w:spacing w:line="240" w:lineRule="auto"/>
              <w:rPr>
                <w:rFonts w:cs="Arial"/>
                <w:sz w:val="16"/>
                <w:szCs w:val="16"/>
                <w:lang w:val="en-GB"/>
              </w:rPr>
            </w:pPr>
          </w:p>
          <w:p w:rsidR="00E46E03" w:rsidRPr="006B797F" w:rsidRDefault="00E46E03" w:rsidP="006E4368">
            <w:pPr>
              <w:spacing w:line="240" w:lineRule="auto"/>
              <w:rPr>
                <w:rFonts w:cs="Arial"/>
                <w:sz w:val="16"/>
                <w:szCs w:val="16"/>
                <w:lang w:val="en-GB"/>
              </w:rPr>
            </w:pPr>
          </w:p>
          <w:p w:rsidR="00E46E03" w:rsidRPr="006B797F" w:rsidRDefault="00E46E03" w:rsidP="006E4368">
            <w:pPr>
              <w:spacing w:line="240" w:lineRule="auto"/>
              <w:rPr>
                <w:rFonts w:cs="Arial"/>
                <w:sz w:val="16"/>
                <w:szCs w:val="16"/>
                <w:lang w:val="en-GB"/>
              </w:rPr>
            </w:pPr>
          </w:p>
          <w:p w:rsidR="00E46E03" w:rsidRDefault="00E46E03" w:rsidP="00E46E03">
            <w:pPr>
              <w:spacing w:line="240" w:lineRule="auto"/>
              <w:rPr>
                <w:rFonts w:cs="Arial"/>
                <w:sz w:val="16"/>
                <w:szCs w:val="16"/>
                <w:lang w:val="en-GB"/>
              </w:rPr>
            </w:pPr>
          </w:p>
          <w:p w:rsidR="00551A4F" w:rsidRDefault="00551A4F" w:rsidP="00E46E03">
            <w:pPr>
              <w:spacing w:line="240" w:lineRule="auto"/>
              <w:rPr>
                <w:rFonts w:cs="Arial"/>
                <w:sz w:val="16"/>
                <w:szCs w:val="16"/>
                <w:lang w:val="en-GB"/>
              </w:rPr>
            </w:pPr>
          </w:p>
          <w:p w:rsidR="00551A4F" w:rsidRDefault="00551A4F" w:rsidP="00E46E03">
            <w:pPr>
              <w:spacing w:line="240" w:lineRule="auto"/>
              <w:rPr>
                <w:rFonts w:cs="Arial"/>
                <w:sz w:val="16"/>
                <w:szCs w:val="16"/>
                <w:lang w:val="en-GB"/>
              </w:rPr>
            </w:pPr>
          </w:p>
          <w:p w:rsidR="00551A4F" w:rsidRDefault="00551A4F" w:rsidP="00E46E03">
            <w:pPr>
              <w:spacing w:line="240" w:lineRule="auto"/>
              <w:rPr>
                <w:rFonts w:cs="Arial"/>
                <w:sz w:val="16"/>
                <w:szCs w:val="16"/>
                <w:lang w:val="en-GB"/>
              </w:rPr>
            </w:pPr>
          </w:p>
          <w:p w:rsidR="00551A4F" w:rsidRDefault="00551A4F" w:rsidP="00E46E03">
            <w:pPr>
              <w:spacing w:line="240" w:lineRule="auto"/>
              <w:rPr>
                <w:rFonts w:cs="Arial"/>
                <w:sz w:val="16"/>
                <w:szCs w:val="16"/>
                <w:lang w:val="en-GB"/>
              </w:rPr>
            </w:pPr>
          </w:p>
          <w:p w:rsidR="00551A4F" w:rsidRDefault="00551A4F" w:rsidP="00E46E03">
            <w:pPr>
              <w:spacing w:line="240" w:lineRule="auto"/>
              <w:rPr>
                <w:rFonts w:cs="Arial"/>
                <w:sz w:val="16"/>
                <w:szCs w:val="16"/>
                <w:lang w:val="en-GB"/>
              </w:rPr>
            </w:pPr>
          </w:p>
          <w:p w:rsidR="00551A4F" w:rsidRDefault="00551A4F" w:rsidP="00E46E03">
            <w:pPr>
              <w:spacing w:line="240" w:lineRule="auto"/>
              <w:rPr>
                <w:rFonts w:cs="Arial"/>
                <w:sz w:val="16"/>
                <w:szCs w:val="16"/>
                <w:lang w:val="en-GB"/>
              </w:rPr>
            </w:pPr>
          </w:p>
          <w:p w:rsidR="00551A4F" w:rsidRPr="006B797F" w:rsidRDefault="00551A4F" w:rsidP="00E46E03">
            <w:pPr>
              <w:spacing w:line="240" w:lineRule="auto"/>
              <w:rPr>
                <w:rFonts w:cs="Arial"/>
                <w:sz w:val="16"/>
                <w:szCs w:val="16"/>
                <w:lang w:val="en-GB"/>
              </w:rPr>
            </w:pPr>
          </w:p>
          <w:p w:rsidR="00E46E03" w:rsidRPr="006B797F" w:rsidRDefault="00E46E03" w:rsidP="00E46E03">
            <w:pPr>
              <w:spacing w:line="240" w:lineRule="auto"/>
              <w:rPr>
                <w:rFonts w:cs="Arial"/>
                <w:sz w:val="16"/>
                <w:szCs w:val="16"/>
                <w:lang w:val="en-GB"/>
              </w:rPr>
            </w:pPr>
          </w:p>
          <w:p w:rsidR="00A33C9A" w:rsidRPr="005E2AB2" w:rsidRDefault="00994835" w:rsidP="00994835">
            <w:pPr>
              <w:spacing w:line="240" w:lineRule="auto"/>
              <w:rPr>
                <w:rFonts w:cs="Arial"/>
                <w:sz w:val="16"/>
                <w:szCs w:val="16"/>
              </w:rPr>
            </w:pPr>
            <w:r>
              <w:rPr>
                <w:rFonts w:cs="Arial"/>
                <w:sz w:val="16"/>
                <w:szCs w:val="16"/>
                <w:lang w:val="en-GB"/>
              </w:rPr>
              <w:t xml:space="preserve">Growth of household consumption was partially satiated </w:t>
            </w:r>
            <w:r w:rsidR="001B1EFA">
              <w:rPr>
                <w:rFonts w:cs="Arial"/>
                <w:sz w:val="16"/>
                <w:szCs w:val="16"/>
                <w:lang w:val="en-GB"/>
              </w:rPr>
              <w:t>through</w:t>
            </w:r>
            <w:r>
              <w:rPr>
                <w:rFonts w:cs="Arial"/>
                <w:sz w:val="16"/>
                <w:szCs w:val="16"/>
                <w:lang w:val="en-GB"/>
              </w:rPr>
              <w:t xml:space="preserve"> foreign supply. </w:t>
            </w:r>
          </w:p>
        </w:tc>
        <w:tc>
          <w:tcPr>
            <w:tcW w:w="144" w:type="pct"/>
          </w:tcPr>
          <w:p w:rsidR="00A33C9A" w:rsidRPr="005E2AB2" w:rsidRDefault="00A33C9A" w:rsidP="006E4368">
            <w:pPr>
              <w:pStyle w:val="Textpoznpodarou"/>
              <w:rPr>
                <w:rFonts w:cs="Arial"/>
              </w:rPr>
            </w:pPr>
          </w:p>
        </w:tc>
        <w:tc>
          <w:tcPr>
            <w:tcW w:w="3849" w:type="pct"/>
            <w:gridSpan w:val="3"/>
          </w:tcPr>
          <w:p w:rsidR="00A33C9A" w:rsidRPr="000B5746" w:rsidRDefault="001D53CB" w:rsidP="00E46E03">
            <w:pPr>
              <w:pStyle w:val="Textpoznpodarou"/>
              <w:jc w:val="both"/>
              <w:rPr>
                <w:rFonts w:cs="Arial"/>
                <w:sz w:val="16"/>
                <w:szCs w:val="16"/>
                <w:lang w:val="en-GB"/>
              </w:rPr>
            </w:pPr>
            <w:r>
              <w:rPr>
                <w:rFonts w:cs="Arial"/>
                <w:lang w:val="en-GB"/>
              </w:rPr>
              <w:t>Domestic</w:t>
            </w:r>
            <w:r w:rsidR="00994835">
              <w:rPr>
                <w:rFonts w:cs="Arial"/>
                <w:lang w:val="en-GB"/>
              </w:rPr>
              <w:t xml:space="preserve"> consumption expenditures </w:t>
            </w:r>
            <w:r w:rsidR="00EB0FCC">
              <w:rPr>
                <w:rFonts w:cs="Arial"/>
                <w:lang w:val="en-GB"/>
              </w:rPr>
              <w:t xml:space="preserve">grew </w:t>
            </w:r>
            <w:r w:rsidR="00994835">
              <w:rPr>
                <w:rFonts w:cs="Arial"/>
                <w:lang w:val="en-GB"/>
              </w:rPr>
              <w:t xml:space="preserve">by 3.3% in </w:t>
            </w:r>
            <w:r w:rsidR="00A33C9A" w:rsidRPr="000B5746">
              <w:rPr>
                <w:rFonts w:cs="Arial"/>
                <w:lang w:val="en-GB"/>
              </w:rPr>
              <w:t>2017</w:t>
            </w:r>
            <w:r w:rsidR="00994835">
              <w:rPr>
                <w:rFonts w:cs="Arial"/>
                <w:lang w:val="en-GB"/>
              </w:rPr>
              <w:t xml:space="preserve">, which is the most since </w:t>
            </w:r>
            <w:r w:rsidR="00A33C9A" w:rsidRPr="000B5746">
              <w:rPr>
                <w:rFonts w:cs="Arial"/>
                <w:lang w:val="en-GB"/>
              </w:rPr>
              <w:t xml:space="preserve">2003. </w:t>
            </w:r>
            <w:r w:rsidR="00B3216D">
              <w:rPr>
                <w:rFonts w:cs="Arial"/>
                <w:lang w:val="en-GB"/>
              </w:rPr>
              <w:t xml:space="preserve">Year-on-year growth of the household consumption accelerated </w:t>
            </w:r>
            <w:r w:rsidR="00A33C9A" w:rsidRPr="000B5746">
              <w:rPr>
                <w:rFonts w:cs="Arial"/>
                <w:lang w:val="en-GB"/>
              </w:rPr>
              <w:t>(4</w:t>
            </w:r>
            <w:r w:rsidR="00B3216D">
              <w:rPr>
                <w:rFonts w:cs="Arial"/>
                <w:lang w:val="en-GB"/>
              </w:rPr>
              <w:t>.</w:t>
            </w:r>
            <w:r w:rsidR="00A33C9A" w:rsidRPr="000B5746">
              <w:rPr>
                <w:rFonts w:cs="Arial"/>
                <w:lang w:val="en-GB"/>
              </w:rPr>
              <w:t xml:space="preserve">0%, </w:t>
            </w:r>
            <w:r w:rsidR="00B3216D">
              <w:rPr>
                <w:rFonts w:cs="Arial"/>
                <w:lang w:val="en-GB"/>
              </w:rPr>
              <w:t xml:space="preserve">the most since </w:t>
            </w:r>
            <w:r w:rsidR="00A33C9A" w:rsidRPr="000B5746">
              <w:rPr>
                <w:rFonts w:cs="Arial"/>
                <w:lang w:val="en-GB"/>
              </w:rPr>
              <w:t>2007)</w:t>
            </w:r>
            <w:proofErr w:type="gramStart"/>
            <w:r w:rsidR="00A33C9A" w:rsidRPr="000B5746">
              <w:rPr>
                <w:rFonts w:cs="Arial"/>
                <w:lang w:val="en-GB"/>
              </w:rPr>
              <w:t>,</w:t>
            </w:r>
            <w:proofErr w:type="gramEnd"/>
            <w:r w:rsidR="00A33C9A" w:rsidRPr="000B5746">
              <w:rPr>
                <w:rFonts w:cs="Arial"/>
                <w:lang w:val="en-GB"/>
              </w:rPr>
              <w:t xml:space="preserve"> </w:t>
            </w:r>
            <w:r w:rsidR="00B3216D">
              <w:rPr>
                <w:rFonts w:cs="Arial"/>
                <w:lang w:val="en-GB"/>
              </w:rPr>
              <w:t xml:space="preserve">on the contrary the government expenditures were not expanding as fast as in the preceding two years last year </w:t>
            </w:r>
            <w:r w:rsidR="00A33C9A" w:rsidRPr="000B5746">
              <w:rPr>
                <w:rFonts w:cs="Arial"/>
                <w:lang w:val="en-GB"/>
              </w:rPr>
              <w:t>(1</w:t>
            </w:r>
            <w:r w:rsidR="00B3216D">
              <w:rPr>
                <w:rFonts w:cs="Arial"/>
                <w:lang w:val="en-GB"/>
              </w:rPr>
              <w:t>.</w:t>
            </w:r>
            <w:r w:rsidR="00A33C9A" w:rsidRPr="000B5746">
              <w:rPr>
                <w:rFonts w:cs="Arial"/>
                <w:lang w:val="en-GB"/>
              </w:rPr>
              <w:t xml:space="preserve">6%). </w:t>
            </w:r>
            <w:r w:rsidR="00B3216D">
              <w:rPr>
                <w:rFonts w:cs="Arial"/>
                <w:lang w:val="en-GB"/>
              </w:rPr>
              <w:t xml:space="preserve">The dynamics of the household consumption reflected the marked </w:t>
            </w:r>
            <w:r w:rsidR="00C636C0">
              <w:rPr>
                <w:rFonts w:cs="Arial"/>
                <w:lang w:val="en-GB"/>
              </w:rPr>
              <w:t>growth</w:t>
            </w:r>
            <w:r w:rsidR="00B3216D">
              <w:rPr>
                <w:rFonts w:cs="Arial"/>
                <w:lang w:val="en-GB"/>
              </w:rPr>
              <w:t xml:space="preserve"> of wages as well as the positive expectations regarding the future economic development. </w:t>
            </w:r>
            <w:r w:rsidR="00C636C0">
              <w:rPr>
                <w:rFonts w:cs="Arial"/>
                <w:lang w:val="en-GB"/>
              </w:rPr>
              <w:t xml:space="preserve">Its year-on-year growth overtook the 4% boundary in Q2 to Q4. Similarly to GDP, the quarter-on-quarter dynamics of consumption also slowed down during the year. The quarter-on-quarter additions of expenditures on total consumption amounted to 0.6% in both Q3 and 4. </w:t>
            </w:r>
            <w:r w:rsidR="008328C9">
              <w:rPr>
                <w:rFonts w:cs="Arial"/>
                <w:lang w:val="en-GB"/>
              </w:rPr>
              <w:t>The household consumption itself also increased in the same way during Q4. Look on the year-on-year dynamics of expenditures based on durability showed, that the growth of expenditures on durable items slowed down the most in 2017</w:t>
            </w:r>
            <w:r w:rsidR="00A33C9A" w:rsidRPr="000B5746">
              <w:rPr>
                <w:rFonts w:cs="Arial"/>
                <w:lang w:val="en-GB"/>
              </w:rPr>
              <w:t xml:space="preserve"> (</w:t>
            </w:r>
            <w:r w:rsidR="008328C9">
              <w:rPr>
                <w:rFonts w:cs="Arial"/>
                <w:lang w:val="en-GB"/>
              </w:rPr>
              <w:t xml:space="preserve">from more than </w:t>
            </w:r>
            <w:r w:rsidR="00A33C9A" w:rsidRPr="000B5746">
              <w:rPr>
                <w:rFonts w:cs="Arial"/>
                <w:lang w:val="en-GB"/>
              </w:rPr>
              <w:t>10</w:t>
            </w:r>
            <w:r w:rsidR="008328C9">
              <w:rPr>
                <w:rFonts w:cs="Arial"/>
                <w:lang w:val="en-GB"/>
              </w:rPr>
              <w:t>.</w:t>
            </w:r>
            <w:r w:rsidR="00A33C9A" w:rsidRPr="000B5746">
              <w:rPr>
                <w:rFonts w:cs="Arial"/>
                <w:lang w:val="en-GB"/>
              </w:rPr>
              <w:t xml:space="preserve">0% </w:t>
            </w:r>
            <w:r w:rsidR="008328C9">
              <w:rPr>
                <w:rFonts w:cs="Arial"/>
                <w:lang w:val="en-GB"/>
              </w:rPr>
              <w:t xml:space="preserve">to </w:t>
            </w:r>
            <w:r w:rsidR="00A33C9A" w:rsidRPr="000B5746">
              <w:rPr>
                <w:rFonts w:cs="Arial"/>
                <w:lang w:val="en-GB"/>
              </w:rPr>
              <w:t>5</w:t>
            </w:r>
            <w:r w:rsidR="008328C9">
              <w:rPr>
                <w:rFonts w:cs="Arial"/>
                <w:lang w:val="en-GB"/>
              </w:rPr>
              <w:t>.</w:t>
            </w:r>
            <w:r w:rsidR="00A33C9A" w:rsidRPr="000B5746">
              <w:rPr>
                <w:rFonts w:cs="Arial"/>
                <w:lang w:val="en-GB"/>
              </w:rPr>
              <w:t>9%</w:t>
            </w:r>
            <w:r w:rsidR="00A33C9A" w:rsidRPr="000B5746">
              <w:rPr>
                <w:rStyle w:val="Znakapoznpodarou"/>
                <w:lang w:val="en-GB"/>
              </w:rPr>
              <w:footnoteReference w:id="3"/>
            </w:r>
            <w:r w:rsidR="00A33C9A" w:rsidRPr="000B5746">
              <w:rPr>
                <w:rFonts w:cs="Arial"/>
                <w:lang w:val="en-GB"/>
              </w:rPr>
              <w:t>)</w:t>
            </w:r>
            <w:r w:rsidR="008328C9">
              <w:rPr>
                <w:rFonts w:cs="Arial"/>
                <w:lang w:val="en-GB"/>
              </w:rPr>
              <w:t xml:space="preserve"> and </w:t>
            </w:r>
            <w:r w:rsidR="00B2153E">
              <w:rPr>
                <w:rFonts w:cs="Arial"/>
                <w:lang w:val="en-GB"/>
              </w:rPr>
              <w:t xml:space="preserve">the growth of expenditures on short term consumption goods </w:t>
            </w:r>
            <w:r w:rsidR="00A33C9A" w:rsidRPr="000B5746">
              <w:rPr>
                <w:rFonts w:cs="Arial"/>
                <w:lang w:val="en-GB"/>
              </w:rPr>
              <w:t>(4</w:t>
            </w:r>
            <w:r w:rsidR="00B2153E">
              <w:rPr>
                <w:rFonts w:cs="Arial"/>
                <w:lang w:val="en-GB"/>
              </w:rPr>
              <w:t>.</w:t>
            </w:r>
            <w:r w:rsidR="00A33C9A" w:rsidRPr="000B5746">
              <w:rPr>
                <w:rFonts w:cs="Arial"/>
                <w:lang w:val="en-GB"/>
              </w:rPr>
              <w:t>1%) a</w:t>
            </w:r>
            <w:r w:rsidR="00B2153E">
              <w:rPr>
                <w:rFonts w:cs="Arial"/>
                <w:lang w:val="en-GB"/>
              </w:rPr>
              <w:t xml:space="preserve">nd services </w:t>
            </w:r>
            <w:r w:rsidR="00A33C9A" w:rsidRPr="000B5746">
              <w:rPr>
                <w:rFonts w:cs="Arial"/>
                <w:lang w:val="en-GB"/>
              </w:rPr>
              <w:t>(2</w:t>
            </w:r>
            <w:r w:rsidR="00B2153E">
              <w:rPr>
                <w:rFonts w:cs="Arial"/>
                <w:lang w:val="en-GB"/>
              </w:rPr>
              <w:t>.</w:t>
            </w:r>
            <w:r w:rsidR="00A33C9A" w:rsidRPr="000B5746">
              <w:rPr>
                <w:rFonts w:cs="Arial"/>
                <w:lang w:val="en-GB"/>
              </w:rPr>
              <w:t>7%)</w:t>
            </w:r>
            <w:r w:rsidR="00B2153E">
              <w:rPr>
                <w:rFonts w:cs="Arial"/>
                <w:lang w:val="en-GB"/>
              </w:rPr>
              <w:t xml:space="preserve"> accelerated</w:t>
            </w:r>
            <w:r w:rsidR="00A33C9A" w:rsidRPr="000B5746">
              <w:rPr>
                <w:rFonts w:cs="Arial"/>
                <w:lang w:val="en-GB"/>
              </w:rPr>
              <w:t>.</w:t>
            </w:r>
            <w:r w:rsidR="00E46E03" w:rsidRPr="000B5746">
              <w:rPr>
                <w:rFonts w:cs="Arial"/>
                <w:lang w:val="en-GB"/>
              </w:rPr>
              <w:t xml:space="preserve"> </w:t>
            </w:r>
            <w:r w:rsidR="00B2153E">
              <w:rPr>
                <w:rFonts w:cs="Arial"/>
                <w:lang w:val="en-GB"/>
              </w:rPr>
              <w:t>Total consumption expenditures contributed to the year-on-year GDP growth by 1.7</w:t>
            </w:r>
            <w:r w:rsidR="00E46E03" w:rsidRPr="000B5746">
              <w:rPr>
                <w:rFonts w:cs="Arial"/>
                <w:lang w:val="en-GB"/>
              </w:rPr>
              <w:t> </w:t>
            </w:r>
            <w:r w:rsidR="0030607B">
              <w:rPr>
                <w:rFonts w:cs="Arial"/>
                <w:lang w:val="en-GB"/>
              </w:rPr>
              <w:t>p.p.</w:t>
            </w:r>
            <w:r w:rsidR="00E46E03" w:rsidRPr="000B5746">
              <w:rPr>
                <w:rStyle w:val="Znakapoznpodarou"/>
                <w:lang w:val="en-GB"/>
              </w:rPr>
              <w:footnoteReference w:id="4"/>
            </w:r>
            <w:r w:rsidR="00B2153E">
              <w:rPr>
                <w:rFonts w:cs="Arial"/>
                <w:lang w:val="en-GB"/>
              </w:rPr>
              <w:t xml:space="preserve"> in 2017</w:t>
            </w:r>
            <w:r w:rsidR="00E46E03" w:rsidRPr="000B5746">
              <w:rPr>
                <w:rFonts w:cs="Arial"/>
                <w:lang w:val="en-GB"/>
              </w:rPr>
              <w:t xml:space="preserve">, </w:t>
            </w:r>
            <w:r w:rsidR="00B2153E">
              <w:rPr>
                <w:rFonts w:cs="Arial"/>
                <w:lang w:val="en-GB"/>
              </w:rPr>
              <w:t xml:space="preserve">in that household consumption by </w:t>
            </w:r>
            <w:r w:rsidR="00E46E03" w:rsidRPr="000B5746">
              <w:rPr>
                <w:rFonts w:cs="Arial"/>
                <w:lang w:val="en-GB"/>
              </w:rPr>
              <w:t>1</w:t>
            </w:r>
            <w:r w:rsidR="00B2153E">
              <w:rPr>
                <w:rFonts w:cs="Arial"/>
                <w:lang w:val="en-GB"/>
              </w:rPr>
              <w:t>.</w:t>
            </w:r>
            <w:r w:rsidR="00E46E03" w:rsidRPr="000B5746">
              <w:rPr>
                <w:rFonts w:cs="Arial"/>
                <w:lang w:val="en-GB"/>
              </w:rPr>
              <w:t xml:space="preserve">4 </w:t>
            </w:r>
            <w:r w:rsidR="0030607B">
              <w:rPr>
                <w:rFonts w:cs="Arial"/>
                <w:lang w:val="en-GB"/>
              </w:rPr>
              <w:t>p.p.</w:t>
            </w:r>
            <w:r w:rsidR="00E46E03" w:rsidRPr="000B5746">
              <w:rPr>
                <w:rFonts w:cs="Arial"/>
                <w:lang w:val="en-GB"/>
              </w:rPr>
              <w:t xml:space="preserve"> </w:t>
            </w:r>
            <w:r w:rsidR="00240924">
              <w:rPr>
                <w:rFonts w:cs="Arial"/>
                <w:lang w:val="en-GB"/>
              </w:rPr>
              <w:t>Consumption contributed to growth the most in Q</w:t>
            </w:r>
            <w:r w:rsidR="00E46E03" w:rsidRPr="000B5746">
              <w:rPr>
                <w:rFonts w:cs="Arial"/>
                <w:lang w:val="en-GB"/>
              </w:rPr>
              <w:t>2</w:t>
            </w:r>
            <w:r w:rsidR="00240924">
              <w:rPr>
                <w:rFonts w:cs="Arial"/>
                <w:lang w:val="en-GB"/>
              </w:rPr>
              <w:t xml:space="preserve"> </w:t>
            </w:r>
            <w:r w:rsidR="00E46E03" w:rsidRPr="000B5746">
              <w:rPr>
                <w:rFonts w:cs="Arial"/>
                <w:lang w:val="en-GB"/>
              </w:rPr>
              <w:t>(1</w:t>
            </w:r>
            <w:r w:rsidR="00240924">
              <w:rPr>
                <w:rFonts w:cs="Arial"/>
                <w:lang w:val="en-GB"/>
              </w:rPr>
              <w:t>.</w:t>
            </w:r>
            <w:r w:rsidR="00E46E03" w:rsidRPr="000B5746">
              <w:rPr>
                <w:rFonts w:cs="Arial"/>
                <w:lang w:val="en-GB"/>
              </w:rPr>
              <w:t xml:space="preserve">8 </w:t>
            </w:r>
            <w:r w:rsidR="0030607B">
              <w:rPr>
                <w:rFonts w:cs="Arial"/>
                <w:lang w:val="en-GB"/>
              </w:rPr>
              <w:t>p.p.</w:t>
            </w:r>
            <w:r w:rsidR="00E46E03" w:rsidRPr="000B5746">
              <w:rPr>
                <w:rFonts w:cs="Arial"/>
                <w:lang w:val="en-GB"/>
              </w:rPr>
              <w:t xml:space="preserve">). </w:t>
            </w:r>
            <w:r w:rsidR="00240924">
              <w:rPr>
                <w:rFonts w:cs="Arial"/>
                <w:lang w:val="en-GB"/>
              </w:rPr>
              <w:t>The contribution was shrinking moderately in the next time periods. As is evident from the comparison of additions to the GDP development after and without exclusion of imports for final use</w:t>
            </w:r>
            <w:r w:rsidR="00E46E03" w:rsidRPr="000B5746">
              <w:rPr>
                <w:rFonts w:cs="Arial"/>
                <w:lang w:val="en-GB"/>
              </w:rPr>
              <w:t xml:space="preserve">, </w:t>
            </w:r>
            <w:r w:rsidR="00240924">
              <w:rPr>
                <w:rFonts w:cs="Arial"/>
                <w:lang w:val="en-GB"/>
              </w:rPr>
              <w:t>the accelerated growth of the household consumption was to a considerable extent saturated by foreign supply in Q</w:t>
            </w:r>
            <w:r w:rsidR="00E46E03" w:rsidRPr="000B5746">
              <w:rPr>
                <w:rFonts w:cs="Arial"/>
                <w:lang w:val="en-GB"/>
              </w:rPr>
              <w:t>2</w:t>
            </w:r>
            <w:r w:rsidR="00240924">
              <w:rPr>
                <w:rFonts w:cs="Arial"/>
                <w:lang w:val="en-GB"/>
              </w:rPr>
              <w:t xml:space="preserve"> to </w:t>
            </w:r>
            <w:r w:rsidR="001B1EFA">
              <w:rPr>
                <w:rFonts w:cs="Arial"/>
                <w:lang w:val="en-GB"/>
              </w:rPr>
              <w:t>Q</w:t>
            </w:r>
            <w:r w:rsidR="00E46E03" w:rsidRPr="000B5746">
              <w:rPr>
                <w:rFonts w:cs="Arial"/>
                <w:lang w:val="en-GB"/>
              </w:rPr>
              <w:t>4</w:t>
            </w:r>
            <w:r w:rsidR="00240924">
              <w:rPr>
                <w:rFonts w:cs="Arial"/>
                <w:lang w:val="en-GB"/>
              </w:rPr>
              <w:t xml:space="preserve">. </w:t>
            </w:r>
          </w:p>
          <w:p w:rsidR="00E46E03" w:rsidRPr="000B5746" w:rsidRDefault="00E46E03" w:rsidP="00E46E03">
            <w:pPr>
              <w:pStyle w:val="Textpoznpodarou"/>
              <w:jc w:val="both"/>
              <w:rPr>
                <w:rFonts w:cs="Arial"/>
                <w:sz w:val="16"/>
                <w:szCs w:val="16"/>
                <w:highlight w:val="yellow"/>
                <w:lang w:val="en-GB"/>
              </w:rPr>
            </w:pPr>
          </w:p>
        </w:tc>
      </w:tr>
      <w:tr w:rsidR="00A33C9A" w:rsidRPr="00A74192" w:rsidTr="006C3DC1">
        <w:tc>
          <w:tcPr>
            <w:tcW w:w="1007" w:type="pct"/>
          </w:tcPr>
          <w:p w:rsidR="00A33C9A" w:rsidRPr="00790C15" w:rsidRDefault="00790C15" w:rsidP="00790C15">
            <w:pPr>
              <w:spacing w:line="240" w:lineRule="auto"/>
              <w:rPr>
                <w:rFonts w:cs="Arial"/>
                <w:sz w:val="16"/>
                <w:szCs w:val="16"/>
                <w:lang w:val="en-GB"/>
              </w:rPr>
            </w:pPr>
            <w:r w:rsidRPr="00790C15">
              <w:rPr>
                <w:rFonts w:cs="Arial"/>
                <w:sz w:val="16"/>
                <w:szCs w:val="16"/>
                <w:lang w:val="en-GB"/>
              </w:rPr>
              <w:t xml:space="preserve">Wages and salaries markedly grew in both nominal and real terms. </w:t>
            </w:r>
          </w:p>
        </w:tc>
        <w:tc>
          <w:tcPr>
            <w:tcW w:w="144" w:type="pct"/>
          </w:tcPr>
          <w:p w:rsidR="00A33C9A" w:rsidRPr="005E2AB2" w:rsidRDefault="00A33C9A" w:rsidP="006E4368">
            <w:pPr>
              <w:pStyle w:val="Textpoznpodarou"/>
              <w:rPr>
                <w:rFonts w:cs="Arial"/>
              </w:rPr>
            </w:pPr>
          </w:p>
        </w:tc>
        <w:tc>
          <w:tcPr>
            <w:tcW w:w="3849" w:type="pct"/>
            <w:gridSpan w:val="3"/>
          </w:tcPr>
          <w:p w:rsidR="00A33C9A" w:rsidRPr="00A03B8A" w:rsidRDefault="00A03B8A" w:rsidP="006E4368">
            <w:pPr>
              <w:pStyle w:val="Textpoznpodarou"/>
              <w:jc w:val="both"/>
              <w:rPr>
                <w:rFonts w:cs="Arial"/>
                <w:sz w:val="16"/>
                <w:szCs w:val="16"/>
                <w:lang w:val="en-GB"/>
              </w:rPr>
            </w:pPr>
            <w:r w:rsidRPr="00A03B8A">
              <w:rPr>
                <w:rFonts w:cs="Arial"/>
                <w:lang w:val="en-GB"/>
              </w:rPr>
              <w:t xml:space="preserve">The mentioned growth of wages </w:t>
            </w:r>
            <w:r w:rsidR="004C77A8">
              <w:rPr>
                <w:rFonts w:cs="Arial"/>
                <w:lang w:val="en-GB"/>
              </w:rPr>
              <w:t xml:space="preserve">was </w:t>
            </w:r>
            <w:r w:rsidRPr="00A03B8A">
              <w:rPr>
                <w:rFonts w:cs="Arial"/>
                <w:lang w:val="en-GB"/>
              </w:rPr>
              <w:t xml:space="preserve">really exceptional. Nominal increase of the volume of paid out salaries and wages achieved 7.9% in </w:t>
            </w:r>
            <w:r w:rsidR="00A33C9A" w:rsidRPr="00A03B8A">
              <w:rPr>
                <w:rFonts w:cs="Arial"/>
                <w:lang w:val="en-GB"/>
              </w:rPr>
              <w:t>2017</w:t>
            </w:r>
            <w:r w:rsidRPr="00A03B8A">
              <w:rPr>
                <w:rFonts w:cs="Arial"/>
                <w:lang w:val="en-GB"/>
              </w:rPr>
              <w:t xml:space="preserve">, the most since year </w:t>
            </w:r>
            <w:r w:rsidR="00A33C9A" w:rsidRPr="00A03B8A">
              <w:rPr>
                <w:rFonts w:cs="Arial"/>
                <w:lang w:val="en-GB"/>
              </w:rPr>
              <w:t xml:space="preserve">2007. </w:t>
            </w:r>
            <w:r w:rsidR="00AC2CE1">
              <w:rPr>
                <w:rFonts w:cs="Arial"/>
                <w:lang w:val="en-GB"/>
              </w:rPr>
              <w:t xml:space="preserve">Rising inflation led to the increase in the difference between the real and </w:t>
            </w:r>
            <w:r w:rsidR="00AC2CE1">
              <w:rPr>
                <w:rFonts w:cs="Arial"/>
                <w:lang w:val="en-GB"/>
              </w:rPr>
              <w:lastRenderedPageBreak/>
              <w:t xml:space="preserve">nominal growth of salaries and wages compared to years </w:t>
            </w:r>
            <w:r w:rsidR="00A33C9A" w:rsidRPr="00A03B8A">
              <w:rPr>
                <w:rFonts w:cs="Arial"/>
                <w:lang w:val="en-GB"/>
              </w:rPr>
              <w:t>2013–2016</w:t>
            </w:r>
            <w:r w:rsidR="00E46E03" w:rsidRPr="00A03B8A">
              <w:rPr>
                <w:rFonts w:cs="Arial"/>
                <w:lang w:val="en-GB"/>
              </w:rPr>
              <w:t>.</w:t>
            </w:r>
            <w:r w:rsidR="00A33C9A" w:rsidRPr="00A03B8A">
              <w:rPr>
                <w:rFonts w:cs="Arial"/>
                <w:lang w:val="en-GB"/>
              </w:rPr>
              <w:t xml:space="preserve"> </w:t>
            </w:r>
            <w:r w:rsidR="00AC2CE1">
              <w:rPr>
                <w:rFonts w:cs="Arial"/>
                <w:lang w:val="en-GB"/>
              </w:rPr>
              <w:t xml:space="preserve">In real terms, there </w:t>
            </w:r>
            <w:proofErr w:type="gramStart"/>
            <w:r w:rsidR="00AC2CE1">
              <w:rPr>
                <w:rFonts w:cs="Arial"/>
                <w:lang w:val="en-GB"/>
              </w:rPr>
              <w:t>was by 5.3%</w:t>
            </w:r>
            <w:r w:rsidR="00AC2CE1" w:rsidRPr="00A03B8A">
              <w:rPr>
                <w:rStyle w:val="Znakapoznpodarou"/>
                <w:spacing w:val="-2"/>
                <w:lang w:val="en-GB"/>
              </w:rPr>
              <w:footnoteReference w:id="5"/>
            </w:r>
            <w:r w:rsidR="00AC2CE1">
              <w:rPr>
                <w:rFonts w:cs="Arial"/>
                <w:lang w:val="en-GB"/>
              </w:rPr>
              <w:t xml:space="preserve"> of paid out wage resources</w:t>
            </w:r>
            <w:proofErr w:type="gramEnd"/>
            <w:r w:rsidR="00AC2CE1">
              <w:rPr>
                <w:rFonts w:cs="Arial"/>
                <w:lang w:val="en-GB"/>
              </w:rPr>
              <w:t xml:space="preserve"> more last year. The pace of the volume of paid out salaries and wages was accelerating during the year and it reached </w:t>
            </w:r>
            <w:r w:rsidR="00A33C9A" w:rsidRPr="00A03B8A">
              <w:rPr>
                <w:rFonts w:cs="Arial"/>
                <w:lang w:val="en-GB"/>
              </w:rPr>
              <w:t>8</w:t>
            </w:r>
            <w:r w:rsidR="00AC2CE1">
              <w:rPr>
                <w:rFonts w:cs="Arial"/>
                <w:lang w:val="en-GB"/>
              </w:rPr>
              <w:t>.</w:t>
            </w:r>
            <w:r w:rsidR="00A33C9A" w:rsidRPr="00A03B8A">
              <w:rPr>
                <w:rFonts w:cs="Arial"/>
                <w:lang w:val="en-GB"/>
              </w:rPr>
              <w:t>4%</w:t>
            </w:r>
            <w:r w:rsidR="00AC2CE1">
              <w:rPr>
                <w:rFonts w:cs="Arial"/>
                <w:lang w:val="en-GB"/>
              </w:rPr>
              <w:t xml:space="preserve"> in Q4</w:t>
            </w:r>
            <w:r w:rsidR="00A33C9A" w:rsidRPr="00A03B8A">
              <w:rPr>
                <w:rFonts w:cs="Arial"/>
                <w:lang w:val="en-GB"/>
              </w:rPr>
              <w:t xml:space="preserve"> (</w:t>
            </w:r>
            <w:r w:rsidR="00AC2CE1">
              <w:rPr>
                <w:rFonts w:cs="Arial"/>
                <w:lang w:val="en-GB"/>
              </w:rPr>
              <w:t>the most since Q</w:t>
            </w:r>
            <w:r w:rsidR="00A33C9A" w:rsidRPr="00A03B8A">
              <w:rPr>
                <w:rFonts w:cs="Arial"/>
                <w:lang w:val="en-GB"/>
              </w:rPr>
              <w:t>2</w:t>
            </w:r>
            <w:r w:rsidR="00AC2CE1">
              <w:rPr>
                <w:rFonts w:cs="Arial"/>
                <w:lang w:val="en-GB"/>
              </w:rPr>
              <w:t xml:space="preserve"> </w:t>
            </w:r>
            <w:r w:rsidR="00A33C9A" w:rsidRPr="00A03B8A">
              <w:rPr>
                <w:rFonts w:cs="Arial"/>
                <w:lang w:val="en-GB"/>
              </w:rPr>
              <w:t>2008).</w:t>
            </w:r>
            <w:r w:rsidR="00AC2CE1">
              <w:rPr>
                <w:rFonts w:cs="Arial"/>
                <w:lang w:val="en-GB"/>
              </w:rPr>
              <w:t xml:space="preserve"> Growth of total employment (persons) also mildly increased last year and arrived at 1.</w:t>
            </w:r>
            <w:r w:rsidR="00A33C9A" w:rsidRPr="00A03B8A">
              <w:rPr>
                <w:rFonts w:cs="Arial"/>
                <w:lang w:val="en-GB"/>
              </w:rPr>
              <w:t>6%</w:t>
            </w:r>
            <w:r w:rsidR="00A33C9A" w:rsidRPr="00A03B8A">
              <w:rPr>
                <w:rStyle w:val="Znakapoznpodarou"/>
                <w:spacing w:val="-2"/>
                <w:lang w:val="en-GB"/>
              </w:rPr>
              <w:footnoteReference w:id="6"/>
            </w:r>
            <w:r w:rsidR="00A33C9A" w:rsidRPr="00A03B8A">
              <w:rPr>
                <w:rFonts w:cs="Arial"/>
                <w:lang w:val="en-GB"/>
              </w:rPr>
              <w:t xml:space="preserve">. </w:t>
            </w:r>
            <w:r w:rsidR="00AC2CE1">
              <w:rPr>
                <w:rFonts w:cs="Arial"/>
                <w:lang w:val="en-GB"/>
              </w:rPr>
              <w:t xml:space="preserve">Total employment gauged by the number of hours worked grew faster </w:t>
            </w:r>
            <w:r w:rsidR="00A33C9A" w:rsidRPr="00A03B8A">
              <w:rPr>
                <w:rFonts w:cs="Arial"/>
                <w:lang w:val="en-GB"/>
              </w:rPr>
              <w:t>(1</w:t>
            </w:r>
            <w:r w:rsidR="00AC2CE1">
              <w:rPr>
                <w:rFonts w:cs="Arial"/>
                <w:lang w:val="en-GB"/>
              </w:rPr>
              <w:t>.</w:t>
            </w:r>
            <w:r w:rsidR="00A33C9A" w:rsidRPr="00A03B8A">
              <w:rPr>
                <w:rFonts w:cs="Arial"/>
                <w:lang w:val="en-GB"/>
              </w:rPr>
              <w:t>9%).</w:t>
            </w:r>
          </w:p>
          <w:p w:rsidR="00A33C9A" w:rsidRPr="00DC475F" w:rsidRDefault="00A33C9A" w:rsidP="006E4368">
            <w:pPr>
              <w:pStyle w:val="Textpoznpodarou"/>
              <w:jc w:val="both"/>
              <w:rPr>
                <w:sz w:val="16"/>
                <w:highlight w:val="yellow"/>
              </w:rPr>
            </w:pPr>
          </w:p>
        </w:tc>
      </w:tr>
      <w:tr w:rsidR="00A33C9A" w:rsidRPr="00A74192" w:rsidTr="006C3DC1">
        <w:tc>
          <w:tcPr>
            <w:tcW w:w="1007" w:type="pct"/>
          </w:tcPr>
          <w:p w:rsidR="00A33C9A" w:rsidRPr="00A03B8A" w:rsidRDefault="00DF2078" w:rsidP="00AC2CE1">
            <w:pPr>
              <w:spacing w:line="240" w:lineRule="auto"/>
              <w:rPr>
                <w:rFonts w:cs="Arial"/>
                <w:sz w:val="16"/>
                <w:szCs w:val="16"/>
                <w:lang w:val="en-GB"/>
              </w:rPr>
            </w:pPr>
            <w:r w:rsidRPr="00A03B8A">
              <w:rPr>
                <w:rFonts w:cs="Arial"/>
                <w:sz w:val="16"/>
                <w:szCs w:val="16"/>
                <w:lang w:val="en-GB"/>
              </w:rPr>
              <w:lastRenderedPageBreak/>
              <w:t>Wages grew in all</w:t>
            </w:r>
            <w:r w:rsidR="00D56D85">
              <w:rPr>
                <w:rFonts w:cs="Arial"/>
                <w:sz w:val="16"/>
                <w:szCs w:val="16"/>
                <w:lang w:val="en-GB"/>
              </w:rPr>
              <w:t xml:space="preserve"> branches. </w:t>
            </w:r>
            <w:r w:rsidR="00AC2CE1">
              <w:rPr>
                <w:rFonts w:cs="Arial"/>
                <w:sz w:val="16"/>
                <w:szCs w:val="16"/>
                <w:lang w:val="en-GB"/>
              </w:rPr>
              <w:t xml:space="preserve">It was accompanied by growth of total employment as well. </w:t>
            </w:r>
          </w:p>
        </w:tc>
        <w:tc>
          <w:tcPr>
            <w:tcW w:w="144" w:type="pct"/>
          </w:tcPr>
          <w:p w:rsidR="00A33C9A" w:rsidRPr="00A03B8A" w:rsidRDefault="00A33C9A" w:rsidP="006E4368">
            <w:pPr>
              <w:pStyle w:val="Textpoznpodarou"/>
              <w:rPr>
                <w:rFonts w:cs="Arial"/>
                <w:lang w:val="en-GB"/>
              </w:rPr>
            </w:pPr>
          </w:p>
        </w:tc>
        <w:tc>
          <w:tcPr>
            <w:tcW w:w="3849" w:type="pct"/>
            <w:gridSpan w:val="3"/>
          </w:tcPr>
          <w:p w:rsidR="00A33C9A" w:rsidRPr="00A03B8A" w:rsidRDefault="00B93530" w:rsidP="006E4368">
            <w:pPr>
              <w:pStyle w:val="Textpoznpodarou"/>
              <w:jc w:val="both"/>
              <w:rPr>
                <w:rFonts w:cs="Arial"/>
                <w:sz w:val="16"/>
                <w:szCs w:val="16"/>
                <w:lang w:val="en-GB"/>
              </w:rPr>
            </w:pPr>
            <w:r w:rsidRPr="00A03B8A">
              <w:rPr>
                <w:rFonts w:cs="Arial"/>
                <w:lang w:val="en-GB"/>
              </w:rPr>
              <w:t>Manufacturing, which employs the highest number of workers, drove the total growth of wages and salaries in the last year. The volume of paid out wage resources increased by 8.6% here, while the employment did not increase much in this</w:t>
            </w:r>
            <w:r w:rsidR="00AA6FA8">
              <w:rPr>
                <w:rFonts w:cs="Arial"/>
                <w:lang w:val="en-GB"/>
              </w:rPr>
              <w:t xml:space="preserve"> branch </w:t>
            </w:r>
            <w:r w:rsidRPr="00A03B8A">
              <w:rPr>
                <w:rFonts w:cs="Arial"/>
                <w:lang w:val="en-GB"/>
              </w:rPr>
              <w:t>(0.6%)</w:t>
            </w:r>
            <w:r w:rsidR="00A33C9A" w:rsidRPr="00A03B8A">
              <w:rPr>
                <w:rFonts w:cs="Arial"/>
                <w:lang w:val="en-GB"/>
              </w:rPr>
              <w:t xml:space="preserve">. </w:t>
            </w:r>
            <w:r w:rsidR="00AA6FA8">
              <w:rPr>
                <w:rFonts w:cs="Arial"/>
                <w:lang w:val="en-GB"/>
              </w:rPr>
              <w:t xml:space="preserve">Trade, transportation, accommodation and restaurants </w:t>
            </w:r>
            <w:proofErr w:type="gramStart"/>
            <w:r w:rsidR="00AA6FA8">
              <w:rPr>
                <w:rFonts w:cs="Arial"/>
                <w:lang w:val="en-GB"/>
              </w:rPr>
              <w:t>is</w:t>
            </w:r>
            <w:proofErr w:type="gramEnd"/>
            <w:r w:rsidR="00AA6FA8">
              <w:rPr>
                <w:rFonts w:cs="Arial"/>
                <w:lang w:val="en-GB"/>
              </w:rPr>
              <w:t xml:space="preserve"> on the second place, the volume of wages rose by </w:t>
            </w:r>
            <w:r w:rsidR="00A33C9A" w:rsidRPr="00A03B8A">
              <w:rPr>
                <w:rFonts w:cs="Arial"/>
                <w:lang w:val="en-GB"/>
              </w:rPr>
              <w:t>8</w:t>
            </w:r>
            <w:r w:rsidR="00AA6FA8">
              <w:rPr>
                <w:rFonts w:cs="Arial"/>
                <w:lang w:val="en-GB"/>
              </w:rPr>
              <w:t>.</w:t>
            </w:r>
            <w:r w:rsidR="00A33C9A" w:rsidRPr="00A03B8A">
              <w:rPr>
                <w:rFonts w:cs="Arial"/>
                <w:lang w:val="en-GB"/>
              </w:rPr>
              <w:t xml:space="preserve">3%. </w:t>
            </w:r>
            <w:r w:rsidR="00FB1BC4">
              <w:rPr>
                <w:rFonts w:cs="Arial"/>
                <w:lang w:val="en-GB"/>
              </w:rPr>
              <w:t xml:space="preserve">At the same time the employment increased here by </w:t>
            </w:r>
            <w:r w:rsidR="00A33C9A" w:rsidRPr="00A03B8A">
              <w:rPr>
                <w:rFonts w:cs="Arial"/>
                <w:lang w:val="en-GB"/>
              </w:rPr>
              <w:t>2</w:t>
            </w:r>
            <w:r w:rsidR="00FB1BC4">
              <w:rPr>
                <w:rFonts w:cs="Arial"/>
                <w:lang w:val="en-GB"/>
              </w:rPr>
              <w:t>.</w:t>
            </w:r>
            <w:r w:rsidR="00A33C9A" w:rsidRPr="00A03B8A">
              <w:rPr>
                <w:rFonts w:cs="Arial"/>
                <w:lang w:val="en-GB"/>
              </w:rPr>
              <w:t xml:space="preserve">4%. </w:t>
            </w:r>
            <w:r w:rsidR="00BA1EC9">
              <w:rPr>
                <w:rFonts w:cs="Arial"/>
                <w:lang w:val="en-GB"/>
              </w:rPr>
              <w:t xml:space="preserve">Salaries and wages in the branches with the predominance of the public sector rose by </w:t>
            </w:r>
            <w:r w:rsidR="00F76309">
              <w:rPr>
                <w:rFonts w:cs="Arial"/>
                <w:lang w:val="en-GB"/>
              </w:rPr>
              <w:t>8.</w:t>
            </w:r>
            <w:r w:rsidR="00A33C9A" w:rsidRPr="00A03B8A">
              <w:rPr>
                <w:rFonts w:cs="Arial"/>
                <w:lang w:val="en-GB"/>
              </w:rPr>
              <w:t xml:space="preserve">5%. </w:t>
            </w:r>
            <w:r w:rsidR="00F76309">
              <w:rPr>
                <w:rFonts w:cs="Arial"/>
                <w:lang w:val="en-GB"/>
              </w:rPr>
              <w:t xml:space="preserve">Information and communication achieved the highest growth of the volume of earnings </w:t>
            </w:r>
            <w:r w:rsidR="00A33C9A" w:rsidRPr="00A03B8A">
              <w:rPr>
                <w:rFonts w:cs="Arial"/>
                <w:lang w:val="en-GB"/>
              </w:rPr>
              <w:t>(9</w:t>
            </w:r>
            <w:r w:rsidR="00F76309">
              <w:rPr>
                <w:rFonts w:cs="Arial"/>
                <w:lang w:val="en-GB"/>
              </w:rPr>
              <w:t>.</w:t>
            </w:r>
            <w:r w:rsidR="00A33C9A" w:rsidRPr="00A03B8A">
              <w:rPr>
                <w:rFonts w:cs="Arial"/>
                <w:lang w:val="en-GB"/>
              </w:rPr>
              <w:t>1</w:t>
            </w:r>
            <w:r w:rsidR="00B4795A" w:rsidRPr="00A03B8A">
              <w:rPr>
                <w:rFonts w:cs="Arial"/>
                <w:lang w:val="en-GB"/>
              </w:rPr>
              <w:t>%</w:t>
            </w:r>
            <w:r w:rsidR="00A33C9A" w:rsidRPr="00A03B8A">
              <w:rPr>
                <w:rFonts w:cs="Arial"/>
                <w:lang w:val="en-GB"/>
              </w:rPr>
              <w:t xml:space="preserve"> </w:t>
            </w:r>
            <w:r w:rsidR="00F76309">
              <w:rPr>
                <w:rFonts w:cs="Arial"/>
                <w:lang w:val="en-GB"/>
              </w:rPr>
              <w:t xml:space="preserve">given the </w:t>
            </w:r>
            <w:r w:rsidR="00A33C9A" w:rsidRPr="00A03B8A">
              <w:rPr>
                <w:rFonts w:cs="Arial"/>
                <w:lang w:val="en-GB"/>
              </w:rPr>
              <w:t>3</w:t>
            </w:r>
            <w:r w:rsidR="00F76309">
              <w:rPr>
                <w:rFonts w:cs="Arial"/>
                <w:lang w:val="en-GB"/>
              </w:rPr>
              <w:t>.</w:t>
            </w:r>
            <w:r w:rsidR="00A33C9A" w:rsidRPr="00A03B8A">
              <w:rPr>
                <w:rFonts w:cs="Arial"/>
                <w:lang w:val="en-GB"/>
              </w:rPr>
              <w:t xml:space="preserve">8% </w:t>
            </w:r>
            <w:r w:rsidR="00F76309">
              <w:rPr>
                <w:rFonts w:cs="Arial"/>
                <w:lang w:val="en-GB"/>
              </w:rPr>
              <w:t>growth of employment</w:t>
            </w:r>
            <w:r w:rsidR="00A33C9A" w:rsidRPr="00A03B8A">
              <w:rPr>
                <w:rFonts w:cs="Arial"/>
                <w:lang w:val="en-GB"/>
              </w:rPr>
              <w:t>).</w:t>
            </w:r>
            <w:r w:rsidR="00F76309">
              <w:rPr>
                <w:rFonts w:cs="Arial"/>
                <w:lang w:val="en-GB"/>
              </w:rPr>
              <w:t xml:space="preserve"> Professional, scientific, technical and administrative activities experienced the same growth of employment, but lower volume of the </w:t>
            </w:r>
            <w:r w:rsidR="00654E14">
              <w:rPr>
                <w:rFonts w:cs="Arial"/>
                <w:lang w:val="en-GB"/>
              </w:rPr>
              <w:t>paid-out</w:t>
            </w:r>
            <w:r w:rsidR="00F76309">
              <w:rPr>
                <w:rFonts w:cs="Arial"/>
                <w:lang w:val="en-GB"/>
              </w:rPr>
              <w:t xml:space="preserve"> wages </w:t>
            </w:r>
            <w:r w:rsidR="00A33C9A" w:rsidRPr="00A03B8A">
              <w:rPr>
                <w:rFonts w:cs="Arial"/>
                <w:lang w:val="en-GB"/>
              </w:rPr>
              <w:t>(7</w:t>
            </w:r>
            <w:r w:rsidR="00F76309">
              <w:rPr>
                <w:rFonts w:cs="Arial"/>
                <w:lang w:val="en-GB"/>
              </w:rPr>
              <w:t>.</w:t>
            </w:r>
            <w:r w:rsidR="00A33C9A" w:rsidRPr="00A03B8A">
              <w:rPr>
                <w:rFonts w:cs="Arial"/>
                <w:lang w:val="en-GB"/>
              </w:rPr>
              <w:t xml:space="preserve">9%). </w:t>
            </w:r>
            <w:r w:rsidR="007D7936">
              <w:rPr>
                <w:rFonts w:cs="Arial"/>
                <w:lang w:val="en-GB"/>
              </w:rPr>
              <w:t xml:space="preserve">Construction </w:t>
            </w:r>
            <w:r w:rsidR="00A33C9A" w:rsidRPr="00A03B8A">
              <w:rPr>
                <w:rFonts w:cs="Arial"/>
                <w:lang w:val="en-GB"/>
              </w:rPr>
              <w:t>(3</w:t>
            </w:r>
            <w:r w:rsidR="007D7936">
              <w:rPr>
                <w:rFonts w:cs="Arial"/>
                <w:lang w:val="en-GB"/>
              </w:rPr>
              <w:t>.</w:t>
            </w:r>
            <w:r w:rsidR="00A33C9A" w:rsidRPr="00A03B8A">
              <w:rPr>
                <w:rFonts w:cs="Arial"/>
                <w:lang w:val="en-GB"/>
              </w:rPr>
              <w:t>6%) a</w:t>
            </w:r>
            <w:r w:rsidR="007D7936">
              <w:rPr>
                <w:rFonts w:cs="Arial"/>
                <w:lang w:val="en-GB"/>
              </w:rPr>
              <w:t xml:space="preserve">nd financial and insurance activities </w:t>
            </w:r>
            <w:r w:rsidR="00A33C9A" w:rsidRPr="00A03B8A">
              <w:rPr>
                <w:rFonts w:cs="Arial"/>
                <w:lang w:val="en-GB"/>
              </w:rPr>
              <w:t>(4</w:t>
            </w:r>
            <w:r w:rsidR="007D7936">
              <w:rPr>
                <w:rFonts w:cs="Arial"/>
                <w:lang w:val="en-GB"/>
              </w:rPr>
              <w:t>.</w:t>
            </w:r>
            <w:r w:rsidR="00A33C9A" w:rsidRPr="00A03B8A">
              <w:rPr>
                <w:rFonts w:cs="Arial"/>
                <w:lang w:val="en-GB"/>
              </w:rPr>
              <w:t xml:space="preserve">5%, </w:t>
            </w:r>
            <w:r w:rsidR="007D7936">
              <w:rPr>
                <w:rFonts w:cs="Arial"/>
                <w:lang w:val="en-GB"/>
              </w:rPr>
              <w:t xml:space="preserve">the only branch with the reduction of employment of </w:t>
            </w:r>
            <w:r w:rsidR="00A33C9A" w:rsidRPr="00A03B8A">
              <w:rPr>
                <w:rFonts w:cs="Arial"/>
                <w:lang w:val="en-GB"/>
              </w:rPr>
              <w:t>1</w:t>
            </w:r>
            <w:r w:rsidR="007D7936">
              <w:rPr>
                <w:rFonts w:cs="Arial"/>
                <w:lang w:val="en-GB"/>
              </w:rPr>
              <w:t>.</w:t>
            </w:r>
            <w:r w:rsidR="00A33C9A" w:rsidRPr="00A03B8A">
              <w:rPr>
                <w:rFonts w:cs="Arial"/>
                <w:lang w:val="en-GB"/>
              </w:rPr>
              <w:t>0%)</w:t>
            </w:r>
            <w:r w:rsidR="007D7936">
              <w:rPr>
                <w:rFonts w:cs="Arial"/>
                <w:lang w:val="en-GB"/>
              </w:rPr>
              <w:t xml:space="preserve"> attained the lowest growth of the </w:t>
            </w:r>
            <w:r w:rsidR="00654E14">
              <w:rPr>
                <w:rFonts w:cs="Arial"/>
                <w:lang w:val="en-GB"/>
              </w:rPr>
              <w:t>paid-out</w:t>
            </w:r>
            <w:r w:rsidR="007D7936">
              <w:rPr>
                <w:rFonts w:cs="Arial"/>
                <w:lang w:val="en-GB"/>
              </w:rPr>
              <w:t xml:space="preserve"> wages.</w:t>
            </w:r>
          </w:p>
          <w:p w:rsidR="00A33C9A" w:rsidRPr="00A03B8A" w:rsidRDefault="00A33C9A" w:rsidP="006E4368">
            <w:pPr>
              <w:pStyle w:val="Textpoznpodarou"/>
              <w:jc w:val="both"/>
              <w:rPr>
                <w:rFonts w:cs="Arial"/>
                <w:sz w:val="16"/>
                <w:szCs w:val="16"/>
                <w:lang w:val="en-GB"/>
              </w:rPr>
            </w:pPr>
          </w:p>
        </w:tc>
      </w:tr>
      <w:tr w:rsidR="00A33C9A" w:rsidRPr="00A74192" w:rsidTr="006C3DC1">
        <w:tc>
          <w:tcPr>
            <w:tcW w:w="1007" w:type="pct"/>
          </w:tcPr>
          <w:p w:rsidR="00A33C9A" w:rsidRPr="005E2AB2" w:rsidRDefault="00A33C9A" w:rsidP="006C3DC1">
            <w:pPr>
              <w:spacing w:line="240" w:lineRule="auto"/>
              <w:jc w:val="center"/>
              <w:rPr>
                <w:rFonts w:cs="Arial"/>
                <w:sz w:val="16"/>
                <w:szCs w:val="16"/>
              </w:rPr>
            </w:pPr>
          </w:p>
        </w:tc>
        <w:tc>
          <w:tcPr>
            <w:tcW w:w="144" w:type="pct"/>
          </w:tcPr>
          <w:p w:rsidR="00A33C9A" w:rsidRPr="005E2AB2" w:rsidRDefault="00A33C9A" w:rsidP="006C3DC1">
            <w:pPr>
              <w:pStyle w:val="Textpoznpodarou"/>
              <w:jc w:val="both"/>
              <w:rPr>
                <w:rFonts w:cs="Arial"/>
              </w:rPr>
            </w:pPr>
          </w:p>
        </w:tc>
        <w:tc>
          <w:tcPr>
            <w:tcW w:w="575" w:type="pct"/>
          </w:tcPr>
          <w:p w:rsidR="00A33C9A" w:rsidRPr="005E2AB2" w:rsidRDefault="008810BB" w:rsidP="008810BB">
            <w:pPr>
              <w:pStyle w:val="Textpoznpodarou"/>
              <w:rPr>
                <w:rFonts w:cs="Arial"/>
                <w:lang w:eastAsia="en-US"/>
              </w:rPr>
            </w:pPr>
            <w:r>
              <w:rPr>
                <w:rFonts w:cs="Arial"/>
                <w:lang w:eastAsia="en-US"/>
              </w:rPr>
              <w:t xml:space="preserve">Chart </w:t>
            </w:r>
            <w:r w:rsidR="00A33C9A" w:rsidRPr="005E2AB2">
              <w:rPr>
                <w:rFonts w:cs="Arial"/>
                <w:lang w:eastAsia="en-US"/>
              </w:rPr>
              <w:t>3</w:t>
            </w:r>
          </w:p>
        </w:tc>
        <w:tc>
          <w:tcPr>
            <w:tcW w:w="3274" w:type="pct"/>
            <w:gridSpan w:val="2"/>
          </w:tcPr>
          <w:p w:rsidR="002A7A78" w:rsidRDefault="00AC0725" w:rsidP="00AC0725">
            <w:pPr>
              <w:pStyle w:val="Textpoznpodarou"/>
              <w:rPr>
                <w:rFonts w:cs="Arial"/>
                <w:lang w:val="en-GB" w:eastAsia="en-US"/>
              </w:rPr>
            </w:pPr>
            <w:r w:rsidRPr="00AC0725">
              <w:rPr>
                <w:rFonts w:cs="Arial"/>
                <w:b/>
                <w:lang w:val="en-GB" w:eastAsia="en-US"/>
              </w:rPr>
              <w:t>Contributions of expenditure items to real GDP change</w:t>
            </w:r>
            <w:r w:rsidR="00A33C9A" w:rsidRPr="00AC0725">
              <w:rPr>
                <w:rFonts w:cs="Arial"/>
                <w:b/>
                <w:lang w:val="en-GB" w:eastAsia="en-US"/>
              </w:rPr>
              <w:t>*</w:t>
            </w:r>
            <w:r w:rsidR="00A33C9A" w:rsidRPr="00AC0725">
              <w:rPr>
                <w:rFonts w:cs="Arial"/>
                <w:lang w:val="en-GB" w:eastAsia="en-US"/>
              </w:rPr>
              <w:t xml:space="preserve"> </w:t>
            </w:r>
          </w:p>
          <w:p w:rsidR="00A33C9A" w:rsidRPr="00AC0725" w:rsidRDefault="00A33C9A" w:rsidP="00AC0725">
            <w:pPr>
              <w:pStyle w:val="Textpoznpodarou"/>
              <w:rPr>
                <w:rFonts w:cs="Arial"/>
                <w:lang w:val="en-GB" w:eastAsia="en-US"/>
              </w:rPr>
            </w:pPr>
            <w:r w:rsidRPr="00AC0725">
              <w:rPr>
                <w:rFonts w:cs="Arial"/>
                <w:lang w:val="en-GB" w:eastAsia="en-US"/>
              </w:rPr>
              <w:t>(</w:t>
            </w:r>
            <w:proofErr w:type="gramStart"/>
            <w:r w:rsidR="00AC0725" w:rsidRPr="00AC0725">
              <w:rPr>
                <w:rFonts w:cs="Arial"/>
                <w:lang w:val="en-GB" w:eastAsia="en-US"/>
              </w:rPr>
              <w:t>volume</w:t>
            </w:r>
            <w:proofErr w:type="gramEnd"/>
            <w:r w:rsidR="00AC0725" w:rsidRPr="00AC0725">
              <w:rPr>
                <w:rFonts w:cs="Arial"/>
                <w:lang w:val="en-GB" w:eastAsia="en-US"/>
              </w:rPr>
              <w:t xml:space="preserve"> indices</w:t>
            </w:r>
            <w:r w:rsidRPr="00AC0725">
              <w:rPr>
                <w:rFonts w:cs="Arial"/>
                <w:lang w:val="en-GB" w:eastAsia="en-US"/>
              </w:rPr>
              <w:t xml:space="preserve">, </w:t>
            </w:r>
            <w:r w:rsidR="00AC0725" w:rsidRPr="00AC0725">
              <w:rPr>
                <w:rFonts w:cs="Arial"/>
                <w:lang w:val="en-GB" w:eastAsia="en-US"/>
              </w:rPr>
              <w:t>year-on-year growth</w:t>
            </w:r>
            <w:r w:rsidRPr="00AC0725">
              <w:rPr>
                <w:rFonts w:cs="Arial"/>
                <w:lang w:val="en-GB" w:eastAsia="en-US"/>
              </w:rPr>
              <w:t xml:space="preserve">, </w:t>
            </w:r>
            <w:r w:rsidR="00AC0725" w:rsidRPr="00AC0725">
              <w:rPr>
                <w:rFonts w:cs="Arial"/>
                <w:lang w:val="en-GB" w:eastAsia="en-US"/>
              </w:rPr>
              <w:t xml:space="preserve">contributions in </w:t>
            </w:r>
            <w:r w:rsidR="0030607B">
              <w:rPr>
                <w:rFonts w:cs="Arial"/>
                <w:lang w:val="en-GB" w:eastAsia="en-US"/>
              </w:rPr>
              <w:t>p.p.</w:t>
            </w:r>
            <w:r w:rsidRPr="00AC0725">
              <w:rPr>
                <w:rFonts w:cs="Arial"/>
                <w:lang w:val="en-GB" w:eastAsia="en-US"/>
              </w:rPr>
              <w:t xml:space="preserve">, </w:t>
            </w:r>
            <w:r w:rsidR="00AC0725" w:rsidRPr="00AC0725">
              <w:rPr>
                <w:rFonts w:cs="Arial"/>
                <w:lang w:val="en-GB" w:eastAsia="en-US"/>
              </w:rPr>
              <w:t xml:space="preserve">GDP in </w:t>
            </w:r>
            <w:r w:rsidRPr="00AC0725">
              <w:rPr>
                <w:rFonts w:cs="Arial"/>
                <w:lang w:val="en-GB" w:eastAsia="en-US"/>
              </w:rPr>
              <w:t>%)</w:t>
            </w:r>
          </w:p>
        </w:tc>
      </w:tr>
      <w:tr w:rsidR="00A33C9A" w:rsidRPr="00A74192" w:rsidTr="006C3DC1">
        <w:tc>
          <w:tcPr>
            <w:tcW w:w="1007" w:type="pct"/>
          </w:tcPr>
          <w:p w:rsidR="00A33C9A" w:rsidRPr="005E2AB2" w:rsidRDefault="00A33C9A" w:rsidP="006C3DC1">
            <w:pPr>
              <w:spacing w:line="240" w:lineRule="auto"/>
              <w:rPr>
                <w:rFonts w:cs="Arial"/>
                <w:sz w:val="16"/>
                <w:szCs w:val="16"/>
              </w:rPr>
            </w:pPr>
          </w:p>
        </w:tc>
        <w:tc>
          <w:tcPr>
            <w:tcW w:w="144" w:type="pct"/>
          </w:tcPr>
          <w:p w:rsidR="00A33C9A" w:rsidRPr="00A74192" w:rsidRDefault="00A33C9A" w:rsidP="006C3DC1">
            <w:pPr>
              <w:pStyle w:val="Textpoznpodarou"/>
              <w:jc w:val="both"/>
              <w:rPr>
                <w:rFonts w:cs="Arial"/>
              </w:rPr>
            </w:pPr>
          </w:p>
        </w:tc>
        <w:tc>
          <w:tcPr>
            <w:tcW w:w="3849" w:type="pct"/>
            <w:gridSpan w:val="3"/>
          </w:tcPr>
          <w:p w:rsidR="00A33C9A" w:rsidRPr="00E60FCE" w:rsidRDefault="00551A4F" w:rsidP="006C3DC1">
            <w:pPr>
              <w:pStyle w:val="Textpoznpodarou"/>
              <w:ind w:left="-95"/>
              <w:jc w:val="both"/>
              <w:rPr>
                <w:rFonts w:cs="Arial"/>
                <w:sz w:val="14"/>
                <w:szCs w:val="14"/>
                <w:highlight w:val="yellow"/>
              </w:rPr>
            </w:pPr>
            <w:r w:rsidRPr="00551A4F">
              <w:rPr>
                <w:rFonts w:cs="Arial"/>
                <w:noProof/>
                <w:sz w:val="14"/>
                <w:szCs w:val="14"/>
              </w:rPr>
              <w:drawing>
                <wp:inline distT="0" distB="0" distL="0" distR="0">
                  <wp:extent cx="4735902" cy="3373200"/>
                  <wp:effectExtent l="0" t="0" r="0" b="0"/>
                  <wp:docPr id="1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A33C9A" w:rsidRPr="00A74192" w:rsidTr="006C3DC1">
        <w:tc>
          <w:tcPr>
            <w:tcW w:w="1007" w:type="pct"/>
          </w:tcPr>
          <w:p w:rsidR="00A33C9A" w:rsidRPr="005E2AB2" w:rsidRDefault="00A33C9A" w:rsidP="006C3DC1">
            <w:pPr>
              <w:spacing w:line="240" w:lineRule="auto"/>
              <w:rPr>
                <w:rFonts w:cs="Arial"/>
                <w:sz w:val="16"/>
                <w:szCs w:val="16"/>
              </w:rPr>
            </w:pPr>
          </w:p>
        </w:tc>
        <w:tc>
          <w:tcPr>
            <w:tcW w:w="144" w:type="pct"/>
          </w:tcPr>
          <w:p w:rsidR="00A33C9A" w:rsidRPr="00A74192" w:rsidRDefault="00A33C9A" w:rsidP="006C3DC1">
            <w:pPr>
              <w:pStyle w:val="Textpoznpodarou"/>
              <w:jc w:val="both"/>
              <w:rPr>
                <w:rFonts w:cs="Arial"/>
              </w:rPr>
            </w:pPr>
          </w:p>
        </w:tc>
        <w:tc>
          <w:tcPr>
            <w:tcW w:w="3165" w:type="pct"/>
            <w:gridSpan w:val="2"/>
          </w:tcPr>
          <w:p w:rsidR="006F1553" w:rsidRPr="002133D5" w:rsidRDefault="00A33C9A" w:rsidP="0006638F">
            <w:pPr>
              <w:pStyle w:val="Textpoznpodarou"/>
              <w:jc w:val="both"/>
              <w:rPr>
                <w:rFonts w:cs="Arial"/>
                <w:sz w:val="14"/>
                <w:szCs w:val="14"/>
                <w:lang w:val="en-GB" w:eastAsia="en-US"/>
              </w:rPr>
            </w:pPr>
            <w:r w:rsidRPr="006F1553">
              <w:rPr>
                <w:rFonts w:cs="Arial"/>
                <w:sz w:val="14"/>
                <w:szCs w:val="14"/>
                <w:lang w:val="en-GB" w:eastAsia="en-US"/>
              </w:rPr>
              <w:t>*</w:t>
            </w:r>
            <w:r w:rsidR="0006638F" w:rsidRPr="006F1553">
              <w:rPr>
                <w:rFonts w:cs="Arial"/>
                <w:sz w:val="14"/>
                <w:szCs w:val="14"/>
                <w:lang w:val="en-GB" w:eastAsia="en-US"/>
              </w:rPr>
              <w:t xml:space="preserve"> Contributions to GDP change after exclusion of imports for final use.</w:t>
            </w:r>
          </w:p>
        </w:tc>
        <w:tc>
          <w:tcPr>
            <w:tcW w:w="684" w:type="pct"/>
          </w:tcPr>
          <w:p w:rsidR="0006638F" w:rsidRDefault="008810BB" w:rsidP="00551A4F">
            <w:pPr>
              <w:pStyle w:val="Textpoznpodarou"/>
              <w:jc w:val="right"/>
              <w:rPr>
                <w:rFonts w:cs="Arial"/>
                <w:sz w:val="14"/>
                <w:szCs w:val="14"/>
                <w:lang w:val="en-GB"/>
              </w:rPr>
            </w:pPr>
            <w:r w:rsidRPr="006F1553">
              <w:rPr>
                <w:rFonts w:cs="Arial"/>
                <w:sz w:val="14"/>
                <w:szCs w:val="14"/>
                <w:lang w:val="en-GB"/>
              </w:rPr>
              <w:t>Source</w:t>
            </w:r>
            <w:r w:rsidR="00A33C9A" w:rsidRPr="006F1553">
              <w:rPr>
                <w:rFonts w:cs="Arial"/>
                <w:sz w:val="14"/>
                <w:szCs w:val="14"/>
                <w:lang w:val="en-GB"/>
              </w:rPr>
              <w:t xml:space="preserve">: </w:t>
            </w:r>
            <w:r w:rsidRPr="006F1553">
              <w:rPr>
                <w:rFonts w:cs="Arial"/>
                <w:sz w:val="14"/>
                <w:szCs w:val="14"/>
                <w:lang w:val="en-GB"/>
              </w:rPr>
              <w:t>CZSO</w:t>
            </w:r>
          </w:p>
          <w:p w:rsidR="004570DE" w:rsidRPr="006F1553" w:rsidRDefault="004570DE" w:rsidP="00551A4F">
            <w:pPr>
              <w:pStyle w:val="Textpoznpodarou"/>
              <w:jc w:val="right"/>
              <w:rPr>
                <w:rFonts w:cs="Arial"/>
                <w:sz w:val="14"/>
                <w:szCs w:val="14"/>
                <w:lang w:val="en-GB"/>
              </w:rPr>
            </w:pPr>
          </w:p>
        </w:tc>
      </w:tr>
      <w:tr w:rsidR="00A33C9A" w:rsidRPr="00A74192" w:rsidTr="006C3DC1">
        <w:tc>
          <w:tcPr>
            <w:tcW w:w="1007" w:type="pct"/>
          </w:tcPr>
          <w:p w:rsidR="00A33C9A" w:rsidRPr="000D434D" w:rsidRDefault="00A33C9A" w:rsidP="006E4368">
            <w:pPr>
              <w:spacing w:line="240" w:lineRule="auto"/>
              <w:rPr>
                <w:rFonts w:cs="Arial"/>
                <w:sz w:val="16"/>
                <w:szCs w:val="16"/>
                <w:lang w:val="en-GB"/>
              </w:rPr>
            </w:pPr>
            <w:r w:rsidRPr="000D434D">
              <w:rPr>
                <w:rFonts w:cs="Arial"/>
                <w:sz w:val="16"/>
                <w:szCs w:val="16"/>
                <w:lang w:val="en-GB"/>
              </w:rPr>
              <w:t>Invest</w:t>
            </w:r>
            <w:r w:rsidR="000D434D" w:rsidRPr="000D434D">
              <w:rPr>
                <w:rFonts w:cs="Arial"/>
                <w:sz w:val="16"/>
                <w:szCs w:val="16"/>
                <w:lang w:val="en-GB"/>
              </w:rPr>
              <w:t>ment supported the acceleration of the year-on-year GDP growth in H2</w:t>
            </w:r>
            <w:r w:rsidRPr="000D434D">
              <w:rPr>
                <w:rFonts w:cs="Arial"/>
                <w:sz w:val="16"/>
                <w:szCs w:val="16"/>
                <w:lang w:val="en-GB"/>
              </w:rPr>
              <w:t xml:space="preserve">. </w:t>
            </w:r>
          </w:p>
          <w:p w:rsidR="00A33C9A" w:rsidRPr="000D434D" w:rsidRDefault="00A33C9A" w:rsidP="006E4368">
            <w:pPr>
              <w:spacing w:line="240" w:lineRule="auto"/>
              <w:rPr>
                <w:rFonts w:cs="Arial"/>
                <w:sz w:val="16"/>
                <w:szCs w:val="16"/>
                <w:lang w:val="en-GB"/>
              </w:rPr>
            </w:pPr>
          </w:p>
          <w:p w:rsidR="00A33C9A" w:rsidRPr="000D434D" w:rsidRDefault="00A33C9A" w:rsidP="006E4368">
            <w:pPr>
              <w:spacing w:line="240" w:lineRule="auto"/>
              <w:rPr>
                <w:rFonts w:cs="Arial"/>
                <w:sz w:val="16"/>
                <w:szCs w:val="16"/>
                <w:lang w:val="en-GB"/>
              </w:rPr>
            </w:pPr>
          </w:p>
          <w:p w:rsidR="00A33C9A" w:rsidRPr="000D434D" w:rsidRDefault="00A33C9A" w:rsidP="006E4368">
            <w:pPr>
              <w:spacing w:line="240" w:lineRule="auto"/>
              <w:rPr>
                <w:rFonts w:cs="Arial"/>
                <w:sz w:val="16"/>
                <w:szCs w:val="16"/>
                <w:lang w:val="en-GB"/>
              </w:rPr>
            </w:pPr>
          </w:p>
          <w:p w:rsidR="00A33C9A" w:rsidRPr="000D434D" w:rsidRDefault="00A33C9A" w:rsidP="006E4368">
            <w:pPr>
              <w:spacing w:line="240" w:lineRule="auto"/>
              <w:rPr>
                <w:rFonts w:cs="Arial"/>
                <w:sz w:val="16"/>
                <w:szCs w:val="16"/>
                <w:lang w:val="en-GB"/>
              </w:rPr>
            </w:pPr>
          </w:p>
          <w:p w:rsidR="00A33C9A" w:rsidRPr="000D434D" w:rsidRDefault="00A33C9A" w:rsidP="006E4368">
            <w:pPr>
              <w:spacing w:line="240" w:lineRule="auto"/>
              <w:rPr>
                <w:rFonts w:cs="Arial"/>
                <w:sz w:val="16"/>
                <w:szCs w:val="16"/>
                <w:lang w:val="en-GB"/>
              </w:rPr>
            </w:pPr>
          </w:p>
          <w:p w:rsidR="00A33C9A" w:rsidRPr="000D434D" w:rsidRDefault="00A33C9A" w:rsidP="006E4368">
            <w:pPr>
              <w:spacing w:line="240" w:lineRule="auto"/>
              <w:rPr>
                <w:rFonts w:cs="Arial"/>
                <w:sz w:val="16"/>
                <w:szCs w:val="16"/>
                <w:lang w:val="en-GB"/>
              </w:rPr>
            </w:pPr>
          </w:p>
          <w:p w:rsidR="00A33C9A" w:rsidRPr="000D434D" w:rsidRDefault="00A33C9A" w:rsidP="006E4368">
            <w:pPr>
              <w:spacing w:line="240" w:lineRule="auto"/>
              <w:rPr>
                <w:rFonts w:cs="Arial"/>
                <w:sz w:val="16"/>
                <w:szCs w:val="16"/>
                <w:lang w:val="en-GB"/>
              </w:rPr>
            </w:pPr>
          </w:p>
          <w:p w:rsidR="00A33C9A" w:rsidRPr="000D434D" w:rsidRDefault="00A33C9A" w:rsidP="006E4368">
            <w:pPr>
              <w:spacing w:line="240" w:lineRule="auto"/>
              <w:rPr>
                <w:rFonts w:cs="Arial"/>
                <w:sz w:val="16"/>
                <w:szCs w:val="16"/>
                <w:lang w:val="en-GB"/>
              </w:rPr>
            </w:pPr>
          </w:p>
          <w:p w:rsidR="00A33C9A" w:rsidRPr="000D434D" w:rsidRDefault="00A33C9A" w:rsidP="006E4368">
            <w:pPr>
              <w:spacing w:line="240" w:lineRule="auto"/>
              <w:rPr>
                <w:rFonts w:cs="Arial"/>
                <w:sz w:val="16"/>
                <w:szCs w:val="16"/>
                <w:lang w:val="en-GB"/>
              </w:rPr>
            </w:pPr>
          </w:p>
          <w:p w:rsidR="00A33C9A" w:rsidRPr="000D434D" w:rsidRDefault="00A33C9A" w:rsidP="006E4368">
            <w:pPr>
              <w:spacing w:line="240" w:lineRule="auto"/>
              <w:rPr>
                <w:rFonts w:cs="Arial"/>
                <w:sz w:val="16"/>
                <w:szCs w:val="16"/>
                <w:lang w:val="en-GB"/>
              </w:rPr>
            </w:pPr>
          </w:p>
          <w:p w:rsidR="00A33C9A" w:rsidRPr="000D434D" w:rsidRDefault="00A33C9A" w:rsidP="006E4368">
            <w:pPr>
              <w:spacing w:line="240" w:lineRule="auto"/>
              <w:rPr>
                <w:rFonts w:cs="Arial"/>
                <w:sz w:val="16"/>
                <w:szCs w:val="16"/>
                <w:lang w:val="en-GB"/>
              </w:rPr>
            </w:pPr>
          </w:p>
          <w:p w:rsidR="00A33C9A" w:rsidRPr="000D434D" w:rsidRDefault="003C0CB5" w:rsidP="003C0CB5">
            <w:pPr>
              <w:spacing w:line="240" w:lineRule="auto"/>
              <w:rPr>
                <w:rFonts w:cs="Arial"/>
                <w:sz w:val="16"/>
                <w:szCs w:val="16"/>
                <w:lang w:val="en-GB"/>
              </w:rPr>
            </w:pPr>
            <w:r>
              <w:rPr>
                <w:rFonts w:cs="Arial"/>
                <w:sz w:val="16"/>
                <w:szCs w:val="16"/>
                <w:lang w:val="en-GB"/>
              </w:rPr>
              <w:t xml:space="preserve">Look on the type classification of the gross fixed capital formation </w:t>
            </w:r>
            <w:proofErr w:type="gramStart"/>
            <w:r>
              <w:rPr>
                <w:rFonts w:cs="Arial"/>
                <w:sz w:val="16"/>
                <w:szCs w:val="16"/>
                <w:lang w:val="en-GB"/>
              </w:rPr>
              <w:t>implies,</w:t>
            </w:r>
            <w:proofErr w:type="gramEnd"/>
            <w:r>
              <w:rPr>
                <w:rFonts w:cs="Arial"/>
                <w:sz w:val="16"/>
                <w:szCs w:val="16"/>
                <w:lang w:val="en-GB"/>
              </w:rPr>
              <w:t xml:space="preserve"> that mostly businesses and households invested. </w:t>
            </w:r>
          </w:p>
        </w:tc>
        <w:tc>
          <w:tcPr>
            <w:tcW w:w="144" w:type="pct"/>
          </w:tcPr>
          <w:p w:rsidR="00A33C9A" w:rsidRPr="005E2AB2" w:rsidRDefault="00A33C9A" w:rsidP="006E4368">
            <w:pPr>
              <w:pStyle w:val="Textpoznpodarou"/>
              <w:rPr>
                <w:rFonts w:cs="Arial"/>
              </w:rPr>
            </w:pPr>
          </w:p>
        </w:tc>
        <w:tc>
          <w:tcPr>
            <w:tcW w:w="3849" w:type="pct"/>
            <w:gridSpan w:val="3"/>
          </w:tcPr>
          <w:p w:rsidR="00A33C9A" w:rsidRPr="006F1553" w:rsidRDefault="00A33C9A" w:rsidP="00A33C9A">
            <w:pPr>
              <w:pStyle w:val="Textpoznpodarou"/>
              <w:jc w:val="both"/>
              <w:rPr>
                <w:rFonts w:cs="Arial"/>
                <w:spacing w:val="-2"/>
                <w:sz w:val="16"/>
                <w:szCs w:val="16"/>
                <w:lang w:val="en-GB"/>
              </w:rPr>
            </w:pPr>
            <w:r w:rsidRPr="006F1553">
              <w:rPr>
                <w:rFonts w:cs="Arial"/>
                <w:spacing w:val="-2"/>
                <w:lang w:val="en-GB"/>
              </w:rPr>
              <w:t>Invest</w:t>
            </w:r>
            <w:r w:rsidR="000D434D">
              <w:rPr>
                <w:rFonts w:cs="Arial"/>
                <w:spacing w:val="-2"/>
                <w:lang w:val="en-GB"/>
              </w:rPr>
              <w:t xml:space="preserve">ment activity stood behind the strong GDP growth in Q3 and </w:t>
            </w:r>
            <w:r w:rsidRPr="006F1553">
              <w:rPr>
                <w:rFonts w:cs="Arial"/>
                <w:spacing w:val="-2"/>
                <w:lang w:val="en-GB"/>
              </w:rPr>
              <w:t xml:space="preserve">4. </w:t>
            </w:r>
            <w:r w:rsidR="000D434D">
              <w:rPr>
                <w:rFonts w:cs="Arial"/>
                <w:spacing w:val="-2"/>
                <w:lang w:val="en-GB"/>
              </w:rPr>
              <w:t xml:space="preserve">Contribution of the expenditures on gross fixed capital formation to the GDP growth amounted to 1.2 </w:t>
            </w:r>
            <w:r w:rsidR="0030607B">
              <w:rPr>
                <w:rFonts w:cs="Arial"/>
                <w:spacing w:val="-2"/>
                <w:lang w:val="en-GB"/>
              </w:rPr>
              <w:t>p.p.</w:t>
            </w:r>
            <w:r w:rsidR="000D434D">
              <w:rPr>
                <w:rFonts w:cs="Arial"/>
                <w:spacing w:val="-2"/>
                <w:lang w:val="en-GB"/>
              </w:rPr>
              <w:t xml:space="preserve"> in </w:t>
            </w:r>
            <w:r w:rsidRPr="006F1553">
              <w:rPr>
                <w:rFonts w:cs="Arial"/>
                <w:spacing w:val="-2"/>
                <w:lang w:val="en-GB"/>
              </w:rPr>
              <w:t xml:space="preserve">2017. </w:t>
            </w:r>
            <w:r w:rsidR="00A85100">
              <w:rPr>
                <w:rFonts w:cs="Arial"/>
                <w:spacing w:val="-2"/>
                <w:lang w:val="en-GB"/>
              </w:rPr>
              <w:t xml:space="preserve">The importance of the investment activity for the GDP growth was increasing during the year. </w:t>
            </w:r>
            <w:r w:rsidR="00E81556">
              <w:rPr>
                <w:rFonts w:cs="Arial"/>
                <w:spacing w:val="-2"/>
                <w:lang w:val="en-GB"/>
              </w:rPr>
              <w:t xml:space="preserve">As with the consumption expenditure the increased demand for investment goods was also partially saturated by the foreign supply. Investment rose by 5.8% in </w:t>
            </w:r>
            <w:r w:rsidRPr="006F1553">
              <w:rPr>
                <w:rFonts w:cs="Arial"/>
                <w:spacing w:val="-2"/>
                <w:lang w:val="en-GB"/>
              </w:rPr>
              <w:t>2017</w:t>
            </w:r>
            <w:r w:rsidR="00E81556">
              <w:rPr>
                <w:rFonts w:cs="Arial"/>
                <w:spacing w:val="-2"/>
                <w:lang w:val="en-GB"/>
              </w:rPr>
              <w:t>. Although this GDP component was still stagnating in Q</w:t>
            </w:r>
            <w:r w:rsidRPr="006F1553">
              <w:rPr>
                <w:rFonts w:cs="Arial"/>
                <w:spacing w:val="-2"/>
                <w:lang w:val="en-GB"/>
              </w:rPr>
              <w:t>1.</w:t>
            </w:r>
            <w:r w:rsidR="00E81556">
              <w:rPr>
                <w:rFonts w:cs="Arial"/>
                <w:spacing w:val="-2"/>
                <w:lang w:val="en-GB"/>
              </w:rPr>
              <w:t xml:space="preserve"> In the following three quarters, the year-on-year additions already exceeded </w:t>
            </w:r>
            <w:r w:rsidRPr="006F1553">
              <w:rPr>
                <w:rFonts w:cs="Arial"/>
                <w:spacing w:val="-2"/>
                <w:lang w:val="en-GB"/>
              </w:rPr>
              <w:t>7</w:t>
            </w:r>
            <w:r w:rsidR="00E81556">
              <w:rPr>
                <w:rFonts w:cs="Arial"/>
                <w:spacing w:val="-2"/>
                <w:lang w:val="en-GB"/>
              </w:rPr>
              <w:t>.</w:t>
            </w:r>
            <w:r w:rsidRPr="006F1553">
              <w:rPr>
                <w:rFonts w:cs="Arial"/>
                <w:spacing w:val="-2"/>
                <w:lang w:val="en-GB"/>
              </w:rPr>
              <w:t>0% a</w:t>
            </w:r>
            <w:r w:rsidR="00E81556">
              <w:rPr>
                <w:rFonts w:cs="Arial"/>
                <w:spacing w:val="-2"/>
                <w:lang w:val="en-GB"/>
              </w:rPr>
              <w:t>nd the investment expenditure rose by 7.9% in Q</w:t>
            </w:r>
            <w:r w:rsidRPr="006F1553">
              <w:rPr>
                <w:rFonts w:cs="Arial"/>
                <w:spacing w:val="-2"/>
                <w:lang w:val="en-GB"/>
              </w:rPr>
              <w:t>4.</w:t>
            </w:r>
            <w:r w:rsidR="00E81556">
              <w:rPr>
                <w:rFonts w:cs="Arial"/>
                <w:spacing w:val="-2"/>
                <w:lang w:val="en-GB"/>
              </w:rPr>
              <w:t xml:space="preserve"> </w:t>
            </w:r>
            <w:r w:rsidR="001D1E7C">
              <w:rPr>
                <w:rFonts w:cs="Arial"/>
                <w:spacing w:val="-2"/>
                <w:lang w:val="en-GB"/>
              </w:rPr>
              <w:t xml:space="preserve">In part the low comparative basis from year </w:t>
            </w:r>
            <w:r w:rsidRPr="006F1553">
              <w:rPr>
                <w:rFonts w:cs="Arial"/>
                <w:spacing w:val="-2"/>
                <w:lang w:val="en-GB"/>
              </w:rPr>
              <w:t>2016</w:t>
            </w:r>
            <w:r w:rsidR="001D1E7C">
              <w:rPr>
                <w:rFonts w:cs="Arial"/>
                <w:spacing w:val="-2"/>
                <w:lang w:val="en-GB"/>
              </w:rPr>
              <w:t xml:space="preserve"> had an effect</w:t>
            </w:r>
            <w:r w:rsidRPr="006F1553">
              <w:rPr>
                <w:rFonts w:cs="Arial"/>
                <w:spacing w:val="-2"/>
                <w:lang w:val="en-GB"/>
              </w:rPr>
              <w:t xml:space="preserve">, </w:t>
            </w:r>
            <w:r w:rsidR="001D1E7C">
              <w:rPr>
                <w:rFonts w:cs="Arial"/>
                <w:spacing w:val="-2"/>
                <w:lang w:val="en-GB"/>
              </w:rPr>
              <w:t xml:space="preserve">nevertheless the quarter-on-quarter dynamics showed the increase of the investment activity especially in Q2 and </w:t>
            </w:r>
            <w:r w:rsidRPr="006F1553">
              <w:rPr>
                <w:rFonts w:cs="Arial"/>
                <w:spacing w:val="-2"/>
                <w:lang w:val="en-GB"/>
              </w:rPr>
              <w:t xml:space="preserve">3. </w:t>
            </w:r>
            <w:r w:rsidR="001D1E7C">
              <w:rPr>
                <w:rFonts w:cs="Arial"/>
                <w:spacing w:val="-2"/>
                <w:lang w:val="en-GB"/>
              </w:rPr>
              <w:t xml:space="preserve">Based on the type classification of gross fixed capital formation, investment into the </w:t>
            </w:r>
            <w:r w:rsidR="001D1E7C">
              <w:rPr>
                <w:rFonts w:cs="Arial"/>
                <w:spacing w:val="-2"/>
                <w:lang w:val="en-GB"/>
              </w:rPr>
              <w:lastRenderedPageBreak/>
              <w:t xml:space="preserve">transport vehicles and machinery </w:t>
            </w:r>
            <w:r w:rsidRPr="006F1553">
              <w:rPr>
                <w:rFonts w:cs="Arial"/>
                <w:spacing w:val="-2"/>
                <w:lang w:val="en-GB"/>
              </w:rPr>
              <w:t>(8</w:t>
            </w:r>
            <w:r w:rsidR="00C34D57">
              <w:rPr>
                <w:rFonts w:cs="Arial"/>
                <w:spacing w:val="-2"/>
                <w:lang w:val="en-GB"/>
              </w:rPr>
              <w:t>.</w:t>
            </w:r>
            <w:r w:rsidRPr="006F1553">
              <w:rPr>
                <w:rFonts w:cs="Arial"/>
                <w:spacing w:val="-2"/>
                <w:lang w:val="en-GB"/>
              </w:rPr>
              <w:t>9%</w:t>
            </w:r>
            <w:r w:rsidRPr="006F1553">
              <w:rPr>
                <w:rStyle w:val="Znakapoznpodarou"/>
                <w:spacing w:val="-2"/>
                <w:lang w:val="en-GB"/>
              </w:rPr>
              <w:footnoteReference w:id="7"/>
            </w:r>
            <w:r w:rsidRPr="006F1553">
              <w:rPr>
                <w:rFonts w:cs="Arial"/>
                <w:spacing w:val="-2"/>
                <w:lang w:val="en-GB"/>
              </w:rPr>
              <w:t xml:space="preserve">), </w:t>
            </w:r>
            <w:r w:rsidR="00C34D57">
              <w:rPr>
                <w:rFonts w:cs="Arial"/>
                <w:spacing w:val="-2"/>
                <w:lang w:val="en-GB"/>
              </w:rPr>
              <w:t xml:space="preserve">housing </w:t>
            </w:r>
            <w:r w:rsidRPr="006F1553">
              <w:rPr>
                <w:rFonts w:cs="Arial"/>
                <w:spacing w:val="-2"/>
                <w:lang w:val="en-GB"/>
              </w:rPr>
              <w:t>(7</w:t>
            </w:r>
            <w:r w:rsidR="00C34D57">
              <w:rPr>
                <w:rFonts w:cs="Arial"/>
                <w:spacing w:val="-2"/>
                <w:lang w:val="en-GB"/>
              </w:rPr>
              <w:t>.</w:t>
            </w:r>
            <w:r w:rsidRPr="006F1553">
              <w:rPr>
                <w:rFonts w:cs="Arial"/>
                <w:spacing w:val="-2"/>
                <w:lang w:val="en-GB"/>
              </w:rPr>
              <w:t xml:space="preserve">0%) </w:t>
            </w:r>
            <w:r w:rsidR="00C34D57">
              <w:rPr>
                <w:rFonts w:cs="Arial"/>
                <w:spacing w:val="-2"/>
                <w:lang w:val="en-GB"/>
              </w:rPr>
              <w:t>and I</w:t>
            </w:r>
            <w:r w:rsidRPr="006F1553">
              <w:rPr>
                <w:rFonts w:cs="Arial"/>
                <w:spacing w:val="-2"/>
                <w:lang w:val="en-GB"/>
              </w:rPr>
              <w:t xml:space="preserve">CT </w:t>
            </w:r>
            <w:r w:rsidR="00C34D57">
              <w:rPr>
                <w:rFonts w:cs="Arial"/>
                <w:spacing w:val="-2"/>
                <w:lang w:val="en-GB"/>
              </w:rPr>
              <w:t xml:space="preserve">and other machinery and equipment </w:t>
            </w:r>
            <w:r w:rsidRPr="006F1553">
              <w:rPr>
                <w:rFonts w:cs="Arial"/>
                <w:spacing w:val="-2"/>
                <w:lang w:val="en-GB"/>
              </w:rPr>
              <w:t>(6</w:t>
            </w:r>
            <w:r w:rsidR="00C34D57">
              <w:rPr>
                <w:rFonts w:cs="Arial"/>
                <w:spacing w:val="-2"/>
                <w:lang w:val="en-GB"/>
              </w:rPr>
              <w:t>.</w:t>
            </w:r>
            <w:r w:rsidRPr="006F1553">
              <w:rPr>
                <w:rFonts w:cs="Arial"/>
                <w:spacing w:val="-2"/>
                <w:lang w:val="en-GB"/>
              </w:rPr>
              <w:t>6%)</w:t>
            </w:r>
            <w:r w:rsidR="00C34D57">
              <w:rPr>
                <w:rFonts w:cs="Arial"/>
                <w:spacing w:val="-2"/>
                <w:lang w:val="en-GB"/>
              </w:rPr>
              <w:t xml:space="preserve"> </w:t>
            </w:r>
            <w:r w:rsidR="001D1E7C">
              <w:rPr>
                <w:rFonts w:cs="Arial"/>
                <w:spacing w:val="-2"/>
                <w:lang w:val="en-GB"/>
              </w:rPr>
              <w:t>grew the fastest in 2017</w:t>
            </w:r>
            <w:r w:rsidRPr="006F1553">
              <w:rPr>
                <w:rFonts w:cs="Arial"/>
                <w:spacing w:val="-2"/>
                <w:lang w:val="en-GB"/>
              </w:rPr>
              <w:t xml:space="preserve">. </w:t>
            </w:r>
            <w:r w:rsidR="00C34D57">
              <w:rPr>
                <w:rFonts w:cs="Arial"/>
                <w:spacing w:val="-2"/>
                <w:lang w:val="en-GB"/>
              </w:rPr>
              <w:t>First two mentioned categories experienced a moderation of the year-on-year rate of growth, the third</w:t>
            </w:r>
            <w:r w:rsidR="003C0CB5">
              <w:rPr>
                <w:rFonts w:cs="Arial"/>
                <w:spacing w:val="-2"/>
                <w:lang w:val="en-GB"/>
              </w:rPr>
              <w:t xml:space="preserve"> </w:t>
            </w:r>
            <w:r w:rsidR="00C34D57">
              <w:rPr>
                <w:rFonts w:cs="Arial"/>
                <w:spacing w:val="-2"/>
                <w:lang w:val="en-GB"/>
              </w:rPr>
              <w:t xml:space="preserve">and most significant by volume item offset the fall from year </w:t>
            </w:r>
            <w:r w:rsidRPr="006F1553">
              <w:rPr>
                <w:rFonts w:cs="Arial"/>
                <w:spacing w:val="-2"/>
                <w:lang w:val="en-GB"/>
              </w:rPr>
              <w:t xml:space="preserve">2016. </w:t>
            </w:r>
            <w:r w:rsidR="003C0CB5">
              <w:rPr>
                <w:rFonts w:cs="Arial"/>
                <w:spacing w:val="-2"/>
                <w:lang w:val="en-GB"/>
              </w:rPr>
              <w:t xml:space="preserve">Stated composition of the expenditure on gross fixed capital formation points to the key role of businesses and households in the last year investment activity. The growth of investment into the products of intellectual property also increased </w:t>
            </w:r>
            <w:r w:rsidRPr="006F1553">
              <w:rPr>
                <w:rFonts w:cs="Arial"/>
                <w:spacing w:val="-2"/>
                <w:lang w:val="en-GB"/>
              </w:rPr>
              <w:t>(</w:t>
            </w:r>
            <w:r w:rsidR="003C0CB5">
              <w:rPr>
                <w:rFonts w:cs="Arial"/>
                <w:spacing w:val="-2"/>
                <w:lang w:val="en-GB"/>
              </w:rPr>
              <w:t xml:space="preserve">to </w:t>
            </w:r>
            <w:r w:rsidRPr="006F1553">
              <w:rPr>
                <w:rFonts w:cs="Arial"/>
                <w:spacing w:val="-2"/>
                <w:lang w:val="en-GB"/>
              </w:rPr>
              <w:t>5</w:t>
            </w:r>
            <w:r w:rsidR="003C0CB5">
              <w:rPr>
                <w:rFonts w:cs="Arial"/>
                <w:spacing w:val="-2"/>
                <w:lang w:val="en-GB"/>
              </w:rPr>
              <w:t>.</w:t>
            </w:r>
            <w:r w:rsidRPr="006F1553">
              <w:rPr>
                <w:rFonts w:cs="Arial"/>
                <w:spacing w:val="-2"/>
                <w:lang w:val="en-GB"/>
              </w:rPr>
              <w:t>4%).</w:t>
            </w:r>
            <w:r w:rsidR="003C0CB5">
              <w:rPr>
                <w:rFonts w:cs="Arial"/>
                <w:spacing w:val="-2"/>
                <w:lang w:val="en-GB"/>
              </w:rPr>
              <w:t xml:space="preserve"> On the contrary, expenditures on other buildings and structures remained on the exceptionally low level of year 2016 last year, when their growth attained </w:t>
            </w:r>
            <w:r w:rsidRPr="006F1553">
              <w:rPr>
                <w:rFonts w:cs="Arial"/>
                <w:spacing w:val="-2"/>
                <w:lang w:val="en-GB"/>
              </w:rPr>
              <w:t>0</w:t>
            </w:r>
            <w:r w:rsidR="003C0CB5">
              <w:rPr>
                <w:rFonts w:cs="Arial"/>
                <w:spacing w:val="-2"/>
                <w:lang w:val="en-GB"/>
              </w:rPr>
              <w:t>.</w:t>
            </w:r>
            <w:r w:rsidRPr="006F1553">
              <w:rPr>
                <w:rFonts w:cs="Arial"/>
                <w:spacing w:val="-2"/>
                <w:lang w:val="en-GB"/>
              </w:rPr>
              <w:t>9%. T</w:t>
            </w:r>
            <w:r w:rsidR="003C0CB5">
              <w:rPr>
                <w:rFonts w:cs="Arial"/>
                <w:spacing w:val="-2"/>
                <w:lang w:val="en-GB"/>
              </w:rPr>
              <w:t xml:space="preserve">his investment category includes infrastructure projects, which are the domain of the government institutions sector. At the same </w:t>
            </w:r>
            <w:r w:rsidR="00654E14">
              <w:rPr>
                <w:rFonts w:cs="Arial"/>
                <w:spacing w:val="-2"/>
                <w:lang w:val="en-GB"/>
              </w:rPr>
              <w:t>time,</w:t>
            </w:r>
            <w:r w:rsidR="003C0CB5">
              <w:rPr>
                <w:rFonts w:cs="Arial"/>
                <w:spacing w:val="-2"/>
                <w:lang w:val="en-GB"/>
              </w:rPr>
              <w:t xml:space="preserve"> it also consists of various industrial buildings and warehouses. </w:t>
            </w:r>
            <w:r w:rsidR="00C6369F">
              <w:rPr>
                <w:rFonts w:cs="Arial"/>
                <w:spacing w:val="-2"/>
                <w:lang w:val="en-GB"/>
              </w:rPr>
              <w:t xml:space="preserve">Both strong economic growth and the logistically advantageous location of the </w:t>
            </w:r>
            <w:r w:rsidR="00654E14">
              <w:rPr>
                <w:rFonts w:cs="Arial"/>
                <w:spacing w:val="-2"/>
                <w:lang w:val="en-GB"/>
              </w:rPr>
              <w:t>Czech Republic</w:t>
            </w:r>
            <w:r w:rsidR="00C6369F">
              <w:rPr>
                <w:rFonts w:cs="Arial"/>
                <w:spacing w:val="-2"/>
                <w:lang w:val="en-GB"/>
              </w:rPr>
              <w:t xml:space="preserve"> stimulate</w:t>
            </w:r>
            <w:r w:rsidR="0075274D">
              <w:rPr>
                <w:rFonts w:cs="Arial"/>
                <w:spacing w:val="-2"/>
                <w:lang w:val="en-GB"/>
              </w:rPr>
              <w:t>d</w:t>
            </w:r>
            <w:r w:rsidR="00C6369F">
              <w:rPr>
                <w:rFonts w:cs="Arial"/>
                <w:spacing w:val="-2"/>
                <w:lang w:val="en-GB"/>
              </w:rPr>
              <w:t xml:space="preserve"> their construction. </w:t>
            </w:r>
          </w:p>
          <w:p w:rsidR="00A33C9A" w:rsidRPr="006F1553" w:rsidRDefault="00A33C9A" w:rsidP="00A33C9A">
            <w:pPr>
              <w:pStyle w:val="Textpoznpodarou"/>
              <w:jc w:val="both"/>
              <w:rPr>
                <w:rFonts w:cs="Arial"/>
                <w:spacing w:val="-2"/>
                <w:sz w:val="16"/>
                <w:szCs w:val="16"/>
                <w:lang w:val="en-GB"/>
              </w:rPr>
            </w:pPr>
          </w:p>
        </w:tc>
      </w:tr>
      <w:tr w:rsidR="00A33C9A" w:rsidRPr="00A74192" w:rsidTr="006C3DC1">
        <w:tc>
          <w:tcPr>
            <w:tcW w:w="1007" w:type="pct"/>
          </w:tcPr>
          <w:p w:rsidR="00A33C9A" w:rsidRPr="000D434D" w:rsidRDefault="00427332" w:rsidP="00427332">
            <w:pPr>
              <w:spacing w:line="240" w:lineRule="auto"/>
              <w:rPr>
                <w:rFonts w:cs="Arial"/>
                <w:sz w:val="16"/>
                <w:szCs w:val="16"/>
                <w:lang w:val="en-GB"/>
              </w:rPr>
            </w:pPr>
            <w:r>
              <w:rPr>
                <w:rFonts w:cs="Arial"/>
                <w:sz w:val="16"/>
                <w:szCs w:val="16"/>
                <w:lang w:val="en-GB"/>
              </w:rPr>
              <w:lastRenderedPageBreak/>
              <w:t xml:space="preserve">Foreign trade surplus mildly grew last year. Trade with services is mostly behind it. </w:t>
            </w:r>
            <w:r w:rsidR="00A33C9A" w:rsidRPr="000D434D">
              <w:rPr>
                <w:rFonts w:cs="Arial"/>
                <w:sz w:val="16"/>
                <w:szCs w:val="16"/>
                <w:lang w:val="en-GB"/>
              </w:rPr>
              <w:t xml:space="preserve"> </w:t>
            </w:r>
          </w:p>
        </w:tc>
        <w:tc>
          <w:tcPr>
            <w:tcW w:w="144" w:type="pct"/>
          </w:tcPr>
          <w:p w:rsidR="00A33C9A" w:rsidRPr="005E2AB2" w:rsidRDefault="00A33C9A" w:rsidP="006E4368">
            <w:pPr>
              <w:pStyle w:val="Textpoznpodarou"/>
              <w:rPr>
                <w:rFonts w:cs="Arial"/>
              </w:rPr>
            </w:pPr>
          </w:p>
        </w:tc>
        <w:tc>
          <w:tcPr>
            <w:tcW w:w="3849" w:type="pct"/>
            <w:gridSpan w:val="3"/>
          </w:tcPr>
          <w:p w:rsidR="00A33C9A" w:rsidRPr="002F0709" w:rsidRDefault="00427332" w:rsidP="006E4368">
            <w:pPr>
              <w:pStyle w:val="Textpoznpodarou"/>
              <w:jc w:val="both"/>
              <w:rPr>
                <w:rFonts w:cs="Arial"/>
                <w:sz w:val="16"/>
                <w:szCs w:val="16"/>
                <w:lang w:val="en-GB"/>
              </w:rPr>
            </w:pPr>
            <w:r w:rsidRPr="002F0709">
              <w:rPr>
                <w:rFonts w:cs="Arial"/>
                <w:lang w:val="en-GB"/>
              </w:rPr>
              <w:t xml:space="preserve">Foreign trade </w:t>
            </w:r>
            <w:r w:rsidR="002F0709" w:rsidRPr="002F0709">
              <w:rPr>
                <w:rFonts w:cs="Arial"/>
                <w:lang w:val="en-GB"/>
              </w:rPr>
              <w:t>resulted in positive balance in the amount of 364.5 CZK bn</w:t>
            </w:r>
            <w:r w:rsidR="00A33C9A" w:rsidRPr="002F0709">
              <w:rPr>
                <w:rStyle w:val="Znakapoznpodarou"/>
                <w:lang w:val="en-GB"/>
              </w:rPr>
              <w:footnoteReference w:id="8"/>
            </w:r>
            <w:r w:rsidR="002F0709" w:rsidRPr="002F0709">
              <w:rPr>
                <w:rFonts w:cs="Arial"/>
                <w:lang w:val="en-GB"/>
              </w:rPr>
              <w:t xml:space="preserve"> in 2017 and</w:t>
            </w:r>
            <w:r w:rsidR="002F0709">
              <w:rPr>
                <w:rFonts w:cs="Arial"/>
                <w:lang w:val="en-GB"/>
              </w:rPr>
              <w:t xml:space="preserve"> thus the increase of </w:t>
            </w:r>
            <w:r w:rsidR="00A33C9A" w:rsidRPr="002F0709">
              <w:rPr>
                <w:rFonts w:cs="Arial"/>
                <w:lang w:val="en-GB"/>
              </w:rPr>
              <w:t>8</w:t>
            </w:r>
            <w:r w:rsidR="002F0709">
              <w:rPr>
                <w:rFonts w:cs="Arial"/>
                <w:lang w:val="en-GB"/>
              </w:rPr>
              <w:t>.</w:t>
            </w:r>
            <w:r w:rsidR="00A33C9A" w:rsidRPr="002F0709">
              <w:rPr>
                <w:rFonts w:cs="Arial"/>
                <w:lang w:val="en-GB"/>
              </w:rPr>
              <w:t xml:space="preserve">0 </w:t>
            </w:r>
            <w:r w:rsidR="002F0709">
              <w:rPr>
                <w:rFonts w:cs="Arial"/>
                <w:lang w:val="en-GB"/>
              </w:rPr>
              <w:t xml:space="preserve">bn manifested. </w:t>
            </w:r>
            <w:r w:rsidR="00BC6556">
              <w:rPr>
                <w:rFonts w:cs="Arial"/>
                <w:lang w:val="en-GB"/>
              </w:rPr>
              <w:t>The growth of the surplus could be observed in all quarters, its main part however was created in Q</w:t>
            </w:r>
            <w:r w:rsidR="00A33C9A" w:rsidRPr="002F0709">
              <w:rPr>
                <w:rFonts w:cs="Arial"/>
                <w:lang w:val="en-GB"/>
              </w:rPr>
              <w:t>1</w:t>
            </w:r>
            <w:r w:rsidR="00BC6556">
              <w:rPr>
                <w:rFonts w:cs="Arial"/>
                <w:lang w:val="en-GB"/>
              </w:rPr>
              <w:t xml:space="preserve"> </w:t>
            </w:r>
            <w:r w:rsidR="00A33C9A" w:rsidRPr="002F0709">
              <w:rPr>
                <w:rFonts w:cs="Arial"/>
                <w:lang w:val="en-GB"/>
              </w:rPr>
              <w:t>(</w:t>
            </w:r>
            <w:r w:rsidR="00BC6556">
              <w:rPr>
                <w:rFonts w:cs="Arial"/>
                <w:lang w:val="en-GB"/>
              </w:rPr>
              <w:t xml:space="preserve">year-on-year increase of </w:t>
            </w:r>
            <w:r w:rsidR="00A33C9A" w:rsidRPr="002F0709">
              <w:rPr>
                <w:rFonts w:cs="Arial"/>
                <w:lang w:val="en-GB"/>
              </w:rPr>
              <w:t>6</w:t>
            </w:r>
            <w:r w:rsidR="00BC6556">
              <w:rPr>
                <w:rFonts w:cs="Arial"/>
                <w:lang w:val="en-GB"/>
              </w:rPr>
              <w:t>.</w:t>
            </w:r>
            <w:r w:rsidR="00A33C9A" w:rsidRPr="002F0709">
              <w:rPr>
                <w:rFonts w:cs="Arial"/>
                <w:lang w:val="en-GB"/>
              </w:rPr>
              <w:t xml:space="preserve">5 </w:t>
            </w:r>
            <w:r w:rsidR="00BC6556">
              <w:rPr>
                <w:rFonts w:cs="Arial"/>
                <w:lang w:val="en-GB"/>
              </w:rPr>
              <w:t>CZK bn</w:t>
            </w:r>
            <w:r w:rsidR="00A33C9A" w:rsidRPr="002F0709">
              <w:rPr>
                <w:rFonts w:cs="Arial"/>
                <w:lang w:val="en-GB"/>
              </w:rPr>
              <w:t xml:space="preserve">.). </w:t>
            </w:r>
            <w:r w:rsidR="00BC6556">
              <w:rPr>
                <w:rFonts w:cs="Arial"/>
                <w:lang w:val="en-GB"/>
              </w:rPr>
              <w:t xml:space="preserve">Total increase is the result of a marked enlargement of the surplus of the trade with services balance </w:t>
            </w:r>
            <w:r w:rsidR="00A33C9A" w:rsidRPr="002F0709">
              <w:rPr>
                <w:rFonts w:cs="Arial"/>
                <w:lang w:val="en-GB"/>
              </w:rPr>
              <w:t>(122</w:t>
            </w:r>
            <w:r w:rsidR="00BC6556">
              <w:rPr>
                <w:rFonts w:cs="Arial"/>
                <w:lang w:val="en-GB"/>
              </w:rPr>
              <w:t>.</w:t>
            </w:r>
            <w:r w:rsidR="00A33C9A" w:rsidRPr="002F0709">
              <w:rPr>
                <w:rFonts w:cs="Arial"/>
                <w:lang w:val="en-GB"/>
              </w:rPr>
              <w:t xml:space="preserve">3 </w:t>
            </w:r>
            <w:r w:rsidR="00BC6556">
              <w:rPr>
                <w:rFonts w:cs="Arial"/>
                <w:lang w:val="en-GB"/>
              </w:rPr>
              <w:t>CZK bn</w:t>
            </w:r>
            <w:r w:rsidR="00A33C9A" w:rsidRPr="002F0709">
              <w:rPr>
                <w:rFonts w:cs="Arial"/>
                <w:lang w:val="en-GB"/>
              </w:rPr>
              <w:t xml:space="preserve">, </w:t>
            </w:r>
            <w:r w:rsidR="00BC6556">
              <w:rPr>
                <w:rFonts w:cs="Arial"/>
                <w:lang w:val="en-GB"/>
              </w:rPr>
              <w:t xml:space="preserve">year-on-year addition of </w:t>
            </w:r>
            <w:r w:rsidR="00A33C9A" w:rsidRPr="002F0709">
              <w:rPr>
                <w:rFonts w:cs="Arial"/>
                <w:lang w:val="en-GB"/>
              </w:rPr>
              <w:t>13</w:t>
            </w:r>
            <w:r w:rsidR="00BC6556">
              <w:rPr>
                <w:rFonts w:cs="Arial"/>
                <w:lang w:val="en-GB"/>
              </w:rPr>
              <w:t>.</w:t>
            </w:r>
            <w:r w:rsidR="00A33C9A" w:rsidRPr="002F0709">
              <w:rPr>
                <w:rFonts w:cs="Arial"/>
                <w:lang w:val="en-GB"/>
              </w:rPr>
              <w:t xml:space="preserve">0 </w:t>
            </w:r>
            <w:r w:rsidR="00BC6556">
              <w:rPr>
                <w:rFonts w:cs="Arial"/>
                <w:lang w:val="en-GB"/>
              </w:rPr>
              <w:t>bn</w:t>
            </w:r>
            <w:r w:rsidR="00A33C9A" w:rsidRPr="002F0709">
              <w:rPr>
                <w:rFonts w:cs="Arial"/>
                <w:lang w:val="en-GB"/>
              </w:rPr>
              <w:t xml:space="preserve">). </w:t>
            </w:r>
            <w:r w:rsidR="00B454B4">
              <w:rPr>
                <w:rFonts w:cs="Arial"/>
                <w:lang w:val="en-GB"/>
              </w:rPr>
              <w:t xml:space="preserve">Surplus of the foreign trade with goods arrived at </w:t>
            </w:r>
            <w:r w:rsidR="00A33C9A" w:rsidRPr="002F0709">
              <w:rPr>
                <w:rFonts w:cs="Arial"/>
                <w:lang w:val="en-GB"/>
              </w:rPr>
              <w:t>242</w:t>
            </w:r>
            <w:r w:rsidR="00B454B4">
              <w:rPr>
                <w:rFonts w:cs="Arial"/>
                <w:lang w:val="en-GB"/>
              </w:rPr>
              <w:t>.</w:t>
            </w:r>
            <w:r w:rsidR="00A33C9A" w:rsidRPr="002F0709">
              <w:rPr>
                <w:rFonts w:cs="Arial"/>
                <w:lang w:val="en-GB"/>
              </w:rPr>
              <w:t xml:space="preserve">3 </w:t>
            </w:r>
            <w:r w:rsidR="00B454B4">
              <w:rPr>
                <w:rFonts w:cs="Arial"/>
                <w:lang w:val="en-GB"/>
              </w:rPr>
              <w:t xml:space="preserve">CZK bn last year and it shrank by </w:t>
            </w:r>
            <w:r w:rsidR="00A33C9A" w:rsidRPr="002F0709">
              <w:rPr>
                <w:rFonts w:cs="Arial"/>
                <w:lang w:val="en-GB"/>
              </w:rPr>
              <w:t>5</w:t>
            </w:r>
            <w:r w:rsidR="00B454B4">
              <w:rPr>
                <w:rFonts w:cs="Arial"/>
                <w:lang w:val="en-GB"/>
              </w:rPr>
              <w:t>.</w:t>
            </w:r>
            <w:r w:rsidR="00A33C9A" w:rsidRPr="002F0709">
              <w:rPr>
                <w:rFonts w:cs="Arial"/>
                <w:lang w:val="en-GB"/>
              </w:rPr>
              <w:t xml:space="preserve">0 </w:t>
            </w:r>
            <w:r w:rsidR="00B454B4">
              <w:rPr>
                <w:rFonts w:cs="Arial"/>
                <w:lang w:val="en-GB"/>
              </w:rPr>
              <w:t>bn year-on-year</w:t>
            </w:r>
            <w:r w:rsidR="00A33C9A" w:rsidRPr="002F0709">
              <w:rPr>
                <w:rFonts w:cs="Arial"/>
                <w:lang w:val="en-GB"/>
              </w:rPr>
              <w:t xml:space="preserve">. </w:t>
            </w:r>
            <w:r w:rsidR="00B454B4">
              <w:rPr>
                <w:rFonts w:cs="Arial"/>
                <w:lang w:val="en-GB"/>
              </w:rPr>
              <w:t xml:space="preserve">The terms of trade were </w:t>
            </w:r>
            <w:r w:rsidR="00A33C9A" w:rsidRPr="002F0709">
              <w:rPr>
                <w:rFonts w:cs="Arial"/>
                <w:lang w:val="en-GB"/>
              </w:rPr>
              <w:t>99</w:t>
            </w:r>
            <w:r w:rsidR="00B454B4">
              <w:rPr>
                <w:rFonts w:cs="Arial"/>
                <w:lang w:val="en-GB"/>
              </w:rPr>
              <w:t>.</w:t>
            </w:r>
            <w:r w:rsidR="00A33C9A" w:rsidRPr="002F0709">
              <w:rPr>
                <w:rFonts w:cs="Arial"/>
                <w:lang w:val="en-GB"/>
              </w:rPr>
              <w:t>0%</w:t>
            </w:r>
            <w:r w:rsidR="00B454B4">
              <w:rPr>
                <w:rFonts w:cs="Arial"/>
                <w:lang w:val="en-GB"/>
              </w:rPr>
              <w:t xml:space="preserve"> in year 2017</w:t>
            </w:r>
            <w:r w:rsidR="00A33C9A" w:rsidRPr="002F0709">
              <w:rPr>
                <w:rFonts w:cs="Arial"/>
                <w:lang w:val="en-GB"/>
              </w:rPr>
              <w:t xml:space="preserve">. </w:t>
            </w:r>
            <w:r w:rsidR="00C92988">
              <w:rPr>
                <w:rFonts w:cs="Arial"/>
                <w:lang w:val="en-GB"/>
              </w:rPr>
              <w:t>They moderated during the year and already reached a positive result in Q</w:t>
            </w:r>
            <w:r w:rsidR="00A33C9A" w:rsidRPr="002F0709">
              <w:rPr>
                <w:rFonts w:cs="Arial"/>
                <w:lang w:val="en-GB"/>
              </w:rPr>
              <w:t>4</w:t>
            </w:r>
            <w:r w:rsidR="00C92988">
              <w:rPr>
                <w:rFonts w:cs="Arial"/>
                <w:lang w:val="en-GB"/>
              </w:rPr>
              <w:t xml:space="preserve"> </w:t>
            </w:r>
            <w:r w:rsidR="00A33C9A" w:rsidRPr="002F0709">
              <w:rPr>
                <w:rFonts w:cs="Arial"/>
                <w:lang w:val="en-GB"/>
              </w:rPr>
              <w:t>(100</w:t>
            </w:r>
            <w:r w:rsidR="00C92988">
              <w:rPr>
                <w:rFonts w:cs="Arial"/>
                <w:lang w:val="en-GB"/>
              </w:rPr>
              <w:t>.</w:t>
            </w:r>
            <w:r w:rsidR="00A33C9A" w:rsidRPr="002F0709">
              <w:rPr>
                <w:rFonts w:cs="Arial"/>
                <w:lang w:val="en-GB"/>
              </w:rPr>
              <w:t xml:space="preserve">3%). </w:t>
            </w:r>
            <w:r w:rsidR="004120DE">
              <w:rPr>
                <w:rFonts w:cs="Arial"/>
                <w:lang w:val="en-GB"/>
              </w:rPr>
              <w:t xml:space="preserve">Loss from the movements of the terms of trade, expressed as a difference between the GDP and the real gross </w:t>
            </w:r>
            <w:r w:rsidR="00654E14">
              <w:rPr>
                <w:rFonts w:cs="Arial"/>
                <w:lang w:val="en-GB"/>
              </w:rPr>
              <w:t>domestic</w:t>
            </w:r>
            <w:r w:rsidR="004120DE">
              <w:rPr>
                <w:rFonts w:cs="Arial"/>
                <w:lang w:val="en-GB"/>
              </w:rPr>
              <w:t xml:space="preserve"> income in </w:t>
            </w:r>
            <w:r w:rsidR="00A33C9A" w:rsidRPr="002F0709">
              <w:rPr>
                <w:rFonts w:cs="Arial"/>
                <w:lang w:val="en-GB"/>
              </w:rPr>
              <w:t xml:space="preserve">2017, </w:t>
            </w:r>
            <w:r w:rsidR="004120DE">
              <w:rPr>
                <w:rFonts w:cs="Arial"/>
                <w:lang w:val="en-GB"/>
              </w:rPr>
              <w:t xml:space="preserve">arrived at </w:t>
            </w:r>
            <w:r w:rsidR="00A33C9A" w:rsidRPr="002F0709">
              <w:rPr>
                <w:rFonts w:cs="Arial"/>
                <w:lang w:val="en-GB"/>
              </w:rPr>
              <w:t>38</w:t>
            </w:r>
            <w:r w:rsidR="004120DE">
              <w:rPr>
                <w:rFonts w:cs="Arial"/>
                <w:lang w:val="en-GB"/>
              </w:rPr>
              <w:t>.</w:t>
            </w:r>
            <w:r w:rsidR="00A33C9A" w:rsidRPr="002F0709">
              <w:rPr>
                <w:rFonts w:cs="Arial"/>
                <w:lang w:val="en-GB"/>
              </w:rPr>
              <w:t xml:space="preserve">5 </w:t>
            </w:r>
            <w:r w:rsidR="004120DE">
              <w:rPr>
                <w:rFonts w:cs="Arial"/>
                <w:lang w:val="en-GB"/>
              </w:rPr>
              <w:t>CZK bn</w:t>
            </w:r>
            <w:r w:rsidR="00A33C9A" w:rsidRPr="002F0709">
              <w:rPr>
                <w:rFonts w:cs="Arial"/>
                <w:lang w:val="en-GB"/>
              </w:rPr>
              <w:t xml:space="preserve">. </w:t>
            </w:r>
            <w:r w:rsidR="004325CC">
              <w:rPr>
                <w:rFonts w:cs="Arial"/>
                <w:lang w:val="en-GB"/>
              </w:rPr>
              <w:t xml:space="preserve">It presented the first negative result since year </w:t>
            </w:r>
            <w:r w:rsidR="00A33C9A" w:rsidRPr="002F0709">
              <w:rPr>
                <w:rFonts w:cs="Arial"/>
                <w:lang w:val="en-GB"/>
              </w:rPr>
              <w:t>2012.</w:t>
            </w:r>
          </w:p>
          <w:p w:rsidR="00A33C9A" w:rsidRPr="005400CC" w:rsidRDefault="00A33C9A" w:rsidP="006E4368">
            <w:pPr>
              <w:pStyle w:val="Textpoznpodarou"/>
              <w:jc w:val="both"/>
              <w:rPr>
                <w:rFonts w:cs="Arial"/>
                <w:sz w:val="16"/>
                <w:szCs w:val="16"/>
                <w:highlight w:val="yellow"/>
              </w:rPr>
            </w:pPr>
          </w:p>
        </w:tc>
      </w:tr>
      <w:tr w:rsidR="00A33C9A" w:rsidRPr="00A74192" w:rsidTr="006C3DC1">
        <w:tc>
          <w:tcPr>
            <w:tcW w:w="1007" w:type="pct"/>
          </w:tcPr>
          <w:p w:rsidR="00A33C9A" w:rsidRPr="00427332" w:rsidRDefault="00427332" w:rsidP="00427332">
            <w:pPr>
              <w:spacing w:line="240" w:lineRule="auto"/>
              <w:rPr>
                <w:rFonts w:cs="Arial"/>
                <w:sz w:val="16"/>
                <w:szCs w:val="16"/>
                <w:lang w:val="en-GB"/>
              </w:rPr>
            </w:pPr>
            <w:r w:rsidRPr="00427332">
              <w:rPr>
                <w:rFonts w:cs="Arial"/>
                <w:sz w:val="16"/>
                <w:szCs w:val="16"/>
                <w:lang w:val="en-GB"/>
              </w:rPr>
              <w:t xml:space="preserve">Manufacturing and services sector both supported to the same extent the year-on-year growth of GVA. </w:t>
            </w:r>
          </w:p>
        </w:tc>
        <w:tc>
          <w:tcPr>
            <w:tcW w:w="144" w:type="pct"/>
          </w:tcPr>
          <w:p w:rsidR="00A33C9A" w:rsidRPr="00427332" w:rsidRDefault="00A33C9A" w:rsidP="006E4368">
            <w:pPr>
              <w:pStyle w:val="Textpoznpodarou"/>
              <w:rPr>
                <w:rFonts w:cs="Arial"/>
                <w:lang w:val="en-GB"/>
              </w:rPr>
            </w:pPr>
          </w:p>
        </w:tc>
        <w:tc>
          <w:tcPr>
            <w:tcW w:w="3849" w:type="pct"/>
            <w:gridSpan w:val="3"/>
          </w:tcPr>
          <w:p w:rsidR="00A33C9A" w:rsidRDefault="00FE6920" w:rsidP="006E4368">
            <w:pPr>
              <w:pStyle w:val="Textpoznpodarou"/>
              <w:jc w:val="both"/>
              <w:rPr>
                <w:rFonts w:cs="Arial"/>
                <w:lang w:val="en-GB"/>
              </w:rPr>
            </w:pPr>
            <w:r>
              <w:rPr>
                <w:rFonts w:cs="Arial"/>
                <w:lang w:val="en-GB"/>
              </w:rPr>
              <w:t xml:space="preserve">View of the supply side of the GDP confirms the continuing key role of manufacturing in the Czech economy. The gross value added of the relevant branches increased by </w:t>
            </w:r>
            <w:r w:rsidR="00A33C9A" w:rsidRPr="00427332">
              <w:rPr>
                <w:rFonts w:cs="Arial"/>
                <w:lang w:val="en-GB"/>
              </w:rPr>
              <w:t>7</w:t>
            </w:r>
            <w:r>
              <w:rPr>
                <w:rFonts w:cs="Arial"/>
                <w:lang w:val="en-GB"/>
              </w:rPr>
              <w:t>.</w:t>
            </w:r>
            <w:r w:rsidR="00A33C9A" w:rsidRPr="00427332">
              <w:rPr>
                <w:rFonts w:cs="Arial"/>
                <w:lang w:val="en-GB"/>
              </w:rPr>
              <w:t xml:space="preserve">6%. </w:t>
            </w:r>
            <w:r>
              <w:rPr>
                <w:rFonts w:cs="Arial"/>
                <w:lang w:val="en-GB"/>
              </w:rPr>
              <w:t xml:space="preserve">The addition to the total year-on-year growth of the GVA was very stable throughout the year and it was </w:t>
            </w:r>
            <w:proofErr w:type="gramStart"/>
            <w:r w:rsidR="00A33C9A" w:rsidRPr="00427332">
              <w:rPr>
                <w:rFonts w:cs="Arial"/>
                <w:lang w:val="en-GB"/>
              </w:rPr>
              <w:t>2</w:t>
            </w:r>
            <w:r>
              <w:rPr>
                <w:rFonts w:cs="Arial"/>
                <w:lang w:val="en-GB"/>
              </w:rPr>
              <w:t>.</w:t>
            </w:r>
            <w:r w:rsidR="00A33C9A" w:rsidRPr="00427332">
              <w:rPr>
                <w:rFonts w:cs="Arial"/>
                <w:lang w:val="en-GB"/>
              </w:rPr>
              <w:t xml:space="preserve">1 </w:t>
            </w:r>
            <w:r w:rsidR="0030607B">
              <w:rPr>
                <w:rFonts w:cs="Arial"/>
                <w:lang w:val="en-GB"/>
              </w:rPr>
              <w:t>p.p</w:t>
            </w:r>
            <w:proofErr w:type="gramEnd"/>
            <w:r w:rsidR="0030607B">
              <w:rPr>
                <w:rFonts w:cs="Arial"/>
                <w:lang w:val="en-GB"/>
              </w:rPr>
              <w:t>.</w:t>
            </w:r>
            <w:r w:rsidR="00A33C9A" w:rsidRPr="00427332">
              <w:rPr>
                <w:rFonts w:cs="Arial"/>
                <w:lang w:val="en-GB"/>
              </w:rPr>
              <w:t xml:space="preserve"> </w:t>
            </w:r>
            <w:r>
              <w:rPr>
                <w:rFonts w:cs="Arial"/>
                <w:lang w:val="en-GB"/>
              </w:rPr>
              <w:t xml:space="preserve">The services activities were also very important. Total contribution of services to the GVA growth achieved also </w:t>
            </w:r>
            <w:r w:rsidR="00A33C9A" w:rsidRPr="00427332">
              <w:rPr>
                <w:rFonts w:cs="Arial"/>
                <w:lang w:val="en-GB"/>
              </w:rPr>
              <w:t>2</w:t>
            </w:r>
            <w:r>
              <w:rPr>
                <w:rFonts w:cs="Arial"/>
                <w:lang w:val="en-GB"/>
              </w:rPr>
              <w:t>.</w:t>
            </w:r>
            <w:r w:rsidR="00A33C9A" w:rsidRPr="00427332">
              <w:rPr>
                <w:rFonts w:cs="Arial"/>
                <w:lang w:val="en-GB"/>
              </w:rPr>
              <w:t>1 </w:t>
            </w:r>
            <w:r w:rsidR="0030607B">
              <w:rPr>
                <w:rFonts w:cs="Arial"/>
                <w:lang w:val="en-GB"/>
              </w:rPr>
              <w:t>p.p.</w:t>
            </w:r>
            <w:r>
              <w:rPr>
                <w:rFonts w:cs="Arial"/>
                <w:lang w:val="en-GB"/>
              </w:rPr>
              <w:t xml:space="preserve"> last year and the role of services was strengthening during the year. Their addition to the year-on-year growth of GVA was 2.8</w:t>
            </w:r>
            <w:r w:rsidR="000B2324" w:rsidRPr="00427332">
              <w:rPr>
                <w:rFonts w:cs="Arial"/>
                <w:lang w:val="en-GB"/>
              </w:rPr>
              <w:t> </w:t>
            </w:r>
            <w:r w:rsidR="0030607B">
              <w:rPr>
                <w:rFonts w:cs="Arial"/>
                <w:lang w:val="en-GB"/>
              </w:rPr>
              <w:t>p.p.</w:t>
            </w:r>
            <w:r>
              <w:rPr>
                <w:rFonts w:cs="Arial"/>
                <w:lang w:val="en-GB"/>
              </w:rPr>
              <w:t xml:space="preserve"> in Q4. </w:t>
            </w:r>
            <w:r w:rsidR="005B75C7">
              <w:rPr>
                <w:rFonts w:cs="Arial"/>
                <w:lang w:val="en-GB"/>
              </w:rPr>
              <w:t xml:space="preserve">Among the services branches, the trade, transportation, accommodation and restaurants contributed the most </w:t>
            </w:r>
            <w:r w:rsidR="00A33C9A" w:rsidRPr="00427332">
              <w:rPr>
                <w:rFonts w:cs="Arial"/>
                <w:lang w:val="en-GB"/>
              </w:rPr>
              <w:t>(0</w:t>
            </w:r>
            <w:r w:rsidR="005B75C7">
              <w:rPr>
                <w:rFonts w:cs="Arial"/>
                <w:lang w:val="en-GB"/>
              </w:rPr>
              <w:t>.</w:t>
            </w:r>
            <w:r w:rsidR="00A33C9A" w:rsidRPr="00427332">
              <w:rPr>
                <w:rFonts w:cs="Arial"/>
                <w:lang w:val="en-GB"/>
              </w:rPr>
              <w:t>6</w:t>
            </w:r>
            <w:r w:rsidR="000B2324" w:rsidRPr="00427332">
              <w:rPr>
                <w:rFonts w:cs="Arial"/>
                <w:lang w:val="en-GB"/>
              </w:rPr>
              <w:t> </w:t>
            </w:r>
            <w:r w:rsidR="0030607B">
              <w:rPr>
                <w:rFonts w:cs="Arial"/>
                <w:lang w:val="en-GB"/>
              </w:rPr>
              <w:t>p.p.</w:t>
            </w:r>
            <w:r w:rsidR="00A33C9A" w:rsidRPr="00427332">
              <w:rPr>
                <w:rFonts w:cs="Arial"/>
                <w:lang w:val="en-GB"/>
              </w:rPr>
              <w:t xml:space="preserve">) </w:t>
            </w:r>
            <w:r w:rsidR="005B75C7">
              <w:rPr>
                <w:rFonts w:cs="Arial"/>
                <w:lang w:val="en-GB"/>
              </w:rPr>
              <w:t xml:space="preserve">together with the professional, scientific, technical and administrative activities </w:t>
            </w:r>
            <w:r w:rsidR="00A33C9A" w:rsidRPr="00427332">
              <w:rPr>
                <w:rFonts w:cs="Arial"/>
                <w:lang w:val="en-GB"/>
              </w:rPr>
              <w:t>(0</w:t>
            </w:r>
            <w:r w:rsidR="005B75C7">
              <w:rPr>
                <w:rFonts w:cs="Arial"/>
                <w:lang w:val="en-GB"/>
              </w:rPr>
              <w:t>.</w:t>
            </w:r>
            <w:r w:rsidR="00A33C9A" w:rsidRPr="00427332">
              <w:rPr>
                <w:rFonts w:cs="Arial"/>
                <w:lang w:val="en-GB"/>
              </w:rPr>
              <w:t>5</w:t>
            </w:r>
            <w:r w:rsidR="000B2324" w:rsidRPr="00427332">
              <w:rPr>
                <w:rFonts w:cs="Arial"/>
                <w:lang w:val="en-GB"/>
              </w:rPr>
              <w:t> </w:t>
            </w:r>
            <w:r w:rsidR="0030607B">
              <w:rPr>
                <w:rFonts w:cs="Arial"/>
                <w:lang w:val="en-GB"/>
              </w:rPr>
              <w:t>p.p.</w:t>
            </w:r>
            <w:r w:rsidR="00A33C9A" w:rsidRPr="00427332">
              <w:rPr>
                <w:rFonts w:cs="Arial"/>
                <w:lang w:val="en-GB"/>
              </w:rPr>
              <w:t xml:space="preserve">). </w:t>
            </w:r>
            <w:r w:rsidR="00255A44">
              <w:rPr>
                <w:rFonts w:cs="Arial"/>
                <w:lang w:val="en-GB"/>
              </w:rPr>
              <w:t>Finance a</w:t>
            </w:r>
            <w:bookmarkStart w:id="3" w:name="_GoBack"/>
            <w:bookmarkEnd w:id="3"/>
            <w:r w:rsidR="00255A44">
              <w:rPr>
                <w:rFonts w:cs="Arial"/>
                <w:lang w:val="en-GB"/>
              </w:rPr>
              <w:t xml:space="preserve">nd insurance activities also fared well </w:t>
            </w:r>
            <w:r w:rsidR="00A33C9A" w:rsidRPr="00427332">
              <w:rPr>
                <w:rFonts w:cs="Arial"/>
                <w:lang w:val="en-GB"/>
              </w:rPr>
              <w:t>(</w:t>
            </w:r>
            <w:r w:rsidR="00255A44">
              <w:rPr>
                <w:rFonts w:cs="Arial"/>
                <w:lang w:val="en-GB"/>
              </w:rPr>
              <w:t xml:space="preserve">contribution </w:t>
            </w:r>
            <w:r w:rsidR="00A33C9A" w:rsidRPr="00427332">
              <w:rPr>
                <w:rFonts w:cs="Arial"/>
                <w:lang w:val="en-GB"/>
              </w:rPr>
              <w:t>0</w:t>
            </w:r>
            <w:r w:rsidR="00255A44">
              <w:rPr>
                <w:rFonts w:cs="Arial"/>
                <w:lang w:val="en-GB"/>
              </w:rPr>
              <w:t>.</w:t>
            </w:r>
            <w:r w:rsidR="00A33C9A" w:rsidRPr="00427332">
              <w:rPr>
                <w:rFonts w:cs="Arial"/>
                <w:lang w:val="en-GB"/>
              </w:rPr>
              <w:t>4</w:t>
            </w:r>
            <w:r w:rsidR="000B2324" w:rsidRPr="00427332">
              <w:rPr>
                <w:rFonts w:cs="Arial"/>
                <w:lang w:val="en-GB"/>
              </w:rPr>
              <w:t> </w:t>
            </w:r>
            <w:r w:rsidR="0030607B">
              <w:rPr>
                <w:rFonts w:cs="Arial"/>
                <w:lang w:val="en-GB"/>
              </w:rPr>
              <w:t>p.p.</w:t>
            </w:r>
            <w:r w:rsidR="00A33C9A" w:rsidRPr="00427332">
              <w:rPr>
                <w:rFonts w:cs="Arial"/>
                <w:lang w:val="en-GB"/>
              </w:rPr>
              <w:t xml:space="preserve">). </w:t>
            </w:r>
            <w:r w:rsidR="008001F0">
              <w:rPr>
                <w:rFonts w:cs="Arial"/>
                <w:lang w:val="en-GB"/>
              </w:rPr>
              <w:t xml:space="preserve">All branches contributed positively in the last year, so even construction, which experienced relatively adverse situation in </w:t>
            </w:r>
            <w:r w:rsidR="008001F0" w:rsidRPr="00427332">
              <w:rPr>
                <w:rFonts w:cs="Arial"/>
                <w:lang w:val="en-GB"/>
              </w:rPr>
              <w:t>2016</w:t>
            </w:r>
            <w:r w:rsidR="008001F0">
              <w:rPr>
                <w:rFonts w:cs="Arial"/>
                <w:lang w:val="en-GB"/>
              </w:rPr>
              <w:t xml:space="preserve"> also achieved a positive, even though a small contribution in the last year </w:t>
            </w:r>
            <w:proofErr w:type="gramStart"/>
            <w:r w:rsidR="00A33C9A" w:rsidRPr="00427332">
              <w:rPr>
                <w:rFonts w:cs="Arial"/>
                <w:lang w:val="en-GB"/>
              </w:rPr>
              <w:t>(0</w:t>
            </w:r>
            <w:r w:rsidR="008001F0">
              <w:rPr>
                <w:rFonts w:cs="Arial"/>
                <w:lang w:val="en-GB"/>
              </w:rPr>
              <w:t>.</w:t>
            </w:r>
            <w:r w:rsidR="00A33C9A" w:rsidRPr="00427332">
              <w:rPr>
                <w:rFonts w:cs="Arial"/>
                <w:lang w:val="en-GB"/>
              </w:rPr>
              <w:t>1</w:t>
            </w:r>
            <w:r w:rsidR="000B2324" w:rsidRPr="00427332">
              <w:rPr>
                <w:rFonts w:cs="Arial"/>
                <w:lang w:val="en-GB"/>
              </w:rPr>
              <w:t> </w:t>
            </w:r>
            <w:r w:rsidR="0030607B">
              <w:rPr>
                <w:rFonts w:cs="Arial"/>
                <w:lang w:val="en-GB"/>
              </w:rPr>
              <w:t>p.p.</w:t>
            </w:r>
            <w:r w:rsidR="00A33C9A" w:rsidRPr="00427332">
              <w:rPr>
                <w:rFonts w:cs="Arial"/>
                <w:lang w:val="en-GB"/>
              </w:rPr>
              <w:t>)</w:t>
            </w:r>
            <w:proofErr w:type="gramEnd"/>
            <w:r w:rsidR="00A33C9A" w:rsidRPr="00427332">
              <w:rPr>
                <w:rFonts w:cs="Arial"/>
                <w:lang w:val="en-GB"/>
              </w:rPr>
              <w:t>.</w:t>
            </w:r>
          </w:p>
          <w:p w:rsidR="00551A4F" w:rsidRDefault="00551A4F" w:rsidP="006E4368">
            <w:pPr>
              <w:pStyle w:val="Textpoznpodarou"/>
              <w:jc w:val="both"/>
              <w:rPr>
                <w:rFonts w:cs="Arial"/>
                <w:lang w:val="en-GB"/>
              </w:rPr>
            </w:pPr>
          </w:p>
          <w:p w:rsidR="00551A4F" w:rsidRDefault="00551A4F" w:rsidP="006E4368">
            <w:pPr>
              <w:pStyle w:val="Textpoznpodarou"/>
              <w:jc w:val="both"/>
              <w:rPr>
                <w:rFonts w:cs="Arial"/>
                <w:lang w:val="en-GB"/>
              </w:rPr>
            </w:pPr>
          </w:p>
          <w:p w:rsidR="00551A4F" w:rsidRDefault="00551A4F" w:rsidP="006E4368">
            <w:pPr>
              <w:pStyle w:val="Textpoznpodarou"/>
              <w:jc w:val="both"/>
              <w:rPr>
                <w:rFonts w:cs="Arial"/>
                <w:lang w:val="en-GB"/>
              </w:rPr>
            </w:pPr>
          </w:p>
          <w:p w:rsidR="00551A4F" w:rsidRDefault="00551A4F" w:rsidP="006E4368">
            <w:pPr>
              <w:pStyle w:val="Textpoznpodarou"/>
              <w:jc w:val="both"/>
              <w:rPr>
                <w:rFonts w:cs="Arial"/>
                <w:lang w:val="en-GB"/>
              </w:rPr>
            </w:pPr>
          </w:p>
          <w:p w:rsidR="002133D5" w:rsidRDefault="002133D5" w:rsidP="006E4368">
            <w:pPr>
              <w:pStyle w:val="Textpoznpodarou"/>
              <w:jc w:val="both"/>
              <w:rPr>
                <w:rFonts w:cs="Arial"/>
                <w:lang w:val="en-GB"/>
              </w:rPr>
            </w:pPr>
          </w:p>
          <w:p w:rsidR="00551A4F" w:rsidRDefault="00551A4F" w:rsidP="006E4368">
            <w:pPr>
              <w:pStyle w:val="Textpoznpodarou"/>
              <w:jc w:val="both"/>
              <w:rPr>
                <w:rFonts w:cs="Arial"/>
                <w:lang w:val="en-GB"/>
              </w:rPr>
            </w:pPr>
          </w:p>
          <w:p w:rsidR="00551A4F" w:rsidRDefault="00551A4F" w:rsidP="006E4368">
            <w:pPr>
              <w:pStyle w:val="Textpoznpodarou"/>
              <w:jc w:val="both"/>
              <w:rPr>
                <w:rFonts w:cs="Arial"/>
                <w:lang w:val="en-GB"/>
              </w:rPr>
            </w:pPr>
          </w:p>
          <w:p w:rsidR="00551A4F" w:rsidRDefault="00551A4F" w:rsidP="006E4368">
            <w:pPr>
              <w:pStyle w:val="Textpoznpodarou"/>
              <w:jc w:val="both"/>
              <w:rPr>
                <w:rFonts w:cs="Arial"/>
                <w:sz w:val="16"/>
                <w:szCs w:val="16"/>
                <w:lang w:val="en-GB"/>
              </w:rPr>
            </w:pPr>
          </w:p>
          <w:p w:rsidR="006C2A70" w:rsidRDefault="006C2A70" w:rsidP="006E4368">
            <w:pPr>
              <w:pStyle w:val="Textpoznpodarou"/>
              <w:jc w:val="both"/>
              <w:rPr>
                <w:rFonts w:cs="Arial"/>
                <w:sz w:val="16"/>
                <w:szCs w:val="16"/>
                <w:lang w:val="en-GB"/>
              </w:rPr>
            </w:pPr>
          </w:p>
          <w:p w:rsidR="006C2A70" w:rsidRDefault="006C2A70" w:rsidP="006E4368">
            <w:pPr>
              <w:pStyle w:val="Textpoznpodarou"/>
              <w:jc w:val="both"/>
              <w:rPr>
                <w:rFonts w:cs="Arial"/>
                <w:sz w:val="16"/>
                <w:szCs w:val="16"/>
                <w:lang w:val="en-GB"/>
              </w:rPr>
            </w:pPr>
          </w:p>
          <w:p w:rsidR="006C2A70" w:rsidRDefault="006C2A70" w:rsidP="006E4368">
            <w:pPr>
              <w:pStyle w:val="Textpoznpodarou"/>
              <w:jc w:val="both"/>
              <w:rPr>
                <w:rFonts w:cs="Arial"/>
                <w:sz w:val="16"/>
                <w:szCs w:val="16"/>
                <w:lang w:val="en-GB"/>
              </w:rPr>
            </w:pPr>
          </w:p>
          <w:p w:rsidR="006C2A70" w:rsidRDefault="006C2A70" w:rsidP="006E4368">
            <w:pPr>
              <w:pStyle w:val="Textpoznpodarou"/>
              <w:jc w:val="both"/>
              <w:rPr>
                <w:rFonts w:cs="Arial"/>
                <w:sz w:val="16"/>
                <w:szCs w:val="16"/>
                <w:lang w:val="en-GB"/>
              </w:rPr>
            </w:pPr>
          </w:p>
          <w:p w:rsidR="006C2A70" w:rsidRDefault="006C2A70" w:rsidP="006E4368">
            <w:pPr>
              <w:pStyle w:val="Textpoznpodarou"/>
              <w:jc w:val="both"/>
              <w:rPr>
                <w:rFonts w:cs="Arial"/>
                <w:sz w:val="16"/>
                <w:szCs w:val="16"/>
                <w:lang w:val="en-GB"/>
              </w:rPr>
            </w:pPr>
          </w:p>
          <w:p w:rsidR="006C2A70" w:rsidRDefault="006C2A70" w:rsidP="006E4368">
            <w:pPr>
              <w:pStyle w:val="Textpoznpodarou"/>
              <w:jc w:val="both"/>
              <w:rPr>
                <w:rFonts w:cs="Arial"/>
                <w:sz w:val="16"/>
                <w:szCs w:val="16"/>
                <w:lang w:val="en-GB"/>
              </w:rPr>
            </w:pPr>
          </w:p>
          <w:p w:rsidR="006C2A70" w:rsidRDefault="006C2A70" w:rsidP="006E4368">
            <w:pPr>
              <w:pStyle w:val="Textpoznpodarou"/>
              <w:jc w:val="both"/>
              <w:rPr>
                <w:rFonts w:cs="Arial"/>
                <w:sz w:val="16"/>
                <w:szCs w:val="16"/>
                <w:lang w:val="en-GB"/>
              </w:rPr>
            </w:pPr>
          </w:p>
          <w:p w:rsidR="006C2A70" w:rsidRDefault="006C2A70" w:rsidP="006E4368">
            <w:pPr>
              <w:pStyle w:val="Textpoznpodarou"/>
              <w:jc w:val="both"/>
              <w:rPr>
                <w:rFonts w:cs="Arial"/>
                <w:sz w:val="16"/>
                <w:szCs w:val="16"/>
                <w:lang w:val="en-GB"/>
              </w:rPr>
            </w:pPr>
          </w:p>
          <w:p w:rsidR="006C2A70" w:rsidRDefault="006C2A70" w:rsidP="006E4368">
            <w:pPr>
              <w:pStyle w:val="Textpoznpodarou"/>
              <w:jc w:val="both"/>
              <w:rPr>
                <w:rFonts w:cs="Arial"/>
                <w:sz w:val="16"/>
                <w:szCs w:val="16"/>
                <w:lang w:val="en-GB"/>
              </w:rPr>
            </w:pPr>
          </w:p>
          <w:p w:rsidR="006C2A70" w:rsidRDefault="006C2A70" w:rsidP="006E4368">
            <w:pPr>
              <w:pStyle w:val="Textpoznpodarou"/>
              <w:jc w:val="both"/>
              <w:rPr>
                <w:rFonts w:cs="Arial"/>
                <w:sz w:val="16"/>
                <w:szCs w:val="16"/>
                <w:lang w:val="en-GB"/>
              </w:rPr>
            </w:pPr>
          </w:p>
          <w:p w:rsidR="006C2A70" w:rsidRDefault="006C2A70" w:rsidP="006E4368">
            <w:pPr>
              <w:pStyle w:val="Textpoznpodarou"/>
              <w:jc w:val="both"/>
              <w:rPr>
                <w:rFonts w:cs="Arial"/>
                <w:sz w:val="16"/>
                <w:szCs w:val="16"/>
                <w:lang w:val="en-GB"/>
              </w:rPr>
            </w:pPr>
          </w:p>
          <w:p w:rsidR="006C2A70" w:rsidRDefault="006C2A70" w:rsidP="006E4368">
            <w:pPr>
              <w:pStyle w:val="Textpoznpodarou"/>
              <w:jc w:val="both"/>
              <w:rPr>
                <w:rFonts w:cs="Arial"/>
                <w:sz w:val="16"/>
                <w:szCs w:val="16"/>
                <w:lang w:val="en-GB"/>
              </w:rPr>
            </w:pPr>
          </w:p>
          <w:p w:rsidR="006C2A70" w:rsidRPr="00427332" w:rsidRDefault="006C2A70" w:rsidP="006E4368">
            <w:pPr>
              <w:pStyle w:val="Textpoznpodarou"/>
              <w:jc w:val="both"/>
              <w:rPr>
                <w:rFonts w:cs="Arial"/>
                <w:sz w:val="16"/>
                <w:szCs w:val="16"/>
                <w:lang w:val="en-GB"/>
              </w:rPr>
            </w:pPr>
          </w:p>
          <w:p w:rsidR="00A33C9A" w:rsidRPr="00427332" w:rsidRDefault="00A33C9A" w:rsidP="006E4368">
            <w:pPr>
              <w:pStyle w:val="Textpoznpodarou"/>
              <w:jc w:val="both"/>
              <w:rPr>
                <w:rFonts w:cs="Arial"/>
                <w:sz w:val="16"/>
                <w:szCs w:val="16"/>
                <w:lang w:val="en-GB"/>
              </w:rPr>
            </w:pPr>
          </w:p>
        </w:tc>
      </w:tr>
      <w:tr w:rsidR="00A33C9A" w:rsidRPr="00A74192" w:rsidTr="006C3DC1">
        <w:tc>
          <w:tcPr>
            <w:tcW w:w="1007" w:type="pct"/>
          </w:tcPr>
          <w:p w:rsidR="00A33C9A" w:rsidRDefault="00A33C9A" w:rsidP="006C3DC1">
            <w:pPr>
              <w:spacing w:line="240" w:lineRule="auto"/>
              <w:jc w:val="center"/>
              <w:rPr>
                <w:rFonts w:cs="Arial"/>
                <w:sz w:val="16"/>
                <w:szCs w:val="16"/>
              </w:rPr>
            </w:pPr>
          </w:p>
        </w:tc>
        <w:tc>
          <w:tcPr>
            <w:tcW w:w="144" w:type="pct"/>
          </w:tcPr>
          <w:p w:rsidR="00A33C9A" w:rsidRPr="005E2AB2" w:rsidRDefault="00A33C9A" w:rsidP="006C3DC1">
            <w:pPr>
              <w:pStyle w:val="Textpoznpodarou"/>
              <w:jc w:val="both"/>
              <w:rPr>
                <w:rFonts w:cs="Arial"/>
              </w:rPr>
            </w:pPr>
          </w:p>
        </w:tc>
        <w:tc>
          <w:tcPr>
            <w:tcW w:w="575" w:type="pct"/>
          </w:tcPr>
          <w:p w:rsidR="00A33C9A" w:rsidRDefault="00427332" w:rsidP="006C3DC1">
            <w:pPr>
              <w:pStyle w:val="Textpoznpodarou"/>
              <w:jc w:val="both"/>
              <w:rPr>
                <w:rFonts w:cs="Arial"/>
              </w:rPr>
            </w:pPr>
            <w:r>
              <w:rPr>
                <w:rFonts w:cs="Arial"/>
                <w:lang w:eastAsia="en-US"/>
              </w:rPr>
              <w:t>Chart</w:t>
            </w:r>
            <w:r w:rsidR="00A33C9A" w:rsidRPr="005E2AB2">
              <w:rPr>
                <w:rFonts w:cs="Arial"/>
                <w:lang w:eastAsia="en-US"/>
              </w:rPr>
              <w:t xml:space="preserve"> 4</w:t>
            </w:r>
          </w:p>
        </w:tc>
        <w:tc>
          <w:tcPr>
            <w:tcW w:w="3274" w:type="pct"/>
            <w:gridSpan w:val="2"/>
          </w:tcPr>
          <w:p w:rsidR="00A33C9A" w:rsidRDefault="00055CE3" w:rsidP="006C3DC1">
            <w:pPr>
              <w:pStyle w:val="Textpoznpodarou"/>
              <w:rPr>
                <w:rFonts w:cs="Arial"/>
              </w:rPr>
            </w:pPr>
            <w:r w:rsidRPr="006515D6">
              <w:rPr>
                <w:b/>
                <w:lang w:val="en-GB" w:eastAsia="en-US"/>
              </w:rPr>
              <w:t xml:space="preserve">Contributions of branches to </w:t>
            </w:r>
            <w:r>
              <w:rPr>
                <w:b/>
                <w:lang w:val="en-GB" w:eastAsia="en-US"/>
              </w:rPr>
              <w:t xml:space="preserve">real </w:t>
            </w:r>
            <w:r w:rsidRPr="006515D6">
              <w:rPr>
                <w:b/>
                <w:lang w:val="en-GB" w:eastAsia="en-US"/>
              </w:rPr>
              <w:t xml:space="preserve">change in </w:t>
            </w:r>
            <w:r w:rsidRPr="00E13155">
              <w:rPr>
                <w:b/>
                <w:lang w:val="en-GB" w:eastAsia="en-US"/>
              </w:rPr>
              <w:t>GVA</w:t>
            </w:r>
            <w:r w:rsidRPr="00E13155">
              <w:rPr>
                <w:rFonts w:cs="Arial"/>
                <w:lang w:val="en-GB" w:eastAsia="en-US"/>
              </w:rPr>
              <w:t xml:space="preserve"> </w:t>
            </w:r>
            <w:r>
              <w:rPr>
                <w:rFonts w:cs="Arial"/>
                <w:lang w:val="en-GB" w:eastAsia="en-US"/>
              </w:rPr>
              <w:t>(</w:t>
            </w:r>
            <w:r w:rsidRPr="00E13155">
              <w:rPr>
                <w:rFonts w:cs="Arial"/>
                <w:lang w:val="en-GB" w:eastAsia="en-US"/>
              </w:rPr>
              <w:t xml:space="preserve">volume indices, year-on-year contributions in p.p., GVA </w:t>
            </w:r>
            <w:r>
              <w:rPr>
                <w:rFonts w:cs="Arial"/>
                <w:lang w:val="en-GB" w:eastAsia="en-US"/>
              </w:rPr>
              <w:t>in %</w:t>
            </w:r>
            <w:r w:rsidRPr="00E13155">
              <w:rPr>
                <w:rFonts w:cs="Arial"/>
                <w:lang w:val="en-GB" w:eastAsia="en-US"/>
              </w:rPr>
              <w:t>)</w:t>
            </w:r>
            <w:r w:rsidRPr="005E2AB2">
              <w:rPr>
                <w:rFonts w:cs="Arial"/>
                <w:lang w:eastAsia="en-US"/>
              </w:rPr>
              <w:t xml:space="preserve"> </w:t>
            </w:r>
          </w:p>
        </w:tc>
      </w:tr>
      <w:tr w:rsidR="00A33C9A" w:rsidRPr="00A74192" w:rsidTr="006C3DC1">
        <w:tc>
          <w:tcPr>
            <w:tcW w:w="1007" w:type="pct"/>
          </w:tcPr>
          <w:p w:rsidR="00A33C9A" w:rsidRDefault="00A33C9A" w:rsidP="006C3DC1">
            <w:pPr>
              <w:spacing w:line="240" w:lineRule="auto"/>
              <w:rPr>
                <w:rFonts w:cs="Arial"/>
                <w:sz w:val="16"/>
                <w:szCs w:val="16"/>
              </w:rPr>
            </w:pPr>
          </w:p>
        </w:tc>
        <w:tc>
          <w:tcPr>
            <w:tcW w:w="144" w:type="pct"/>
          </w:tcPr>
          <w:p w:rsidR="00A33C9A" w:rsidRPr="005E2AB2" w:rsidRDefault="00A33C9A" w:rsidP="006C3DC1">
            <w:pPr>
              <w:pStyle w:val="Textpoznpodarou"/>
              <w:jc w:val="both"/>
              <w:rPr>
                <w:rFonts w:cs="Arial"/>
              </w:rPr>
            </w:pPr>
          </w:p>
        </w:tc>
        <w:tc>
          <w:tcPr>
            <w:tcW w:w="3849" w:type="pct"/>
            <w:gridSpan w:val="3"/>
          </w:tcPr>
          <w:p w:rsidR="00A33C9A" w:rsidRDefault="00551A4F" w:rsidP="006C3DC1">
            <w:pPr>
              <w:pStyle w:val="Textpoznpodarou"/>
              <w:ind w:left="-95"/>
              <w:jc w:val="both"/>
              <w:rPr>
                <w:rFonts w:cs="Arial"/>
              </w:rPr>
            </w:pPr>
            <w:r w:rsidRPr="00551A4F">
              <w:rPr>
                <w:rFonts w:cs="Arial"/>
                <w:noProof/>
              </w:rPr>
              <w:drawing>
                <wp:inline distT="0" distB="0" distL="0" distR="0">
                  <wp:extent cx="4735902" cy="3420000"/>
                  <wp:effectExtent l="0" t="0" r="0" b="0"/>
                  <wp:docPr id="16"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3C9A" w:rsidRDefault="00790C15" w:rsidP="006C3DC1">
            <w:pPr>
              <w:pStyle w:val="Textpoznpodarou"/>
              <w:ind w:left="-95"/>
              <w:jc w:val="right"/>
              <w:rPr>
                <w:rFonts w:cs="Arial"/>
                <w:sz w:val="14"/>
                <w:szCs w:val="14"/>
                <w:lang w:eastAsia="en-US"/>
              </w:rPr>
            </w:pPr>
            <w:proofErr w:type="spellStart"/>
            <w:r>
              <w:rPr>
                <w:rFonts w:cs="Arial"/>
                <w:sz w:val="14"/>
                <w:szCs w:val="14"/>
                <w:lang w:eastAsia="en-US"/>
              </w:rPr>
              <w:t>Source</w:t>
            </w:r>
            <w:proofErr w:type="spellEnd"/>
            <w:r w:rsidR="00A33C9A" w:rsidRPr="007841BB">
              <w:rPr>
                <w:rFonts w:cs="Arial"/>
                <w:sz w:val="14"/>
                <w:szCs w:val="14"/>
                <w:lang w:eastAsia="en-US"/>
              </w:rPr>
              <w:t xml:space="preserve">: </w:t>
            </w:r>
            <w:r>
              <w:rPr>
                <w:rFonts w:cs="Arial"/>
                <w:sz w:val="14"/>
                <w:szCs w:val="14"/>
                <w:lang w:eastAsia="en-US"/>
              </w:rPr>
              <w:t>CZSO</w:t>
            </w:r>
          </w:p>
          <w:p w:rsidR="00055CE3" w:rsidRPr="007841BB" w:rsidRDefault="00055CE3" w:rsidP="006C3DC1">
            <w:pPr>
              <w:pStyle w:val="Textpoznpodarou"/>
              <w:ind w:left="-95"/>
              <w:jc w:val="right"/>
              <w:rPr>
                <w:rFonts w:cs="Arial"/>
                <w:sz w:val="14"/>
                <w:szCs w:val="14"/>
                <w:lang w:eastAsia="en-US"/>
              </w:rPr>
            </w:pPr>
          </w:p>
        </w:tc>
      </w:tr>
      <w:bookmarkEnd w:id="2"/>
    </w:tbl>
    <w:p w:rsidR="008A03DE" w:rsidRPr="00CE7158" w:rsidRDefault="008A03DE" w:rsidP="006C2A70">
      <w:pPr>
        <w:pStyle w:val="Nadpis1"/>
        <w:jc w:val="both"/>
        <w:rPr>
          <w:rFonts w:cs="Arial"/>
          <w:color w:val="000000"/>
          <w:sz w:val="10"/>
          <w:szCs w:val="10"/>
        </w:rPr>
      </w:pPr>
    </w:p>
    <w:sectPr w:rsidR="008A03DE" w:rsidRPr="00CE7158" w:rsidSect="006C2A70">
      <w:headerReference w:type="even" r:id="rId15"/>
      <w:headerReference w:type="default" r:id="rId16"/>
      <w:footerReference w:type="even" r:id="rId17"/>
      <w:footerReference w:type="default" r:id="rId18"/>
      <w:type w:val="continuous"/>
      <w:pgSz w:w="11906" w:h="16838" w:code="9"/>
      <w:pgMar w:top="1134" w:right="1134" w:bottom="1418" w:left="1134" w:header="680" w:footer="680"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36E" w:rsidRDefault="00B3736E" w:rsidP="00E71A58">
      <w:r>
        <w:separator/>
      </w:r>
    </w:p>
  </w:endnote>
  <w:endnote w:type="continuationSeparator" w:id="0">
    <w:p w:rsidR="00B3736E" w:rsidRDefault="00B3736E"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23" w:rsidRDefault="00224123"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a:ln w="9525">
                    <a:noFill/>
                    <a:miter lim="800000"/>
                    <a:headEnd/>
                    <a:tailEnd/>
                  </a:ln>
                </pic:spPr>
              </pic:pic>
            </a:graphicData>
          </a:graphic>
        </wp:anchor>
      </w:drawing>
    </w:r>
    <w:r w:rsidR="00142CB9" w:rsidRPr="005A21E0">
      <w:rPr>
        <w:rFonts w:ascii="Arial" w:hAnsi="Arial" w:cs="Arial"/>
        <w:sz w:val="16"/>
        <w:szCs w:val="16"/>
      </w:rPr>
      <w:fldChar w:fldCharType="begin"/>
    </w:r>
    <w:r w:rsidRPr="005A21E0">
      <w:rPr>
        <w:rFonts w:ascii="Arial" w:hAnsi="Arial" w:cs="Arial"/>
        <w:sz w:val="16"/>
        <w:szCs w:val="16"/>
      </w:rPr>
      <w:instrText>PAGE   \* MERGEFORMAT</w:instrText>
    </w:r>
    <w:r w:rsidR="00142CB9" w:rsidRPr="005A21E0">
      <w:rPr>
        <w:rFonts w:ascii="Arial" w:hAnsi="Arial" w:cs="Arial"/>
        <w:sz w:val="16"/>
        <w:szCs w:val="16"/>
      </w:rPr>
      <w:fldChar w:fldCharType="separate"/>
    </w:r>
    <w:r w:rsidR="006C2A70">
      <w:rPr>
        <w:rFonts w:ascii="Arial" w:hAnsi="Arial" w:cs="Arial"/>
        <w:noProof/>
        <w:sz w:val="16"/>
        <w:szCs w:val="16"/>
      </w:rPr>
      <w:t>6</w:t>
    </w:r>
    <w:r w:rsidR="00142CB9" w:rsidRPr="005A21E0">
      <w:rPr>
        <w:rFonts w:ascii="Arial" w:hAnsi="Arial" w:cs="Arial"/>
        <w:sz w:val="16"/>
        <w:szCs w:val="16"/>
      </w:rPr>
      <w:fldChar w:fldCharType="end"/>
    </w:r>
    <w:r>
      <w:rPr>
        <w:rFonts w:ascii="Arial" w:hAnsi="Arial" w:cs="Arial"/>
        <w:sz w:val="16"/>
        <w:szCs w:val="16"/>
      </w:rPr>
      <w:tab/>
      <w:t>2018</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23" w:rsidRDefault="00B6349B" w:rsidP="00357449">
    <w:pPr>
      <w:pStyle w:val="Zpat"/>
      <w:tabs>
        <w:tab w:val="clear" w:pos="4536"/>
        <w:tab w:val="clear" w:pos="9072"/>
        <w:tab w:val="left" w:pos="1134"/>
        <w:tab w:val="left" w:pos="1920"/>
        <w:tab w:val="center" w:pos="4820"/>
        <w:tab w:val="right" w:pos="9639"/>
      </w:tabs>
    </w:pPr>
    <w:r w:rsidRPr="00B6349B">
      <w:rPr>
        <w:noProof/>
        <w:lang w:eastAsia="cs-CZ"/>
      </w:rPr>
      <w:drawing>
        <wp:anchor distT="0" distB="0" distL="114300" distR="114300" simplePos="0" relativeHeight="251662848" behindDoc="0" locked="0" layoutInCell="1" allowOverlap="1">
          <wp:simplePos x="0" y="0"/>
          <wp:positionH relativeFrom="column">
            <wp:posOffset>-100538</wp:posOffset>
          </wp:positionH>
          <wp:positionV relativeFrom="paragraph">
            <wp:posOffset>183818</wp:posOffset>
          </wp:positionV>
          <wp:extent cx="690633" cy="204716"/>
          <wp:effectExtent l="19050" t="0" r="0" b="0"/>
          <wp:wrapNone/>
          <wp:docPr id="5" name="obrázek 7"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RGB EN logo-02"/>
                  <pic:cNvPicPr>
                    <a:picLocks noChangeAspect="1" noChangeArrowheads="1"/>
                  </pic:cNvPicPr>
                </pic:nvPicPr>
                <pic:blipFill>
                  <a:blip r:embed="rId1"/>
                  <a:srcRect/>
                  <a:stretch>
                    <a:fillRect/>
                  </a:stretch>
                </pic:blipFill>
                <pic:spPr bwMode="auto">
                  <a:xfrm>
                    <a:off x="0" y="0"/>
                    <a:ext cx="690633" cy="204716"/>
                  </a:xfrm>
                  <a:prstGeom prst="rect">
                    <a:avLst/>
                  </a:prstGeom>
                  <a:noFill/>
                  <a:ln w="9525">
                    <a:noFill/>
                    <a:miter lim="800000"/>
                    <a:headEnd/>
                    <a:tailEnd/>
                  </a:ln>
                </pic:spPr>
              </pic:pic>
            </a:graphicData>
          </a:graphic>
        </wp:anchor>
      </w:drawing>
    </w:r>
    <w:r w:rsidR="00224123">
      <w:tab/>
    </w:r>
    <w:r w:rsidR="00224123">
      <w:tab/>
    </w:r>
    <w:r w:rsidR="00224123" w:rsidRPr="00DC5B3B">
      <w:t xml:space="preserve">                              </w:t>
    </w:r>
  </w:p>
  <w:p w:rsidR="00224123" w:rsidRPr="00223E00" w:rsidRDefault="00224123"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2018</w:t>
    </w:r>
    <w:r>
      <w:rPr>
        <w:rFonts w:ascii="Arial" w:hAnsi="Arial" w:cs="Arial"/>
        <w:sz w:val="16"/>
        <w:szCs w:val="16"/>
      </w:rPr>
      <w:tab/>
    </w:r>
    <w:r w:rsidR="00142CB9"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142CB9" w:rsidRPr="00223E00">
      <w:rPr>
        <w:rFonts w:ascii="Arial" w:hAnsi="Arial" w:cs="Arial"/>
        <w:sz w:val="16"/>
        <w:szCs w:val="16"/>
      </w:rPr>
      <w:fldChar w:fldCharType="separate"/>
    </w:r>
    <w:r w:rsidR="006C2A70">
      <w:rPr>
        <w:rFonts w:ascii="Arial" w:hAnsi="Arial" w:cs="Arial"/>
        <w:noProof/>
        <w:sz w:val="16"/>
        <w:szCs w:val="16"/>
      </w:rPr>
      <w:t>5</w:t>
    </w:r>
    <w:r w:rsidR="00142CB9"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36E" w:rsidRDefault="00B3736E" w:rsidP="00E71A58">
      <w:r>
        <w:separator/>
      </w:r>
    </w:p>
  </w:footnote>
  <w:footnote w:type="continuationSeparator" w:id="0">
    <w:p w:rsidR="00B3736E" w:rsidRDefault="00B3736E" w:rsidP="00E71A58">
      <w:r>
        <w:continuationSeparator/>
      </w:r>
    </w:p>
  </w:footnote>
  <w:footnote w:id="1">
    <w:p w:rsidR="00224123" w:rsidRPr="00526A54" w:rsidRDefault="00224123" w:rsidP="00526A54">
      <w:pPr>
        <w:pStyle w:val="Textpoznpodarou"/>
        <w:jc w:val="both"/>
        <w:rPr>
          <w:sz w:val="16"/>
          <w:szCs w:val="16"/>
          <w:lang w:val="en-GB"/>
        </w:rPr>
      </w:pPr>
      <w:r w:rsidRPr="00EF1EE3">
        <w:rPr>
          <w:rStyle w:val="Znakapoznpodarou"/>
          <w:sz w:val="16"/>
          <w:szCs w:val="16"/>
        </w:rPr>
        <w:footnoteRef/>
      </w:r>
      <w:r w:rsidRPr="00EF1EE3">
        <w:rPr>
          <w:sz w:val="16"/>
          <w:szCs w:val="16"/>
        </w:rPr>
        <w:t xml:space="preserve"> </w:t>
      </w:r>
      <w:r w:rsidRPr="00526A54">
        <w:rPr>
          <w:sz w:val="16"/>
          <w:szCs w:val="16"/>
          <w:lang w:val="en-GB"/>
        </w:rPr>
        <w:t>The development of the GDP, gross value added and their components is expressed with the help of the volume indices (i.e. adjusted for changes in prices) and adjusted for seasonal and calendar effects. Data were published on 2.</w:t>
      </w:r>
      <w:r>
        <w:rPr>
          <w:sz w:val="16"/>
          <w:szCs w:val="16"/>
          <w:lang w:val="en-GB"/>
        </w:rPr>
        <w:t xml:space="preserve"> </w:t>
      </w:r>
      <w:r w:rsidRPr="00526A54">
        <w:rPr>
          <w:sz w:val="16"/>
          <w:szCs w:val="16"/>
          <w:lang w:val="en-GB"/>
        </w:rPr>
        <w:t>3.</w:t>
      </w:r>
      <w:r>
        <w:rPr>
          <w:sz w:val="16"/>
          <w:szCs w:val="16"/>
          <w:lang w:val="en-GB"/>
        </w:rPr>
        <w:t xml:space="preserve"> </w:t>
      </w:r>
      <w:r w:rsidRPr="00526A54">
        <w:rPr>
          <w:sz w:val="16"/>
          <w:szCs w:val="16"/>
          <w:lang w:val="en-GB"/>
        </w:rPr>
        <w:t>2018 and the revised data will be published on 3.</w:t>
      </w:r>
      <w:r>
        <w:rPr>
          <w:sz w:val="16"/>
          <w:szCs w:val="16"/>
          <w:lang w:val="en-GB"/>
        </w:rPr>
        <w:t xml:space="preserve"> </w:t>
      </w:r>
      <w:r w:rsidRPr="00526A54">
        <w:rPr>
          <w:sz w:val="16"/>
          <w:szCs w:val="16"/>
          <w:lang w:val="en-GB"/>
        </w:rPr>
        <w:t>4.</w:t>
      </w:r>
      <w:r>
        <w:rPr>
          <w:sz w:val="16"/>
          <w:szCs w:val="16"/>
          <w:lang w:val="en-GB"/>
        </w:rPr>
        <w:t xml:space="preserve"> </w:t>
      </w:r>
      <w:r w:rsidRPr="00526A54">
        <w:rPr>
          <w:sz w:val="16"/>
          <w:szCs w:val="16"/>
          <w:lang w:val="en-GB"/>
        </w:rPr>
        <w:t xml:space="preserve">2018. </w:t>
      </w:r>
    </w:p>
  </w:footnote>
  <w:footnote w:id="2">
    <w:p w:rsidR="00224123" w:rsidRPr="000B5746" w:rsidRDefault="00224123" w:rsidP="000B5746">
      <w:pPr>
        <w:pStyle w:val="Textpoznpodarou"/>
        <w:jc w:val="both"/>
        <w:rPr>
          <w:sz w:val="16"/>
          <w:szCs w:val="16"/>
          <w:lang w:val="en-GB"/>
        </w:rPr>
      </w:pPr>
      <w:r w:rsidRPr="000B5746">
        <w:rPr>
          <w:rStyle w:val="Znakapoznpodarou"/>
          <w:sz w:val="16"/>
          <w:szCs w:val="16"/>
          <w:lang w:val="en-GB"/>
        </w:rPr>
        <w:footnoteRef/>
      </w:r>
      <w:r w:rsidRPr="000B5746">
        <w:rPr>
          <w:sz w:val="16"/>
          <w:szCs w:val="16"/>
          <w:lang w:val="en-GB"/>
        </w:rPr>
        <w:t xml:space="preserve"> </w:t>
      </w:r>
      <w:proofErr w:type="gramStart"/>
      <w:r w:rsidRPr="000B5746">
        <w:rPr>
          <w:sz w:val="16"/>
          <w:szCs w:val="16"/>
          <w:lang w:val="en-GB"/>
        </w:rPr>
        <w:t>Data for Ireland and Luxembourg not available.</w:t>
      </w:r>
      <w:proofErr w:type="gramEnd"/>
      <w:r w:rsidRPr="000B5746">
        <w:rPr>
          <w:sz w:val="16"/>
          <w:szCs w:val="16"/>
          <w:lang w:val="en-GB"/>
        </w:rPr>
        <w:t xml:space="preserve"> Slovakian data are not adjusted for calendar effects. </w:t>
      </w:r>
    </w:p>
  </w:footnote>
  <w:footnote w:id="3">
    <w:p w:rsidR="00224123" w:rsidRPr="000D434D" w:rsidRDefault="00224123" w:rsidP="000D434D">
      <w:pPr>
        <w:pStyle w:val="Textpoznpodarou"/>
        <w:jc w:val="both"/>
        <w:rPr>
          <w:sz w:val="16"/>
          <w:szCs w:val="16"/>
          <w:lang w:val="en-GB"/>
        </w:rPr>
      </w:pPr>
      <w:r w:rsidRPr="007933CD">
        <w:rPr>
          <w:rStyle w:val="Znakapoznpodarou"/>
          <w:sz w:val="16"/>
          <w:szCs w:val="16"/>
        </w:rPr>
        <w:footnoteRef/>
      </w:r>
      <w:r w:rsidRPr="007933CD">
        <w:rPr>
          <w:sz w:val="16"/>
          <w:szCs w:val="16"/>
        </w:rPr>
        <w:t xml:space="preserve"> </w:t>
      </w:r>
      <w:r w:rsidRPr="000D434D">
        <w:rPr>
          <w:sz w:val="16"/>
          <w:szCs w:val="16"/>
          <w:lang w:val="en-GB"/>
        </w:rPr>
        <w:t xml:space="preserve">Data regarding the household consumption based on the durability of goods are not seasonally adjusted. </w:t>
      </w:r>
    </w:p>
  </w:footnote>
  <w:footnote w:id="4">
    <w:p w:rsidR="00224123" w:rsidRPr="00AC0725" w:rsidRDefault="00224123" w:rsidP="000D434D">
      <w:pPr>
        <w:pStyle w:val="Textpoznpodarou"/>
        <w:jc w:val="both"/>
        <w:rPr>
          <w:sz w:val="16"/>
          <w:szCs w:val="16"/>
          <w:lang w:val="en-GB"/>
        </w:rPr>
      </w:pPr>
      <w:r w:rsidRPr="00AC0725">
        <w:rPr>
          <w:rStyle w:val="Znakapoznpodarou"/>
          <w:sz w:val="16"/>
          <w:szCs w:val="16"/>
          <w:lang w:val="en-GB"/>
        </w:rPr>
        <w:footnoteRef/>
      </w:r>
      <w:r w:rsidRPr="00AC0725">
        <w:rPr>
          <w:sz w:val="16"/>
          <w:szCs w:val="16"/>
          <w:lang w:val="en-GB"/>
        </w:rPr>
        <w:t xml:space="preserve"> </w:t>
      </w:r>
      <w:r>
        <w:rPr>
          <w:sz w:val="16"/>
          <w:szCs w:val="16"/>
          <w:lang w:val="en-GB"/>
        </w:rPr>
        <w:t xml:space="preserve">Contributions to GDP change after exclusion of imports for final use. </w:t>
      </w:r>
    </w:p>
  </w:footnote>
  <w:footnote w:id="5">
    <w:p w:rsidR="00224123" w:rsidRPr="00AC0725" w:rsidRDefault="00224123" w:rsidP="000D434D">
      <w:pPr>
        <w:pStyle w:val="Textpoznpodarou"/>
        <w:jc w:val="both"/>
        <w:rPr>
          <w:sz w:val="16"/>
          <w:szCs w:val="16"/>
          <w:lang w:val="en-GB"/>
        </w:rPr>
      </w:pPr>
      <w:r w:rsidRPr="00AC0725">
        <w:rPr>
          <w:rStyle w:val="Znakapoznpodarou"/>
          <w:sz w:val="16"/>
          <w:szCs w:val="16"/>
          <w:lang w:val="en-GB"/>
        </w:rPr>
        <w:footnoteRef/>
      </w:r>
      <w:r w:rsidRPr="00AC0725">
        <w:rPr>
          <w:sz w:val="16"/>
          <w:szCs w:val="16"/>
          <w:lang w:val="en-GB"/>
        </w:rPr>
        <w:t xml:space="preserve"> </w:t>
      </w:r>
      <w:proofErr w:type="gramStart"/>
      <w:r w:rsidRPr="00AC0725">
        <w:rPr>
          <w:sz w:val="16"/>
          <w:szCs w:val="16"/>
          <w:lang w:val="en-GB"/>
        </w:rPr>
        <w:t>Converted into the real expression using the deflator of final consumption expenditure of households.</w:t>
      </w:r>
      <w:proofErr w:type="gramEnd"/>
    </w:p>
  </w:footnote>
  <w:footnote w:id="6">
    <w:p w:rsidR="00224123" w:rsidRPr="00AC0725" w:rsidRDefault="00224123" w:rsidP="000D434D">
      <w:pPr>
        <w:pStyle w:val="Textpoznpodarou"/>
        <w:jc w:val="both"/>
        <w:rPr>
          <w:lang w:val="en-GB"/>
        </w:rPr>
      </w:pPr>
      <w:r w:rsidRPr="00AC0725">
        <w:rPr>
          <w:rStyle w:val="Znakapoznpodarou"/>
          <w:sz w:val="16"/>
          <w:szCs w:val="16"/>
          <w:lang w:val="en-GB"/>
        </w:rPr>
        <w:footnoteRef/>
      </w:r>
      <w:r w:rsidRPr="00AC0725">
        <w:rPr>
          <w:sz w:val="16"/>
          <w:szCs w:val="16"/>
          <w:lang w:val="en-GB"/>
        </w:rPr>
        <w:t xml:space="preserve"> In the national accounts conception, seasonally adjusted. </w:t>
      </w:r>
    </w:p>
  </w:footnote>
  <w:footnote w:id="7">
    <w:p w:rsidR="00224123" w:rsidRPr="008434B0" w:rsidRDefault="00224123" w:rsidP="008434B0">
      <w:pPr>
        <w:pStyle w:val="Textpoznpodarou"/>
        <w:jc w:val="both"/>
        <w:rPr>
          <w:sz w:val="16"/>
          <w:szCs w:val="16"/>
          <w:lang w:val="en-GB"/>
        </w:rPr>
      </w:pPr>
      <w:r w:rsidRPr="0021552C">
        <w:rPr>
          <w:rStyle w:val="Znakapoznpodarou"/>
          <w:sz w:val="16"/>
          <w:szCs w:val="16"/>
        </w:rPr>
        <w:footnoteRef/>
      </w:r>
      <w:r w:rsidRPr="0021552C">
        <w:rPr>
          <w:sz w:val="16"/>
          <w:szCs w:val="16"/>
        </w:rPr>
        <w:t xml:space="preserve"> </w:t>
      </w:r>
      <w:r w:rsidRPr="008434B0">
        <w:rPr>
          <w:rFonts w:cs="Arial"/>
          <w:sz w:val="16"/>
          <w:szCs w:val="16"/>
          <w:lang w:val="en-GB"/>
        </w:rPr>
        <w:t xml:space="preserve">Data regarding the type classification of gross fixed capital formation are not seasonally adjusted. </w:t>
      </w:r>
    </w:p>
  </w:footnote>
  <w:footnote w:id="8">
    <w:p w:rsidR="00224123" w:rsidRPr="00167B30" w:rsidRDefault="00224123" w:rsidP="006E4368">
      <w:pPr>
        <w:pStyle w:val="Textpoznpodarou"/>
        <w:rPr>
          <w:sz w:val="16"/>
          <w:szCs w:val="16"/>
        </w:rPr>
      </w:pPr>
      <w:r w:rsidRPr="00167B30">
        <w:rPr>
          <w:rStyle w:val="Znakapoznpodarou"/>
          <w:sz w:val="16"/>
          <w:szCs w:val="16"/>
        </w:rPr>
        <w:footnoteRef/>
      </w:r>
      <w:r w:rsidRPr="00167B30">
        <w:rPr>
          <w:sz w:val="16"/>
          <w:szCs w:val="16"/>
        </w:rPr>
        <w:t xml:space="preserve"> </w:t>
      </w:r>
      <w:proofErr w:type="gramStart"/>
      <w:r w:rsidRPr="00855C69">
        <w:rPr>
          <w:sz w:val="16"/>
          <w:szCs w:val="16"/>
          <w:lang w:val="en-GB"/>
        </w:rPr>
        <w:t>Based on the methodology of the national accounts</w:t>
      </w:r>
      <w:r>
        <w:rPr>
          <w:sz w:val="16"/>
          <w:szCs w:val="16"/>
          <w:lang w:val="en-GB"/>
        </w:rPr>
        <w:t>.</w:t>
      </w:r>
      <w:proofErr w:type="gramEnd"/>
      <w:r>
        <w:rPr>
          <w:sz w:val="16"/>
          <w:szCs w:val="16"/>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23" w:rsidRPr="002473CA" w:rsidRDefault="00224123" w:rsidP="00D766EF">
    <w:pPr>
      <w:pStyle w:val="Zhlav"/>
      <w:tabs>
        <w:tab w:val="clear" w:pos="4536"/>
        <w:tab w:val="clear" w:pos="9072"/>
        <w:tab w:val="left" w:pos="-6379"/>
        <w:tab w:val="center" w:pos="4820"/>
        <w:tab w:val="right" w:pos="9639"/>
      </w:tabs>
      <w:rPr>
        <w:rFonts w:ascii="Arial" w:hAnsi="Arial" w:cs="Arial"/>
        <w:sz w:val="16"/>
        <w:szCs w:val="16"/>
        <w:lang w:val="en-US"/>
      </w:rPr>
    </w:pPr>
    <w:r w:rsidRPr="002473CA">
      <w:rPr>
        <w:rFonts w:ascii="Arial" w:hAnsi="Arial" w:cs="Arial"/>
        <w:sz w:val="16"/>
        <w:szCs w:val="16"/>
        <w:lang w:val="en-US"/>
      </w:rPr>
      <w:t>The Czech Economy Development in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23" w:rsidRPr="00ED0C9B" w:rsidRDefault="00224123" w:rsidP="0030768C">
    <w:pPr>
      <w:pStyle w:val="Zhlav"/>
      <w:tabs>
        <w:tab w:val="clear" w:pos="4536"/>
        <w:tab w:val="clear" w:pos="9072"/>
        <w:tab w:val="left" w:pos="-6379"/>
        <w:tab w:val="center" w:pos="4820"/>
        <w:tab w:val="right" w:pos="9639"/>
      </w:tabs>
      <w:rPr>
        <w:rFonts w:ascii="Arial" w:hAnsi="Arial" w:cs="Arial"/>
        <w:sz w:val="16"/>
        <w:szCs w:val="16"/>
        <w:lang w:val="en-GB"/>
      </w:rPr>
    </w:pPr>
    <w:r w:rsidRPr="00ED0C9B">
      <w:rPr>
        <w:rFonts w:ascii="Arial" w:hAnsi="Arial" w:cs="Arial"/>
        <w:sz w:val="16"/>
        <w:szCs w:val="16"/>
        <w:lang w:val="en-GB"/>
      </w:rPr>
      <w:t>The Czech Economy Development in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BAB"/>
    <w:multiLevelType w:val="hybridMultilevel"/>
    <w:tmpl w:val="4150E6B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6FB457C"/>
    <w:multiLevelType w:val="hybridMultilevel"/>
    <w:tmpl w:val="5A2A4F0E"/>
    <w:lvl w:ilvl="0" w:tplc="AFDC3104">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86057FE"/>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9714A0B"/>
    <w:multiLevelType w:val="hybridMultilevel"/>
    <w:tmpl w:val="11CE6D6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9CF62C9"/>
    <w:multiLevelType w:val="hybridMultilevel"/>
    <w:tmpl w:val="FFCA852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6">
    <w:nsid w:val="1A48046E"/>
    <w:multiLevelType w:val="hybridMultilevel"/>
    <w:tmpl w:val="5A2A4F0E"/>
    <w:lvl w:ilvl="0" w:tplc="AFDC3104">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23A7708B"/>
    <w:multiLevelType w:val="hybridMultilevel"/>
    <w:tmpl w:val="9CF6FB5C"/>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31AD014E"/>
    <w:multiLevelType w:val="hybridMultilevel"/>
    <w:tmpl w:val="5A5ABD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33B18EA"/>
    <w:multiLevelType w:val="hybridMultilevel"/>
    <w:tmpl w:val="CFC2F5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2E20C48"/>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481D5127"/>
    <w:multiLevelType w:val="hybridMultilevel"/>
    <w:tmpl w:val="9128439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534B5E"/>
    <w:multiLevelType w:val="hybridMultilevel"/>
    <w:tmpl w:val="1180B7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5760513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5D4D0FE2"/>
    <w:multiLevelType w:val="hybridMultilevel"/>
    <w:tmpl w:val="ECDE86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F940067"/>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3690D45"/>
    <w:multiLevelType w:val="hybridMultilevel"/>
    <w:tmpl w:val="7810A3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F805D16"/>
    <w:multiLevelType w:val="hybridMultilevel"/>
    <w:tmpl w:val="A12480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35261EC"/>
    <w:multiLevelType w:val="hybridMultilevel"/>
    <w:tmpl w:val="BFC0B0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ABC47DB"/>
    <w:multiLevelType w:val="hybridMultilevel"/>
    <w:tmpl w:val="AA506508"/>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18"/>
  </w:num>
  <w:num w:numId="2">
    <w:abstractNumId w:val="24"/>
  </w:num>
  <w:num w:numId="3">
    <w:abstractNumId w:val="14"/>
  </w:num>
  <w:num w:numId="4">
    <w:abstractNumId w:val="22"/>
  </w:num>
  <w:num w:numId="5">
    <w:abstractNumId w:val="16"/>
  </w:num>
  <w:num w:numId="6">
    <w:abstractNumId w:val="19"/>
  </w:num>
  <w:num w:numId="7">
    <w:abstractNumId w:val="5"/>
  </w:num>
  <w:num w:numId="8">
    <w:abstractNumId w:val="12"/>
  </w:num>
  <w:num w:numId="9">
    <w:abstractNumId w:val="21"/>
  </w:num>
  <w:num w:numId="10">
    <w:abstractNumId w:val="4"/>
  </w:num>
  <w:num w:numId="11">
    <w:abstractNumId w:val="9"/>
  </w:num>
  <w:num w:numId="12">
    <w:abstractNumId w:val="2"/>
  </w:num>
  <w:num w:numId="13">
    <w:abstractNumId w:val="8"/>
  </w:num>
  <w:num w:numId="14">
    <w:abstractNumId w:val="0"/>
  </w:num>
  <w:num w:numId="15">
    <w:abstractNumId w:val="20"/>
  </w:num>
  <w:num w:numId="16">
    <w:abstractNumId w:val="17"/>
  </w:num>
  <w:num w:numId="17">
    <w:abstractNumId w:val="7"/>
  </w:num>
  <w:num w:numId="18">
    <w:abstractNumId w:val="23"/>
  </w:num>
  <w:num w:numId="19">
    <w:abstractNumId w:val="10"/>
  </w:num>
  <w:num w:numId="20">
    <w:abstractNumId w:val="1"/>
  </w:num>
  <w:num w:numId="21">
    <w:abstractNumId w:val="13"/>
  </w:num>
  <w:num w:numId="22">
    <w:abstractNumId w:val="15"/>
  </w:num>
  <w:num w:numId="23">
    <w:abstractNumId w:val="3"/>
  </w:num>
  <w:num w:numId="24">
    <w:abstractNumId w:val="6"/>
  </w:num>
  <w:num w:numId="25">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9B70BD"/>
    <w:rsid w:val="00000C43"/>
    <w:rsid w:val="00000FA7"/>
    <w:rsid w:val="00001EFF"/>
    <w:rsid w:val="00002F5C"/>
    <w:rsid w:val="00003687"/>
    <w:rsid w:val="00003C43"/>
    <w:rsid w:val="00004C5D"/>
    <w:rsid w:val="00004EB0"/>
    <w:rsid w:val="00004FF9"/>
    <w:rsid w:val="00006AAD"/>
    <w:rsid w:val="00007498"/>
    <w:rsid w:val="0000767A"/>
    <w:rsid w:val="000101F5"/>
    <w:rsid w:val="000104B9"/>
    <w:rsid w:val="00010702"/>
    <w:rsid w:val="00010770"/>
    <w:rsid w:val="00010982"/>
    <w:rsid w:val="00011191"/>
    <w:rsid w:val="0001159B"/>
    <w:rsid w:val="000117CA"/>
    <w:rsid w:val="00012986"/>
    <w:rsid w:val="000129CF"/>
    <w:rsid w:val="00013C75"/>
    <w:rsid w:val="00014028"/>
    <w:rsid w:val="00014690"/>
    <w:rsid w:val="00015195"/>
    <w:rsid w:val="0001519F"/>
    <w:rsid w:val="0001572B"/>
    <w:rsid w:val="0001573E"/>
    <w:rsid w:val="000157DA"/>
    <w:rsid w:val="0001589D"/>
    <w:rsid w:val="00016033"/>
    <w:rsid w:val="000162DB"/>
    <w:rsid w:val="00017F05"/>
    <w:rsid w:val="000202C6"/>
    <w:rsid w:val="00020315"/>
    <w:rsid w:val="000208B1"/>
    <w:rsid w:val="00020946"/>
    <w:rsid w:val="00021B1D"/>
    <w:rsid w:val="00022081"/>
    <w:rsid w:val="0002292C"/>
    <w:rsid w:val="00022983"/>
    <w:rsid w:val="00022B41"/>
    <w:rsid w:val="00022D8D"/>
    <w:rsid w:val="00023FB5"/>
    <w:rsid w:val="0002434F"/>
    <w:rsid w:val="00024887"/>
    <w:rsid w:val="00024CBA"/>
    <w:rsid w:val="00025501"/>
    <w:rsid w:val="00026998"/>
    <w:rsid w:val="00026B06"/>
    <w:rsid w:val="000304C4"/>
    <w:rsid w:val="0003066A"/>
    <w:rsid w:val="00030F14"/>
    <w:rsid w:val="000311C5"/>
    <w:rsid w:val="00032838"/>
    <w:rsid w:val="00032C12"/>
    <w:rsid w:val="00032E0C"/>
    <w:rsid w:val="000341F6"/>
    <w:rsid w:val="00034D3F"/>
    <w:rsid w:val="00035CCF"/>
    <w:rsid w:val="00035FC6"/>
    <w:rsid w:val="0003705E"/>
    <w:rsid w:val="00037667"/>
    <w:rsid w:val="0003780E"/>
    <w:rsid w:val="0004075D"/>
    <w:rsid w:val="000411E1"/>
    <w:rsid w:val="00041E9C"/>
    <w:rsid w:val="00042EC6"/>
    <w:rsid w:val="00043C68"/>
    <w:rsid w:val="00043E05"/>
    <w:rsid w:val="0004442E"/>
    <w:rsid w:val="00044913"/>
    <w:rsid w:val="00045681"/>
    <w:rsid w:val="0004694F"/>
    <w:rsid w:val="00046E43"/>
    <w:rsid w:val="000500DC"/>
    <w:rsid w:val="000509FD"/>
    <w:rsid w:val="000516F5"/>
    <w:rsid w:val="00051ADE"/>
    <w:rsid w:val="00052052"/>
    <w:rsid w:val="00052172"/>
    <w:rsid w:val="0005235A"/>
    <w:rsid w:val="000534FD"/>
    <w:rsid w:val="00053CBA"/>
    <w:rsid w:val="00054E43"/>
    <w:rsid w:val="00055059"/>
    <w:rsid w:val="000553E4"/>
    <w:rsid w:val="00055CE3"/>
    <w:rsid w:val="0005619C"/>
    <w:rsid w:val="000567FA"/>
    <w:rsid w:val="00056B26"/>
    <w:rsid w:val="00057C16"/>
    <w:rsid w:val="00060F26"/>
    <w:rsid w:val="00062D43"/>
    <w:rsid w:val="00062E1E"/>
    <w:rsid w:val="00062EC5"/>
    <w:rsid w:val="00063AF0"/>
    <w:rsid w:val="00064256"/>
    <w:rsid w:val="00065425"/>
    <w:rsid w:val="0006638F"/>
    <w:rsid w:val="00066B7B"/>
    <w:rsid w:val="000673F8"/>
    <w:rsid w:val="00070314"/>
    <w:rsid w:val="000706A4"/>
    <w:rsid w:val="00070A0C"/>
    <w:rsid w:val="00071F80"/>
    <w:rsid w:val="00072118"/>
    <w:rsid w:val="00073173"/>
    <w:rsid w:val="0007324C"/>
    <w:rsid w:val="00073655"/>
    <w:rsid w:val="000777FF"/>
    <w:rsid w:val="000779AC"/>
    <w:rsid w:val="00077C8D"/>
    <w:rsid w:val="000807ED"/>
    <w:rsid w:val="00080A41"/>
    <w:rsid w:val="00080AA8"/>
    <w:rsid w:val="00081851"/>
    <w:rsid w:val="0008376A"/>
    <w:rsid w:val="00083803"/>
    <w:rsid w:val="00083D7F"/>
    <w:rsid w:val="00083FE5"/>
    <w:rsid w:val="00084393"/>
    <w:rsid w:val="00084771"/>
    <w:rsid w:val="00085094"/>
    <w:rsid w:val="0008716A"/>
    <w:rsid w:val="00087634"/>
    <w:rsid w:val="0008769B"/>
    <w:rsid w:val="00091237"/>
    <w:rsid w:val="000916B1"/>
    <w:rsid w:val="0009191B"/>
    <w:rsid w:val="000920EC"/>
    <w:rsid w:val="000921B6"/>
    <w:rsid w:val="00092208"/>
    <w:rsid w:val="00092505"/>
    <w:rsid w:val="000927EB"/>
    <w:rsid w:val="00092832"/>
    <w:rsid w:val="00092C9A"/>
    <w:rsid w:val="00092D0F"/>
    <w:rsid w:val="00093F4B"/>
    <w:rsid w:val="00093FF2"/>
    <w:rsid w:val="0009437C"/>
    <w:rsid w:val="00096747"/>
    <w:rsid w:val="000973B6"/>
    <w:rsid w:val="000977F5"/>
    <w:rsid w:val="00097BFC"/>
    <w:rsid w:val="00097D02"/>
    <w:rsid w:val="000A1183"/>
    <w:rsid w:val="000A1A47"/>
    <w:rsid w:val="000A1B31"/>
    <w:rsid w:val="000A2121"/>
    <w:rsid w:val="000A2484"/>
    <w:rsid w:val="000A2929"/>
    <w:rsid w:val="000A36CE"/>
    <w:rsid w:val="000A4FFD"/>
    <w:rsid w:val="000A59BF"/>
    <w:rsid w:val="000A66C2"/>
    <w:rsid w:val="000A68A7"/>
    <w:rsid w:val="000A6F68"/>
    <w:rsid w:val="000B1CFE"/>
    <w:rsid w:val="000B210A"/>
    <w:rsid w:val="000B2324"/>
    <w:rsid w:val="000B249B"/>
    <w:rsid w:val="000B2729"/>
    <w:rsid w:val="000B27B2"/>
    <w:rsid w:val="000B2ADE"/>
    <w:rsid w:val="000B3B01"/>
    <w:rsid w:val="000B3C13"/>
    <w:rsid w:val="000B3DB9"/>
    <w:rsid w:val="000B3F02"/>
    <w:rsid w:val="000B4550"/>
    <w:rsid w:val="000B48A2"/>
    <w:rsid w:val="000B48E7"/>
    <w:rsid w:val="000B4E9F"/>
    <w:rsid w:val="000B4F41"/>
    <w:rsid w:val="000B5746"/>
    <w:rsid w:val="000B7663"/>
    <w:rsid w:val="000B7A90"/>
    <w:rsid w:val="000C1106"/>
    <w:rsid w:val="000C11D3"/>
    <w:rsid w:val="000C12F5"/>
    <w:rsid w:val="000C2F62"/>
    <w:rsid w:val="000C3408"/>
    <w:rsid w:val="000C4253"/>
    <w:rsid w:val="000C54AF"/>
    <w:rsid w:val="000C57C5"/>
    <w:rsid w:val="000C5C0F"/>
    <w:rsid w:val="000C5D56"/>
    <w:rsid w:val="000C60D8"/>
    <w:rsid w:val="000C6498"/>
    <w:rsid w:val="000C6F88"/>
    <w:rsid w:val="000C70D9"/>
    <w:rsid w:val="000D0B22"/>
    <w:rsid w:val="000D0D51"/>
    <w:rsid w:val="000D14B3"/>
    <w:rsid w:val="000D1BFB"/>
    <w:rsid w:val="000D1F52"/>
    <w:rsid w:val="000D208B"/>
    <w:rsid w:val="000D263E"/>
    <w:rsid w:val="000D2B8D"/>
    <w:rsid w:val="000D2BD3"/>
    <w:rsid w:val="000D2E41"/>
    <w:rsid w:val="000D342A"/>
    <w:rsid w:val="000D434D"/>
    <w:rsid w:val="000D43CB"/>
    <w:rsid w:val="000D5E7A"/>
    <w:rsid w:val="000D5FAA"/>
    <w:rsid w:val="000D65A4"/>
    <w:rsid w:val="000D6AEF"/>
    <w:rsid w:val="000D7414"/>
    <w:rsid w:val="000E025B"/>
    <w:rsid w:val="000E055F"/>
    <w:rsid w:val="000E0ECB"/>
    <w:rsid w:val="000E153A"/>
    <w:rsid w:val="000E19A8"/>
    <w:rsid w:val="000E1EEA"/>
    <w:rsid w:val="000E4241"/>
    <w:rsid w:val="000E4A42"/>
    <w:rsid w:val="000E5549"/>
    <w:rsid w:val="000E6184"/>
    <w:rsid w:val="000E6476"/>
    <w:rsid w:val="000E78D2"/>
    <w:rsid w:val="000F3332"/>
    <w:rsid w:val="000F33EE"/>
    <w:rsid w:val="000F3511"/>
    <w:rsid w:val="000F401E"/>
    <w:rsid w:val="000F45F0"/>
    <w:rsid w:val="000F5445"/>
    <w:rsid w:val="000F5598"/>
    <w:rsid w:val="000F5673"/>
    <w:rsid w:val="000F67B2"/>
    <w:rsid w:val="000F6CFB"/>
    <w:rsid w:val="000F7121"/>
    <w:rsid w:val="000F74B6"/>
    <w:rsid w:val="000F790F"/>
    <w:rsid w:val="000F7C25"/>
    <w:rsid w:val="000F7E1B"/>
    <w:rsid w:val="000F7F49"/>
    <w:rsid w:val="00100014"/>
    <w:rsid w:val="00100224"/>
    <w:rsid w:val="0010039A"/>
    <w:rsid w:val="001012BD"/>
    <w:rsid w:val="0010177A"/>
    <w:rsid w:val="00101E94"/>
    <w:rsid w:val="00101FB2"/>
    <w:rsid w:val="001028CF"/>
    <w:rsid w:val="00102CB8"/>
    <w:rsid w:val="00102F02"/>
    <w:rsid w:val="0010385D"/>
    <w:rsid w:val="00103E41"/>
    <w:rsid w:val="001041B6"/>
    <w:rsid w:val="00104F55"/>
    <w:rsid w:val="001070EA"/>
    <w:rsid w:val="001076CA"/>
    <w:rsid w:val="00107FF4"/>
    <w:rsid w:val="0011002A"/>
    <w:rsid w:val="001107CE"/>
    <w:rsid w:val="001109F0"/>
    <w:rsid w:val="0011110A"/>
    <w:rsid w:val="001118AF"/>
    <w:rsid w:val="00111CA5"/>
    <w:rsid w:val="0011256E"/>
    <w:rsid w:val="0011352E"/>
    <w:rsid w:val="0011365A"/>
    <w:rsid w:val="00114FC0"/>
    <w:rsid w:val="00115496"/>
    <w:rsid w:val="00115BDB"/>
    <w:rsid w:val="00116DB9"/>
    <w:rsid w:val="00116F28"/>
    <w:rsid w:val="00117597"/>
    <w:rsid w:val="00117CE8"/>
    <w:rsid w:val="00117F28"/>
    <w:rsid w:val="001201F0"/>
    <w:rsid w:val="00121961"/>
    <w:rsid w:val="00121C39"/>
    <w:rsid w:val="00123255"/>
    <w:rsid w:val="0012394A"/>
    <w:rsid w:val="00124D2D"/>
    <w:rsid w:val="00124DA1"/>
    <w:rsid w:val="00125326"/>
    <w:rsid w:val="00125CB5"/>
    <w:rsid w:val="001261B3"/>
    <w:rsid w:val="001264C1"/>
    <w:rsid w:val="00127535"/>
    <w:rsid w:val="001305B2"/>
    <w:rsid w:val="001307BE"/>
    <w:rsid w:val="00130C8F"/>
    <w:rsid w:val="001314F2"/>
    <w:rsid w:val="001317DA"/>
    <w:rsid w:val="00131FFA"/>
    <w:rsid w:val="001323BA"/>
    <w:rsid w:val="0013254D"/>
    <w:rsid w:val="00133643"/>
    <w:rsid w:val="00133AAC"/>
    <w:rsid w:val="00133FBD"/>
    <w:rsid w:val="00134DFD"/>
    <w:rsid w:val="001350B3"/>
    <w:rsid w:val="00136168"/>
    <w:rsid w:val="00136561"/>
    <w:rsid w:val="00136AE8"/>
    <w:rsid w:val="00136B6B"/>
    <w:rsid w:val="001400E1"/>
    <w:rsid w:val="001405FA"/>
    <w:rsid w:val="001408DD"/>
    <w:rsid w:val="001413B3"/>
    <w:rsid w:val="00142533"/>
    <w:rsid w:val="001425C3"/>
    <w:rsid w:val="00142CB9"/>
    <w:rsid w:val="00142F16"/>
    <w:rsid w:val="001432C1"/>
    <w:rsid w:val="00143E03"/>
    <w:rsid w:val="00143E93"/>
    <w:rsid w:val="00143FA3"/>
    <w:rsid w:val="0014428D"/>
    <w:rsid w:val="0014514D"/>
    <w:rsid w:val="00145AF9"/>
    <w:rsid w:val="00146FE4"/>
    <w:rsid w:val="0014731B"/>
    <w:rsid w:val="00147E55"/>
    <w:rsid w:val="00150040"/>
    <w:rsid w:val="001500FC"/>
    <w:rsid w:val="00150CEC"/>
    <w:rsid w:val="00151AC0"/>
    <w:rsid w:val="00151B27"/>
    <w:rsid w:val="00152046"/>
    <w:rsid w:val="001520AF"/>
    <w:rsid w:val="00152488"/>
    <w:rsid w:val="00152E53"/>
    <w:rsid w:val="00152FDD"/>
    <w:rsid w:val="0015323B"/>
    <w:rsid w:val="00153FED"/>
    <w:rsid w:val="00154147"/>
    <w:rsid w:val="001550F3"/>
    <w:rsid w:val="00155746"/>
    <w:rsid w:val="00156318"/>
    <w:rsid w:val="0015639A"/>
    <w:rsid w:val="0016081D"/>
    <w:rsid w:val="00160CF3"/>
    <w:rsid w:val="00160DCA"/>
    <w:rsid w:val="00160E61"/>
    <w:rsid w:val="00161300"/>
    <w:rsid w:val="00161DB6"/>
    <w:rsid w:val="001620FA"/>
    <w:rsid w:val="00162853"/>
    <w:rsid w:val="00162C62"/>
    <w:rsid w:val="00163793"/>
    <w:rsid w:val="00163841"/>
    <w:rsid w:val="00163F4D"/>
    <w:rsid w:val="00164978"/>
    <w:rsid w:val="001663DE"/>
    <w:rsid w:val="00167FB2"/>
    <w:rsid w:val="001707DE"/>
    <w:rsid w:val="00170B04"/>
    <w:rsid w:val="00170F47"/>
    <w:rsid w:val="001711F2"/>
    <w:rsid w:val="001714F2"/>
    <w:rsid w:val="001718C2"/>
    <w:rsid w:val="00171E6C"/>
    <w:rsid w:val="00172B64"/>
    <w:rsid w:val="00173583"/>
    <w:rsid w:val="00173642"/>
    <w:rsid w:val="001736BB"/>
    <w:rsid w:val="00173AF4"/>
    <w:rsid w:val="00173CB0"/>
    <w:rsid w:val="00174CE8"/>
    <w:rsid w:val="00174E7D"/>
    <w:rsid w:val="001752CB"/>
    <w:rsid w:val="00175351"/>
    <w:rsid w:val="00175F60"/>
    <w:rsid w:val="00176050"/>
    <w:rsid w:val="001764D8"/>
    <w:rsid w:val="00176A8F"/>
    <w:rsid w:val="00180D58"/>
    <w:rsid w:val="00181410"/>
    <w:rsid w:val="001814AE"/>
    <w:rsid w:val="00181938"/>
    <w:rsid w:val="001827CE"/>
    <w:rsid w:val="00182981"/>
    <w:rsid w:val="001833E9"/>
    <w:rsid w:val="00184CF9"/>
    <w:rsid w:val="00184DE8"/>
    <w:rsid w:val="00185010"/>
    <w:rsid w:val="001852EC"/>
    <w:rsid w:val="00185D56"/>
    <w:rsid w:val="00186447"/>
    <w:rsid w:val="001874CF"/>
    <w:rsid w:val="00187F91"/>
    <w:rsid w:val="00190214"/>
    <w:rsid w:val="00190D9B"/>
    <w:rsid w:val="0019161A"/>
    <w:rsid w:val="00191BAE"/>
    <w:rsid w:val="001921B5"/>
    <w:rsid w:val="00193432"/>
    <w:rsid w:val="0019346C"/>
    <w:rsid w:val="0019357D"/>
    <w:rsid w:val="00194096"/>
    <w:rsid w:val="0019431C"/>
    <w:rsid w:val="00194AE3"/>
    <w:rsid w:val="00195335"/>
    <w:rsid w:val="00195444"/>
    <w:rsid w:val="0019579E"/>
    <w:rsid w:val="00197806"/>
    <w:rsid w:val="001A1087"/>
    <w:rsid w:val="001A199D"/>
    <w:rsid w:val="001A2855"/>
    <w:rsid w:val="001A2BDB"/>
    <w:rsid w:val="001A30F4"/>
    <w:rsid w:val="001A47AB"/>
    <w:rsid w:val="001A4C0D"/>
    <w:rsid w:val="001A552F"/>
    <w:rsid w:val="001A56F3"/>
    <w:rsid w:val="001A5A2F"/>
    <w:rsid w:val="001A68CA"/>
    <w:rsid w:val="001A737B"/>
    <w:rsid w:val="001A750C"/>
    <w:rsid w:val="001B008E"/>
    <w:rsid w:val="001B05FE"/>
    <w:rsid w:val="001B1D89"/>
    <w:rsid w:val="001B1EFA"/>
    <w:rsid w:val="001B1FE2"/>
    <w:rsid w:val="001B2143"/>
    <w:rsid w:val="001B3110"/>
    <w:rsid w:val="001B4198"/>
    <w:rsid w:val="001B44BC"/>
    <w:rsid w:val="001B5215"/>
    <w:rsid w:val="001B5888"/>
    <w:rsid w:val="001B5A75"/>
    <w:rsid w:val="001B618F"/>
    <w:rsid w:val="001B6277"/>
    <w:rsid w:val="001B6545"/>
    <w:rsid w:val="001B681B"/>
    <w:rsid w:val="001B6A49"/>
    <w:rsid w:val="001B7231"/>
    <w:rsid w:val="001B74FB"/>
    <w:rsid w:val="001B77A1"/>
    <w:rsid w:val="001C0422"/>
    <w:rsid w:val="001C0B1E"/>
    <w:rsid w:val="001C0E0E"/>
    <w:rsid w:val="001C0E66"/>
    <w:rsid w:val="001C0EB9"/>
    <w:rsid w:val="001C1219"/>
    <w:rsid w:val="001C357A"/>
    <w:rsid w:val="001C3657"/>
    <w:rsid w:val="001C3961"/>
    <w:rsid w:val="001C3A37"/>
    <w:rsid w:val="001C4384"/>
    <w:rsid w:val="001C55F5"/>
    <w:rsid w:val="001C65FF"/>
    <w:rsid w:val="001C6747"/>
    <w:rsid w:val="001C677A"/>
    <w:rsid w:val="001C6C06"/>
    <w:rsid w:val="001D05E6"/>
    <w:rsid w:val="001D12FB"/>
    <w:rsid w:val="001D1383"/>
    <w:rsid w:val="001D1D45"/>
    <w:rsid w:val="001D1E7C"/>
    <w:rsid w:val="001D2583"/>
    <w:rsid w:val="001D3787"/>
    <w:rsid w:val="001D3A7A"/>
    <w:rsid w:val="001D47E5"/>
    <w:rsid w:val="001D4EEB"/>
    <w:rsid w:val="001D53CB"/>
    <w:rsid w:val="001D584C"/>
    <w:rsid w:val="001D5E1B"/>
    <w:rsid w:val="001D66C1"/>
    <w:rsid w:val="001D6EF6"/>
    <w:rsid w:val="001D7C6F"/>
    <w:rsid w:val="001E0024"/>
    <w:rsid w:val="001E0241"/>
    <w:rsid w:val="001E0735"/>
    <w:rsid w:val="001E0C65"/>
    <w:rsid w:val="001E23E3"/>
    <w:rsid w:val="001E29AF"/>
    <w:rsid w:val="001E3731"/>
    <w:rsid w:val="001E387A"/>
    <w:rsid w:val="001E3DA4"/>
    <w:rsid w:val="001E5469"/>
    <w:rsid w:val="001E5830"/>
    <w:rsid w:val="001E5F62"/>
    <w:rsid w:val="001E684C"/>
    <w:rsid w:val="001E701C"/>
    <w:rsid w:val="001E7552"/>
    <w:rsid w:val="001E7C03"/>
    <w:rsid w:val="001F02AF"/>
    <w:rsid w:val="001F0649"/>
    <w:rsid w:val="001F28F4"/>
    <w:rsid w:val="001F2902"/>
    <w:rsid w:val="001F2CC6"/>
    <w:rsid w:val="001F3055"/>
    <w:rsid w:val="001F31BC"/>
    <w:rsid w:val="001F378E"/>
    <w:rsid w:val="001F3C79"/>
    <w:rsid w:val="001F3D52"/>
    <w:rsid w:val="001F3E68"/>
    <w:rsid w:val="001F4597"/>
    <w:rsid w:val="001F56A9"/>
    <w:rsid w:val="001F5C6A"/>
    <w:rsid w:val="001F63A7"/>
    <w:rsid w:val="001F670A"/>
    <w:rsid w:val="001F7C2A"/>
    <w:rsid w:val="00200D15"/>
    <w:rsid w:val="00200D2A"/>
    <w:rsid w:val="00201E7B"/>
    <w:rsid w:val="0020223B"/>
    <w:rsid w:val="0020294A"/>
    <w:rsid w:val="00203074"/>
    <w:rsid w:val="0020340C"/>
    <w:rsid w:val="00203B09"/>
    <w:rsid w:val="00203B46"/>
    <w:rsid w:val="00203FCB"/>
    <w:rsid w:val="002047DA"/>
    <w:rsid w:val="002048E1"/>
    <w:rsid w:val="00205711"/>
    <w:rsid w:val="002070AB"/>
    <w:rsid w:val="00207DB6"/>
    <w:rsid w:val="00210278"/>
    <w:rsid w:val="00210CC2"/>
    <w:rsid w:val="00210F5B"/>
    <w:rsid w:val="00210FFA"/>
    <w:rsid w:val="00211262"/>
    <w:rsid w:val="0021139C"/>
    <w:rsid w:val="002115F5"/>
    <w:rsid w:val="00211AC9"/>
    <w:rsid w:val="00212491"/>
    <w:rsid w:val="0021329E"/>
    <w:rsid w:val="002133D5"/>
    <w:rsid w:val="0021355B"/>
    <w:rsid w:val="002137A1"/>
    <w:rsid w:val="0021396F"/>
    <w:rsid w:val="00215061"/>
    <w:rsid w:val="0021507A"/>
    <w:rsid w:val="0021552C"/>
    <w:rsid w:val="00215A2C"/>
    <w:rsid w:val="00217980"/>
    <w:rsid w:val="002179F9"/>
    <w:rsid w:val="002205F2"/>
    <w:rsid w:val="0022080E"/>
    <w:rsid w:val="00220895"/>
    <w:rsid w:val="00220B20"/>
    <w:rsid w:val="0022139E"/>
    <w:rsid w:val="002224C1"/>
    <w:rsid w:val="0022272B"/>
    <w:rsid w:val="00222A99"/>
    <w:rsid w:val="00223678"/>
    <w:rsid w:val="002236F7"/>
    <w:rsid w:val="00223E00"/>
    <w:rsid w:val="00224048"/>
    <w:rsid w:val="00224123"/>
    <w:rsid w:val="002244CE"/>
    <w:rsid w:val="002250AD"/>
    <w:rsid w:val="002252E0"/>
    <w:rsid w:val="002255F6"/>
    <w:rsid w:val="00225F36"/>
    <w:rsid w:val="00226466"/>
    <w:rsid w:val="002266D0"/>
    <w:rsid w:val="00226887"/>
    <w:rsid w:val="00227991"/>
    <w:rsid w:val="00227A27"/>
    <w:rsid w:val="00230574"/>
    <w:rsid w:val="00230CA7"/>
    <w:rsid w:val="00230DAD"/>
    <w:rsid w:val="0023229C"/>
    <w:rsid w:val="00232A3C"/>
    <w:rsid w:val="0023301B"/>
    <w:rsid w:val="002334DF"/>
    <w:rsid w:val="0023355C"/>
    <w:rsid w:val="00234280"/>
    <w:rsid w:val="00234DD5"/>
    <w:rsid w:val="00235000"/>
    <w:rsid w:val="002350E3"/>
    <w:rsid w:val="00235330"/>
    <w:rsid w:val="00236443"/>
    <w:rsid w:val="00240773"/>
    <w:rsid w:val="00240815"/>
    <w:rsid w:val="00240924"/>
    <w:rsid w:val="00240A5B"/>
    <w:rsid w:val="00240C76"/>
    <w:rsid w:val="002411EF"/>
    <w:rsid w:val="00241446"/>
    <w:rsid w:val="00241FC7"/>
    <w:rsid w:val="00242730"/>
    <w:rsid w:val="002436BA"/>
    <w:rsid w:val="002439C3"/>
    <w:rsid w:val="002444ED"/>
    <w:rsid w:val="00244A15"/>
    <w:rsid w:val="00244D40"/>
    <w:rsid w:val="002452E5"/>
    <w:rsid w:val="0024644F"/>
    <w:rsid w:val="00246AE9"/>
    <w:rsid w:val="002473CA"/>
    <w:rsid w:val="0024799E"/>
    <w:rsid w:val="00250C59"/>
    <w:rsid w:val="00250E0D"/>
    <w:rsid w:val="002518F6"/>
    <w:rsid w:val="00251D59"/>
    <w:rsid w:val="00252602"/>
    <w:rsid w:val="00252609"/>
    <w:rsid w:val="00252FDC"/>
    <w:rsid w:val="002532E2"/>
    <w:rsid w:val="00253E11"/>
    <w:rsid w:val="00254069"/>
    <w:rsid w:val="00254B3B"/>
    <w:rsid w:val="00254C4B"/>
    <w:rsid w:val="002550D8"/>
    <w:rsid w:val="00255A44"/>
    <w:rsid w:val="00257083"/>
    <w:rsid w:val="00257613"/>
    <w:rsid w:val="002609C2"/>
    <w:rsid w:val="00261A0F"/>
    <w:rsid w:val="00261E5B"/>
    <w:rsid w:val="00262EB9"/>
    <w:rsid w:val="00262F34"/>
    <w:rsid w:val="002633E5"/>
    <w:rsid w:val="00263470"/>
    <w:rsid w:val="00263733"/>
    <w:rsid w:val="00264676"/>
    <w:rsid w:val="00264A46"/>
    <w:rsid w:val="00265536"/>
    <w:rsid w:val="0026595E"/>
    <w:rsid w:val="00265E54"/>
    <w:rsid w:val="00266306"/>
    <w:rsid w:val="002664A1"/>
    <w:rsid w:val="00266534"/>
    <w:rsid w:val="00266F3E"/>
    <w:rsid w:val="00270785"/>
    <w:rsid w:val="00271B9B"/>
    <w:rsid w:val="0027224A"/>
    <w:rsid w:val="00272464"/>
    <w:rsid w:val="00272B0B"/>
    <w:rsid w:val="00272CC5"/>
    <w:rsid w:val="00273C60"/>
    <w:rsid w:val="00273DCD"/>
    <w:rsid w:val="00274291"/>
    <w:rsid w:val="00276C09"/>
    <w:rsid w:val="00276CFE"/>
    <w:rsid w:val="00277071"/>
    <w:rsid w:val="002776A5"/>
    <w:rsid w:val="0027786C"/>
    <w:rsid w:val="00277BF7"/>
    <w:rsid w:val="0028019B"/>
    <w:rsid w:val="00280A72"/>
    <w:rsid w:val="00281416"/>
    <w:rsid w:val="00282084"/>
    <w:rsid w:val="00283720"/>
    <w:rsid w:val="00283C61"/>
    <w:rsid w:val="00283D6A"/>
    <w:rsid w:val="00284C6F"/>
    <w:rsid w:val="00285CD3"/>
    <w:rsid w:val="0028633E"/>
    <w:rsid w:val="0028686A"/>
    <w:rsid w:val="00286E66"/>
    <w:rsid w:val="002870B7"/>
    <w:rsid w:val="002919B5"/>
    <w:rsid w:val="002920F5"/>
    <w:rsid w:val="00292D0B"/>
    <w:rsid w:val="00293441"/>
    <w:rsid w:val="00293553"/>
    <w:rsid w:val="00294238"/>
    <w:rsid w:val="00294776"/>
    <w:rsid w:val="0029493E"/>
    <w:rsid w:val="002962E0"/>
    <w:rsid w:val="00296C2E"/>
    <w:rsid w:val="002A04C7"/>
    <w:rsid w:val="002A1B05"/>
    <w:rsid w:val="002A267F"/>
    <w:rsid w:val="002A3354"/>
    <w:rsid w:val="002A35EA"/>
    <w:rsid w:val="002A37B6"/>
    <w:rsid w:val="002A3BD5"/>
    <w:rsid w:val="002A43A2"/>
    <w:rsid w:val="002A44ED"/>
    <w:rsid w:val="002A4612"/>
    <w:rsid w:val="002A4F70"/>
    <w:rsid w:val="002A5263"/>
    <w:rsid w:val="002A5D3F"/>
    <w:rsid w:val="002A5DF2"/>
    <w:rsid w:val="002A63B9"/>
    <w:rsid w:val="002A6821"/>
    <w:rsid w:val="002A6F67"/>
    <w:rsid w:val="002A74D2"/>
    <w:rsid w:val="002A7A78"/>
    <w:rsid w:val="002A7CDA"/>
    <w:rsid w:val="002A7F47"/>
    <w:rsid w:val="002B1544"/>
    <w:rsid w:val="002B1DC1"/>
    <w:rsid w:val="002B36C8"/>
    <w:rsid w:val="002B385B"/>
    <w:rsid w:val="002B4ADE"/>
    <w:rsid w:val="002B6B7A"/>
    <w:rsid w:val="002B71B4"/>
    <w:rsid w:val="002B7240"/>
    <w:rsid w:val="002B725B"/>
    <w:rsid w:val="002B7323"/>
    <w:rsid w:val="002B7937"/>
    <w:rsid w:val="002C0FF4"/>
    <w:rsid w:val="002C125A"/>
    <w:rsid w:val="002C2668"/>
    <w:rsid w:val="002C43BD"/>
    <w:rsid w:val="002C493D"/>
    <w:rsid w:val="002C5261"/>
    <w:rsid w:val="002C5CB7"/>
    <w:rsid w:val="002C6091"/>
    <w:rsid w:val="002C63C1"/>
    <w:rsid w:val="002C6A6E"/>
    <w:rsid w:val="002D0562"/>
    <w:rsid w:val="002D1B5A"/>
    <w:rsid w:val="002D2500"/>
    <w:rsid w:val="002D338A"/>
    <w:rsid w:val="002D3E4C"/>
    <w:rsid w:val="002D3F00"/>
    <w:rsid w:val="002D4A1E"/>
    <w:rsid w:val="002D4D59"/>
    <w:rsid w:val="002D50CF"/>
    <w:rsid w:val="002D54BF"/>
    <w:rsid w:val="002D5C3D"/>
    <w:rsid w:val="002D5E94"/>
    <w:rsid w:val="002D632D"/>
    <w:rsid w:val="002D6B01"/>
    <w:rsid w:val="002D6B11"/>
    <w:rsid w:val="002D6FC7"/>
    <w:rsid w:val="002D778C"/>
    <w:rsid w:val="002D7EF4"/>
    <w:rsid w:val="002E02A1"/>
    <w:rsid w:val="002E0982"/>
    <w:rsid w:val="002E0DB9"/>
    <w:rsid w:val="002E10D3"/>
    <w:rsid w:val="002E1BFA"/>
    <w:rsid w:val="002E1C23"/>
    <w:rsid w:val="002E2CE4"/>
    <w:rsid w:val="002E31A0"/>
    <w:rsid w:val="002E34F3"/>
    <w:rsid w:val="002E4217"/>
    <w:rsid w:val="002E435E"/>
    <w:rsid w:val="002E4C1C"/>
    <w:rsid w:val="002E6DB8"/>
    <w:rsid w:val="002E73F2"/>
    <w:rsid w:val="002F0709"/>
    <w:rsid w:val="002F0FDB"/>
    <w:rsid w:val="002F149A"/>
    <w:rsid w:val="002F19CC"/>
    <w:rsid w:val="002F33FB"/>
    <w:rsid w:val="002F36D0"/>
    <w:rsid w:val="002F663A"/>
    <w:rsid w:val="002F68A4"/>
    <w:rsid w:val="002F7594"/>
    <w:rsid w:val="002F7902"/>
    <w:rsid w:val="003003E7"/>
    <w:rsid w:val="003004EB"/>
    <w:rsid w:val="00300D6F"/>
    <w:rsid w:val="00301357"/>
    <w:rsid w:val="0030192C"/>
    <w:rsid w:val="00301D04"/>
    <w:rsid w:val="003035D4"/>
    <w:rsid w:val="00303A3C"/>
    <w:rsid w:val="00303DCB"/>
    <w:rsid w:val="0030464E"/>
    <w:rsid w:val="00304771"/>
    <w:rsid w:val="00304E6C"/>
    <w:rsid w:val="00305736"/>
    <w:rsid w:val="00305C33"/>
    <w:rsid w:val="0030607B"/>
    <w:rsid w:val="00306C5B"/>
    <w:rsid w:val="00306E3B"/>
    <w:rsid w:val="0030768C"/>
    <w:rsid w:val="00310ADB"/>
    <w:rsid w:val="003119B6"/>
    <w:rsid w:val="003124EF"/>
    <w:rsid w:val="00312A00"/>
    <w:rsid w:val="00312C3D"/>
    <w:rsid w:val="003131A6"/>
    <w:rsid w:val="00313F7F"/>
    <w:rsid w:val="00314331"/>
    <w:rsid w:val="00317E31"/>
    <w:rsid w:val="00320214"/>
    <w:rsid w:val="003209D6"/>
    <w:rsid w:val="0032109A"/>
    <w:rsid w:val="0032214F"/>
    <w:rsid w:val="00322164"/>
    <w:rsid w:val="00322719"/>
    <w:rsid w:val="0032330F"/>
    <w:rsid w:val="00323486"/>
    <w:rsid w:val="00323A13"/>
    <w:rsid w:val="00323CF7"/>
    <w:rsid w:val="00323E61"/>
    <w:rsid w:val="00324055"/>
    <w:rsid w:val="0032513D"/>
    <w:rsid w:val="00326251"/>
    <w:rsid w:val="0032739C"/>
    <w:rsid w:val="003273BB"/>
    <w:rsid w:val="00327602"/>
    <w:rsid w:val="003276D1"/>
    <w:rsid w:val="00327DEE"/>
    <w:rsid w:val="003301FD"/>
    <w:rsid w:val="003302DA"/>
    <w:rsid w:val="00330EB0"/>
    <w:rsid w:val="00331574"/>
    <w:rsid w:val="0033229B"/>
    <w:rsid w:val="003329F3"/>
    <w:rsid w:val="00333134"/>
    <w:rsid w:val="0033352E"/>
    <w:rsid w:val="00333690"/>
    <w:rsid w:val="00333D20"/>
    <w:rsid w:val="00333F53"/>
    <w:rsid w:val="003340EF"/>
    <w:rsid w:val="00334A49"/>
    <w:rsid w:val="0033536F"/>
    <w:rsid w:val="00335BB0"/>
    <w:rsid w:val="00335BE6"/>
    <w:rsid w:val="00335E99"/>
    <w:rsid w:val="0033627B"/>
    <w:rsid w:val="003406BD"/>
    <w:rsid w:val="00343474"/>
    <w:rsid w:val="00343F84"/>
    <w:rsid w:val="00344135"/>
    <w:rsid w:val="003450E2"/>
    <w:rsid w:val="00351315"/>
    <w:rsid w:val="00351B63"/>
    <w:rsid w:val="00352482"/>
    <w:rsid w:val="00352E57"/>
    <w:rsid w:val="00352FC0"/>
    <w:rsid w:val="003541B0"/>
    <w:rsid w:val="0035457E"/>
    <w:rsid w:val="00355885"/>
    <w:rsid w:val="00355CAA"/>
    <w:rsid w:val="0035605E"/>
    <w:rsid w:val="00356244"/>
    <w:rsid w:val="00356CAE"/>
    <w:rsid w:val="00356FED"/>
    <w:rsid w:val="00357449"/>
    <w:rsid w:val="00357C28"/>
    <w:rsid w:val="00361F76"/>
    <w:rsid w:val="0036238B"/>
    <w:rsid w:val="00362408"/>
    <w:rsid w:val="003630B0"/>
    <w:rsid w:val="00364087"/>
    <w:rsid w:val="003649FC"/>
    <w:rsid w:val="00364C0E"/>
    <w:rsid w:val="00364EAD"/>
    <w:rsid w:val="003651A4"/>
    <w:rsid w:val="00365680"/>
    <w:rsid w:val="003657F3"/>
    <w:rsid w:val="00366D4D"/>
    <w:rsid w:val="00366F77"/>
    <w:rsid w:val="00367038"/>
    <w:rsid w:val="003670FE"/>
    <w:rsid w:val="0036710C"/>
    <w:rsid w:val="0037040B"/>
    <w:rsid w:val="00370963"/>
    <w:rsid w:val="0037144E"/>
    <w:rsid w:val="00372272"/>
    <w:rsid w:val="0037290D"/>
    <w:rsid w:val="00372B1D"/>
    <w:rsid w:val="003736B5"/>
    <w:rsid w:val="00374546"/>
    <w:rsid w:val="00374DB6"/>
    <w:rsid w:val="00374F1E"/>
    <w:rsid w:val="003750CF"/>
    <w:rsid w:val="003769F0"/>
    <w:rsid w:val="00376DEC"/>
    <w:rsid w:val="00377200"/>
    <w:rsid w:val="00377666"/>
    <w:rsid w:val="00377E93"/>
    <w:rsid w:val="0038034A"/>
    <w:rsid w:val="00380E04"/>
    <w:rsid w:val="00380E6C"/>
    <w:rsid w:val="00381171"/>
    <w:rsid w:val="0038187C"/>
    <w:rsid w:val="00383227"/>
    <w:rsid w:val="003839C9"/>
    <w:rsid w:val="00383FD2"/>
    <w:rsid w:val="0038422D"/>
    <w:rsid w:val="003843B1"/>
    <w:rsid w:val="00384D8F"/>
    <w:rsid w:val="003857A2"/>
    <w:rsid w:val="00385D71"/>
    <w:rsid w:val="00385D98"/>
    <w:rsid w:val="00385EC5"/>
    <w:rsid w:val="0038658E"/>
    <w:rsid w:val="003875C2"/>
    <w:rsid w:val="0039066E"/>
    <w:rsid w:val="00391C95"/>
    <w:rsid w:val="00392110"/>
    <w:rsid w:val="00392B64"/>
    <w:rsid w:val="00392B9E"/>
    <w:rsid w:val="00393D74"/>
    <w:rsid w:val="003948D7"/>
    <w:rsid w:val="00394D49"/>
    <w:rsid w:val="00396DAC"/>
    <w:rsid w:val="003971D0"/>
    <w:rsid w:val="003A0214"/>
    <w:rsid w:val="003A027D"/>
    <w:rsid w:val="003A1D74"/>
    <w:rsid w:val="003A2B4D"/>
    <w:rsid w:val="003A2D2B"/>
    <w:rsid w:val="003A2DD4"/>
    <w:rsid w:val="003A3982"/>
    <w:rsid w:val="003A3B1C"/>
    <w:rsid w:val="003A4088"/>
    <w:rsid w:val="003A478C"/>
    <w:rsid w:val="003A4F82"/>
    <w:rsid w:val="003A5525"/>
    <w:rsid w:val="003A61F5"/>
    <w:rsid w:val="003A6B38"/>
    <w:rsid w:val="003B2142"/>
    <w:rsid w:val="003B2580"/>
    <w:rsid w:val="003B2721"/>
    <w:rsid w:val="003B293F"/>
    <w:rsid w:val="003B2D28"/>
    <w:rsid w:val="003B2E63"/>
    <w:rsid w:val="003B3189"/>
    <w:rsid w:val="003B3A9D"/>
    <w:rsid w:val="003B3DDD"/>
    <w:rsid w:val="003B5031"/>
    <w:rsid w:val="003B5A32"/>
    <w:rsid w:val="003B6105"/>
    <w:rsid w:val="003B769D"/>
    <w:rsid w:val="003B7F20"/>
    <w:rsid w:val="003C03CC"/>
    <w:rsid w:val="003C04C4"/>
    <w:rsid w:val="003C08E2"/>
    <w:rsid w:val="003C0B96"/>
    <w:rsid w:val="003C0CB5"/>
    <w:rsid w:val="003C26F4"/>
    <w:rsid w:val="003C3686"/>
    <w:rsid w:val="003C3E2C"/>
    <w:rsid w:val="003C4852"/>
    <w:rsid w:val="003C5BC7"/>
    <w:rsid w:val="003C5F05"/>
    <w:rsid w:val="003C601E"/>
    <w:rsid w:val="003C66C4"/>
    <w:rsid w:val="003C6DB9"/>
    <w:rsid w:val="003D1FA0"/>
    <w:rsid w:val="003D2393"/>
    <w:rsid w:val="003D2519"/>
    <w:rsid w:val="003D2C4E"/>
    <w:rsid w:val="003D3600"/>
    <w:rsid w:val="003D3825"/>
    <w:rsid w:val="003D3EC4"/>
    <w:rsid w:val="003D3FB2"/>
    <w:rsid w:val="003D44E2"/>
    <w:rsid w:val="003D4760"/>
    <w:rsid w:val="003D49DC"/>
    <w:rsid w:val="003D49E0"/>
    <w:rsid w:val="003D4DD9"/>
    <w:rsid w:val="003D4FB5"/>
    <w:rsid w:val="003D59BE"/>
    <w:rsid w:val="003D5D7A"/>
    <w:rsid w:val="003D5E4B"/>
    <w:rsid w:val="003D653F"/>
    <w:rsid w:val="003D6B55"/>
    <w:rsid w:val="003E0261"/>
    <w:rsid w:val="003E0663"/>
    <w:rsid w:val="003E133F"/>
    <w:rsid w:val="003E1A70"/>
    <w:rsid w:val="003E2469"/>
    <w:rsid w:val="003E49F6"/>
    <w:rsid w:val="003E699C"/>
    <w:rsid w:val="003E69F3"/>
    <w:rsid w:val="003E782E"/>
    <w:rsid w:val="003E7A0B"/>
    <w:rsid w:val="003E7B2B"/>
    <w:rsid w:val="003E7F69"/>
    <w:rsid w:val="003F01D7"/>
    <w:rsid w:val="003F0293"/>
    <w:rsid w:val="003F116D"/>
    <w:rsid w:val="003F181F"/>
    <w:rsid w:val="003F1A48"/>
    <w:rsid w:val="003F1E23"/>
    <w:rsid w:val="003F22F6"/>
    <w:rsid w:val="003F2B0A"/>
    <w:rsid w:val="003F313C"/>
    <w:rsid w:val="003F32AB"/>
    <w:rsid w:val="003F341B"/>
    <w:rsid w:val="003F37FC"/>
    <w:rsid w:val="003F3A26"/>
    <w:rsid w:val="003F49A6"/>
    <w:rsid w:val="003F5047"/>
    <w:rsid w:val="003F5098"/>
    <w:rsid w:val="003F5568"/>
    <w:rsid w:val="003F5A95"/>
    <w:rsid w:val="003F6D19"/>
    <w:rsid w:val="003F7631"/>
    <w:rsid w:val="003F7948"/>
    <w:rsid w:val="004000D5"/>
    <w:rsid w:val="00400244"/>
    <w:rsid w:val="004005C1"/>
    <w:rsid w:val="00400BBD"/>
    <w:rsid w:val="00401716"/>
    <w:rsid w:val="004018F7"/>
    <w:rsid w:val="00401A09"/>
    <w:rsid w:val="0040273A"/>
    <w:rsid w:val="00402C25"/>
    <w:rsid w:val="004036FB"/>
    <w:rsid w:val="00403D65"/>
    <w:rsid w:val="0040501E"/>
    <w:rsid w:val="004050D7"/>
    <w:rsid w:val="004076EE"/>
    <w:rsid w:val="004078BD"/>
    <w:rsid w:val="00407C32"/>
    <w:rsid w:val="00410132"/>
    <w:rsid w:val="004104E4"/>
    <w:rsid w:val="00410A97"/>
    <w:rsid w:val="00410BCD"/>
    <w:rsid w:val="00410DE5"/>
    <w:rsid w:val="0041175D"/>
    <w:rsid w:val="004117CE"/>
    <w:rsid w:val="00412044"/>
    <w:rsid w:val="004120DE"/>
    <w:rsid w:val="004121D6"/>
    <w:rsid w:val="004123BE"/>
    <w:rsid w:val="0041329F"/>
    <w:rsid w:val="00414CE5"/>
    <w:rsid w:val="00416618"/>
    <w:rsid w:val="00416673"/>
    <w:rsid w:val="0041677D"/>
    <w:rsid w:val="00420D92"/>
    <w:rsid w:val="0042160D"/>
    <w:rsid w:val="0042254E"/>
    <w:rsid w:val="00423A3C"/>
    <w:rsid w:val="00423C04"/>
    <w:rsid w:val="00424D9B"/>
    <w:rsid w:val="00424F18"/>
    <w:rsid w:val="00425612"/>
    <w:rsid w:val="0042681B"/>
    <w:rsid w:val="00426B7F"/>
    <w:rsid w:val="00426E44"/>
    <w:rsid w:val="00427193"/>
    <w:rsid w:val="00427332"/>
    <w:rsid w:val="0043068A"/>
    <w:rsid w:val="004306E0"/>
    <w:rsid w:val="00430BD6"/>
    <w:rsid w:val="00431D54"/>
    <w:rsid w:val="00431F98"/>
    <w:rsid w:val="004325CC"/>
    <w:rsid w:val="004329BE"/>
    <w:rsid w:val="00432C38"/>
    <w:rsid w:val="004333B9"/>
    <w:rsid w:val="004342EC"/>
    <w:rsid w:val="00434D5A"/>
    <w:rsid w:val="00435874"/>
    <w:rsid w:val="00436EDB"/>
    <w:rsid w:val="00437C76"/>
    <w:rsid w:val="00437F4A"/>
    <w:rsid w:val="0044105C"/>
    <w:rsid w:val="00441306"/>
    <w:rsid w:val="00442197"/>
    <w:rsid w:val="00442BD1"/>
    <w:rsid w:val="00443293"/>
    <w:rsid w:val="00443CC7"/>
    <w:rsid w:val="00443E95"/>
    <w:rsid w:val="004441A0"/>
    <w:rsid w:val="00444268"/>
    <w:rsid w:val="00444326"/>
    <w:rsid w:val="004443BF"/>
    <w:rsid w:val="00444C19"/>
    <w:rsid w:val="00444EC5"/>
    <w:rsid w:val="00445218"/>
    <w:rsid w:val="00445CDD"/>
    <w:rsid w:val="0044683E"/>
    <w:rsid w:val="00446892"/>
    <w:rsid w:val="00447267"/>
    <w:rsid w:val="004475C7"/>
    <w:rsid w:val="00447E36"/>
    <w:rsid w:val="00450700"/>
    <w:rsid w:val="00450C30"/>
    <w:rsid w:val="004514C2"/>
    <w:rsid w:val="004522AE"/>
    <w:rsid w:val="004529C7"/>
    <w:rsid w:val="004540FF"/>
    <w:rsid w:val="004541F1"/>
    <w:rsid w:val="00454921"/>
    <w:rsid w:val="00454D31"/>
    <w:rsid w:val="00455BB8"/>
    <w:rsid w:val="00455ECA"/>
    <w:rsid w:val="00456EA3"/>
    <w:rsid w:val="0045707D"/>
    <w:rsid w:val="004570DE"/>
    <w:rsid w:val="00457296"/>
    <w:rsid w:val="00457320"/>
    <w:rsid w:val="00457D0F"/>
    <w:rsid w:val="00460164"/>
    <w:rsid w:val="0046039A"/>
    <w:rsid w:val="00460A6B"/>
    <w:rsid w:val="00460F61"/>
    <w:rsid w:val="004616F1"/>
    <w:rsid w:val="00461977"/>
    <w:rsid w:val="00461A3F"/>
    <w:rsid w:val="00461C4C"/>
    <w:rsid w:val="004620C7"/>
    <w:rsid w:val="004629FD"/>
    <w:rsid w:val="00462AD2"/>
    <w:rsid w:val="00463B4B"/>
    <w:rsid w:val="00463F4D"/>
    <w:rsid w:val="00464658"/>
    <w:rsid w:val="0046471F"/>
    <w:rsid w:val="00464BE8"/>
    <w:rsid w:val="00465019"/>
    <w:rsid w:val="00465317"/>
    <w:rsid w:val="00465FA4"/>
    <w:rsid w:val="0046613F"/>
    <w:rsid w:val="0046655D"/>
    <w:rsid w:val="00466808"/>
    <w:rsid w:val="00466AAE"/>
    <w:rsid w:val="0046765E"/>
    <w:rsid w:val="004676E2"/>
    <w:rsid w:val="004703E3"/>
    <w:rsid w:val="00471B64"/>
    <w:rsid w:val="00471EDD"/>
    <w:rsid w:val="00473E94"/>
    <w:rsid w:val="0047400C"/>
    <w:rsid w:val="00474471"/>
    <w:rsid w:val="004745D9"/>
    <w:rsid w:val="00474619"/>
    <w:rsid w:val="0047494A"/>
    <w:rsid w:val="00474B94"/>
    <w:rsid w:val="00475076"/>
    <w:rsid w:val="004761D2"/>
    <w:rsid w:val="004762D8"/>
    <w:rsid w:val="004765B3"/>
    <w:rsid w:val="00476D29"/>
    <w:rsid w:val="00477241"/>
    <w:rsid w:val="0047728F"/>
    <w:rsid w:val="004774F5"/>
    <w:rsid w:val="00477EAF"/>
    <w:rsid w:val="00477EE0"/>
    <w:rsid w:val="00480AB8"/>
    <w:rsid w:val="0048139F"/>
    <w:rsid w:val="00481C00"/>
    <w:rsid w:val="00483053"/>
    <w:rsid w:val="00484874"/>
    <w:rsid w:val="00485230"/>
    <w:rsid w:val="00487127"/>
    <w:rsid w:val="004879E9"/>
    <w:rsid w:val="00487F81"/>
    <w:rsid w:val="00490082"/>
    <w:rsid w:val="00490247"/>
    <w:rsid w:val="00490524"/>
    <w:rsid w:val="00490B20"/>
    <w:rsid w:val="0049104F"/>
    <w:rsid w:val="00491218"/>
    <w:rsid w:val="00491CFD"/>
    <w:rsid w:val="00492991"/>
    <w:rsid w:val="00493362"/>
    <w:rsid w:val="00493F5F"/>
    <w:rsid w:val="00494343"/>
    <w:rsid w:val="00494AAB"/>
    <w:rsid w:val="00494FB8"/>
    <w:rsid w:val="0049548B"/>
    <w:rsid w:val="00496C2F"/>
    <w:rsid w:val="0049740D"/>
    <w:rsid w:val="004978D3"/>
    <w:rsid w:val="004A06A6"/>
    <w:rsid w:val="004A1160"/>
    <w:rsid w:val="004A11F8"/>
    <w:rsid w:val="004A22BD"/>
    <w:rsid w:val="004A22FA"/>
    <w:rsid w:val="004A25E2"/>
    <w:rsid w:val="004A269A"/>
    <w:rsid w:val="004A26AF"/>
    <w:rsid w:val="004A26DB"/>
    <w:rsid w:val="004A30FB"/>
    <w:rsid w:val="004A35DD"/>
    <w:rsid w:val="004A37D3"/>
    <w:rsid w:val="004A3AD6"/>
    <w:rsid w:val="004A3BCE"/>
    <w:rsid w:val="004A4A6D"/>
    <w:rsid w:val="004A4D61"/>
    <w:rsid w:val="004A5155"/>
    <w:rsid w:val="004A56EB"/>
    <w:rsid w:val="004A5865"/>
    <w:rsid w:val="004A7670"/>
    <w:rsid w:val="004A77DF"/>
    <w:rsid w:val="004B0295"/>
    <w:rsid w:val="004B0803"/>
    <w:rsid w:val="004B10A8"/>
    <w:rsid w:val="004B1F58"/>
    <w:rsid w:val="004B1F9D"/>
    <w:rsid w:val="004B2093"/>
    <w:rsid w:val="004B22DA"/>
    <w:rsid w:val="004B314A"/>
    <w:rsid w:val="004B3CB7"/>
    <w:rsid w:val="004B3D55"/>
    <w:rsid w:val="004B41DC"/>
    <w:rsid w:val="004B55B7"/>
    <w:rsid w:val="004B5836"/>
    <w:rsid w:val="004B5E1F"/>
    <w:rsid w:val="004B5F05"/>
    <w:rsid w:val="004C0009"/>
    <w:rsid w:val="004C00A6"/>
    <w:rsid w:val="004C0243"/>
    <w:rsid w:val="004C08F1"/>
    <w:rsid w:val="004C0B46"/>
    <w:rsid w:val="004C0BBB"/>
    <w:rsid w:val="004C1AD6"/>
    <w:rsid w:val="004C1B86"/>
    <w:rsid w:val="004C1DEE"/>
    <w:rsid w:val="004C3382"/>
    <w:rsid w:val="004C3867"/>
    <w:rsid w:val="004C4AB7"/>
    <w:rsid w:val="004C4B88"/>
    <w:rsid w:val="004C4CD0"/>
    <w:rsid w:val="004C5121"/>
    <w:rsid w:val="004C57B5"/>
    <w:rsid w:val="004C5C25"/>
    <w:rsid w:val="004C6717"/>
    <w:rsid w:val="004C6CFF"/>
    <w:rsid w:val="004C7065"/>
    <w:rsid w:val="004C70DC"/>
    <w:rsid w:val="004C7268"/>
    <w:rsid w:val="004C77A8"/>
    <w:rsid w:val="004C7C50"/>
    <w:rsid w:val="004D0211"/>
    <w:rsid w:val="004D1C9C"/>
    <w:rsid w:val="004D2A0E"/>
    <w:rsid w:val="004D2D7A"/>
    <w:rsid w:val="004D3B7D"/>
    <w:rsid w:val="004D458D"/>
    <w:rsid w:val="004D474F"/>
    <w:rsid w:val="004D4F13"/>
    <w:rsid w:val="004D504B"/>
    <w:rsid w:val="004D536E"/>
    <w:rsid w:val="004D58CE"/>
    <w:rsid w:val="004D6307"/>
    <w:rsid w:val="004D70B1"/>
    <w:rsid w:val="004D745A"/>
    <w:rsid w:val="004D76CC"/>
    <w:rsid w:val="004E1415"/>
    <w:rsid w:val="004E1839"/>
    <w:rsid w:val="004E38D2"/>
    <w:rsid w:val="004E4A75"/>
    <w:rsid w:val="004E541A"/>
    <w:rsid w:val="004E5A5C"/>
    <w:rsid w:val="004E7007"/>
    <w:rsid w:val="004E70ED"/>
    <w:rsid w:val="004E76D6"/>
    <w:rsid w:val="004E7F57"/>
    <w:rsid w:val="004F06F5"/>
    <w:rsid w:val="004F0B25"/>
    <w:rsid w:val="004F191F"/>
    <w:rsid w:val="004F2A4D"/>
    <w:rsid w:val="004F2A73"/>
    <w:rsid w:val="004F33A0"/>
    <w:rsid w:val="004F353A"/>
    <w:rsid w:val="004F3B06"/>
    <w:rsid w:val="004F4353"/>
    <w:rsid w:val="004F447D"/>
    <w:rsid w:val="004F4C28"/>
    <w:rsid w:val="004F4E82"/>
    <w:rsid w:val="004F5470"/>
    <w:rsid w:val="004F5950"/>
    <w:rsid w:val="004F5CC5"/>
    <w:rsid w:val="004F5DCC"/>
    <w:rsid w:val="004F6350"/>
    <w:rsid w:val="004F7170"/>
    <w:rsid w:val="00501BFD"/>
    <w:rsid w:val="005028E1"/>
    <w:rsid w:val="00503955"/>
    <w:rsid w:val="005041D8"/>
    <w:rsid w:val="00505989"/>
    <w:rsid w:val="00506309"/>
    <w:rsid w:val="0050692E"/>
    <w:rsid w:val="00507040"/>
    <w:rsid w:val="00507638"/>
    <w:rsid w:val="005079F8"/>
    <w:rsid w:val="00507A87"/>
    <w:rsid w:val="00510189"/>
    <w:rsid w:val="00510428"/>
    <w:rsid w:val="005108C0"/>
    <w:rsid w:val="00510C81"/>
    <w:rsid w:val="00511873"/>
    <w:rsid w:val="00512495"/>
    <w:rsid w:val="00512603"/>
    <w:rsid w:val="00512B54"/>
    <w:rsid w:val="00512CC5"/>
    <w:rsid w:val="0051367B"/>
    <w:rsid w:val="00513A89"/>
    <w:rsid w:val="00513B7E"/>
    <w:rsid w:val="005140DE"/>
    <w:rsid w:val="00514474"/>
    <w:rsid w:val="005147E9"/>
    <w:rsid w:val="0051507D"/>
    <w:rsid w:val="0051593C"/>
    <w:rsid w:val="0051668A"/>
    <w:rsid w:val="00516CF6"/>
    <w:rsid w:val="00516F2B"/>
    <w:rsid w:val="00517567"/>
    <w:rsid w:val="0051778E"/>
    <w:rsid w:val="005177BB"/>
    <w:rsid w:val="005215EF"/>
    <w:rsid w:val="00521CFC"/>
    <w:rsid w:val="00522795"/>
    <w:rsid w:val="00522F36"/>
    <w:rsid w:val="00524637"/>
    <w:rsid w:val="0052495F"/>
    <w:rsid w:val="00524FDD"/>
    <w:rsid w:val="00525137"/>
    <w:rsid w:val="005251DD"/>
    <w:rsid w:val="005257A8"/>
    <w:rsid w:val="00526A54"/>
    <w:rsid w:val="00526D50"/>
    <w:rsid w:val="00526DB6"/>
    <w:rsid w:val="00527F5A"/>
    <w:rsid w:val="005300CB"/>
    <w:rsid w:val="0053017A"/>
    <w:rsid w:val="0053030C"/>
    <w:rsid w:val="00530492"/>
    <w:rsid w:val="005308E4"/>
    <w:rsid w:val="005325A8"/>
    <w:rsid w:val="00532854"/>
    <w:rsid w:val="005350F2"/>
    <w:rsid w:val="00535152"/>
    <w:rsid w:val="00535359"/>
    <w:rsid w:val="005357A2"/>
    <w:rsid w:val="005359E3"/>
    <w:rsid w:val="00535D87"/>
    <w:rsid w:val="00535EF0"/>
    <w:rsid w:val="00535F78"/>
    <w:rsid w:val="005363DF"/>
    <w:rsid w:val="005369CF"/>
    <w:rsid w:val="0053734B"/>
    <w:rsid w:val="005375B1"/>
    <w:rsid w:val="00537AFD"/>
    <w:rsid w:val="00537CB4"/>
    <w:rsid w:val="00540CB3"/>
    <w:rsid w:val="00540D25"/>
    <w:rsid w:val="005412E0"/>
    <w:rsid w:val="00541822"/>
    <w:rsid w:val="00542D19"/>
    <w:rsid w:val="00543989"/>
    <w:rsid w:val="005440E1"/>
    <w:rsid w:val="0054516B"/>
    <w:rsid w:val="0054531C"/>
    <w:rsid w:val="0054559E"/>
    <w:rsid w:val="005459BD"/>
    <w:rsid w:val="00546833"/>
    <w:rsid w:val="0054787A"/>
    <w:rsid w:val="00551147"/>
    <w:rsid w:val="00551259"/>
    <w:rsid w:val="005513D5"/>
    <w:rsid w:val="00551A4F"/>
    <w:rsid w:val="00552112"/>
    <w:rsid w:val="005523B9"/>
    <w:rsid w:val="005538E2"/>
    <w:rsid w:val="00553C88"/>
    <w:rsid w:val="005545E0"/>
    <w:rsid w:val="00554865"/>
    <w:rsid w:val="00554E57"/>
    <w:rsid w:val="00556C12"/>
    <w:rsid w:val="00557E6A"/>
    <w:rsid w:val="00562749"/>
    <w:rsid w:val="00562DE9"/>
    <w:rsid w:val="0056303C"/>
    <w:rsid w:val="00563270"/>
    <w:rsid w:val="005638A5"/>
    <w:rsid w:val="00564137"/>
    <w:rsid w:val="00566381"/>
    <w:rsid w:val="00566A03"/>
    <w:rsid w:val="00571932"/>
    <w:rsid w:val="00573A00"/>
    <w:rsid w:val="00573C97"/>
    <w:rsid w:val="00574240"/>
    <w:rsid w:val="005743B4"/>
    <w:rsid w:val="0057454C"/>
    <w:rsid w:val="005752BD"/>
    <w:rsid w:val="005752EB"/>
    <w:rsid w:val="005755FE"/>
    <w:rsid w:val="0057569E"/>
    <w:rsid w:val="00575CDC"/>
    <w:rsid w:val="005765D5"/>
    <w:rsid w:val="00576A3E"/>
    <w:rsid w:val="0057703D"/>
    <w:rsid w:val="005807D6"/>
    <w:rsid w:val="00581892"/>
    <w:rsid w:val="0058366F"/>
    <w:rsid w:val="00583D5B"/>
    <w:rsid w:val="00583FFD"/>
    <w:rsid w:val="00585EFE"/>
    <w:rsid w:val="00587CCD"/>
    <w:rsid w:val="005908AE"/>
    <w:rsid w:val="00590CDE"/>
    <w:rsid w:val="0059176E"/>
    <w:rsid w:val="00592854"/>
    <w:rsid w:val="00593152"/>
    <w:rsid w:val="005934CE"/>
    <w:rsid w:val="00593CA3"/>
    <w:rsid w:val="00593D14"/>
    <w:rsid w:val="00593ECE"/>
    <w:rsid w:val="00594161"/>
    <w:rsid w:val="00594969"/>
    <w:rsid w:val="00594B91"/>
    <w:rsid w:val="00595035"/>
    <w:rsid w:val="005959ED"/>
    <w:rsid w:val="00595C7C"/>
    <w:rsid w:val="0059649D"/>
    <w:rsid w:val="00596601"/>
    <w:rsid w:val="00596C5E"/>
    <w:rsid w:val="005A038A"/>
    <w:rsid w:val="005A198E"/>
    <w:rsid w:val="005A1FEE"/>
    <w:rsid w:val="005A20D8"/>
    <w:rsid w:val="005A2194"/>
    <w:rsid w:val="005A21E0"/>
    <w:rsid w:val="005A3210"/>
    <w:rsid w:val="005A33A1"/>
    <w:rsid w:val="005A3687"/>
    <w:rsid w:val="005A54EE"/>
    <w:rsid w:val="005A563B"/>
    <w:rsid w:val="005A5F82"/>
    <w:rsid w:val="005A61D1"/>
    <w:rsid w:val="005A6CD0"/>
    <w:rsid w:val="005A6E85"/>
    <w:rsid w:val="005A7500"/>
    <w:rsid w:val="005A77E4"/>
    <w:rsid w:val="005A77F6"/>
    <w:rsid w:val="005A7896"/>
    <w:rsid w:val="005B0262"/>
    <w:rsid w:val="005B0B4C"/>
    <w:rsid w:val="005B0B8F"/>
    <w:rsid w:val="005B1BDB"/>
    <w:rsid w:val="005B22A7"/>
    <w:rsid w:val="005B2BAA"/>
    <w:rsid w:val="005B2D53"/>
    <w:rsid w:val="005B3247"/>
    <w:rsid w:val="005B3409"/>
    <w:rsid w:val="005B498A"/>
    <w:rsid w:val="005B513A"/>
    <w:rsid w:val="005B52AE"/>
    <w:rsid w:val="005B6E77"/>
    <w:rsid w:val="005B75C7"/>
    <w:rsid w:val="005B7B12"/>
    <w:rsid w:val="005C16CB"/>
    <w:rsid w:val="005C21D6"/>
    <w:rsid w:val="005C27C5"/>
    <w:rsid w:val="005C3F9F"/>
    <w:rsid w:val="005C406F"/>
    <w:rsid w:val="005C40BA"/>
    <w:rsid w:val="005C419C"/>
    <w:rsid w:val="005C4A23"/>
    <w:rsid w:val="005C562C"/>
    <w:rsid w:val="005C571E"/>
    <w:rsid w:val="005C5812"/>
    <w:rsid w:val="005C5885"/>
    <w:rsid w:val="005C6400"/>
    <w:rsid w:val="005C76F1"/>
    <w:rsid w:val="005C7F1E"/>
    <w:rsid w:val="005D0341"/>
    <w:rsid w:val="005D073B"/>
    <w:rsid w:val="005D11D2"/>
    <w:rsid w:val="005D1E78"/>
    <w:rsid w:val="005D1EDA"/>
    <w:rsid w:val="005D25B4"/>
    <w:rsid w:val="005D374F"/>
    <w:rsid w:val="005D5802"/>
    <w:rsid w:val="005D6CFC"/>
    <w:rsid w:val="005D73E2"/>
    <w:rsid w:val="005D7503"/>
    <w:rsid w:val="005D757A"/>
    <w:rsid w:val="005D76AE"/>
    <w:rsid w:val="005D7C4B"/>
    <w:rsid w:val="005E1871"/>
    <w:rsid w:val="005E1E4B"/>
    <w:rsid w:val="005E362D"/>
    <w:rsid w:val="005E3A0C"/>
    <w:rsid w:val="005E3FAC"/>
    <w:rsid w:val="005E4483"/>
    <w:rsid w:val="005E492C"/>
    <w:rsid w:val="005E4BAA"/>
    <w:rsid w:val="005E52EF"/>
    <w:rsid w:val="005E5B56"/>
    <w:rsid w:val="005E6088"/>
    <w:rsid w:val="005E61DF"/>
    <w:rsid w:val="005E6AB8"/>
    <w:rsid w:val="005E6B65"/>
    <w:rsid w:val="005E6B78"/>
    <w:rsid w:val="005E7506"/>
    <w:rsid w:val="005E75B8"/>
    <w:rsid w:val="005F0976"/>
    <w:rsid w:val="005F26CE"/>
    <w:rsid w:val="005F38D3"/>
    <w:rsid w:val="005F393C"/>
    <w:rsid w:val="005F3F04"/>
    <w:rsid w:val="005F4057"/>
    <w:rsid w:val="005F4088"/>
    <w:rsid w:val="005F42F4"/>
    <w:rsid w:val="005F49ED"/>
    <w:rsid w:val="005F4C83"/>
    <w:rsid w:val="005F5628"/>
    <w:rsid w:val="005F5916"/>
    <w:rsid w:val="005F5A4E"/>
    <w:rsid w:val="005F5F61"/>
    <w:rsid w:val="005F601D"/>
    <w:rsid w:val="005F6119"/>
    <w:rsid w:val="005F7940"/>
    <w:rsid w:val="00600712"/>
    <w:rsid w:val="0060091A"/>
    <w:rsid w:val="0060107A"/>
    <w:rsid w:val="00601AFF"/>
    <w:rsid w:val="00602D1D"/>
    <w:rsid w:val="00603A13"/>
    <w:rsid w:val="00604307"/>
    <w:rsid w:val="0060487F"/>
    <w:rsid w:val="00604CF7"/>
    <w:rsid w:val="00605419"/>
    <w:rsid w:val="00605814"/>
    <w:rsid w:val="00606B93"/>
    <w:rsid w:val="00607727"/>
    <w:rsid w:val="00607934"/>
    <w:rsid w:val="00610BD5"/>
    <w:rsid w:val="00611363"/>
    <w:rsid w:val="00611531"/>
    <w:rsid w:val="006118AA"/>
    <w:rsid w:val="0061196F"/>
    <w:rsid w:val="00611C28"/>
    <w:rsid w:val="006122F3"/>
    <w:rsid w:val="00612E84"/>
    <w:rsid w:val="006139C7"/>
    <w:rsid w:val="00615023"/>
    <w:rsid w:val="006150EA"/>
    <w:rsid w:val="006153E3"/>
    <w:rsid w:val="006155F1"/>
    <w:rsid w:val="006167AB"/>
    <w:rsid w:val="0061718A"/>
    <w:rsid w:val="00617D2D"/>
    <w:rsid w:val="00617D83"/>
    <w:rsid w:val="00620430"/>
    <w:rsid w:val="00620AC5"/>
    <w:rsid w:val="00621575"/>
    <w:rsid w:val="006215FC"/>
    <w:rsid w:val="00624093"/>
    <w:rsid w:val="006260B8"/>
    <w:rsid w:val="00626576"/>
    <w:rsid w:val="00627F1F"/>
    <w:rsid w:val="0063030A"/>
    <w:rsid w:val="006305C4"/>
    <w:rsid w:val="00630E82"/>
    <w:rsid w:val="00630F66"/>
    <w:rsid w:val="00631FC2"/>
    <w:rsid w:val="00632171"/>
    <w:rsid w:val="0063332A"/>
    <w:rsid w:val="00633729"/>
    <w:rsid w:val="00633C64"/>
    <w:rsid w:val="006347F9"/>
    <w:rsid w:val="0063494E"/>
    <w:rsid w:val="00634C90"/>
    <w:rsid w:val="00635818"/>
    <w:rsid w:val="00635E79"/>
    <w:rsid w:val="006365E8"/>
    <w:rsid w:val="00636A55"/>
    <w:rsid w:val="00636A84"/>
    <w:rsid w:val="00636E26"/>
    <w:rsid w:val="00636E5E"/>
    <w:rsid w:val="00637211"/>
    <w:rsid w:val="006379E0"/>
    <w:rsid w:val="00637D0E"/>
    <w:rsid w:val="006404A7"/>
    <w:rsid w:val="006407F3"/>
    <w:rsid w:val="006408EC"/>
    <w:rsid w:val="0064129B"/>
    <w:rsid w:val="00641DF7"/>
    <w:rsid w:val="00643497"/>
    <w:rsid w:val="00643735"/>
    <w:rsid w:val="00643A80"/>
    <w:rsid w:val="00644DFC"/>
    <w:rsid w:val="006451E4"/>
    <w:rsid w:val="006454B4"/>
    <w:rsid w:val="0064574A"/>
    <w:rsid w:val="00645A9C"/>
    <w:rsid w:val="006460B8"/>
    <w:rsid w:val="00646448"/>
    <w:rsid w:val="006467D0"/>
    <w:rsid w:val="00646B41"/>
    <w:rsid w:val="006504A0"/>
    <w:rsid w:val="00650784"/>
    <w:rsid w:val="00650C83"/>
    <w:rsid w:val="006520C7"/>
    <w:rsid w:val="006520D5"/>
    <w:rsid w:val="00652179"/>
    <w:rsid w:val="00652CBB"/>
    <w:rsid w:val="00652CF0"/>
    <w:rsid w:val="006530B8"/>
    <w:rsid w:val="006535D6"/>
    <w:rsid w:val="00654093"/>
    <w:rsid w:val="00654E14"/>
    <w:rsid w:val="006564FB"/>
    <w:rsid w:val="00656716"/>
    <w:rsid w:val="006572ED"/>
    <w:rsid w:val="00657E87"/>
    <w:rsid w:val="0066026B"/>
    <w:rsid w:val="00660457"/>
    <w:rsid w:val="00660CB4"/>
    <w:rsid w:val="00660E1E"/>
    <w:rsid w:val="006637B1"/>
    <w:rsid w:val="00663CFD"/>
    <w:rsid w:val="006647AD"/>
    <w:rsid w:val="00664B64"/>
    <w:rsid w:val="00665691"/>
    <w:rsid w:val="00665B35"/>
    <w:rsid w:val="00665D67"/>
    <w:rsid w:val="00665D77"/>
    <w:rsid w:val="006660CD"/>
    <w:rsid w:val="00666883"/>
    <w:rsid w:val="00666B1D"/>
    <w:rsid w:val="00666EC8"/>
    <w:rsid w:val="00666F4B"/>
    <w:rsid w:val="006676D0"/>
    <w:rsid w:val="0066796E"/>
    <w:rsid w:val="00670FAC"/>
    <w:rsid w:val="006710C9"/>
    <w:rsid w:val="006716A5"/>
    <w:rsid w:val="006717CC"/>
    <w:rsid w:val="006743E8"/>
    <w:rsid w:val="00675E37"/>
    <w:rsid w:val="00675E9B"/>
    <w:rsid w:val="00675F0F"/>
    <w:rsid w:val="006764ED"/>
    <w:rsid w:val="00676AFC"/>
    <w:rsid w:val="00676F11"/>
    <w:rsid w:val="00680079"/>
    <w:rsid w:val="00680ECC"/>
    <w:rsid w:val="00680F68"/>
    <w:rsid w:val="0068260E"/>
    <w:rsid w:val="0068373D"/>
    <w:rsid w:val="00683BFE"/>
    <w:rsid w:val="00683EAB"/>
    <w:rsid w:val="00683EC9"/>
    <w:rsid w:val="0068437D"/>
    <w:rsid w:val="006847C5"/>
    <w:rsid w:val="006857DF"/>
    <w:rsid w:val="00685E66"/>
    <w:rsid w:val="00686B72"/>
    <w:rsid w:val="00686BF1"/>
    <w:rsid w:val="006873E5"/>
    <w:rsid w:val="00687AE5"/>
    <w:rsid w:val="00690A09"/>
    <w:rsid w:val="00690A25"/>
    <w:rsid w:val="00691748"/>
    <w:rsid w:val="00691E14"/>
    <w:rsid w:val="0069340D"/>
    <w:rsid w:val="006936AD"/>
    <w:rsid w:val="00693EA1"/>
    <w:rsid w:val="00693FEA"/>
    <w:rsid w:val="00694930"/>
    <w:rsid w:val="00695170"/>
    <w:rsid w:val="00695BEF"/>
    <w:rsid w:val="006960D6"/>
    <w:rsid w:val="006963FB"/>
    <w:rsid w:val="00696AA5"/>
    <w:rsid w:val="006977F6"/>
    <w:rsid w:val="0069789D"/>
    <w:rsid w:val="00697A13"/>
    <w:rsid w:val="006A109C"/>
    <w:rsid w:val="006A14D5"/>
    <w:rsid w:val="006A1582"/>
    <w:rsid w:val="006A18AE"/>
    <w:rsid w:val="006A23E5"/>
    <w:rsid w:val="006A288C"/>
    <w:rsid w:val="006A2EE8"/>
    <w:rsid w:val="006A3CF3"/>
    <w:rsid w:val="006A4522"/>
    <w:rsid w:val="006A568F"/>
    <w:rsid w:val="006A5B57"/>
    <w:rsid w:val="006A65EF"/>
    <w:rsid w:val="006A672B"/>
    <w:rsid w:val="006A683F"/>
    <w:rsid w:val="006A7257"/>
    <w:rsid w:val="006B1781"/>
    <w:rsid w:val="006B1913"/>
    <w:rsid w:val="006B23A9"/>
    <w:rsid w:val="006B23D8"/>
    <w:rsid w:val="006B281D"/>
    <w:rsid w:val="006B3F8A"/>
    <w:rsid w:val="006B5152"/>
    <w:rsid w:val="006B59D7"/>
    <w:rsid w:val="006B5CA3"/>
    <w:rsid w:val="006B6171"/>
    <w:rsid w:val="006B6B3B"/>
    <w:rsid w:val="006B7248"/>
    <w:rsid w:val="006B7714"/>
    <w:rsid w:val="006B78D8"/>
    <w:rsid w:val="006B797F"/>
    <w:rsid w:val="006B7CCE"/>
    <w:rsid w:val="006C090F"/>
    <w:rsid w:val="006C0935"/>
    <w:rsid w:val="006C0BCE"/>
    <w:rsid w:val="006C0E9E"/>
    <w:rsid w:val="006C113F"/>
    <w:rsid w:val="006C1AA9"/>
    <w:rsid w:val="006C1CE7"/>
    <w:rsid w:val="006C20A0"/>
    <w:rsid w:val="006C2927"/>
    <w:rsid w:val="006C2A70"/>
    <w:rsid w:val="006C2AED"/>
    <w:rsid w:val="006C38DD"/>
    <w:rsid w:val="006C3DC1"/>
    <w:rsid w:val="006C457F"/>
    <w:rsid w:val="006C53C7"/>
    <w:rsid w:val="006C5577"/>
    <w:rsid w:val="006C559A"/>
    <w:rsid w:val="006C586D"/>
    <w:rsid w:val="006C58FA"/>
    <w:rsid w:val="006C6197"/>
    <w:rsid w:val="006C7A7B"/>
    <w:rsid w:val="006C7D09"/>
    <w:rsid w:val="006D004F"/>
    <w:rsid w:val="006D042D"/>
    <w:rsid w:val="006D06EF"/>
    <w:rsid w:val="006D07EC"/>
    <w:rsid w:val="006D1418"/>
    <w:rsid w:val="006D142E"/>
    <w:rsid w:val="006D231B"/>
    <w:rsid w:val="006D3976"/>
    <w:rsid w:val="006D3B87"/>
    <w:rsid w:val="006D4497"/>
    <w:rsid w:val="006D4E6F"/>
    <w:rsid w:val="006D61F6"/>
    <w:rsid w:val="006D710C"/>
    <w:rsid w:val="006D7297"/>
    <w:rsid w:val="006E0EB0"/>
    <w:rsid w:val="006E182C"/>
    <w:rsid w:val="006E1F4C"/>
    <w:rsid w:val="006E22C8"/>
    <w:rsid w:val="006E279A"/>
    <w:rsid w:val="006E2C28"/>
    <w:rsid w:val="006E2F3F"/>
    <w:rsid w:val="006E2F44"/>
    <w:rsid w:val="006E313B"/>
    <w:rsid w:val="006E394C"/>
    <w:rsid w:val="006E4368"/>
    <w:rsid w:val="006E442A"/>
    <w:rsid w:val="006E4434"/>
    <w:rsid w:val="006E4A1B"/>
    <w:rsid w:val="006E59FC"/>
    <w:rsid w:val="006E5CFD"/>
    <w:rsid w:val="006E5FC4"/>
    <w:rsid w:val="006E635B"/>
    <w:rsid w:val="006E642F"/>
    <w:rsid w:val="006E76BE"/>
    <w:rsid w:val="006E7E2C"/>
    <w:rsid w:val="006F0D32"/>
    <w:rsid w:val="006F0E00"/>
    <w:rsid w:val="006F1326"/>
    <w:rsid w:val="006F1553"/>
    <w:rsid w:val="006F1DDD"/>
    <w:rsid w:val="006F2280"/>
    <w:rsid w:val="006F2BEE"/>
    <w:rsid w:val="006F32FF"/>
    <w:rsid w:val="006F3708"/>
    <w:rsid w:val="006F376C"/>
    <w:rsid w:val="006F3A90"/>
    <w:rsid w:val="006F3E6B"/>
    <w:rsid w:val="006F440D"/>
    <w:rsid w:val="006F4619"/>
    <w:rsid w:val="006F4A59"/>
    <w:rsid w:val="006F5693"/>
    <w:rsid w:val="006F6968"/>
    <w:rsid w:val="00700232"/>
    <w:rsid w:val="00701382"/>
    <w:rsid w:val="007014C7"/>
    <w:rsid w:val="00702100"/>
    <w:rsid w:val="00702358"/>
    <w:rsid w:val="00702D6F"/>
    <w:rsid w:val="007031C6"/>
    <w:rsid w:val="00703B6C"/>
    <w:rsid w:val="00703C6B"/>
    <w:rsid w:val="00703CFE"/>
    <w:rsid w:val="007047D5"/>
    <w:rsid w:val="00705A91"/>
    <w:rsid w:val="00705D98"/>
    <w:rsid w:val="00707891"/>
    <w:rsid w:val="00707D43"/>
    <w:rsid w:val="00710F7C"/>
    <w:rsid w:val="00711398"/>
    <w:rsid w:val="00711970"/>
    <w:rsid w:val="00711EF1"/>
    <w:rsid w:val="0071229A"/>
    <w:rsid w:val="00712572"/>
    <w:rsid w:val="00712691"/>
    <w:rsid w:val="00713495"/>
    <w:rsid w:val="00713EEB"/>
    <w:rsid w:val="007142C1"/>
    <w:rsid w:val="0071479D"/>
    <w:rsid w:val="00715487"/>
    <w:rsid w:val="00715504"/>
    <w:rsid w:val="007159D2"/>
    <w:rsid w:val="00716DCC"/>
    <w:rsid w:val="00717726"/>
    <w:rsid w:val="0072050E"/>
    <w:rsid w:val="00720958"/>
    <w:rsid w:val="00720FA2"/>
    <w:rsid w:val="007211F5"/>
    <w:rsid w:val="00722985"/>
    <w:rsid w:val="007240C5"/>
    <w:rsid w:val="00724666"/>
    <w:rsid w:val="00724E80"/>
    <w:rsid w:val="00725492"/>
    <w:rsid w:val="007256B7"/>
    <w:rsid w:val="00726043"/>
    <w:rsid w:val="007260C3"/>
    <w:rsid w:val="007265C6"/>
    <w:rsid w:val="0072671B"/>
    <w:rsid w:val="0072704A"/>
    <w:rsid w:val="007273DC"/>
    <w:rsid w:val="007279B9"/>
    <w:rsid w:val="00727F9F"/>
    <w:rsid w:val="00730AE8"/>
    <w:rsid w:val="00730BBC"/>
    <w:rsid w:val="007315DA"/>
    <w:rsid w:val="00731963"/>
    <w:rsid w:val="00732706"/>
    <w:rsid w:val="0073325D"/>
    <w:rsid w:val="00733C96"/>
    <w:rsid w:val="0073402C"/>
    <w:rsid w:val="00734321"/>
    <w:rsid w:val="00734597"/>
    <w:rsid w:val="00735044"/>
    <w:rsid w:val="0073532E"/>
    <w:rsid w:val="00735B01"/>
    <w:rsid w:val="007367F6"/>
    <w:rsid w:val="00740310"/>
    <w:rsid w:val="00740652"/>
    <w:rsid w:val="00740F02"/>
    <w:rsid w:val="00740FEC"/>
    <w:rsid w:val="0074132E"/>
    <w:rsid w:val="00741493"/>
    <w:rsid w:val="0074240C"/>
    <w:rsid w:val="007426B3"/>
    <w:rsid w:val="007426FD"/>
    <w:rsid w:val="007430AB"/>
    <w:rsid w:val="007430BF"/>
    <w:rsid w:val="0074329D"/>
    <w:rsid w:val="00744376"/>
    <w:rsid w:val="007449EA"/>
    <w:rsid w:val="00744D00"/>
    <w:rsid w:val="00744D2B"/>
    <w:rsid w:val="00745273"/>
    <w:rsid w:val="00745650"/>
    <w:rsid w:val="00745F3C"/>
    <w:rsid w:val="00746DD9"/>
    <w:rsid w:val="00747459"/>
    <w:rsid w:val="0075057A"/>
    <w:rsid w:val="00751771"/>
    <w:rsid w:val="00751C1C"/>
    <w:rsid w:val="00752180"/>
    <w:rsid w:val="007521A1"/>
    <w:rsid w:val="0075274D"/>
    <w:rsid w:val="00752BC3"/>
    <w:rsid w:val="0075315D"/>
    <w:rsid w:val="007538F9"/>
    <w:rsid w:val="00753AFD"/>
    <w:rsid w:val="00754253"/>
    <w:rsid w:val="007552BB"/>
    <w:rsid w:val="007558D3"/>
    <w:rsid w:val="007559D7"/>
    <w:rsid w:val="00755D3A"/>
    <w:rsid w:val="00755EA0"/>
    <w:rsid w:val="00760141"/>
    <w:rsid w:val="007609C6"/>
    <w:rsid w:val="00760C01"/>
    <w:rsid w:val="007610A0"/>
    <w:rsid w:val="00762036"/>
    <w:rsid w:val="007620F2"/>
    <w:rsid w:val="0076290D"/>
    <w:rsid w:val="00762EBA"/>
    <w:rsid w:val="0076359D"/>
    <w:rsid w:val="00763A13"/>
    <w:rsid w:val="00763D86"/>
    <w:rsid w:val="00766109"/>
    <w:rsid w:val="00766F78"/>
    <w:rsid w:val="0076719C"/>
    <w:rsid w:val="0077058D"/>
    <w:rsid w:val="00770931"/>
    <w:rsid w:val="00770FA7"/>
    <w:rsid w:val="00772536"/>
    <w:rsid w:val="00773613"/>
    <w:rsid w:val="0077430F"/>
    <w:rsid w:val="00774782"/>
    <w:rsid w:val="00776476"/>
    <w:rsid w:val="00776527"/>
    <w:rsid w:val="00777DB1"/>
    <w:rsid w:val="007805E1"/>
    <w:rsid w:val="00780DDF"/>
    <w:rsid w:val="0078113E"/>
    <w:rsid w:val="00781834"/>
    <w:rsid w:val="00781EBB"/>
    <w:rsid w:val="007821DB"/>
    <w:rsid w:val="00782235"/>
    <w:rsid w:val="00782818"/>
    <w:rsid w:val="007838F1"/>
    <w:rsid w:val="007841BB"/>
    <w:rsid w:val="00784C4A"/>
    <w:rsid w:val="00784DCA"/>
    <w:rsid w:val="00785C7A"/>
    <w:rsid w:val="00787432"/>
    <w:rsid w:val="00787507"/>
    <w:rsid w:val="0078778C"/>
    <w:rsid w:val="007879F2"/>
    <w:rsid w:val="00790164"/>
    <w:rsid w:val="00790393"/>
    <w:rsid w:val="007904B2"/>
    <w:rsid w:val="00790C15"/>
    <w:rsid w:val="00791804"/>
    <w:rsid w:val="0079197F"/>
    <w:rsid w:val="00791CF8"/>
    <w:rsid w:val="00791EF9"/>
    <w:rsid w:val="00792262"/>
    <w:rsid w:val="00793387"/>
    <w:rsid w:val="00793BAE"/>
    <w:rsid w:val="007941C3"/>
    <w:rsid w:val="00794870"/>
    <w:rsid w:val="00794E0A"/>
    <w:rsid w:val="00795B04"/>
    <w:rsid w:val="0079638B"/>
    <w:rsid w:val="00796642"/>
    <w:rsid w:val="00797354"/>
    <w:rsid w:val="007A11D9"/>
    <w:rsid w:val="007A327B"/>
    <w:rsid w:val="007A36DE"/>
    <w:rsid w:val="007A4048"/>
    <w:rsid w:val="007A45B1"/>
    <w:rsid w:val="007A4606"/>
    <w:rsid w:val="007A4D58"/>
    <w:rsid w:val="007A5039"/>
    <w:rsid w:val="007A6772"/>
    <w:rsid w:val="007A684C"/>
    <w:rsid w:val="007A74B4"/>
    <w:rsid w:val="007A796D"/>
    <w:rsid w:val="007B04E8"/>
    <w:rsid w:val="007B0920"/>
    <w:rsid w:val="007B0D67"/>
    <w:rsid w:val="007B0F90"/>
    <w:rsid w:val="007B1966"/>
    <w:rsid w:val="007B2257"/>
    <w:rsid w:val="007B22E6"/>
    <w:rsid w:val="007B2779"/>
    <w:rsid w:val="007B2AF7"/>
    <w:rsid w:val="007B2F37"/>
    <w:rsid w:val="007B3DCC"/>
    <w:rsid w:val="007B4518"/>
    <w:rsid w:val="007B4EEC"/>
    <w:rsid w:val="007B5031"/>
    <w:rsid w:val="007B573F"/>
    <w:rsid w:val="007B70B8"/>
    <w:rsid w:val="007B72AC"/>
    <w:rsid w:val="007B78F8"/>
    <w:rsid w:val="007C0065"/>
    <w:rsid w:val="007C010B"/>
    <w:rsid w:val="007C29B0"/>
    <w:rsid w:val="007C3289"/>
    <w:rsid w:val="007C32B6"/>
    <w:rsid w:val="007C3AE3"/>
    <w:rsid w:val="007C3C8E"/>
    <w:rsid w:val="007C5363"/>
    <w:rsid w:val="007C5E52"/>
    <w:rsid w:val="007C605B"/>
    <w:rsid w:val="007C6557"/>
    <w:rsid w:val="007C6EA2"/>
    <w:rsid w:val="007C6EBA"/>
    <w:rsid w:val="007C75CA"/>
    <w:rsid w:val="007C7BAC"/>
    <w:rsid w:val="007C7CC5"/>
    <w:rsid w:val="007D0ACF"/>
    <w:rsid w:val="007D2749"/>
    <w:rsid w:val="007D2A5A"/>
    <w:rsid w:val="007D2AD8"/>
    <w:rsid w:val="007D2C47"/>
    <w:rsid w:val="007D2C61"/>
    <w:rsid w:val="007D2DA3"/>
    <w:rsid w:val="007D2F81"/>
    <w:rsid w:val="007D3167"/>
    <w:rsid w:val="007D329F"/>
    <w:rsid w:val="007D3A2C"/>
    <w:rsid w:val="007D3CF7"/>
    <w:rsid w:val="007D4128"/>
    <w:rsid w:val="007D4281"/>
    <w:rsid w:val="007D42F5"/>
    <w:rsid w:val="007D44C3"/>
    <w:rsid w:val="007D5947"/>
    <w:rsid w:val="007D65C1"/>
    <w:rsid w:val="007D7936"/>
    <w:rsid w:val="007E030F"/>
    <w:rsid w:val="007E0D49"/>
    <w:rsid w:val="007E0E59"/>
    <w:rsid w:val="007E0F4B"/>
    <w:rsid w:val="007E12C1"/>
    <w:rsid w:val="007E15E9"/>
    <w:rsid w:val="007E1EF7"/>
    <w:rsid w:val="007E20C0"/>
    <w:rsid w:val="007E34F7"/>
    <w:rsid w:val="007E3715"/>
    <w:rsid w:val="007E4996"/>
    <w:rsid w:val="007E5036"/>
    <w:rsid w:val="007E5880"/>
    <w:rsid w:val="007E5F3D"/>
    <w:rsid w:val="007E61FF"/>
    <w:rsid w:val="007E6588"/>
    <w:rsid w:val="007E7063"/>
    <w:rsid w:val="007E7E61"/>
    <w:rsid w:val="007F0316"/>
    <w:rsid w:val="007F0845"/>
    <w:rsid w:val="007F0DF6"/>
    <w:rsid w:val="007F1092"/>
    <w:rsid w:val="007F16F9"/>
    <w:rsid w:val="007F2801"/>
    <w:rsid w:val="007F2BF6"/>
    <w:rsid w:val="007F3E3E"/>
    <w:rsid w:val="007F42E0"/>
    <w:rsid w:val="007F45FF"/>
    <w:rsid w:val="007F500D"/>
    <w:rsid w:val="007F5F14"/>
    <w:rsid w:val="007F61D3"/>
    <w:rsid w:val="007F646D"/>
    <w:rsid w:val="007F69EE"/>
    <w:rsid w:val="007F7B54"/>
    <w:rsid w:val="007F7C60"/>
    <w:rsid w:val="00800073"/>
    <w:rsid w:val="008001F0"/>
    <w:rsid w:val="008005D7"/>
    <w:rsid w:val="00801547"/>
    <w:rsid w:val="00801D15"/>
    <w:rsid w:val="00801FDD"/>
    <w:rsid w:val="008020C2"/>
    <w:rsid w:val="00802386"/>
    <w:rsid w:val="0080255C"/>
    <w:rsid w:val="008054FB"/>
    <w:rsid w:val="0080585A"/>
    <w:rsid w:val="00806088"/>
    <w:rsid w:val="00806D07"/>
    <w:rsid w:val="0081019B"/>
    <w:rsid w:val="00810971"/>
    <w:rsid w:val="0081187C"/>
    <w:rsid w:val="00811E24"/>
    <w:rsid w:val="008120C5"/>
    <w:rsid w:val="00812386"/>
    <w:rsid w:val="00812E2B"/>
    <w:rsid w:val="00813A70"/>
    <w:rsid w:val="00813CB4"/>
    <w:rsid w:val="00813DB0"/>
    <w:rsid w:val="00813FE6"/>
    <w:rsid w:val="00814833"/>
    <w:rsid w:val="00814965"/>
    <w:rsid w:val="00815B82"/>
    <w:rsid w:val="00815C6E"/>
    <w:rsid w:val="00815DD0"/>
    <w:rsid w:val="00815F10"/>
    <w:rsid w:val="0081645F"/>
    <w:rsid w:val="00816A28"/>
    <w:rsid w:val="00816DDF"/>
    <w:rsid w:val="008174A3"/>
    <w:rsid w:val="00817755"/>
    <w:rsid w:val="00817865"/>
    <w:rsid w:val="008178C2"/>
    <w:rsid w:val="008178CF"/>
    <w:rsid w:val="00817BBE"/>
    <w:rsid w:val="00817C98"/>
    <w:rsid w:val="00820C9F"/>
    <w:rsid w:val="00821AAE"/>
    <w:rsid w:val="00821C4A"/>
    <w:rsid w:val="00821CEB"/>
    <w:rsid w:val="00821FF6"/>
    <w:rsid w:val="00823AAF"/>
    <w:rsid w:val="00824081"/>
    <w:rsid w:val="0082409A"/>
    <w:rsid w:val="00824626"/>
    <w:rsid w:val="008252D7"/>
    <w:rsid w:val="008259CC"/>
    <w:rsid w:val="00825C0F"/>
    <w:rsid w:val="00826376"/>
    <w:rsid w:val="00826ED1"/>
    <w:rsid w:val="00827181"/>
    <w:rsid w:val="0082733C"/>
    <w:rsid w:val="00827746"/>
    <w:rsid w:val="00827D56"/>
    <w:rsid w:val="0083102D"/>
    <w:rsid w:val="0083143E"/>
    <w:rsid w:val="0083159D"/>
    <w:rsid w:val="008318FF"/>
    <w:rsid w:val="00831E95"/>
    <w:rsid w:val="00832187"/>
    <w:rsid w:val="00832493"/>
    <w:rsid w:val="008328C9"/>
    <w:rsid w:val="008329BD"/>
    <w:rsid w:val="008334C3"/>
    <w:rsid w:val="008336D8"/>
    <w:rsid w:val="008339C4"/>
    <w:rsid w:val="00834B56"/>
    <w:rsid w:val="00834F0A"/>
    <w:rsid w:val="00834FAA"/>
    <w:rsid w:val="00835181"/>
    <w:rsid w:val="00835991"/>
    <w:rsid w:val="00836086"/>
    <w:rsid w:val="00837566"/>
    <w:rsid w:val="00837871"/>
    <w:rsid w:val="0084002E"/>
    <w:rsid w:val="00840458"/>
    <w:rsid w:val="00840699"/>
    <w:rsid w:val="00841D9F"/>
    <w:rsid w:val="00842078"/>
    <w:rsid w:val="00842604"/>
    <w:rsid w:val="008434B0"/>
    <w:rsid w:val="00843ECF"/>
    <w:rsid w:val="0084535E"/>
    <w:rsid w:val="00845A11"/>
    <w:rsid w:val="00845AB1"/>
    <w:rsid w:val="00846673"/>
    <w:rsid w:val="00846891"/>
    <w:rsid w:val="008508A9"/>
    <w:rsid w:val="00851087"/>
    <w:rsid w:val="0085188D"/>
    <w:rsid w:val="008518D8"/>
    <w:rsid w:val="0085220C"/>
    <w:rsid w:val="008525F9"/>
    <w:rsid w:val="0085281A"/>
    <w:rsid w:val="00853C0F"/>
    <w:rsid w:val="00853F33"/>
    <w:rsid w:val="008548EA"/>
    <w:rsid w:val="008550EA"/>
    <w:rsid w:val="008559FE"/>
    <w:rsid w:val="0085686D"/>
    <w:rsid w:val="00857339"/>
    <w:rsid w:val="00860706"/>
    <w:rsid w:val="00861C98"/>
    <w:rsid w:val="00862A7A"/>
    <w:rsid w:val="00862FBD"/>
    <w:rsid w:val="00863104"/>
    <w:rsid w:val="008636CD"/>
    <w:rsid w:val="00863702"/>
    <w:rsid w:val="00863D9E"/>
    <w:rsid w:val="00863FDC"/>
    <w:rsid w:val="008642AF"/>
    <w:rsid w:val="00864B5A"/>
    <w:rsid w:val="00864F00"/>
    <w:rsid w:val="00865286"/>
    <w:rsid w:val="00865729"/>
    <w:rsid w:val="0086590D"/>
    <w:rsid w:val="00865EA8"/>
    <w:rsid w:val="00865ED4"/>
    <w:rsid w:val="008669A7"/>
    <w:rsid w:val="00867464"/>
    <w:rsid w:val="00867B8F"/>
    <w:rsid w:val="00867D15"/>
    <w:rsid w:val="00867E29"/>
    <w:rsid w:val="00870F2B"/>
    <w:rsid w:val="00873B2E"/>
    <w:rsid w:val="00874097"/>
    <w:rsid w:val="008746E6"/>
    <w:rsid w:val="0087515D"/>
    <w:rsid w:val="00875740"/>
    <w:rsid w:val="0087594C"/>
    <w:rsid w:val="00876086"/>
    <w:rsid w:val="008765FA"/>
    <w:rsid w:val="008768D6"/>
    <w:rsid w:val="008775D1"/>
    <w:rsid w:val="008777BB"/>
    <w:rsid w:val="00877D68"/>
    <w:rsid w:val="00877E5D"/>
    <w:rsid w:val="00880150"/>
    <w:rsid w:val="00880ABA"/>
    <w:rsid w:val="00880F23"/>
    <w:rsid w:val="008810BB"/>
    <w:rsid w:val="00883A67"/>
    <w:rsid w:val="00883D45"/>
    <w:rsid w:val="00884519"/>
    <w:rsid w:val="00884D69"/>
    <w:rsid w:val="0088503D"/>
    <w:rsid w:val="00885620"/>
    <w:rsid w:val="00885EC6"/>
    <w:rsid w:val="008869D2"/>
    <w:rsid w:val="00886A8F"/>
    <w:rsid w:val="0088733A"/>
    <w:rsid w:val="008901CC"/>
    <w:rsid w:val="0089061C"/>
    <w:rsid w:val="00891251"/>
    <w:rsid w:val="00891BE0"/>
    <w:rsid w:val="008929A0"/>
    <w:rsid w:val="00893269"/>
    <w:rsid w:val="00893302"/>
    <w:rsid w:val="00893648"/>
    <w:rsid w:val="00893D05"/>
    <w:rsid w:val="00893D83"/>
    <w:rsid w:val="00893F0C"/>
    <w:rsid w:val="00893F3C"/>
    <w:rsid w:val="008945A1"/>
    <w:rsid w:val="00894A63"/>
    <w:rsid w:val="00894F71"/>
    <w:rsid w:val="00895A54"/>
    <w:rsid w:val="008963A7"/>
    <w:rsid w:val="00896776"/>
    <w:rsid w:val="00896874"/>
    <w:rsid w:val="00896916"/>
    <w:rsid w:val="00896BDE"/>
    <w:rsid w:val="0089763E"/>
    <w:rsid w:val="008A03DE"/>
    <w:rsid w:val="008A0861"/>
    <w:rsid w:val="008A0BB2"/>
    <w:rsid w:val="008A1AB3"/>
    <w:rsid w:val="008A1D5C"/>
    <w:rsid w:val="008A2890"/>
    <w:rsid w:val="008A3292"/>
    <w:rsid w:val="008A3A85"/>
    <w:rsid w:val="008A43E9"/>
    <w:rsid w:val="008A4CB1"/>
    <w:rsid w:val="008A5F34"/>
    <w:rsid w:val="008A615E"/>
    <w:rsid w:val="008A632B"/>
    <w:rsid w:val="008A6720"/>
    <w:rsid w:val="008A6BFE"/>
    <w:rsid w:val="008A6F21"/>
    <w:rsid w:val="008A6F3F"/>
    <w:rsid w:val="008A6F67"/>
    <w:rsid w:val="008A73DA"/>
    <w:rsid w:val="008B00C2"/>
    <w:rsid w:val="008B04A0"/>
    <w:rsid w:val="008B05E8"/>
    <w:rsid w:val="008B07EF"/>
    <w:rsid w:val="008B16DE"/>
    <w:rsid w:val="008B190E"/>
    <w:rsid w:val="008B1A8A"/>
    <w:rsid w:val="008B1FC9"/>
    <w:rsid w:val="008B4EEA"/>
    <w:rsid w:val="008B531F"/>
    <w:rsid w:val="008B54A3"/>
    <w:rsid w:val="008B5F41"/>
    <w:rsid w:val="008B634C"/>
    <w:rsid w:val="008B6B67"/>
    <w:rsid w:val="008B7306"/>
    <w:rsid w:val="008B775F"/>
    <w:rsid w:val="008B77D1"/>
    <w:rsid w:val="008B7C02"/>
    <w:rsid w:val="008B7D13"/>
    <w:rsid w:val="008B7F9E"/>
    <w:rsid w:val="008C034E"/>
    <w:rsid w:val="008C0E88"/>
    <w:rsid w:val="008C1399"/>
    <w:rsid w:val="008C18A5"/>
    <w:rsid w:val="008C1AA8"/>
    <w:rsid w:val="008C22A8"/>
    <w:rsid w:val="008C4DBA"/>
    <w:rsid w:val="008C5B43"/>
    <w:rsid w:val="008C63FD"/>
    <w:rsid w:val="008C6CB8"/>
    <w:rsid w:val="008C6D92"/>
    <w:rsid w:val="008C777A"/>
    <w:rsid w:val="008C7815"/>
    <w:rsid w:val="008C7A07"/>
    <w:rsid w:val="008C7E90"/>
    <w:rsid w:val="008C7EB3"/>
    <w:rsid w:val="008D0171"/>
    <w:rsid w:val="008D0632"/>
    <w:rsid w:val="008D0A23"/>
    <w:rsid w:val="008D0E3B"/>
    <w:rsid w:val="008D13EA"/>
    <w:rsid w:val="008D21DE"/>
    <w:rsid w:val="008D2671"/>
    <w:rsid w:val="008D2A16"/>
    <w:rsid w:val="008D2ECF"/>
    <w:rsid w:val="008D347D"/>
    <w:rsid w:val="008D3F3D"/>
    <w:rsid w:val="008D4376"/>
    <w:rsid w:val="008D4F04"/>
    <w:rsid w:val="008D51E9"/>
    <w:rsid w:val="008D5BAD"/>
    <w:rsid w:val="008D699D"/>
    <w:rsid w:val="008E0367"/>
    <w:rsid w:val="008E2DCD"/>
    <w:rsid w:val="008E308D"/>
    <w:rsid w:val="008E31FF"/>
    <w:rsid w:val="008E3B0F"/>
    <w:rsid w:val="008E46A3"/>
    <w:rsid w:val="008E5DE6"/>
    <w:rsid w:val="008E5E90"/>
    <w:rsid w:val="008E6113"/>
    <w:rsid w:val="008E6AB3"/>
    <w:rsid w:val="008E6AD3"/>
    <w:rsid w:val="008E6EBD"/>
    <w:rsid w:val="008E71A6"/>
    <w:rsid w:val="008E77B6"/>
    <w:rsid w:val="008E7C55"/>
    <w:rsid w:val="008F032E"/>
    <w:rsid w:val="008F062F"/>
    <w:rsid w:val="008F0F14"/>
    <w:rsid w:val="008F1638"/>
    <w:rsid w:val="008F1723"/>
    <w:rsid w:val="008F2097"/>
    <w:rsid w:val="008F2F44"/>
    <w:rsid w:val="008F352D"/>
    <w:rsid w:val="008F3F1C"/>
    <w:rsid w:val="008F4FCE"/>
    <w:rsid w:val="008F5301"/>
    <w:rsid w:val="008F6967"/>
    <w:rsid w:val="008F6A0C"/>
    <w:rsid w:val="008F6F38"/>
    <w:rsid w:val="008F7721"/>
    <w:rsid w:val="008F7D28"/>
    <w:rsid w:val="009003A8"/>
    <w:rsid w:val="009010A7"/>
    <w:rsid w:val="009010E3"/>
    <w:rsid w:val="00901703"/>
    <w:rsid w:val="00901AF3"/>
    <w:rsid w:val="0090229C"/>
    <w:rsid w:val="00902CBE"/>
    <w:rsid w:val="00902D74"/>
    <w:rsid w:val="00902EFF"/>
    <w:rsid w:val="00902FAC"/>
    <w:rsid w:val="00903E06"/>
    <w:rsid w:val="009045D1"/>
    <w:rsid w:val="00904B9D"/>
    <w:rsid w:val="009057D4"/>
    <w:rsid w:val="00905A11"/>
    <w:rsid w:val="00905FE8"/>
    <w:rsid w:val="009066E1"/>
    <w:rsid w:val="00906F67"/>
    <w:rsid w:val="00907A41"/>
    <w:rsid w:val="00910098"/>
    <w:rsid w:val="009102BD"/>
    <w:rsid w:val="00910F93"/>
    <w:rsid w:val="00910FBC"/>
    <w:rsid w:val="00911E3B"/>
    <w:rsid w:val="0091255A"/>
    <w:rsid w:val="00914426"/>
    <w:rsid w:val="0091561A"/>
    <w:rsid w:val="0091675F"/>
    <w:rsid w:val="00917709"/>
    <w:rsid w:val="00917918"/>
    <w:rsid w:val="00920874"/>
    <w:rsid w:val="00921F14"/>
    <w:rsid w:val="009227C6"/>
    <w:rsid w:val="0092347C"/>
    <w:rsid w:val="00923750"/>
    <w:rsid w:val="009243A5"/>
    <w:rsid w:val="0092465F"/>
    <w:rsid w:val="0092500F"/>
    <w:rsid w:val="009250D2"/>
    <w:rsid w:val="0092519D"/>
    <w:rsid w:val="0092540B"/>
    <w:rsid w:val="009256C5"/>
    <w:rsid w:val="00925A21"/>
    <w:rsid w:val="00926283"/>
    <w:rsid w:val="009306BE"/>
    <w:rsid w:val="00930CD7"/>
    <w:rsid w:val="0093161F"/>
    <w:rsid w:val="009339FD"/>
    <w:rsid w:val="00934836"/>
    <w:rsid w:val="00934963"/>
    <w:rsid w:val="00936ECA"/>
    <w:rsid w:val="00937320"/>
    <w:rsid w:val="00937B11"/>
    <w:rsid w:val="00940F1F"/>
    <w:rsid w:val="00941250"/>
    <w:rsid w:val="00941339"/>
    <w:rsid w:val="0094396E"/>
    <w:rsid w:val="0094427A"/>
    <w:rsid w:val="00944380"/>
    <w:rsid w:val="00945904"/>
    <w:rsid w:val="009459C5"/>
    <w:rsid w:val="009459DE"/>
    <w:rsid w:val="00945E5E"/>
    <w:rsid w:val="0094626C"/>
    <w:rsid w:val="00946552"/>
    <w:rsid w:val="0095013A"/>
    <w:rsid w:val="00953AEF"/>
    <w:rsid w:val="00954FC3"/>
    <w:rsid w:val="009551E2"/>
    <w:rsid w:val="00955783"/>
    <w:rsid w:val="009558A6"/>
    <w:rsid w:val="00955E5F"/>
    <w:rsid w:val="009560B0"/>
    <w:rsid w:val="009564B2"/>
    <w:rsid w:val="00956F23"/>
    <w:rsid w:val="009576AC"/>
    <w:rsid w:val="00957871"/>
    <w:rsid w:val="00960077"/>
    <w:rsid w:val="00960769"/>
    <w:rsid w:val="00960D56"/>
    <w:rsid w:val="00962D2E"/>
    <w:rsid w:val="00963724"/>
    <w:rsid w:val="00963D22"/>
    <w:rsid w:val="00964498"/>
    <w:rsid w:val="0096504D"/>
    <w:rsid w:val="00965795"/>
    <w:rsid w:val="00965A2D"/>
    <w:rsid w:val="009663EB"/>
    <w:rsid w:val="0096650F"/>
    <w:rsid w:val="00967801"/>
    <w:rsid w:val="00967AD2"/>
    <w:rsid w:val="00967AE9"/>
    <w:rsid w:val="009700DB"/>
    <w:rsid w:val="0097040B"/>
    <w:rsid w:val="00971DC6"/>
    <w:rsid w:val="00971DD6"/>
    <w:rsid w:val="00972263"/>
    <w:rsid w:val="0097242E"/>
    <w:rsid w:val="00972502"/>
    <w:rsid w:val="00972D8D"/>
    <w:rsid w:val="00973A9E"/>
    <w:rsid w:val="00973AAE"/>
    <w:rsid w:val="00974236"/>
    <w:rsid w:val="009742F7"/>
    <w:rsid w:val="0097476C"/>
    <w:rsid w:val="00974923"/>
    <w:rsid w:val="00974D48"/>
    <w:rsid w:val="00974D5F"/>
    <w:rsid w:val="00975017"/>
    <w:rsid w:val="009759DF"/>
    <w:rsid w:val="009777B3"/>
    <w:rsid w:val="00977A4D"/>
    <w:rsid w:val="00980373"/>
    <w:rsid w:val="00980621"/>
    <w:rsid w:val="0098095B"/>
    <w:rsid w:val="00982072"/>
    <w:rsid w:val="009821FE"/>
    <w:rsid w:val="009833FA"/>
    <w:rsid w:val="00983ACF"/>
    <w:rsid w:val="00983DBB"/>
    <w:rsid w:val="00983ECF"/>
    <w:rsid w:val="00985157"/>
    <w:rsid w:val="00986208"/>
    <w:rsid w:val="00986745"/>
    <w:rsid w:val="00986746"/>
    <w:rsid w:val="009867BC"/>
    <w:rsid w:val="009869C4"/>
    <w:rsid w:val="009870EF"/>
    <w:rsid w:val="00987109"/>
    <w:rsid w:val="00987309"/>
    <w:rsid w:val="00987351"/>
    <w:rsid w:val="0099012D"/>
    <w:rsid w:val="00990363"/>
    <w:rsid w:val="00991266"/>
    <w:rsid w:val="00991952"/>
    <w:rsid w:val="009928AE"/>
    <w:rsid w:val="00993BE6"/>
    <w:rsid w:val="00993D9C"/>
    <w:rsid w:val="00993F56"/>
    <w:rsid w:val="00994835"/>
    <w:rsid w:val="0099483E"/>
    <w:rsid w:val="009954FF"/>
    <w:rsid w:val="0099571E"/>
    <w:rsid w:val="00995E2F"/>
    <w:rsid w:val="009961BC"/>
    <w:rsid w:val="00996355"/>
    <w:rsid w:val="00997301"/>
    <w:rsid w:val="0099788F"/>
    <w:rsid w:val="00997ADD"/>
    <w:rsid w:val="00997CDD"/>
    <w:rsid w:val="009A05A2"/>
    <w:rsid w:val="009A1374"/>
    <w:rsid w:val="009A13FA"/>
    <w:rsid w:val="009A1EA4"/>
    <w:rsid w:val="009A2014"/>
    <w:rsid w:val="009A2030"/>
    <w:rsid w:val="009A3A87"/>
    <w:rsid w:val="009A4E12"/>
    <w:rsid w:val="009A5003"/>
    <w:rsid w:val="009A5C68"/>
    <w:rsid w:val="009A5DE2"/>
    <w:rsid w:val="009A6EF7"/>
    <w:rsid w:val="009B04D0"/>
    <w:rsid w:val="009B052C"/>
    <w:rsid w:val="009B0676"/>
    <w:rsid w:val="009B0975"/>
    <w:rsid w:val="009B0EF2"/>
    <w:rsid w:val="009B19B8"/>
    <w:rsid w:val="009B23A3"/>
    <w:rsid w:val="009B25CE"/>
    <w:rsid w:val="009B2C0E"/>
    <w:rsid w:val="009B4925"/>
    <w:rsid w:val="009B4B4B"/>
    <w:rsid w:val="009B4BD4"/>
    <w:rsid w:val="009B4CE3"/>
    <w:rsid w:val="009B6342"/>
    <w:rsid w:val="009B6FD3"/>
    <w:rsid w:val="009B70BD"/>
    <w:rsid w:val="009C07A5"/>
    <w:rsid w:val="009C0CD4"/>
    <w:rsid w:val="009C24A3"/>
    <w:rsid w:val="009C3705"/>
    <w:rsid w:val="009C6215"/>
    <w:rsid w:val="009C7388"/>
    <w:rsid w:val="009C74C2"/>
    <w:rsid w:val="009D0CFF"/>
    <w:rsid w:val="009D1551"/>
    <w:rsid w:val="009D2859"/>
    <w:rsid w:val="009D36EC"/>
    <w:rsid w:val="009D3757"/>
    <w:rsid w:val="009D3CD0"/>
    <w:rsid w:val="009D3E88"/>
    <w:rsid w:val="009D4076"/>
    <w:rsid w:val="009D4173"/>
    <w:rsid w:val="009D51CA"/>
    <w:rsid w:val="009D6095"/>
    <w:rsid w:val="009D6306"/>
    <w:rsid w:val="009D6727"/>
    <w:rsid w:val="009E048A"/>
    <w:rsid w:val="009E1124"/>
    <w:rsid w:val="009E1FBA"/>
    <w:rsid w:val="009E2C54"/>
    <w:rsid w:val="009E3710"/>
    <w:rsid w:val="009E6F65"/>
    <w:rsid w:val="009E72A1"/>
    <w:rsid w:val="009E7340"/>
    <w:rsid w:val="009E7B1F"/>
    <w:rsid w:val="009F07B5"/>
    <w:rsid w:val="009F346F"/>
    <w:rsid w:val="009F371A"/>
    <w:rsid w:val="009F3F25"/>
    <w:rsid w:val="009F3FC3"/>
    <w:rsid w:val="009F41C4"/>
    <w:rsid w:val="009F5846"/>
    <w:rsid w:val="009F63D2"/>
    <w:rsid w:val="009F777A"/>
    <w:rsid w:val="009F7B52"/>
    <w:rsid w:val="009F7D77"/>
    <w:rsid w:val="00A004D2"/>
    <w:rsid w:val="00A015EA"/>
    <w:rsid w:val="00A0172C"/>
    <w:rsid w:val="00A02610"/>
    <w:rsid w:val="00A03343"/>
    <w:rsid w:val="00A03965"/>
    <w:rsid w:val="00A03B8A"/>
    <w:rsid w:val="00A05B91"/>
    <w:rsid w:val="00A06B3D"/>
    <w:rsid w:val="00A07BB0"/>
    <w:rsid w:val="00A10D66"/>
    <w:rsid w:val="00A12BA8"/>
    <w:rsid w:val="00A133F2"/>
    <w:rsid w:val="00A138D7"/>
    <w:rsid w:val="00A13993"/>
    <w:rsid w:val="00A14081"/>
    <w:rsid w:val="00A1420C"/>
    <w:rsid w:val="00A1456C"/>
    <w:rsid w:val="00A14821"/>
    <w:rsid w:val="00A14C9D"/>
    <w:rsid w:val="00A15B39"/>
    <w:rsid w:val="00A17754"/>
    <w:rsid w:val="00A2055B"/>
    <w:rsid w:val="00A20E22"/>
    <w:rsid w:val="00A219FE"/>
    <w:rsid w:val="00A22210"/>
    <w:rsid w:val="00A2253C"/>
    <w:rsid w:val="00A23545"/>
    <w:rsid w:val="00A23A55"/>
    <w:rsid w:val="00A23E43"/>
    <w:rsid w:val="00A23EF0"/>
    <w:rsid w:val="00A243A3"/>
    <w:rsid w:val="00A24F8C"/>
    <w:rsid w:val="00A262BF"/>
    <w:rsid w:val="00A264F5"/>
    <w:rsid w:val="00A271AD"/>
    <w:rsid w:val="00A276D5"/>
    <w:rsid w:val="00A27D2E"/>
    <w:rsid w:val="00A301C5"/>
    <w:rsid w:val="00A30336"/>
    <w:rsid w:val="00A30BB5"/>
    <w:rsid w:val="00A3128F"/>
    <w:rsid w:val="00A326D0"/>
    <w:rsid w:val="00A33C9A"/>
    <w:rsid w:val="00A348DC"/>
    <w:rsid w:val="00A35287"/>
    <w:rsid w:val="00A355F2"/>
    <w:rsid w:val="00A35CB2"/>
    <w:rsid w:val="00A37201"/>
    <w:rsid w:val="00A37229"/>
    <w:rsid w:val="00A375DE"/>
    <w:rsid w:val="00A378F8"/>
    <w:rsid w:val="00A40965"/>
    <w:rsid w:val="00A40B19"/>
    <w:rsid w:val="00A40F56"/>
    <w:rsid w:val="00A41D07"/>
    <w:rsid w:val="00A424F8"/>
    <w:rsid w:val="00A42883"/>
    <w:rsid w:val="00A437B7"/>
    <w:rsid w:val="00A43EA2"/>
    <w:rsid w:val="00A45E2F"/>
    <w:rsid w:val="00A46C70"/>
    <w:rsid w:val="00A46D48"/>
    <w:rsid w:val="00A46DE0"/>
    <w:rsid w:val="00A4778A"/>
    <w:rsid w:val="00A47C94"/>
    <w:rsid w:val="00A504C0"/>
    <w:rsid w:val="00A5067F"/>
    <w:rsid w:val="00A517C1"/>
    <w:rsid w:val="00A518E0"/>
    <w:rsid w:val="00A529C8"/>
    <w:rsid w:val="00A5408A"/>
    <w:rsid w:val="00A5421F"/>
    <w:rsid w:val="00A5430D"/>
    <w:rsid w:val="00A55301"/>
    <w:rsid w:val="00A572FB"/>
    <w:rsid w:val="00A57B3C"/>
    <w:rsid w:val="00A57E77"/>
    <w:rsid w:val="00A57F1B"/>
    <w:rsid w:val="00A600D2"/>
    <w:rsid w:val="00A60383"/>
    <w:rsid w:val="00A6128E"/>
    <w:rsid w:val="00A614EB"/>
    <w:rsid w:val="00A62CE1"/>
    <w:rsid w:val="00A631FA"/>
    <w:rsid w:val="00A63517"/>
    <w:rsid w:val="00A64203"/>
    <w:rsid w:val="00A64348"/>
    <w:rsid w:val="00A644E1"/>
    <w:rsid w:val="00A65A2B"/>
    <w:rsid w:val="00A67641"/>
    <w:rsid w:val="00A6766C"/>
    <w:rsid w:val="00A70765"/>
    <w:rsid w:val="00A711B0"/>
    <w:rsid w:val="00A71279"/>
    <w:rsid w:val="00A721FB"/>
    <w:rsid w:val="00A727BA"/>
    <w:rsid w:val="00A72CA4"/>
    <w:rsid w:val="00A72D4B"/>
    <w:rsid w:val="00A732AE"/>
    <w:rsid w:val="00A738E8"/>
    <w:rsid w:val="00A74192"/>
    <w:rsid w:val="00A750EB"/>
    <w:rsid w:val="00A75837"/>
    <w:rsid w:val="00A75E40"/>
    <w:rsid w:val="00A76B12"/>
    <w:rsid w:val="00A76EF2"/>
    <w:rsid w:val="00A7727E"/>
    <w:rsid w:val="00A77EB2"/>
    <w:rsid w:val="00A803A1"/>
    <w:rsid w:val="00A81094"/>
    <w:rsid w:val="00A827B4"/>
    <w:rsid w:val="00A82B66"/>
    <w:rsid w:val="00A82C52"/>
    <w:rsid w:val="00A83798"/>
    <w:rsid w:val="00A83914"/>
    <w:rsid w:val="00A83B58"/>
    <w:rsid w:val="00A84D59"/>
    <w:rsid w:val="00A84D7D"/>
    <w:rsid w:val="00A84FAF"/>
    <w:rsid w:val="00A85100"/>
    <w:rsid w:val="00A851B6"/>
    <w:rsid w:val="00A851ED"/>
    <w:rsid w:val="00A85729"/>
    <w:rsid w:val="00A8574B"/>
    <w:rsid w:val="00A857C0"/>
    <w:rsid w:val="00A85F5E"/>
    <w:rsid w:val="00A90343"/>
    <w:rsid w:val="00A90B8B"/>
    <w:rsid w:val="00A91336"/>
    <w:rsid w:val="00A9221C"/>
    <w:rsid w:val="00A92277"/>
    <w:rsid w:val="00A92916"/>
    <w:rsid w:val="00A929D1"/>
    <w:rsid w:val="00A92B4C"/>
    <w:rsid w:val="00A9334B"/>
    <w:rsid w:val="00A94628"/>
    <w:rsid w:val="00A94954"/>
    <w:rsid w:val="00A9497A"/>
    <w:rsid w:val="00A949A6"/>
    <w:rsid w:val="00A95545"/>
    <w:rsid w:val="00A95AAE"/>
    <w:rsid w:val="00A95AF3"/>
    <w:rsid w:val="00A96241"/>
    <w:rsid w:val="00A96463"/>
    <w:rsid w:val="00A96F21"/>
    <w:rsid w:val="00A97E3F"/>
    <w:rsid w:val="00A97EC0"/>
    <w:rsid w:val="00AA09D3"/>
    <w:rsid w:val="00AA0CDE"/>
    <w:rsid w:val="00AA1034"/>
    <w:rsid w:val="00AA1356"/>
    <w:rsid w:val="00AA220F"/>
    <w:rsid w:val="00AA23FB"/>
    <w:rsid w:val="00AA34FE"/>
    <w:rsid w:val="00AA42AB"/>
    <w:rsid w:val="00AA4A76"/>
    <w:rsid w:val="00AA50E5"/>
    <w:rsid w:val="00AA559A"/>
    <w:rsid w:val="00AA57A4"/>
    <w:rsid w:val="00AA5F10"/>
    <w:rsid w:val="00AA6FA8"/>
    <w:rsid w:val="00AA7C35"/>
    <w:rsid w:val="00AB0BB9"/>
    <w:rsid w:val="00AB104D"/>
    <w:rsid w:val="00AB1441"/>
    <w:rsid w:val="00AB1653"/>
    <w:rsid w:val="00AB2AF1"/>
    <w:rsid w:val="00AB440B"/>
    <w:rsid w:val="00AB47E3"/>
    <w:rsid w:val="00AB74C5"/>
    <w:rsid w:val="00AB75A7"/>
    <w:rsid w:val="00AB7BEE"/>
    <w:rsid w:val="00AB7DF2"/>
    <w:rsid w:val="00AC0725"/>
    <w:rsid w:val="00AC0B14"/>
    <w:rsid w:val="00AC1E3F"/>
    <w:rsid w:val="00AC20EB"/>
    <w:rsid w:val="00AC219A"/>
    <w:rsid w:val="00AC2CE1"/>
    <w:rsid w:val="00AC3D02"/>
    <w:rsid w:val="00AC49B5"/>
    <w:rsid w:val="00AC4F18"/>
    <w:rsid w:val="00AC5F5B"/>
    <w:rsid w:val="00AC69CA"/>
    <w:rsid w:val="00AC7501"/>
    <w:rsid w:val="00AC79F3"/>
    <w:rsid w:val="00AD0B46"/>
    <w:rsid w:val="00AD1094"/>
    <w:rsid w:val="00AD2565"/>
    <w:rsid w:val="00AD2862"/>
    <w:rsid w:val="00AD306C"/>
    <w:rsid w:val="00AD3111"/>
    <w:rsid w:val="00AD31B8"/>
    <w:rsid w:val="00AD3424"/>
    <w:rsid w:val="00AD3E3F"/>
    <w:rsid w:val="00AD4FEF"/>
    <w:rsid w:val="00AD50D1"/>
    <w:rsid w:val="00AD5414"/>
    <w:rsid w:val="00AD59BB"/>
    <w:rsid w:val="00AD5D68"/>
    <w:rsid w:val="00AD5D71"/>
    <w:rsid w:val="00AD6483"/>
    <w:rsid w:val="00AD675A"/>
    <w:rsid w:val="00AD6A63"/>
    <w:rsid w:val="00AD6BE5"/>
    <w:rsid w:val="00AD6C73"/>
    <w:rsid w:val="00AD7D49"/>
    <w:rsid w:val="00AE06D0"/>
    <w:rsid w:val="00AE1B8A"/>
    <w:rsid w:val="00AE20DF"/>
    <w:rsid w:val="00AE26E1"/>
    <w:rsid w:val="00AE39DC"/>
    <w:rsid w:val="00AE3CDA"/>
    <w:rsid w:val="00AE481D"/>
    <w:rsid w:val="00AE5270"/>
    <w:rsid w:val="00AE608F"/>
    <w:rsid w:val="00AE6734"/>
    <w:rsid w:val="00AE684E"/>
    <w:rsid w:val="00AE7968"/>
    <w:rsid w:val="00AE7B2B"/>
    <w:rsid w:val="00AE7DFF"/>
    <w:rsid w:val="00AF128B"/>
    <w:rsid w:val="00AF13A0"/>
    <w:rsid w:val="00AF1AEA"/>
    <w:rsid w:val="00AF2536"/>
    <w:rsid w:val="00AF2852"/>
    <w:rsid w:val="00AF3225"/>
    <w:rsid w:val="00AF398B"/>
    <w:rsid w:val="00AF4983"/>
    <w:rsid w:val="00AF4A95"/>
    <w:rsid w:val="00AF4B98"/>
    <w:rsid w:val="00AF4CA7"/>
    <w:rsid w:val="00AF518B"/>
    <w:rsid w:val="00AF5275"/>
    <w:rsid w:val="00AF5D62"/>
    <w:rsid w:val="00AF6367"/>
    <w:rsid w:val="00AF6A79"/>
    <w:rsid w:val="00AF6B7C"/>
    <w:rsid w:val="00AF724E"/>
    <w:rsid w:val="00AF73A9"/>
    <w:rsid w:val="00AF7C9B"/>
    <w:rsid w:val="00B013C0"/>
    <w:rsid w:val="00B01436"/>
    <w:rsid w:val="00B0178A"/>
    <w:rsid w:val="00B01C2C"/>
    <w:rsid w:val="00B0231C"/>
    <w:rsid w:val="00B034DC"/>
    <w:rsid w:val="00B05A37"/>
    <w:rsid w:val="00B07372"/>
    <w:rsid w:val="00B079BC"/>
    <w:rsid w:val="00B07C2A"/>
    <w:rsid w:val="00B10100"/>
    <w:rsid w:val="00B1076A"/>
    <w:rsid w:val="00B111CA"/>
    <w:rsid w:val="00B128E5"/>
    <w:rsid w:val="00B13681"/>
    <w:rsid w:val="00B13BCE"/>
    <w:rsid w:val="00B15C1D"/>
    <w:rsid w:val="00B15DCD"/>
    <w:rsid w:val="00B16201"/>
    <w:rsid w:val="00B16796"/>
    <w:rsid w:val="00B17335"/>
    <w:rsid w:val="00B17E71"/>
    <w:rsid w:val="00B17FDE"/>
    <w:rsid w:val="00B208FC"/>
    <w:rsid w:val="00B20C65"/>
    <w:rsid w:val="00B20DF8"/>
    <w:rsid w:val="00B2153E"/>
    <w:rsid w:val="00B21953"/>
    <w:rsid w:val="00B22E17"/>
    <w:rsid w:val="00B2419B"/>
    <w:rsid w:val="00B25567"/>
    <w:rsid w:val="00B25E31"/>
    <w:rsid w:val="00B266C5"/>
    <w:rsid w:val="00B26CDA"/>
    <w:rsid w:val="00B27293"/>
    <w:rsid w:val="00B300E8"/>
    <w:rsid w:val="00B301BB"/>
    <w:rsid w:val="00B30737"/>
    <w:rsid w:val="00B3216D"/>
    <w:rsid w:val="00B321E3"/>
    <w:rsid w:val="00B3229E"/>
    <w:rsid w:val="00B32DDB"/>
    <w:rsid w:val="00B340AD"/>
    <w:rsid w:val="00B3447A"/>
    <w:rsid w:val="00B3448C"/>
    <w:rsid w:val="00B34931"/>
    <w:rsid w:val="00B34FC6"/>
    <w:rsid w:val="00B35174"/>
    <w:rsid w:val="00B35BEA"/>
    <w:rsid w:val="00B365CB"/>
    <w:rsid w:val="00B3736E"/>
    <w:rsid w:val="00B37915"/>
    <w:rsid w:val="00B3793D"/>
    <w:rsid w:val="00B40879"/>
    <w:rsid w:val="00B41BE6"/>
    <w:rsid w:val="00B42831"/>
    <w:rsid w:val="00B428A4"/>
    <w:rsid w:val="00B428EA"/>
    <w:rsid w:val="00B454B4"/>
    <w:rsid w:val="00B457E7"/>
    <w:rsid w:val="00B45D1B"/>
    <w:rsid w:val="00B45DE5"/>
    <w:rsid w:val="00B461D6"/>
    <w:rsid w:val="00B46248"/>
    <w:rsid w:val="00B46D25"/>
    <w:rsid w:val="00B47430"/>
    <w:rsid w:val="00B4795A"/>
    <w:rsid w:val="00B47AC6"/>
    <w:rsid w:val="00B52D2D"/>
    <w:rsid w:val="00B534EF"/>
    <w:rsid w:val="00B548DA"/>
    <w:rsid w:val="00B54B85"/>
    <w:rsid w:val="00B55BA8"/>
    <w:rsid w:val="00B55F15"/>
    <w:rsid w:val="00B561A6"/>
    <w:rsid w:val="00B56645"/>
    <w:rsid w:val="00B57CC4"/>
    <w:rsid w:val="00B60062"/>
    <w:rsid w:val="00B606B9"/>
    <w:rsid w:val="00B6136C"/>
    <w:rsid w:val="00B62960"/>
    <w:rsid w:val="00B6349B"/>
    <w:rsid w:val="00B63A11"/>
    <w:rsid w:val="00B63FD0"/>
    <w:rsid w:val="00B643EC"/>
    <w:rsid w:val="00B6449F"/>
    <w:rsid w:val="00B6493D"/>
    <w:rsid w:val="00B6553E"/>
    <w:rsid w:val="00B65C84"/>
    <w:rsid w:val="00B6608F"/>
    <w:rsid w:val="00B661F6"/>
    <w:rsid w:val="00B6724D"/>
    <w:rsid w:val="00B67E42"/>
    <w:rsid w:val="00B73180"/>
    <w:rsid w:val="00B74317"/>
    <w:rsid w:val="00B74D75"/>
    <w:rsid w:val="00B75700"/>
    <w:rsid w:val="00B75AAD"/>
    <w:rsid w:val="00B760C1"/>
    <w:rsid w:val="00B76D1E"/>
    <w:rsid w:val="00B77ABC"/>
    <w:rsid w:val="00B77BC8"/>
    <w:rsid w:val="00B77DC3"/>
    <w:rsid w:val="00B77FB7"/>
    <w:rsid w:val="00B800EB"/>
    <w:rsid w:val="00B822D2"/>
    <w:rsid w:val="00B823F1"/>
    <w:rsid w:val="00B831B4"/>
    <w:rsid w:val="00B83CFE"/>
    <w:rsid w:val="00B83D46"/>
    <w:rsid w:val="00B848B8"/>
    <w:rsid w:val="00B84A41"/>
    <w:rsid w:val="00B84D57"/>
    <w:rsid w:val="00B8504B"/>
    <w:rsid w:val="00B853C2"/>
    <w:rsid w:val="00B85689"/>
    <w:rsid w:val="00B8672A"/>
    <w:rsid w:val="00B86748"/>
    <w:rsid w:val="00B86B70"/>
    <w:rsid w:val="00B907EA"/>
    <w:rsid w:val="00B91EC9"/>
    <w:rsid w:val="00B924CA"/>
    <w:rsid w:val="00B92A4B"/>
    <w:rsid w:val="00B92C9D"/>
    <w:rsid w:val="00B93384"/>
    <w:rsid w:val="00B93530"/>
    <w:rsid w:val="00B93616"/>
    <w:rsid w:val="00B94417"/>
    <w:rsid w:val="00B945B0"/>
    <w:rsid w:val="00B945C1"/>
    <w:rsid w:val="00B94DE2"/>
    <w:rsid w:val="00B95566"/>
    <w:rsid w:val="00B95940"/>
    <w:rsid w:val="00B95EF8"/>
    <w:rsid w:val="00B95F50"/>
    <w:rsid w:val="00B96BD9"/>
    <w:rsid w:val="00B979A0"/>
    <w:rsid w:val="00BA094F"/>
    <w:rsid w:val="00BA0DED"/>
    <w:rsid w:val="00BA0F99"/>
    <w:rsid w:val="00BA1EC9"/>
    <w:rsid w:val="00BA622C"/>
    <w:rsid w:val="00BA6D2C"/>
    <w:rsid w:val="00BB0274"/>
    <w:rsid w:val="00BB0B13"/>
    <w:rsid w:val="00BB12AC"/>
    <w:rsid w:val="00BB16AD"/>
    <w:rsid w:val="00BB1CFD"/>
    <w:rsid w:val="00BB2C53"/>
    <w:rsid w:val="00BB32DA"/>
    <w:rsid w:val="00BB3A54"/>
    <w:rsid w:val="00BB4286"/>
    <w:rsid w:val="00BB462A"/>
    <w:rsid w:val="00BB4D26"/>
    <w:rsid w:val="00BB4E21"/>
    <w:rsid w:val="00BB51AF"/>
    <w:rsid w:val="00BB6F86"/>
    <w:rsid w:val="00BB7746"/>
    <w:rsid w:val="00BC10DE"/>
    <w:rsid w:val="00BC22EB"/>
    <w:rsid w:val="00BC26CA"/>
    <w:rsid w:val="00BC6556"/>
    <w:rsid w:val="00BC682B"/>
    <w:rsid w:val="00BC68BA"/>
    <w:rsid w:val="00BC6B04"/>
    <w:rsid w:val="00BC6D27"/>
    <w:rsid w:val="00BD059A"/>
    <w:rsid w:val="00BD08A0"/>
    <w:rsid w:val="00BD0CBB"/>
    <w:rsid w:val="00BD186B"/>
    <w:rsid w:val="00BD1EAC"/>
    <w:rsid w:val="00BD254C"/>
    <w:rsid w:val="00BD3428"/>
    <w:rsid w:val="00BD345F"/>
    <w:rsid w:val="00BD366B"/>
    <w:rsid w:val="00BD5298"/>
    <w:rsid w:val="00BD534C"/>
    <w:rsid w:val="00BD557B"/>
    <w:rsid w:val="00BD55A9"/>
    <w:rsid w:val="00BD56BC"/>
    <w:rsid w:val="00BD5D91"/>
    <w:rsid w:val="00BD6445"/>
    <w:rsid w:val="00BD6526"/>
    <w:rsid w:val="00BD6615"/>
    <w:rsid w:val="00BD6D50"/>
    <w:rsid w:val="00BE0D79"/>
    <w:rsid w:val="00BE0DB0"/>
    <w:rsid w:val="00BE15B9"/>
    <w:rsid w:val="00BE2C15"/>
    <w:rsid w:val="00BE3381"/>
    <w:rsid w:val="00BE3F09"/>
    <w:rsid w:val="00BE670A"/>
    <w:rsid w:val="00BE6906"/>
    <w:rsid w:val="00BE6CA9"/>
    <w:rsid w:val="00BF18F4"/>
    <w:rsid w:val="00BF1907"/>
    <w:rsid w:val="00BF1A69"/>
    <w:rsid w:val="00BF2C67"/>
    <w:rsid w:val="00BF3BC8"/>
    <w:rsid w:val="00BF3DF1"/>
    <w:rsid w:val="00BF3FE5"/>
    <w:rsid w:val="00BF4C31"/>
    <w:rsid w:val="00BF4E57"/>
    <w:rsid w:val="00BF53B8"/>
    <w:rsid w:val="00BF71D5"/>
    <w:rsid w:val="00BF786A"/>
    <w:rsid w:val="00BF7CB8"/>
    <w:rsid w:val="00BF7F08"/>
    <w:rsid w:val="00BF7F28"/>
    <w:rsid w:val="00C00831"/>
    <w:rsid w:val="00C00F20"/>
    <w:rsid w:val="00C01354"/>
    <w:rsid w:val="00C01700"/>
    <w:rsid w:val="00C01B84"/>
    <w:rsid w:val="00C027C8"/>
    <w:rsid w:val="00C034E6"/>
    <w:rsid w:val="00C05715"/>
    <w:rsid w:val="00C05926"/>
    <w:rsid w:val="00C06370"/>
    <w:rsid w:val="00C0784A"/>
    <w:rsid w:val="00C10B28"/>
    <w:rsid w:val="00C10B3B"/>
    <w:rsid w:val="00C10D62"/>
    <w:rsid w:val="00C10FAE"/>
    <w:rsid w:val="00C1135D"/>
    <w:rsid w:val="00C11DAF"/>
    <w:rsid w:val="00C11E1F"/>
    <w:rsid w:val="00C123B4"/>
    <w:rsid w:val="00C12A69"/>
    <w:rsid w:val="00C13150"/>
    <w:rsid w:val="00C13737"/>
    <w:rsid w:val="00C150BE"/>
    <w:rsid w:val="00C158B0"/>
    <w:rsid w:val="00C15A0C"/>
    <w:rsid w:val="00C15CEB"/>
    <w:rsid w:val="00C15DCB"/>
    <w:rsid w:val="00C16208"/>
    <w:rsid w:val="00C1711F"/>
    <w:rsid w:val="00C17AB1"/>
    <w:rsid w:val="00C17BF1"/>
    <w:rsid w:val="00C17E38"/>
    <w:rsid w:val="00C20027"/>
    <w:rsid w:val="00C2038A"/>
    <w:rsid w:val="00C205BF"/>
    <w:rsid w:val="00C20744"/>
    <w:rsid w:val="00C20B1C"/>
    <w:rsid w:val="00C20C4D"/>
    <w:rsid w:val="00C21D46"/>
    <w:rsid w:val="00C21F94"/>
    <w:rsid w:val="00C222A1"/>
    <w:rsid w:val="00C22C59"/>
    <w:rsid w:val="00C23371"/>
    <w:rsid w:val="00C23CBD"/>
    <w:rsid w:val="00C23D22"/>
    <w:rsid w:val="00C2412D"/>
    <w:rsid w:val="00C2463B"/>
    <w:rsid w:val="00C24E77"/>
    <w:rsid w:val="00C2613A"/>
    <w:rsid w:val="00C268AD"/>
    <w:rsid w:val="00C2732D"/>
    <w:rsid w:val="00C273C6"/>
    <w:rsid w:val="00C27913"/>
    <w:rsid w:val="00C3004E"/>
    <w:rsid w:val="00C300C6"/>
    <w:rsid w:val="00C30828"/>
    <w:rsid w:val="00C30924"/>
    <w:rsid w:val="00C31D16"/>
    <w:rsid w:val="00C31DD8"/>
    <w:rsid w:val="00C3271C"/>
    <w:rsid w:val="00C32A35"/>
    <w:rsid w:val="00C336DD"/>
    <w:rsid w:val="00C339DE"/>
    <w:rsid w:val="00C34D57"/>
    <w:rsid w:val="00C34FDE"/>
    <w:rsid w:val="00C35C16"/>
    <w:rsid w:val="00C36EC3"/>
    <w:rsid w:val="00C40E09"/>
    <w:rsid w:val="00C40F81"/>
    <w:rsid w:val="00C41463"/>
    <w:rsid w:val="00C41A06"/>
    <w:rsid w:val="00C41A72"/>
    <w:rsid w:val="00C42D45"/>
    <w:rsid w:val="00C43CB1"/>
    <w:rsid w:val="00C4422D"/>
    <w:rsid w:val="00C44EBB"/>
    <w:rsid w:val="00C466D1"/>
    <w:rsid w:val="00C476C5"/>
    <w:rsid w:val="00C47D7C"/>
    <w:rsid w:val="00C47EB6"/>
    <w:rsid w:val="00C503B0"/>
    <w:rsid w:val="00C511C2"/>
    <w:rsid w:val="00C51D4B"/>
    <w:rsid w:val="00C527C6"/>
    <w:rsid w:val="00C538FC"/>
    <w:rsid w:val="00C53CDB"/>
    <w:rsid w:val="00C53D7B"/>
    <w:rsid w:val="00C53D82"/>
    <w:rsid w:val="00C54748"/>
    <w:rsid w:val="00C553E8"/>
    <w:rsid w:val="00C574CF"/>
    <w:rsid w:val="00C575FB"/>
    <w:rsid w:val="00C60696"/>
    <w:rsid w:val="00C60943"/>
    <w:rsid w:val="00C60EEF"/>
    <w:rsid w:val="00C610C5"/>
    <w:rsid w:val="00C6121D"/>
    <w:rsid w:val="00C615F1"/>
    <w:rsid w:val="00C61627"/>
    <w:rsid w:val="00C6369F"/>
    <w:rsid w:val="00C636C0"/>
    <w:rsid w:val="00C63B1A"/>
    <w:rsid w:val="00C64E60"/>
    <w:rsid w:val="00C6517A"/>
    <w:rsid w:val="00C657A4"/>
    <w:rsid w:val="00C65B84"/>
    <w:rsid w:val="00C66589"/>
    <w:rsid w:val="00C6736C"/>
    <w:rsid w:val="00C7179C"/>
    <w:rsid w:val="00C71A1D"/>
    <w:rsid w:val="00C71EC4"/>
    <w:rsid w:val="00C73ED2"/>
    <w:rsid w:val="00C7410A"/>
    <w:rsid w:val="00C74735"/>
    <w:rsid w:val="00C74791"/>
    <w:rsid w:val="00C7591E"/>
    <w:rsid w:val="00C75C7E"/>
    <w:rsid w:val="00C75C9B"/>
    <w:rsid w:val="00C76425"/>
    <w:rsid w:val="00C76D8E"/>
    <w:rsid w:val="00C77833"/>
    <w:rsid w:val="00C80953"/>
    <w:rsid w:val="00C80C9B"/>
    <w:rsid w:val="00C8180B"/>
    <w:rsid w:val="00C8335E"/>
    <w:rsid w:val="00C83F9C"/>
    <w:rsid w:val="00C844CA"/>
    <w:rsid w:val="00C84CE3"/>
    <w:rsid w:val="00C85614"/>
    <w:rsid w:val="00C86127"/>
    <w:rsid w:val="00C864FB"/>
    <w:rsid w:val="00C86509"/>
    <w:rsid w:val="00C86F39"/>
    <w:rsid w:val="00C9003C"/>
    <w:rsid w:val="00C905B2"/>
    <w:rsid w:val="00C90CF4"/>
    <w:rsid w:val="00C91C19"/>
    <w:rsid w:val="00C92988"/>
    <w:rsid w:val="00C929A0"/>
    <w:rsid w:val="00C930FB"/>
    <w:rsid w:val="00C93389"/>
    <w:rsid w:val="00C937DB"/>
    <w:rsid w:val="00C93F0E"/>
    <w:rsid w:val="00C94519"/>
    <w:rsid w:val="00C94E11"/>
    <w:rsid w:val="00C94E83"/>
    <w:rsid w:val="00C9567E"/>
    <w:rsid w:val="00C9613F"/>
    <w:rsid w:val="00C97038"/>
    <w:rsid w:val="00C9730D"/>
    <w:rsid w:val="00C97D46"/>
    <w:rsid w:val="00CA02B2"/>
    <w:rsid w:val="00CA0883"/>
    <w:rsid w:val="00CA1085"/>
    <w:rsid w:val="00CA140F"/>
    <w:rsid w:val="00CA25C2"/>
    <w:rsid w:val="00CA2BF5"/>
    <w:rsid w:val="00CA37BB"/>
    <w:rsid w:val="00CA37CA"/>
    <w:rsid w:val="00CA39E1"/>
    <w:rsid w:val="00CA5016"/>
    <w:rsid w:val="00CA5724"/>
    <w:rsid w:val="00CA6508"/>
    <w:rsid w:val="00CA6B87"/>
    <w:rsid w:val="00CA6BA1"/>
    <w:rsid w:val="00CA6CD5"/>
    <w:rsid w:val="00CA6D0B"/>
    <w:rsid w:val="00CB158C"/>
    <w:rsid w:val="00CB1910"/>
    <w:rsid w:val="00CB2150"/>
    <w:rsid w:val="00CB289A"/>
    <w:rsid w:val="00CB28EE"/>
    <w:rsid w:val="00CB2B15"/>
    <w:rsid w:val="00CB2EEA"/>
    <w:rsid w:val="00CB39FE"/>
    <w:rsid w:val="00CB43A7"/>
    <w:rsid w:val="00CB49F6"/>
    <w:rsid w:val="00CB4DF1"/>
    <w:rsid w:val="00CB5996"/>
    <w:rsid w:val="00CB6809"/>
    <w:rsid w:val="00CB7452"/>
    <w:rsid w:val="00CC0E10"/>
    <w:rsid w:val="00CC0F96"/>
    <w:rsid w:val="00CC1DAF"/>
    <w:rsid w:val="00CC212E"/>
    <w:rsid w:val="00CC2642"/>
    <w:rsid w:val="00CC2967"/>
    <w:rsid w:val="00CC2A1E"/>
    <w:rsid w:val="00CC2A36"/>
    <w:rsid w:val="00CC2E15"/>
    <w:rsid w:val="00CC30E2"/>
    <w:rsid w:val="00CC3440"/>
    <w:rsid w:val="00CC351B"/>
    <w:rsid w:val="00CC3908"/>
    <w:rsid w:val="00CC4F3D"/>
    <w:rsid w:val="00CC575E"/>
    <w:rsid w:val="00CC62AD"/>
    <w:rsid w:val="00CC6CA2"/>
    <w:rsid w:val="00CC7086"/>
    <w:rsid w:val="00CC7B80"/>
    <w:rsid w:val="00CD0080"/>
    <w:rsid w:val="00CD0779"/>
    <w:rsid w:val="00CD1A5C"/>
    <w:rsid w:val="00CD2B3C"/>
    <w:rsid w:val="00CD2DA6"/>
    <w:rsid w:val="00CD30F6"/>
    <w:rsid w:val="00CD4907"/>
    <w:rsid w:val="00CD4B29"/>
    <w:rsid w:val="00CD5493"/>
    <w:rsid w:val="00CD5FE3"/>
    <w:rsid w:val="00CD6339"/>
    <w:rsid w:val="00CD6607"/>
    <w:rsid w:val="00CD67CA"/>
    <w:rsid w:val="00CD6954"/>
    <w:rsid w:val="00CD6DA3"/>
    <w:rsid w:val="00CD6EF1"/>
    <w:rsid w:val="00CD6FE1"/>
    <w:rsid w:val="00CD7E35"/>
    <w:rsid w:val="00CE0ABC"/>
    <w:rsid w:val="00CE0B0C"/>
    <w:rsid w:val="00CE0CD6"/>
    <w:rsid w:val="00CE1313"/>
    <w:rsid w:val="00CE21C7"/>
    <w:rsid w:val="00CE2682"/>
    <w:rsid w:val="00CE2756"/>
    <w:rsid w:val="00CE29D6"/>
    <w:rsid w:val="00CE31D8"/>
    <w:rsid w:val="00CE442A"/>
    <w:rsid w:val="00CE44CE"/>
    <w:rsid w:val="00CE4DEB"/>
    <w:rsid w:val="00CE57D8"/>
    <w:rsid w:val="00CE5F03"/>
    <w:rsid w:val="00CE617A"/>
    <w:rsid w:val="00CE6E3C"/>
    <w:rsid w:val="00CE7158"/>
    <w:rsid w:val="00CE797F"/>
    <w:rsid w:val="00CF0826"/>
    <w:rsid w:val="00CF107E"/>
    <w:rsid w:val="00CF15BF"/>
    <w:rsid w:val="00CF243E"/>
    <w:rsid w:val="00CF25D2"/>
    <w:rsid w:val="00CF28C2"/>
    <w:rsid w:val="00CF3D3A"/>
    <w:rsid w:val="00CF42BD"/>
    <w:rsid w:val="00CF51EC"/>
    <w:rsid w:val="00CF56A8"/>
    <w:rsid w:val="00CF5BD8"/>
    <w:rsid w:val="00CF6A9D"/>
    <w:rsid w:val="00CF6CD7"/>
    <w:rsid w:val="00CF7276"/>
    <w:rsid w:val="00CF75EC"/>
    <w:rsid w:val="00D002DF"/>
    <w:rsid w:val="00D0037A"/>
    <w:rsid w:val="00D0061E"/>
    <w:rsid w:val="00D00DAF"/>
    <w:rsid w:val="00D017EC"/>
    <w:rsid w:val="00D01CDA"/>
    <w:rsid w:val="00D020FC"/>
    <w:rsid w:val="00D024A1"/>
    <w:rsid w:val="00D03866"/>
    <w:rsid w:val="00D040DD"/>
    <w:rsid w:val="00D04E1B"/>
    <w:rsid w:val="00D0547B"/>
    <w:rsid w:val="00D076DB"/>
    <w:rsid w:val="00D07EFF"/>
    <w:rsid w:val="00D1067C"/>
    <w:rsid w:val="00D110AB"/>
    <w:rsid w:val="00D11102"/>
    <w:rsid w:val="00D11CBB"/>
    <w:rsid w:val="00D132AD"/>
    <w:rsid w:val="00D136D4"/>
    <w:rsid w:val="00D13830"/>
    <w:rsid w:val="00D13ECF"/>
    <w:rsid w:val="00D142E5"/>
    <w:rsid w:val="00D148CD"/>
    <w:rsid w:val="00D14AFA"/>
    <w:rsid w:val="00D155E4"/>
    <w:rsid w:val="00D1611E"/>
    <w:rsid w:val="00D163CC"/>
    <w:rsid w:val="00D16E69"/>
    <w:rsid w:val="00D17F4A"/>
    <w:rsid w:val="00D205A9"/>
    <w:rsid w:val="00D217EE"/>
    <w:rsid w:val="00D24299"/>
    <w:rsid w:val="00D245BA"/>
    <w:rsid w:val="00D248FE"/>
    <w:rsid w:val="00D250C2"/>
    <w:rsid w:val="00D252D6"/>
    <w:rsid w:val="00D2689E"/>
    <w:rsid w:val="00D26923"/>
    <w:rsid w:val="00D26E27"/>
    <w:rsid w:val="00D277FF"/>
    <w:rsid w:val="00D27856"/>
    <w:rsid w:val="00D27D34"/>
    <w:rsid w:val="00D3006B"/>
    <w:rsid w:val="00D301CA"/>
    <w:rsid w:val="00D30740"/>
    <w:rsid w:val="00D309C0"/>
    <w:rsid w:val="00D30DC4"/>
    <w:rsid w:val="00D31075"/>
    <w:rsid w:val="00D31445"/>
    <w:rsid w:val="00D31932"/>
    <w:rsid w:val="00D32AE0"/>
    <w:rsid w:val="00D360DA"/>
    <w:rsid w:val="00D3614A"/>
    <w:rsid w:val="00D369AD"/>
    <w:rsid w:val="00D374B3"/>
    <w:rsid w:val="00D37689"/>
    <w:rsid w:val="00D378CC"/>
    <w:rsid w:val="00D37E80"/>
    <w:rsid w:val="00D4042C"/>
    <w:rsid w:val="00D40B9E"/>
    <w:rsid w:val="00D41281"/>
    <w:rsid w:val="00D41320"/>
    <w:rsid w:val="00D42312"/>
    <w:rsid w:val="00D433F5"/>
    <w:rsid w:val="00D43998"/>
    <w:rsid w:val="00D439C2"/>
    <w:rsid w:val="00D44A1D"/>
    <w:rsid w:val="00D451E0"/>
    <w:rsid w:val="00D4538D"/>
    <w:rsid w:val="00D455F9"/>
    <w:rsid w:val="00D45A1D"/>
    <w:rsid w:val="00D45B52"/>
    <w:rsid w:val="00D4615E"/>
    <w:rsid w:val="00D4651F"/>
    <w:rsid w:val="00D478E2"/>
    <w:rsid w:val="00D51739"/>
    <w:rsid w:val="00D5264C"/>
    <w:rsid w:val="00D53794"/>
    <w:rsid w:val="00D53B5F"/>
    <w:rsid w:val="00D547BA"/>
    <w:rsid w:val="00D55626"/>
    <w:rsid w:val="00D556BC"/>
    <w:rsid w:val="00D5626D"/>
    <w:rsid w:val="00D56631"/>
    <w:rsid w:val="00D56D85"/>
    <w:rsid w:val="00D5759D"/>
    <w:rsid w:val="00D577A4"/>
    <w:rsid w:val="00D57E4B"/>
    <w:rsid w:val="00D60277"/>
    <w:rsid w:val="00D60336"/>
    <w:rsid w:val="00D61B06"/>
    <w:rsid w:val="00D61F88"/>
    <w:rsid w:val="00D623F7"/>
    <w:rsid w:val="00D62688"/>
    <w:rsid w:val="00D62901"/>
    <w:rsid w:val="00D6345E"/>
    <w:rsid w:val="00D6470C"/>
    <w:rsid w:val="00D64853"/>
    <w:rsid w:val="00D64CB5"/>
    <w:rsid w:val="00D66D48"/>
    <w:rsid w:val="00D7162F"/>
    <w:rsid w:val="00D72897"/>
    <w:rsid w:val="00D7305B"/>
    <w:rsid w:val="00D73256"/>
    <w:rsid w:val="00D7383E"/>
    <w:rsid w:val="00D73A30"/>
    <w:rsid w:val="00D73E6F"/>
    <w:rsid w:val="00D73FB6"/>
    <w:rsid w:val="00D74278"/>
    <w:rsid w:val="00D74ABF"/>
    <w:rsid w:val="00D74C65"/>
    <w:rsid w:val="00D74E97"/>
    <w:rsid w:val="00D74F21"/>
    <w:rsid w:val="00D754CE"/>
    <w:rsid w:val="00D758D0"/>
    <w:rsid w:val="00D75DC2"/>
    <w:rsid w:val="00D75DC3"/>
    <w:rsid w:val="00D766EF"/>
    <w:rsid w:val="00D76C03"/>
    <w:rsid w:val="00D77D68"/>
    <w:rsid w:val="00D77E0D"/>
    <w:rsid w:val="00D77F8D"/>
    <w:rsid w:val="00D80A6A"/>
    <w:rsid w:val="00D80E07"/>
    <w:rsid w:val="00D8118B"/>
    <w:rsid w:val="00D8119B"/>
    <w:rsid w:val="00D81B44"/>
    <w:rsid w:val="00D82462"/>
    <w:rsid w:val="00D831C6"/>
    <w:rsid w:val="00D83EF3"/>
    <w:rsid w:val="00D84BD1"/>
    <w:rsid w:val="00D85773"/>
    <w:rsid w:val="00D85886"/>
    <w:rsid w:val="00D85D55"/>
    <w:rsid w:val="00D867A7"/>
    <w:rsid w:val="00D868CE"/>
    <w:rsid w:val="00D86DAE"/>
    <w:rsid w:val="00D875C9"/>
    <w:rsid w:val="00D8776A"/>
    <w:rsid w:val="00D90116"/>
    <w:rsid w:val="00D90C1E"/>
    <w:rsid w:val="00D91BDF"/>
    <w:rsid w:val="00D91F2C"/>
    <w:rsid w:val="00D9266B"/>
    <w:rsid w:val="00D93F09"/>
    <w:rsid w:val="00D94859"/>
    <w:rsid w:val="00D954C2"/>
    <w:rsid w:val="00D95D83"/>
    <w:rsid w:val="00D96368"/>
    <w:rsid w:val="00D9640A"/>
    <w:rsid w:val="00D97AAD"/>
    <w:rsid w:val="00D97BB8"/>
    <w:rsid w:val="00DA1318"/>
    <w:rsid w:val="00DA1382"/>
    <w:rsid w:val="00DA28B7"/>
    <w:rsid w:val="00DA2FE8"/>
    <w:rsid w:val="00DA3F70"/>
    <w:rsid w:val="00DA4AF6"/>
    <w:rsid w:val="00DA649A"/>
    <w:rsid w:val="00DA7AB2"/>
    <w:rsid w:val="00DB016E"/>
    <w:rsid w:val="00DB06E9"/>
    <w:rsid w:val="00DB0870"/>
    <w:rsid w:val="00DB0BF3"/>
    <w:rsid w:val="00DB19BD"/>
    <w:rsid w:val="00DB1D55"/>
    <w:rsid w:val="00DB378E"/>
    <w:rsid w:val="00DB3C0D"/>
    <w:rsid w:val="00DB3E9D"/>
    <w:rsid w:val="00DB47B9"/>
    <w:rsid w:val="00DB4FB8"/>
    <w:rsid w:val="00DB53CE"/>
    <w:rsid w:val="00DB549D"/>
    <w:rsid w:val="00DB5792"/>
    <w:rsid w:val="00DB6A88"/>
    <w:rsid w:val="00DB7BA4"/>
    <w:rsid w:val="00DB7D77"/>
    <w:rsid w:val="00DC08D7"/>
    <w:rsid w:val="00DC08E4"/>
    <w:rsid w:val="00DC176E"/>
    <w:rsid w:val="00DC226A"/>
    <w:rsid w:val="00DC257F"/>
    <w:rsid w:val="00DC2A9F"/>
    <w:rsid w:val="00DC2FA9"/>
    <w:rsid w:val="00DC350B"/>
    <w:rsid w:val="00DC3790"/>
    <w:rsid w:val="00DC408A"/>
    <w:rsid w:val="00DC436D"/>
    <w:rsid w:val="00DC519B"/>
    <w:rsid w:val="00DC53D9"/>
    <w:rsid w:val="00DC5B3B"/>
    <w:rsid w:val="00DC60C2"/>
    <w:rsid w:val="00DC6796"/>
    <w:rsid w:val="00DC68E7"/>
    <w:rsid w:val="00DC6CC6"/>
    <w:rsid w:val="00DC78DF"/>
    <w:rsid w:val="00DC7D4C"/>
    <w:rsid w:val="00DD0726"/>
    <w:rsid w:val="00DD0821"/>
    <w:rsid w:val="00DD0E32"/>
    <w:rsid w:val="00DD1878"/>
    <w:rsid w:val="00DD1DC1"/>
    <w:rsid w:val="00DD20FA"/>
    <w:rsid w:val="00DD21F1"/>
    <w:rsid w:val="00DD2670"/>
    <w:rsid w:val="00DD2872"/>
    <w:rsid w:val="00DD2A62"/>
    <w:rsid w:val="00DD2BB1"/>
    <w:rsid w:val="00DD2BD0"/>
    <w:rsid w:val="00DD2BFE"/>
    <w:rsid w:val="00DD36E7"/>
    <w:rsid w:val="00DD373E"/>
    <w:rsid w:val="00DD3867"/>
    <w:rsid w:val="00DD57AD"/>
    <w:rsid w:val="00DD7435"/>
    <w:rsid w:val="00DD7C6D"/>
    <w:rsid w:val="00DE009B"/>
    <w:rsid w:val="00DE08F8"/>
    <w:rsid w:val="00DE0C31"/>
    <w:rsid w:val="00DE0E40"/>
    <w:rsid w:val="00DE1460"/>
    <w:rsid w:val="00DE2ED9"/>
    <w:rsid w:val="00DE319A"/>
    <w:rsid w:val="00DE5AD3"/>
    <w:rsid w:val="00DE6EAC"/>
    <w:rsid w:val="00DE74A8"/>
    <w:rsid w:val="00DE7B69"/>
    <w:rsid w:val="00DF0615"/>
    <w:rsid w:val="00DF0DC3"/>
    <w:rsid w:val="00DF1328"/>
    <w:rsid w:val="00DF18C6"/>
    <w:rsid w:val="00DF1A2F"/>
    <w:rsid w:val="00DF204C"/>
    <w:rsid w:val="00DF2078"/>
    <w:rsid w:val="00DF21FD"/>
    <w:rsid w:val="00DF2873"/>
    <w:rsid w:val="00DF293C"/>
    <w:rsid w:val="00DF330C"/>
    <w:rsid w:val="00DF34B2"/>
    <w:rsid w:val="00DF3A10"/>
    <w:rsid w:val="00DF4C74"/>
    <w:rsid w:val="00DF52AE"/>
    <w:rsid w:val="00DF5578"/>
    <w:rsid w:val="00DF594F"/>
    <w:rsid w:val="00DF6CF8"/>
    <w:rsid w:val="00DF6F6E"/>
    <w:rsid w:val="00DF78DD"/>
    <w:rsid w:val="00DF7FEC"/>
    <w:rsid w:val="00E00CCA"/>
    <w:rsid w:val="00E01B16"/>
    <w:rsid w:val="00E01B6E"/>
    <w:rsid w:val="00E01C0E"/>
    <w:rsid w:val="00E02086"/>
    <w:rsid w:val="00E023BE"/>
    <w:rsid w:val="00E02740"/>
    <w:rsid w:val="00E03B27"/>
    <w:rsid w:val="00E03B58"/>
    <w:rsid w:val="00E04694"/>
    <w:rsid w:val="00E049F6"/>
    <w:rsid w:val="00E04CA9"/>
    <w:rsid w:val="00E05B2B"/>
    <w:rsid w:val="00E05EAD"/>
    <w:rsid w:val="00E065FC"/>
    <w:rsid w:val="00E06A2A"/>
    <w:rsid w:val="00E07F05"/>
    <w:rsid w:val="00E106A2"/>
    <w:rsid w:val="00E127E1"/>
    <w:rsid w:val="00E12BCE"/>
    <w:rsid w:val="00E1409E"/>
    <w:rsid w:val="00E144D2"/>
    <w:rsid w:val="00E144D6"/>
    <w:rsid w:val="00E14A98"/>
    <w:rsid w:val="00E15346"/>
    <w:rsid w:val="00E15B7D"/>
    <w:rsid w:val="00E16157"/>
    <w:rsid w:val="00E17C5F"/>
    <w:rsid w:val="00E2097E"/>
    <w:rsid w:val="00E215EA"/>
    <w:rsid w:val="00E21CAB"/>
    <w:rsid w:val="00E221FC"/>
    <w:rsid w:val="00E222BB"/>
    <w:rsid w:val="00E22782"/>
    <w:rsid w:val="00E22E78"/>
    <w:rsid w:val="00E24619"/>
    <w:rsid w:val="00E24871"/>
    <w:rsid w:val="00E25223"/>
    <w:rsid w:val="00E25999"/>
    <w:rsid w:val="00E26123"/>
    <w:rsid w:val="00E263A8"/>
    <w:rsid w:val="00E30BEA"/>
    <w:rsid w:val="00E31764"/>
    <w:rsid w:val="00E3288A"/>
    <w:rsid w:val="00E329AB"/>
    <w:rsid w:val="00E32BC2"/>
    <w:rsid w:val="00E32DFC"/>
    <w:rsid w:val="00E33313"/>
    <w:rsid w:val="00E3405E"/>
    <w:rsid w:val="00E34985"/>
    <w:rsid w:val="00E34E4A"/>
    <w:rsid w:val="00E365B3"/>
    <w:rsid w:val="00E366BB"/>
    <w:rsid w:val="00E372FD"/>
    <w:rsid w:val="00E37C45"/>
    <w:rsid w:val="00E40844"/>
    <w:rsid w:val="00E40AAA"/>
    <w:rsid w:val="00E4164E"/>
    <w:rsid w:val="00E41A59"/>
    <w:rsid w:val="00E42444"/>
    <w:rsid w:val="00E427EA"/>
    <w:rsid w:val="00E42C77"/>
    <w:rsid w:val="00E42D52"/>
    <w:rsid w:val="00E438CF"/>
    <w:rsid w:val="00E43B06"/>
    <w:rsid w:val="00E43C41"/>
    <w:rsid w:val="00E4500E"/>
    <w:rsid w:val="00E450CE"/>
    <w:rsid w:val="00E45703"/>
    <w:rsid w:val="00E45A00"/>
    <w:rsid w:val="00E45CE7"/>
    <w:rsid w:val="00E4631F"/>
    <w:rsid w:val="00E46735"/>
    <w:rsid w:val="00E46A4A"/>
    <w:rsid w:val="00E46E03"/>
    <w:rsid w:val="00E46F78"/>
    <w:rsid w:val="00E4793B"/>
    <w:rsid w:val="00E479D8"/>
    <w:rsid w:val="00E47B32"/>
    <w:rsid w:val="00E47CB8"/>
    <w:rsid w:val="00E47FCD"/>
    <w:rsid w:val="00E522BB"/>
    <w:rsid w:val="00E52A3D"/>
    <w:rsid w:val="00E533B7"/>
    <w:rsid w:val="00E539E4"/>
    <w:rsid w:val="00E53C14"/>
    <w:rsid w:val="00E549C7"/>
    <w:rsid w:val="00E569C7"/>
    <w:rsid w:val="00E569D7"/>
    <w:rsid w:val="00E571F2"/>
    <w:rsid w:val="00E57429"/>
    <w:rsid w:val="00E60FCE"/>
    <w:rsid w:val="00E61EA8"/>
    <w:rsid w:val="00E62A33"/>
    <w:rsid w:val="00E63200"/>
    <w:rsid w:val="00E63221"/>
    <w:rsid w:val="00E63960"/>
    <w:rsid w:val="00E63BFD"/>
    <w:rsid w:val="00E63EC6"/>
    <w:rsid w:val="00E64AE4"/>
    <w:rsid w:val="00E64CFF"/>
    <w:rsid w:val="00E64EA1"/>
    <w:rsid w:val="00E6582D"/>
    <w:rsid w:val="00E669C7"/>
    <w:rsid w:val="00E67611"/>
    <w:rsid w:val="00E67859"/>
    <w:rsid w:val="00E70510"/>
    <w:rsid w:val="00E705CD"/>
    <w:rsid w:val="00E71262"/>
    <w:rsid w:val="00E71A58"/>
    <w:rsid w:val="00E71C3A"/>
    <w:rsid w:val="00E72BA7"/>
    <w:rsid w:val="00E737F6"/>
    <w:rsid w:val="00E7568F"/>
    <w:rsid w:val="00E764AE"/>
    <w:rsid w:val="00E76733"/>
    <w:rsid w:val="00E76F80"/>
    <w:rsid w:val="00E7724B"/>
    <w:rsid w:val="00E776DE"/>
    <w:rsid w:val="00E80E31"/>
    <w:rsid w:val="00E81130"/>
    <w:rsid w:val="00E813EF"/>
    <w:rsid w:val="00E81556"/>
    <w:rsid w:val="00E83DAB"/>
    <w:rsid w:val="00E841E3"/>
    <w:rsid w:val="00E84F21"/>
    <w:rsid w:val="00E85720"/>
    <w:rsid w:val="00E8618A"/>
    <w:rsid w:val="00E90A4B"/>
    <w:rsid w:val="00E90D67"/>
    <w:rsid w:val="00E90F73"/>
    <w:rsid w:val="00E910A7"/>
    <w:rsid w:val="00E91607"/>
    <w:rsid w:val="00E921C7"/>
    <w:rsid w:val="00E92995"/>
    <w:rsid w:val="00E92A8C"/>
    <w:rsid w:val="00E93035"/>
    <w:rsid w:val="00E932EA"/>
    <w:rsid w:val="00E9446C"/>
    <w:rsid w:val="00E94612"/>
    <w:rsid w:val="00E94ADB"/>
    <w:rsid w:val="00E95797"/>
    <w:rsid w:val="00E9682F"/>
    <w:rsid w:val="00E96A8D"/>
    <w:rsid w:val="00E96FC2"/>
    <w:rsid w:val="00E970D9"/>
    <w:rsid w:val="00E972BA"/>
    <w:rsid w:val="00E97FA2"/>
    <w:rsid w:val="00EA06CB"/>
    <w:rsid w:val="00EA0AF3"/>
    <w:rsid w:val="00EA0C68"/>
    <w:rsid w:val="00EA19E2"/>
    <w:rsid w:val="00EA1CFB"/>
    <w:rsid w:val="00EA2169"/>
    <w:rsid w:val="00EA3BF6"/>
    <w:rsid w:val="00EA3EBE"/>
    <w:rsid w:val="00EA3FAC"/>
    <w:rsid w:val="00EA4153"/>
    <w:rsid w:val="00EA421A"/>
    <w:rsid w:val="00EA5CD6"/>
    <w:rsid w:val="00EA76FD"/>
    <w:rsid w:val="00EA77CA"/>
    <w:rsid w:val="00EA78FE"/>
    <w:rsid w:val="00EB03D4"/>
    <w:rsid w:val="00EB0555"/>
    <w:rsid w:val="00EB0938"/>
    <w:rsid w:val="00EB0FCC"/>
    <w:rsid w:val="00EB1298"/>
    <w:rsid w:val="00EB20A0"/>
    <w:rsid w:val="00EB29CA"/>
    <w:rsid w:val="00EB2CE9"/>
    <w:rsid w:val="00EB30B6"/>
    <w:rsid w:val="00EB4335"/>
    <w:rsid w:val="00EB4FA4"/>
    <w:rsid w:val="00EB5146"/>
    <w:rsid w:val="00EB514B"/>
    <w:rsid w:val="00EB522B"/>
    <w:rsid w:val="00EB5410"/>
    <w:rsid w:val="00EB55E9"/>
    <w:rsid w:val="00EB5641"/>
    <w:rsid w:val="00EB592C"/>
    <w:rsid w:val="00EB599D"/>
    <w:rsid w:val="00EB5CA9"/>
    <w:rsid w:val="00EB5ED4"/>
    <w:rsid w:val="00EB6537"/>
    <w:rsid w:val="00EB70E1"/>
    <w:rsid w:val="00EB7EB5"/>
    <w:rsid w:val="00EC0860"/>
    <w:rsid w:val="00EC0EC1"/>
    <w:rsid w:val="00EC424C"/>
    <w:rsid w:val="00EC454B"/>
    <w:rsid w:val="00EC4941"/>
    <w:rsid w:val="00EC4D9C"/>
    <w:rsid w:val="00EC6153"/>
    <w:rsid w:val="00EC7F92"/>
    <w:rsid w:val="00ED00A8"/>
    <w:rsid w:val="00ED0A79"/>
    <w:rsid w:val="00ED0C9B"/>
    <w:rsid w:val="00ED2989"/>
    <w:rsid w:val="00ED2B0B"/>
    <w:rsid w:val="00ED2CA5"/>
    <w:rsid w:val="00ED336F"/>
    <w:rsid w:val="00ED390A"/>
    <w:rsid w:val="00ED3A94"/>
    <w:rsid w:val="00ED40F0"/>
    <w:rsid w:val="00ED4AC0"/>
    <w:rsid w:val="00ED54D6"/>
    <w:rsid w:val="00ED5726"/>
    <w:rsid w:val="00ED7AA7"/>
    <w:rsid w:val="00ED7C3C"/>
    <w:rsid w:val="00EE0113"/>
    <w:rsid w:val="00EE0298"/>
    <w:rsid w:val="00EE0384"/>
    <w:rsid w:val="00EE043A"/>
    <w:rsid w:val="00EE0473"/>
    <w:rsid w:val="00EE07DE"/>
    <w:rsid w:val="00EE1057"/>
    <w:rsid w:val="00EE10AA"/>
    <w:rsid w:val="00EE1637"/>
    <w:rsid w:val="00EE208C"/>
    <w:rsid w:val="00EE3547"/>
    <w:rsid w:val="00EE3B7A"/>
    <w:rsid w:val="00EE3CA2"/>
    <w:rsid w:val="00EE3E78"/>
    <w:rsid w:val="00EE450E"/>
    <w:rsid w:val="00EE4534"/>
    <w:rsid w:val="00EE495A"/>
    <w:rsid w:val="00EE5E02"/>
    <w:rsid w:val="00EE617D"/>
    <w:rsid w:val="00EE61BF"/>
    <w:rsid w:val="00EE6538"/>
    <w:rsid w:val="00EE6748"/>
    <w:rsid w:val="00EE6C6B"/>
    <w:rsid w:val="00EF0E75"/>
    <w:rsid w:val="00EF1D92"/>
    <w:rsid w:val="00EF1ED5"/>
    <w:rsid w:val="00EF1F5A"/>
    <w:rsid w:val="00EF303D"/>
    <w:rsid w:val="00EF3486"/>
    <w:rsid w:val="00EF35CA"/>
    <w:rsid w:val="00EF3CF0"/>
    <w:rsid w:val="00EF4685"/>
    <w:rsid w:val="00EF51FE"/>
    <w:rsid w:val="00EF5397"/>
    <w:rsid w:val="00EF63CC"/>
    <w:rsid w:val="00EF6B4F"/>
    <w:rsid w:val="00EF6BE3"/>
    <w:rsid w:val="00F00D0E"/>
    <w:rsid w:val="00F00D3C"/>
    <w:rsid w:val="00F020EA"/>
    <w:rsid w:val="00F02A72"/>
    <w:rsid w:val="00F032C4"/>
    <w:rsid w:val="00F0356B"/>
    <w:rsid w:val="00F04811"/>
    <w:rsid w:val="00F0488C"/>
    <w:rsid w:val="00F0496E"/>
    <w:rsid w:val="00F04D10"/>
    <w:rsid w:val="00F04FAE"/>
    <w:rsid w:val="00F053EA"/>
    <w:rsid w:val="00F0540C"/>
    <w:rsid w:val="00F06158"/>
    <w:rsid w:val="00F0625B"/>
    <w:rsid w:val="00F068A8"/>
    <w:rsid w:val="00F06944"/>
    <w:rsid w:val="00F069AC"/>
    <w:rsid w:val="00F06C6F"/>
    <w:rsid w:val="00F0732D"/>
    <w:rsid w:val="00F101FF"/>
    <w:rsid w:val="00F104DF"/>
    <w:rsid w:val="00F10A33"/>
    <w:rsid w:val="00F10B64"/>
    <w:rsid w:val="00F1186C"/>
    <w:rsid w:val="00F11AD5"/>
    <w:rsid w:val="00F126D0"/>
    <w:rsid w:val="00F12A83"/>
    <w:rsid w:val="00F14ACD"/>
    <w:rsid w:val="00F15309"/>
    <w:rsid w:val="00F15BEF"/>
    <w:rsid w:val="00F160EC"/>
    <w:rsid w:val="00F172BE"/>
    <w:rsid w:val="00F1776C"/>
    <w:rsid w:val="00F2037E"/>
    <w:rsid w:val="00F20D17"/>
    <w:rsid w:val="00F2103E"/>
    <w:rsid w:val="00F214FC"/>
    <w:rsid w:val="00F21837"/>
    <w:rsid w:val="00F21C31"/>
    <w:rsid w:val="00F23825"/>
    <w:rsid w:val="00F2389A"/>
    <w:rsid w:val="00F23F6C"/>
    <w:rsid w:val="00F23FFF"/>
    <w:rsid w:val="00F24115"/>
    <w:rsid w:val="00F243F6"/>
    <w:rsid w:val="00F2441D"/>
    <w:rsid w:val="00F2490D"/>
    <w:rsid w:val="00F24FAA"/>
    <w:rsid w:val="00F25226"/>
    <w:rsid w:val="00F25860"/>
    <w:rsid w:val="00F26197"/>
    <w:rsid w:val="00F273D4"/>
    <w:rsid w:val="00F307DD"/>
    <w:rsid w:val="00F30C2E"/>
    <w:rsid w:val="00F30CB4"/>
    <w:rsid w:val="00F30EBF"/>
    <w:rsid w:val="00F318FC"/>
    <w:rsid w:val="00F31D53"/>
    <w:rsid w:val="00F31F76"/>
    <w:rsid w:val="00F325A3"/>
    <w:rsid w:val="00F3267A"/>
    <w:rsid w:val="00F3364D"/>
    <w:rsid w:val="00F339D0"/>
    <w:rsid w:val="00F353AE"/>
    <w:rsid w:val="00F35ACD"/>
    <w:rsid w:val="00F365BF"/>
    <w:rsid w:val="00F36BB9"/>
    <w:rsid w:val="00F36BF8"/>
    <w:rsid w:val="00F36FC0"/>
    <w:rsid w:val="00F375BA"/>
    <w:rsid w:val="00F37760"/>
    <w:rsid w:val="00F37F3C"/>
    <w:rsid w:val="00F403D1"/>
    <w:rsid w:val="00F40562"/>
    <w:rsid w:val="00F4170B"/>
    <w:rsid w:val="00F43292"/>
    <w:rsid w:val="00F43921"/>
    <w:rsid w:val="00F44E1B"/>
    <w:rsid w:val="00F45222"/>
    <w:rsid w:val="00F4524F"/>
    <w:rsid w:val="00F45530"/>
    <w:rsid w:val="00F4591F"/>
    <w:rsid w:val="00F47321"/>
    <w:rsid w:val="00F4736B"/>
    <w:rsid w:val="00F47804"/>
    <w:rsid w:val="00F47997"/>
    <w:rsid w:val="00F47D05"/>
    <w:rsid w:val="00F50030"/>
    <w:rsid w:val="00F502F5"/>
    <w:rsid w:val="00F50B9D"/>
    <w:rsid w:val="00F51FC9"/>
    <w:rsid w:val="00F529EE"/>
    <w:rsid w:val="00F52AE1"/>
    <w:rsid w:val="00F53243"/>
    <w:rsid w:val="00F541ED"/>
    <w:rsid w:val="00F54B31"/>
    <w:rsid w:val="00F54C70"/>
    <w:rsid w:val="00F54FD3"/>
    <w:rsid w:val="00F554F9"/>
    <w:rsid w:val="00F55605"/>
    <w:rsid w:val="00F56375"/>
    <w:rsid w:val="00F56E04"/>
    <w:rsid w:val="00F57CAD"/>
    <w:rsid w:val="00F57CD7"/>
    <w:rsid w:val="00F6080A"/>
    <w:rsid w:val="00F61BFE"/>
    <w:rsid w:val="00F62F02"/>
    <w:rsid w:val="00F6339F"/>
    <w:rsid w:val="00F638E6"/>
    <w:rsid w:val="00F63DDE"/>
    <w:rsid w:val="00F63FB7"/>
    <w:rsid w:val="00F64726"/>
    <w:rsid w:val="00F64C5B"/>
    <w:rsid w:val="00F64F44"/>
    <w:rsid w:val="00F6561A"/>
    <w:rsid w:val="00F66243"/>
    <w:rsid w:val="00F66CA8"/>
    <w:rsid w:val="00F67BDA"/>
    <w:rsid w:val="00F70309"/>
    <w:rsid w:val="00F7078A"/>
    <w:rsid w:val="00F70C8E"/>
    <w:rsid w:val="00F70E45"/>
    <w:rsid w:val="00F727D5"/>
    <w:rsid w:val="00F72F44"/>
    <w:rsid w:val="00F73150"/>
    <w:rsid w:val="00F73A0C"/>
    <w:rsid w:val="00F7593A"/>
    <w:rsid w:val="00F7593B"/>
    <w:rsid w:val="00F759DC"/>
    <w:rsid w:val="00F76309"/>
    <w:rsid w:val="00F76563"/>
    <w:rsid w:val="00F76F35"/>
    <w:rsid w:val="00F7717C"/>
    <w:rsid w:val="00F771A5"/>
    <w:rsid w:val="00F77387"/>
    <w:rsid w:val="00F80021"/>
    <w:rsid w:val="00F804FA"/>
    <w:rsid w:val="00F80D1E"/>
    <w:rsid w:val="00F817A4"/>
    <w:rsid w:val="00F81C3A"/>
    <w:rsid w:val="00F83573"/>
    <w:rsid w:val="00F835E1"/>
    <w:rsid w:val="00F835FC"/>
    <w:rsid w:val="00F8373A"/>
    <w:rsid w:val="00F83E21"/>
    <w:rsid w:val="00F83FA4"/>
    <w:rsid w:val="00F8410C"/>
    <w:rsid w:val="00F84E18"/>
    <w:rsid w:val="00F852E5"/>
    <w:rsid w:val="00F853A5"/>
    <w:rsid w:val="00F8630A"/>
    <w:rsid w:val="00F86F2E"/>
    <w:rsid w:val="00F90350"/>
    <w:rsid w:val="00F916FB"/>
    <w:rsid w:val="00F91EAF"/>
    <w:rsid w:val="00F9310A"/>
    <w:rsid w:val="00F94681"/>
    <w:rsid w:val="00F95117"/>
    <w:rsid w:val="00F951D6"/>
    <w:rsid w:val="00F96E38"/>
    <w:rsid w:val="00F97ED2"/>
    <w:rsid w:val="00FA05D7"/>
    <w:rsid w:val="00FA16BD"/>
    <w:rsid w:val="00FA1992"/>
    <w:rsid w:val="00FA1C6C"/>
    <w:rsid w:val="00FA23C1"/>
    <w:rsid w:val="00FA2447"/>
    <w:rsid w:val="00FA2A4A"/>
    <w:rsid w:val="00FA2BDE"/>
    <w:rsid w:val="00FA2C2A"/>
    <w:rsid w:val="00FA309A"/>
    <w:rsid w:val="00FA6B3F"/>
    <w:rsid w:val="00FA7644"/>
    <w:rsid w:val="00FA76E1"/>
    <w:rsid w:val="00FB0A9A"/>
    <w:rsid w:val="00FB16AD"/>
    <w:rsid w:val="00FB1BC4"/>
    <w:rsid w:val="00FB1F21"/>
    <w:rsid w:val="00FB332E"/>
    <w:rsid w:val="00FB3763"/>
    <w:rsid w:val="00FB483B"/>
    <w:rsid w:val="00FB56F1"/>
    <w:rsid w:val="00FB5A54"/>
    <w:rsid w:val="00FB5FD4"/>
    <w:rsid w:val="00FB6398"/>
    <w:rsid w:val="00FB67F3"/>
    <w:rsid w:val="00FB6AF4"/>
    <w:rsid w:val="00FB7710"/>
    <w:rsid w:val="00FC0D8A"/>
    <w:rsid w:val="00FC0E5F"/>
    <w:rsid w:val="00FC135D"/>
    <w:rsid w:val="00FC26FB"/>
    <w:rsid w:val="00FC2CF4"/>
    <w:rsid w:val="00FC3C84"/>
    <w:rsid w:val="00FC3EED"/>
    <w:rsid w:val="00FC428D"/>
    <w:rsid w:val="00FC4660"/>
    <w:rsid w:val="00FC56DE"/>
    <w:rsid w:val="00FC5E01"/>
    <w:rsid w:val="00FC6140"/>
    <w:rsid w:val="00FC6DB5"/>
    <w:rsid w:val="00FC740A"/>
    <w:rsid w:val="00FD1261"/>
    <w:rsid w:val="00FD1627"/>
    <w:rsid w:val="00FD1BBD"/>
    <w:rsid w:val="00FD33E5"/>
    <w:rsid w:val="00FD38B2"/>
    <w:rsid w:val="00FD38F7"/>
    <w:rsid w:val="00FD4262"/>
    <w:rsid w:val="00FD43A0"/>
    <w:rsid w:val="00FD473D"/>
    <w:rsid w:val="00FD55BA"/>
    <w:rsid w:val="00FD61C8"/>
    <w:rsid w:val="00FD63CE"/>
    <w:rsid w:val="00FD77BB"/>
    <w:rsid w:val="00FD7D49"/>
    <w:rsid w:val="00FE1251"/>
    <w:rsid w:val="00FE16E6"/>
    <w:rsid w:val="00FE2F3B"/>
    <w:rsid w:val="00FE2F78"/>
    <w:rsid w:val="00FE3510"/>
    <w:rsid w:val="00FE371D"/>
    <w:rsid w:val="00FE375F"/>
    <w:rsid w:val="00FE3D8B"/>
    <w:rsid w:val="00FE4FCB"/>
    <w:rsid w:val="00FE60A8"/>
    <w:rsid w:val="00FE688F"/>
    <w:rsid w:val="00FE6920"/>
    <w:rsid w:val="00FE705E"/>
    <w:rsid w:val="00FF02EB"/>
    <w:rsid w:val="00FF288B"/>
    <w:rsid w:val="00FF28E0"/>
    <w:rsid w:val="00FF2FB4"/>
    <w:rsid w:val="00FF30B3"/>
    <w:rsid w:val="00FF3DF3"/>
    <w:rsid w:val="00FF4027"/>
    <w:rsid w:val="00FF45A2"/>
    <w:rsid w:val="00FF4BD5"/>
    <w:rsid w:val="00FF55B1"/>
    <w:rsid w:val="00FF5A33"/>
    <w:rsid w:val="00FF65DF"/>
    <w:rsid w:val="00FF6B00"/>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 w:type="character" w:customStyle="1" w:styleId="tabulka">
    <w:name w:val="tabulka"/>
    <w:basedOn w:val="Standardnpsmoodstavce"/>
    <w:rsid w:val="001C3961"/>
  </w:style>
  <w:style w:type="paragraph" w:styleId="Pedmtkomente">
    <w:name w:val="annotation subject"/>
    <w:basedOn w:val="Textkomente"/>
    <w:next w:val="Textkomente"/>
    <w:link w:val="PedmtkomenteChar"/>
    <w:uiPriority w:val="99"/>
    <w:semiHidden/>
    <w:unhideWhenUsed/>
    <w:locked/>
    <w:rsid w:val="009E72A1"/>
    <w:rPr>
      <w:b/>
      <w:bCs/>
    </w:rPr>
  </w:style>
  <w:style w:type="character" w:customStyle="1" w:styleId="PedmtkomenteChar">
    <w:name w:val="Předmět komentáře Char"/>
    <w:basedOn w:val="TextkomenteChar"/>
    <w:link w:val="Pedmtkomente"/>
    <w:uiPriority w:val="99"/>
    <w:semiHidden/>
    <w:rsid w:val="009E72A1"/>
    <w:rPr>
      <w:rFonts w:ascii="Arial" w:hAnsi="Arial"/>
      <w:b/>
      <w:bCs/>
    </w:rPr>
  </w:style>
  <w:style w:type="character" w:styleId="Zvraznn">
    <w:name w:val="Emphasis"/>
    <w:basedOn w:val="Standardnpsmoodstavce"/>
    <w:uiPriority w:val="20"/>
    <w:qFormat/>
    <w:locked/>
    <w:rsid w:val="005D7503"/>
    <w:rPr>
      <w:i/>
      <w:iCs/>
    </w:rPr>
  </w:style>
  <w:style w:type="paragraph" w:styleId="Revize">
    <w:name w:val="Revision"/>
    <w:hidden/>
    <w:uiPriority w:val="99"/>
    <w:semiHidden/>
    <w:rsid w:val="0079638B"/>
    <w:rPr>
      <w:rFonts w:ascii="Arial" w:hAnsi="Arial"/>
      <w:szCs w:val="24"/>
    </w:rPr>
  </w:style>
  <w:style w:type="character" w:customStyle="1" w:styleId="shorttext">
    <w:name w:val="short_text"/>
    <w:basedOn w:val="Standardnpsmoodstavce"/>
    <w:rsid w:val="00F96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5B22A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7D4281"/>
    <w:pPr>
      <w:jc w:val="both"/>
    </w:pPr>
    <w:rPr>
      <w:rFonts w:ascii="Arial" w:eastAsia="Times New Roman" w:hAnsi="Arial"/>
      <w:szCs w:val="24"/>
    </w:rPr>
  </w:style>
  <w:style w:type="character" w:customStyle="1" w:styleId="ssfpaarticletext">
    <w:name w:val="ssfpaarticletext"/>
    <w:basedOn w:val="Standardnpsmoodstavce"/>
    <w:rsid w:val="00EE0473"/>
  </w:style>
  <w:style w:type="paragraph" w:customStyle="1" w:styleId="Default">
    <w:name w:val="Default"/>
    <w:rsid w:val="00424D9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locked/>
    <w:rsid w:val="005A61D1"/>
    <w:rPr>
      <w:sz w:val="16"/>
      <w:szCs w:val="16"/>
    </w:rPr>
  </w:style>
  <w:style w:type="paragraph" w:styleId="Textkomente">
    <w:name w:val="annotation text"/>
    <w:basedOn w:val="Normln"/>
    <w:link w:val="TextkomenteChar"/>
    <w:uiPriority w:val="99"/>
    <w:semiHidden/>
    <w:unhideWhenUsed/>
    <w:locked/>
    <w:rsid w:val="005A61D1"/>
    <w:pPr>
      <w:spacing w:line="240" w:lineRule="auto"/>
    </w:pPr>
    <w:rPr>
      <w:szCs w:val="20"/>
    </w:rPr>
  </w:style>
  <w:style w:type="character" w:customStyle="1" w:styleId="TextkomenteChar">
    <w:name w:val="Text komentáře Char"/>
    <w:basedOn w:val="Standardnpsmoodstavce"/>
    <w:link w:val="Textkomente"/>
    <w:uiPriority w:val="99"/>
    <w:semiHidden/>
    <w:rsid w:val="005A61D1"/>
    <w:rPr>
      <w:rFonts w:ascii="Arial" w:hAnsi="Arial"/>
    </w:rPr>
  </w:style>
  <w:style w:type="character" w:customStyle="1" w:styleId="tabulka">
    <w:name w:val="tabulka"/>
    <w:basedOn w:val="Standardnpsmoodstavce"/>
    <w:rsid w:val="001C3961"/>
  </w:style>
  <w:style w:type="paragraph" w:styleId="Pedmtkomente">
    <w:name w:val="annotation subject"/>
    <w:basedOn w:val="Textkomente"/>
    <w:next w:val="Textkomente"/>
    <w:link w:val="PedmtkomenteChar"/>
    <w:uiPriority w:val="99"/>
    <w:semiHidden/>
    <w:unhideWhenUsed/>
    <w:locked/>
    <w:rsid w:val="009E72A1"/>
    <w:rPr>
      <w:b/>
      <w:bCs/>
    </w:rPr>
  </w:style>
  <w:style w:type="character" w:customStyle="1" w:styleId="PedmtkomenteChar">
    <w:name w:val="Předmět komentáře Char"/>
    <w:basedOn w:val="TextkomenteChar"/>
    <w:link w:val="Pedmtkomente"/>
    <w:uiPriority w:val="99"/>
    <w:semiHidden/>
    <w:rsid w:val="009E72A1"/>
    <w:rPr>
      <w:rFonts w:ascii="Arial" w:hAnsi="Arial"/>
      <w:b/>
      <w:bCs/>
    </w:rPr>
  </w:style>
  <w:style w:type="character" w:styleId="Zvraznn">
    <w:name w:val="Emphasis"/>
    <w:basedOn w:val="Standardnpsmoodstavce"/>
    <w:uiPriority w:val="20"/>
    <w:qFormat/>
    <w:locked/>
    <w:rsid w:val="005D7503"/>
    <w:rPr>
      <w:i/>
      <w:iCs/>
    </w:rPr>
  </w:style>
  <w:style w:type="paragraph" w:styleId="Revize">
    <w:name w:val="Revision"/>
    <w:hidden/>
    <w:uiPriority w:val="99"/>
    <w:semiHidden/>
    <w:rsid w:val="0079638B"/>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82268191">
      <w:bodyDiv w:val="1"/>
      <w:marLeft w:val="0"/>
      <w:marRight w:val="0"/>
      <w:marTop w:val="0"/>
      <w:marBottom w:val="0"/>
      <w:divBdr>
        <w:top w:val="none" w:sz="0" w:space="0" w:color="auto"/>
        <w:left w:val="none" w:sz="0" w:space="0" w:color="auto"/>
        <w:bottom w:val="none" w:sz="0" w:space="0" w:color="auto"/>
        <w:right w:val="none" w:sz="0" w:space="0" w:color="auto"/>
      </w:divBdr>
    </w:div>
    <w:div w:id="858011097">
      <w:bodyDiv w:val="1"/>
      <w:marLeft w:val="50"/>
      <w:marRight w:val="50"/>
      <w:marTop w:val="50"/>
      <w:marBottom w:val="13"/>
      <w:divBdr>
        <w:top w:val="none" w:sz="0" w:space="0" w:color="auto"/>
        <w:left w:val="none" w:sz="0" w:space="0" w:color="auto"/>
        <w:bottom w:val="none" w:sz="0" w:space="0" w:color="auto"/>
        <w:right w:val="none" w:sz="0" w:space="0" w:color="auto"/>
      </w:divBdr>
      <w:divsChild>
        <w:div w:id="727414442">
          <w:marLeft w:val="0"/>
          <w:marRight w:val="0"/>
          <w:marTop w:val="0"/>
          <w:marBottom w:val="0"/>
          <w:divBdr>
            <w:top w:val="none" w:sz="0" w:space="0" w:color="auto"/>
            <w:left w:val="none" w:sz="0" w:space="0" w:color="auto"/>
            <w:bottom w:val="none" w:sz="0" w:space="0" w:color="auto"/>
            <w:right w:val="none" w:sz="0" w:space="0" w:color="auto"/>
          </w:divBdr>
        </w:div>
        <w:div w:id="1946301921">
          <w:marLeft w:val="0"/>
          <w:marRight w:val="0"/>
          <w:marTop w:val="0"/>
          <w:marBottom w:val="0"/>
          <w:divBdr>
            <w:top w:val="none" w:sz="0" w:space="0" w:color="auto"/>
            <w:left w:val="none" w:sz="0" w:space="0" w:color="auto"/>
            <w:bottom w:val="none" w:sz="0" w:space="0" w:color="auto"/>
            <w:right w:val="none" w:sz="0" w:space="0" w:color="auto"/>
          </w:divBdr>
        </w:div>
        <w:div w:id="1820540680">
          <w:marLeft w:val="0"/>
          <w:marRight w:val="0"/>
          <w:marTop w:val="0"/>
          <w:marBottom w:val="0"/>
          <w:divBdr>
            <w:top w:val="none" w:sz="0" w:space="0" w:color="auto"/>
            <w:left w:val="none" w:sz="0" w:space="0" w:color="auto"/>
            <w:bottom w:val="none" w:sz="0" w:space="0" w:color="auto"/>
            <w:right w:val="none" w:sz="0" w:space="0" w:color="auto"/>
          </w:divBdr>
          <w:divsChild>
            <w:div w:id="2134322281">
              <w:marLeft w:val="0"/>
              <w:marRight w:val="0"/>
              <w:marTop w:val="0"/>
              <w:marBottom w:val="0"/>
              <w:divBdr>
                <w:top w:val="none" w:sz="0" w:space="0" w:color="auto"/>
                <w:left w:val="none" w:sz="0" w:space="0" w:color="auto"/>
                <w:bottom w:val="none" w:sz="0" w:space="0" w:color="auto"/>
                <w:right w:val="none" w:sz="0" w:space="0" w:color="auto"/>
              </w:divBdr>
            </w:div>
            <w:div w:id="523054529">
              <w:marLeft w:val="0"/>
              <w:marRight w:val="0"/>
              <w:marTop w:val="0"/>
              <w:marBottom w:val="0"/>
              <w:divBdr>
                <w:top w:val="none" w:sz="0" w:space="0" w:color="auto"/>
                <w:left w:val="none" w:sz="0" w:space="0" w:color="auto"/>
                <w:bottom w:val="none" w:sz="0" w:space="0" w:color="auto"/>
                <w:right w:val="none" w:sz="0" w:space="0" w:color="auto"/>
              </w:divBdr>
              <w:divsChild>
                <w:div w:id="1558934058">
                  <w:marLeft w:val="0"/>
                  <w:marRight w:val="0"/>
                  <w:marTop w:val="0"/>
                  <w:marBottom w:val="0"/>
                  <w:divBdr>
                    <w:top w:val="none" w:sz="0" w:space="0" w:color="auto"/>
                    <w:left w:val="none" w:sz="0" w:space="0" w:color="auto"/>
                    <w:bottom w:val="none" w:sz="0" w:space="0" w:color="auto"/>
                    <w:right w:val="none" w:sz="0" w:space="0" w:color="auto"/>
                  </w:divBdr>
                </w:div>
                <w:div w:id="1850876401">
                  <w:marLeft w:val="0"/>
                  <w:marRight w:val="0"/>
                  <w:marTop w:val="0"/>
                  <w:marBottom w:val="0"/>
                  <w:divBdr>
                    <w:top w:val="none" w:sz="0" w:space="0" w:color="auto"/>
                    <w:left w:val="none" w:sz="0" w:space="0" w:color="auto"/>
                    <w:bottom w:val="none" w:sz="0" w:space="0" w:color="auto"/>
                    <w:right w:val="none" w:sz="0" w:space="0" w:color="auto"/>
                  </w:divBdr>
                </w:div>
                <w:div w:id="797725160">
                  <w:marLeft w:val="0"/>
                  <w:marRight w:val="0"/>
                  <w:marTop w:val="0"/>
                  <w:marBottom w:val="0"/>
                  <w:divBdr>
                    <w:top w:val="none" w:sz="0" w:space="0" w:color="auto"/>
                    <w:left w:val="none" w:sz="0" w:space="0" w:color="auto"/>
                    <w:bottom w:val="none" w:sz="0" w:space="0" w:color="auto"/>
                    <w:right w:val="none" w:sz="0" w:space="0" w:color="auto"/>
                  </w:divBdr>
                </w:div>
                <w:div w:id="14808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8847">
          <w:marLeft w:val="0"/>
          <w:marRight w:val="0"/>
          <w:marTop w:val="0"/>
          <w:marBottom w:val="0"/>
          <w:divBdr>
            <w:top w:val="none" w:sz="0" w:space="0" w:color="auto"/>
            <w:left w:val="none" w:sz="0" w:space="0" w:color="auto"/>
            <w:bottom w:val="none" w:sz="0" w:space="0" w:color="auto"/>
            <w:right w:val="none" w:sz="0" w:space="0" w:color="auto"/>
          </w:divBdr>
        </w:div>
      </w:divsChild>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1328634465">
      <w:bodyDiv w:val="1"/>
      <w:marLeft w:val="0"/>
      <w:marRight w:val="0"/>
      <w:marTop w:val="0"/>
      <w:marBottom w:val="0"/>
      <w:divBdr>
        <w:top w:val="none" w:sz="0" w:space="0" w:color="auto"/>
        <w:left w:val="none" w:sz="0" w:space="0" w:color="auto"/>
        <w:bottom w:val="none" w:sz="0" w:space="0" w:color="auto"/>
        <w:right w:val="none" w:sz="0" w:space="0" w:color="auto"/>
      </w:divBdr>
    </w:div>
    <w:div w:id="1644196240">
      <w:bodyDiv w:val="1"/>
      <w:marLeft w:val="40"/>
      <w:marRight w:val="40"/>
      <w:marTop w:val="40"/>
      <w:marBottom w:val="10"/>
      <w:divBdr>
        <w:top w:val="none" w:sz="0" w:space="0" w:color="auto"/>
        <w:left w:val="none" w:sz="0" w:space="0" w:color="auto"/>
        <w:bottom w:val="none" w:sz="0" w:space="0" w:color="auto"/>
        <w:right w:val="none" w:sz="0" w:space="0" w:color="auto"/>
      </w:divBdr>
      <w:divsChild>
        <w:div w:id="808862537">
          <w:marLeft w:val="0"/>
          <w:marRight w:val="0"/>
          <w:marTop w:val="0"/>
          <w:marBottom w:val="0"/>
          <w:divBdr>
            <w:top w:val="none" w:sz="0" w:space="0" w:color="auto"/>
            <w:left w:val="none" w:sz="0" w:space="0" w:color="auto"/>
            <w:bottom w:val="none" w:sz="0" w:space="0" w:color="auto"/>
            <w:right w:val="none" w:sz="0" w:space="0" w:color="auto"/>
          </w:divBdr>
        </w:div>
      </w:divsChild>
    </w:div>
    <w:div w:id="1749158053">
      <w:bodyDiv w:val="1"/>
      <w:marLeft w:val="0"/>
      <w:marRight w:val="0"/>
      <w:marTop w:val="0"/>
      <w:marBottom w:val="0"/>
      <w:divBdr>
        <w:top w:val="none" w:sz="0" w:space="0" w:color="auto"/>
        <w:left w:val="none" w:sz="0" w:space="0" w:color="auto"/>
        <w:bottom w:val="none" w:sz="0" w:space="0" w:color="auto"/>
        <w:right w:val="none" w:sz="0" w:space="0" w:color="auto"/>
      </w:divBdr>
    </w:div>
    <w:div w:id="2084790664">
      <w:bodyDiv w:val="1"/>
      <w:marLeft w:val="0"/>
      <w:marRight w:val="0"/>
      <w:marTop w:val="0"/>
      <w:marBottom w:val="0"/>
      <w:divBdr>
        <w:top w:val="none" w:sz="0" w:space="0" w:color="auto"/>
        <w:left w:val="none" w:sz="0" w:space="0" w:color="auto"/>
        <w:bottom w:val="none" w:sz="0" w:space="0" w:color="auto"/>
        <w:right w:val="none" w:sz="0" w:space="0" w:color="auto"/>
      </w:divBdr>
    </w:div>
    <w:div w:id="21453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4"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kumenty\Anal&#253;za\Q\2017Q4\Makroanal&#253;za%20grafy_e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y\Anal&#253;za\Q\2017Q4\Makroanal&#253;za%20grafy_e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y\Anal&#253;za\Q\2017Q4\Makroanal&#253;za%20grafy_e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kumenty\Anal&#253;za\Q\2017Q4\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2240163796014273E-2"/>
          <c:y val="2.3046636085626994E-2"/>
          <c:w val="0.93617042384329663"/>
          <c:h val="0.74192840256671144"/>
        </c:manualLayout>
      </c:layout>
      <c:barChart>
        <c:barDir val="col"/>
        <c:grouping val="clustered"/>
        <c:ser>
          <c:idx val="0"/>
          <c:order val="0"/>
          <c:tx>
            <c:strRef>
              <c:f>'souhrnná výkonnost 1'!$C$4</c:f>
              <c:strCache>
                <c:ptCount val="1"/>
                <c:pt idx="0">
                  <c:v>CR year-on-year change</c:v>
                </c:pt>
              </c:strCache>
            </c:strRef>
          </c:tx>
          <c:spPr>
            <a:solidFill>
              <a:schemeClr val="bg1">
                <a:lumMod val="65000"/>
              </a:schemeClr>
            </a:solidFill>
            <a:ln>
              <a:noFill/>
            </a:ln>
          </c:spPr>
          <c:cat>
            <c:multiLvlStrRef>
              <c:f>'souhrnná výkonnost 1'!$A$9:$B$28</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2013</c:v>
                  </c:pt>
                  <c:pt idx="4">
                    <c:v>2014</c:v>
                  </c:pt>
                  <c:pt idx="8">
                    <c:v>2015</c:v>
                  </c:pt>
                  <c:pt idx="12">
                    <c:v>2016</c:v>
                  </c:pt>
                  <c:pt idx="16">
                    <c:v>2017</c:v>
                  </c:pt>
                </c:lvl>
              </c:multiLvlStrCache>
            </c:multiLvlStrRef>
          </c:cat>
          <c:val>
            <c:numRef>
              <c:f>'souhrnná výkonnost 1'!$C$9:$C$28</c:f>
              <c:numCache>
                <c:formatCode>0.0</c:formatCode>
                <c:ptCount val="20"/>
                <c:pt idx="0">
                  <c:v>-1.7511683134985256</c:v>
                </c:pt>
                <c:pt idx="1">
                  <c:v>-1.1225511599608382</c:v>
                </c:pt>
                <c:pt idx="2">
                  <c:v>-0.35187335671894032</c:v>
                </c:pt>
                <c:pt idx="3">
                  <c:v>1.3064560933108851</c:v>
                </c:pt>
                <c:pt idx="4">
                  <c:v>1.6429317745401164</c:v>
                </c:pt>
                <c:pt idx="5">
                  <c:v>2.379951450221256</c:v>
                </c:pt>
                <c:pt idx="6">
                  <c:v>3.4229941989101462</c:v>
                </c:pt>
                <c:pt idx="7">
                  <c:v>3.3996850847558213</c:v>
                </c:pt>
                <c:pt idx="8">
                  <c:v>5.1924491451289043</c:v>
                </c:pt>
                <c:pt idx="9">
                  <c:v>5.7975987955825845</c:v>
                </c:pt>
                <c:pt idx="10">
                  <c:v>5.6880052521313935</c:v>
                </c:pt>
                <c:pt idx="11">
                  <c:v>4.8807255143514396</c:v>
                </c:pt>
                <c:pt idx="12">
                  <c:v>3.5408169174491197</c:v>
                </c:pt>
                <c:pt idx="13">
                  <c:v>2.8477395147454185</c:v>
                </c:pt>
                <c:pt idx="14">
                  <c:v>1.843939906776342</c:v>
                </c:pt>
                <c:pt idx="15">
                  <c:v>1.7654418234806437</c:v>
                </c:pt>
                <c:pt idx="16" formatCode="General">
                  <c:v>2.9941522181081548</c:v>
                </c:pt>
                <c:pt idx="17" formatCode="General">
                  <c:v>4.637718174337266</c:v>
                </c:pt>
                <c:pt idx="18" formatCode="General">
                  <c:v>5.118594553762434</c:v>
                </c:pt>
                <c:pt idx="19" formatCode="General">
                  <c:v>5.2033349062953755</c:v>
                </c:pt>
              </c:numCache>
            </c:numRef>
          </c:val>
        </c:ser>
        <c:ser>
          <c:idx val="1"/>
          <c:order val="1"/>
          <c:tx>
            <c:strRef>
              <c:f>'souhrnná výkonnost 1'!$D$4</c:f>
              <c:strCache>
                <c:ptCount val="1"/>
                <c:pt idx="0">
                  <c:v>EU28 year-on-year change</c:v>
                </c:pt>
              </c:strCache>
            </c:strRef>
          </c:tx>
          <c:spPr>
            <a:solidFill>
              <a:schemeClr val="bg1">
                <a:lumMod val="50000"/>
              </a:schemeClr>
            </a:solidFill>
            <a:ln>
              <a:noFill/>
            </a:ln>
          </c:spPr>
          <c:cat>
            <c:multiLvlStrRef>
              <c:f>'souhrnná výkonnost 1'!$A$9:$B$28</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2013</c:v>
                  </c:pt>
                  <c:pt idx="4">
                    <c:v>2014</c:v>
                  </c:pt>
                  <c:pt idx="8">
                    <c:v>2015</c:v>
                  </c:pt>
                  <c:pt idx="12">
                    <c:v>2016</c:v>
                  </c:pt>
                  <c:pt idx="16">
                    <c:v>2017</c:v>
                  </c:pt>
                </c:lvl>
              </c:multiLvlStrCache>
            </c:multiLvlStrRef>
          </c:cat>
          <c:val>
            <c:numRef>
              <c:f>'souhrnná výkonnost 1'!$D$9:$D$28</c:f>
              <c:numCache>
                <c:formatCode>0.0</c:formatCode>
                <c:ptCount val="20"/>
                <c:pt idx="0">
                  <c:v>-0.59113300492610199</c:v>
                </c:pt>
                <c:pt idx="1">
                  <c:v>9.8716683119455764E-2</c:v>
                </c:pt>
                <c:pt idx="2">
                  <c:v>0.49358341559723656</c:v>
                </c:pt>
                <c:pt idx="3">
                  <c:v>1.1892963330029618</c:v>
                </c:pt>
                <c:pt idx="4">
                  <c:v>1.6848364717542021</c:v>
                </c:pt>
                <c:pt idx="5">
                  <c:v>1.4792899408284024</c:v>
                </c:pt>
                <c:pt idx="6">
                  <c:v>1.5717092337917571</c:v>
                </c:pt>
                <c:pt idx="7">
                  <c:v>1.8609206660137181</c:v>
                </c:pt>
                <c:pt idx="8" formatCode="#,##0.0">
                  <c:v>2.2000000000000002</c:v>
                </c:pt>
                <c:pt idx="9" formatCode="#,##0.0">
                  <c:v>2.2999999999999998</c:v>
                </c:pt>
                <c:pt idx="10" formatCode="#,##0.0">
                  <c:v>2.2000000000000002</c:v>
                </c:pt>
                <c:pt idx="11" formatCode="#,##0.0">
                  <c:v>2.2000000000000002</c:v>
                </c:pt>
                <c:pt idx="12" formatCode="#,##0.0">
                  <c:v>1.9000000000000001</c:v>
                </c:pt>
                <c:pt idx="13" formatCode="#,##0.0">
                  <c:v>1.9000000000000001</c:v>
                </c:pt>
                <c:pt idx="14" formatCode="#,##0.0">
                  <c:v>1.9000000000000001</c:v>
                </c:pt>
                <c:pt idx="15" formatCode="#,##0.0">
                  <c:v>2</c:v>
                </c:pt>
                <c:pt idx="16" formatCode="#,##0.0">
                  <c:v>2.2000000000000002</c:v>
                </c:pt>
                <c:pt idx="17" formatCode="#,##0.0">
                  <c:v>2.5</c:v>
                </c:pt>
                <c:pt idx="18" formatCode="#,##0.0">
                  <c:v>2.8</c:v>
                </c:pt>
                <c:pt idx="19" formatCode="#,##0.0">
                  <c:v>2.6</c:v>
                </c:pt>
              </c:numCache>
            </c:numRef>
          </c:val>
        </c:ser>
        <c:gapWidth val="100"/>
        <c:axId val="147186048"/>
        <c:axId val="147297408"/>
      </c:barChart>
      <c:lineChart>
        <c:grouping val="standard"/>
        <c:ser>
          <c:idx val="2"/>
          <c:order val="2"/>
          <c:tx>
            <c:strRef>
              <c:f>'souhrnná výkonnost 1'!$E$4</c:f>
              <c:strCache>
                <c:ptCount val="1"/>
                <c:pt idx="0">
                  <c:v>ČR quarter-on-quarter change</c:v>
                </c:pt>
              </c:strCache>
            </c:strRef>
          </c:tx>
          <c:spPr>
            <a:ln w="19050">
              <a:noFill/>
            </a:ln>
          </c:spPr>
          <c:marker>
            <c:symbol val="dash"/>
            <c:size val="8"/>
            <c:spPr>
              <a:solidFill>
                <a:schemeClr val="accent1"/>
              </a:solidFill>
              <a:ln>
                <a:noFill/>
              </a:ln>
            </c:spPr>
          </c:marker>
          <c:val>
            <c:numRef>
              <c:f>'souhrnná výkonnost 1'!$E$9:$E$28</c:f>
              <c:numCache>
                <c:formatCode>0.0</c:formatCode>
                <c:ptCount val="20"/>
                <c:pt idx="0">
                  <c:v>-0.45693637688056332</c:v>
                </c:pt>
                <c:pt idx="1">
                  <c:v>0.19806063963226023</c:v>
                </c:pt>
                <c:pt idx="2">
                  <c:v>0.25106366477383801</c:v>
                </c:pt>
                <c:pt idx="3">
                  <c:v>1.3159486871259636</c:v>
                </c:pt>
                <c:pt idx="4">
                  <c:v>-0.1263175650510249</c:v>
                </c:pt>
                <c:pt idx="5">
                  <c:v>0.92460345837255964</c:v>
                </c:pt>
                <c:pt idx="6">
                  <c:v>1.272417391970436</c:v>
                </c:pt>
                <c:pt idx="7">
                  <c:v>1.2931144515490858</c:v>
                </c:pt>
                <c:pt idx="8">
                  <c:v>1.6053119684405321</c:v>
                </c:pt>
                <c:pt idx="9">
                  <c:v>1.5052011058400858</c:v>
                </c:pt>
                <c:pt idx="10">
                  <c:v>1.1675113903011718</c:v>
                </c:pt>
                <c:pt idx="11">
                  <c:v>0.51940433488746707</c:v>
                </c:pt>
                <c:pt idx="12">
                  <c:v>0.30724856994861338</c:v>
                </c:pt>
                <c:pt idx="13">
                  <c:v>0.82574962730442103</c:v>
                </c:pt>
                <c:pt idx="14">
                  <c:v>0.18011090146271189</c:v>
                </c:pt>
                <c:pt idx="15">
                  <c:v>0.44192716166011831</c:v>
                </c:pt>
                <c:pt idx="16" formatCode="General">
                  <c:v>1.51835281875799</c:v>
                </c:pt>
                <c:pt idx="17" formatCode="General">
                  <c:v>2.4347125250016717</c:v>
                </c:pt>
                <c:pt idx="18" formatCode="General">
                  <c:v>0.64050176109941503</c:v>
                </c:pt>
                <c:pt idx="19" formatCode="General">
                  <c:v>0.52289746337408072</c:v>
                </c:pt>
              </c:numCache>
            </c:numRef>
          </c:val>
        </c:ser>
        <c:ser>
          <c:idx val="3"/>
          <c:order val="3"/>
          <c:tx>
            <c:strRef>
              <c:f>'souhrnná výkonnost 1'!$F$4</c:f>
              <c:strCache>
                <c:ptCount val="1"/>
                <c:pt idx="0">
                  <c:v>EU28 quarter-on-quarter change</c:v>
                </c:pt>
              </c:strCache>
            </c:strRef>
          </c:tx>
          <c:spPr>
            <a:ln w="19050">
              <a:noFill/>
            </a:ln>
          </c:spPr>
          <c:marker>
            <c:symbol val="dash"/>
            <c:size val="8"/>
            <c:spPr>
              <a:solidFill>
                <a:schemeClr val="accent2"/>
              </a:solidFill>
              <a:ln>
                <a:noFill/>
              </a:ln>
            </c:spPr>
          </c:marker>
          <c:val>
            <c:numRef>
              <c:f>'souhrnná výkonnost 1'!$F$9:$F$28</c:f>
              <c:numCache>
                <c:formatCode>0.0</c:formatCode>
                <c:ptCount val="20"/>
                <c:pt idx="0">
                  <c:v>0</c:v>
                </c:pt>
                <c:pt idx="1">
                  <c:v>0.49554013875123876</c:v>
                </c:pt>
                <c:pt idx="2">
                  <c:v>0.39447731755423326</c:v>
                </c:pt>
                <c:pt idx="3">
                  <c:v>0.29469548133595097</c:v>
                </c:pt>
                <c:pt idx="4">
                  <c:v>0.48971596474045165</c:v>
                </c:pt>
                <c:pt idx="5">
                  <c:v>0.29239766081872481</c:v>
                </c:pt>
                <c:pt idx="6">
                  <c:v>0.48590864917395638</c:v>
                </c:pt>
                <c:pt idx="7">
                  <c:v>0.58027079303674456</c:v>
                </c:pt>
                <c:pt idx="8" formatCode="#,##0.0">
                  <c:v>0.70000000000000062</c:v>
                </c:pt>
                <c:pt idx="9" formatCode="#,##0.0">
                  <c:v>0.4</c:v>
                </c:pt>
                <c:pt idx="10" formatCode="#,##0.0">
                  <c:v>0.5</c:v>
                </c:pt>
                <c:pt idx="11" formatCode="#,##0.0">
                  <c:v>0.5</c:v>
                </c:pt>
                <c:pt idx="12" formatCode="#,##0.0">
                  <c:v>0.4</c:v>
                </c:pt>
                <c:pt idx="13" formatCode="#,##0.0">
                  <c:v>0.4</c:v>
                </c:pt>
                <c:pt idx="14" formatCode="#,##0.0">
                  <c:v>0.4</c:v>
                </c:pt>
                <c:pt idx="15" formatCode="#,##0.0">
                  <c:v>0.70000000000000062</c:v>
                </c:pt>
                <c:pt idx="16" formatCode="#,##0.0">
                  <c:v>0.60000000000000064</c:v>
                </c:pt>
                <c:pt idx="17" formatCode="#,##0.0">
                  <c:v>0.70000000000000062</c:v>
                </c:pt>
                <c:pt idx="18" formatCode="#,##0.0">
                  <c:v>0.70000000000000062</c:v>
                </c:pt>
                <c:pt idx="19" formatCode="#,##0.0">
                  <c:v>0.60000000000000064</c:v>
                </c:pt>
              </c:numCache>
            </c:numRef>
          </c:val>
        </c:ser>
        <c:marker val="1"/>
        <c:axId val="147186048"/>
        <c:axId val="147297408"/>
      </c:lineChart>
      <c:catAx>
        <c:axId val="147186048"/>
        <c:scaling>
          <c:orientation val="minMax"/>
        </c:scaling>
        <c:axPos val="b"/>
        <c:tickLblPos val="low"/>
        <c:spPr>
          <a:ln>
            <a:solidFill>
              <a:schemeClr val="tx1"/>
            </a:solidFill>
          </a:ln>
        </c:spPr>
        <c:txPr>
          <a:bodyPr rot="0" vert="horz"/>
          <a:lstStyle/>
          <a:p>
            <a:pPr>
              <a:defRPr/>
            </a:pPr>
            <a:endParaRPr lang="cs-CZ"/>
          </a:p>
        </c:txPr>
        <c:crossAx val="147297408"/>
        <c:crosses val="autoZero"/>
        <c:auto val="1"/>
        <c:lblAlgn val="ctr"/>
        <c:lblOffset val="100"/>
      </c:catAx>
      <c:valAx>
        <c:axId val="147297408"/>
        <c:scaling>
          <c:orientation val="minMax"/>
          <c:max val="6"/>
        </c:scaling>
        <c:axPos val="l"/>
        <c:majorGridlines>
          <c:spPr>
            <a:ln w="6350">
              <a:solidFill>
                <a:schemeClr val="bg1">
                  <a:lumMod val="75000"/>
                </a:schemeClr>
              </a:solidFill>
            </a:ln>
          </c:spPr>
        </c:majorGridlines>
        <c:numFmt formatCode="0" sourceLinked="0"/>
        <c:tickLblPos val="nextTo"/>
        <c:spPr>
          <a:ln>
            <a:solidFill>
              <a:schemeClr val="tx1"/>
            </a:solidFill>
          </a:ln>
        </c:spPr>
        <c:crossAx val="147186048"/>
        <c:crosses val="autoZero"/>
        <c:crossBetween val="between"/>
      </c:valAx>
      <c:spPr>
        <a:ln>
          <a:solidFill>
            <a:schemeClr val="tx1"/>
          </a:solidFill>
        </a:ln>
      </c:spPr>
    </c:plotArea>
    <c:legend>
      <c:legendPos val="b"/>
      <c:layout>
        <c:manualLayout>
          <c:xMode val="edge"/>
          <c:yMode val="edge"/>
          <c:x val="3.9667131036811895E-2"/>
          <c:y val="0.8943725512571804"/>
          <c:w val="0.93714918946301962"/>
          <c:h val="9.0301755758791014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6.3724701079031984E-2"/>
          <c:y val="2.6970778117567495E-2"/>
          <c:w val="0.87770649039241089"/>
          <c:h val="0.76009512552065761"/>
        </c:manualLayout>
      </c:layout>
      <c:barChart>
        <c:barDir val="col"/>
        <c:grouping val="clustered"/>
        <c:ser>
          <c:idx val="0"/>
          <c:order val="0"/>
          <c:tx>
            <c:strRef>
              <c:f>'souhrnná výkonnost 2'!$C$5</c:f>
              <c:strCache>
                <c:ptCount val="1"/>
                <c:pt idx="0">
                  <c:v>GDP (right axis)</c:v>
                </c:pt>
              </c:strCache>
            </c:strRef>
          </c:tx>
          <c:spPr>
            <a:solidFill>
              <a:schemeClr val="bg1">
                <a:lumMod val="65000"/>
              </a:schemeClr>
            </a:solidFill>
            <a:ln>
              <a:noFill/>
            </a:ln>
          </c:spPr>
          <c:val>
            <c:numRef>
              <c:f>'souhrnná výkonnost 2'!$C$18:$C$77</c:f>
              <c:numCache>
                <c:formatCode>0.0</c:formatCode>
                <c:ptCount val="60"/>
                <c:pt idx="0">
                  <c:v>-1.8</c:v>
                </c:pt>
                <c:pt idx="1">
                  <c:v>-1.8</c:v>
                </c:pt>
                <c:pt idx="2">
                  <c:v>-1.8</c:v>
                </c:pt>
                <c:pt idx="3">
                  <c:v>-1.1000000000000001</c:v>
                </c:pt>
                <c:pt idx="4">
                  <c:v>-1.1000000000000001</c:v>
                </c:pt>
                <c:pt idx="5">
                  <c:v>-1.1000000000000001</c:v>
                </c:pt>
                <c:pt idx="6">
                  <c:v>-0.4</c:v>
                </c:pt>
                <c:pt idx="7">
                  <c:v>-0.4</c:v>
                </c:pt>
                <c:pt idx="8">
                  <c:v>-0.4</c:v>
                </c:pt>
                <c:pt idx="9">
                  <c:v>1.3</c:v>
                </c:pt>
                <c:pt idx="10">
                  <c:v>1.3</c:v>
                </c:pt>
                <c:pt idx="11">
                  <c:v>1.3</c:v>
                </c:pt>
                <c:pt idx="12">
                  <c:v>1.6</c:v>
                </c:pt>
                <c:pt idx="13">
                  <c:v>1.6</c:v>
                </c:pt>
                <c:pt idx="14">
                  <c:v>1.6</c:v>
                </c:pt>
                <c:pt idx="15">
                  <c:v>2.4</c:v>
                </c:pt>
                <c:pt idx="16">
                  <c:v>2.4</c:v>
                </c:pt>
                <c:pt idx="17">
                  <c:v>2.4</c:v>
                </c:pt>
                <c:pt idx="18">
                  <c:v>3.4</c:v>
                </c:pt>
                <c:pt idx="19">
                  <c:v>3.4</c:v>
                </c:pt>
                <c:pt idx="20">
                  <c:v>3.4</c:v>
                </c:pt>
                <c:pt idx="21">
                  <c:v>3.4</c:v>
                </c:pt>
                <c:pt idx="22">
                  <c:v>3.4</c:v>
                </c:pt>
                <c:pt idx="23">
                  <c:v>3.4</c:v>
                </c:pt>
                <c:pt idx="24">
                  <c:v>5.2</c:v>
                </c:pt>
                <c:pt idx="25">
                  <c:v>5.2</c:v>
                </c:pt>
                <c:pt idx="26">
                  <c:v>5.2</c:v>
                </c:pt>
                <c:pt idx="27">
                  <c:v>5.8</c:v>
                </c:pt>
                <c:pt idx="28">
                  <c:v>5.8</c:v>
                </c:pt>
                <c:pt idx="29">
                  <c:v>5.8</c:v>
                </c:pt>
                <c:pt idx="30">
                  <c:v>5.7</c:v>
                </c:pt>
                <c:pt idx="31">
                  <c:v>5.7</c:v>
                </c:pt>
                <c:pt idx="32">
                  <c:v>5.7</c:v>
                </c:pt>
                <c:pt idx="33">
                  <c:v>4.9000000000000004</c:v>
                </c:pt>
                <c:pt idx="34">
                  <c:v>4.9000000000000004</c:v>
                </c:pt>
                <c:pt idx="35">
                  <c:v>4.9000000000000004</c:v>
                </c:pt>
                <c:pt idx="36">
                  <c:v>3.5</c:v>
                </c:pt>
                <c:pt idx="37">
                  <c:v>3.5</c:v>
                </c:pt>
                <c:pt idx="38">
                  <c:v>3.5</c:v>
                </c:pt>
                <c:pt idx="39">
                  <c:v>2.8</c:v>
                </c:pt>
                <c:pt idx="40">
                  <c:v>2.8</c:v>
                </c:pt>
                <c:pt idx="41" formatCode="General">
                  <c:v>2.8</c:v>
                </c:pt>
                <c:pt idx="42" formatCode="General">
                  <c:v>1.8</c:v>
                </c:pt>
                <c:pt idx="43" formatCode="General">
                  <c:v>1.8</c:v>
                </c:pt>
                <c:pt idx="44" formatCode="General">
                  <c:v>1.8</c:v>
                </c:pt>
                <c:pt idx="45" formatCode="General">
                  <c:v>1.8</c:v>
                </c:pt>
                <c:pt idx="46" formatCode="General">
                  <c:v>1.8</c:v>
                </c:pt>
                <c:pt idx="47" formatCode="General">
                  <c:v>1.8</c:v>
                </c:pt>
                <c:pt idx="48" formatCode="General">
                  <c:v>3</c:v>
                </c:pt>
                <c:pt idx="49" formatCode="General">
                  <c:v>3</c:v>
                </c:pt>
                <c:pt idx="50" formatCode="General">
                  <c:v>3</c:v>
                </c:pt>
                <c:pt idx="51" formatCode="General">
                  <c:v>4.5999999999999996</c:v>
                </c:pt>
                <c:pt idx="52" formatCode="General">
                  <c:v>4.5999999999999996</c:v>
                </c:pt>
                <c:pt idx="53" formatCode="General">
                  <c:v>4.5999999999999996</c:v>
                </c:pt>
                <c:pt idx="54" formatCode="General">
                  <c:v>5.0999999999999996</c:v>
                </c:pt>
                <c:pt idx="55" formatCode="General">
                  <c:v>5.0999999999999996</c:v>
                </c:pt>
                <c:pt idx="56" formatCode="General">
                  <c:v>5.0999999999999996</c:v>
                </c:pt>
                <c:pt idx="57" formatCode="General">
                  <c:v>5.2</c:v>
                </c:pt>
                <c:pt idx="58" formatCode="General">
                  <c:v>5.2</c:v>
                </c:pt>
                <c:pt idx="59" formatCode="General">
                  <c:v>5.2</c:v>
                </c:pt>
              </c:numCache>
            </c:numRef>
          </c:val>
        </c:ser>
        <c:gapWidth val="30"/>
        <c:axId val="100805248"/>
        <c:axId val="100803712"/>
      </c:barChart>
      <c:lineChart>
        <c:grouping val="standard"/>
        <c:ser>
          <c:idx val="3"/>
          <c:order val="1"/>
          <c:tx>
            <c:strRef>
              <c:f>'souhrnná výkonnost 2'!$D$5</c:f>
              <c:strCache>
                <c:ptCount val="1"/>
                <c:pt idx="0">
                  <c:v>Entrepreneur confidence</c:v>
                </c:pt>
              </c:strCache>
            </c:strRef>
          </c:tx>
          <c:spPr>
            <a:ln w="19050">
              <a:solidFill>
                <a:srgbClr val="0071BC"/>
              </a:solidFill>
            </a:ln>
          </c:spPr>
          <c:marker>
            <c:symbol val="none"/>
          </c:marker>
          <c:cat>
            <c:multiLvlStrRef>
              <c:f>'souhrnná výkonnost 2'!$A$18:$B$77</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2013</c:v>
                  </c:pt>
                  <c:pt idx="12">
                    <c:v>2014</c:v>
                  </c:pt>
                  <c:pt idx="24">
                    <c:v>2015</c:v>
                  </c:pt>
                  <c:pt idx="36">
                    <c:v>2016</c:v>
                  </c:pt>
                  <c:pt idx="48">
                    <c:v>2017</c:v>
                  </c:pt>
                </c:lvl>
              </c:multiLvlStrCache>
            </c:multiLvlStrRef>
          </c:cat>
          <c:val>
            <c:numRef>
              <c:f>'souhrnná výkonnost 2'!$D$18:$D$77</c:f>
              <c:numCache>
                <c:formatCode>###,###,##0.0</c:formatCode>
                <c:ptCount val="60"/>
                <c:pt idx="0">
                  <c:v>84.6</c:v>
                </c:pt>
                <c:pt idx="1">
                  <c:v>85.2</c:v>
                </c:pt>
                <c:pt idx="2" formatCode="###,###,##0">
                  <c:v>85</c:v>
                </c:pt>
                <c:pt idx="3">
                  <c:v>82.7</c:v>
                </c:pt>
                <c:pt idx="4">
                  <c:v>83.6</c:v>
                </c:pt>
                <c:pt idx="5" formatCode="###,###,##0">
                  <c:v>84</c:v>
                </c:pt>
                <c:pt idx="6" formatCode="###,###,##0">
                  <c:v>84</c:v>
                </c:pt>
                <c:pt idx="7">
                  <c:v>84.8</c:v>
                </c:pt>
                <c:pt idx="8">
                  <c:v>87.5</c:v>
                </c:pt>
                <c:pt idx="9" formatCode="###,###,##0">
                  <c:v>89</c:v>
                </c:pt>
                <c:pt idx="10">
                  <c:v>89.9</c:v>
                </c:pt>
                <c:pt idx="11">
                  <c:v>90.9</c:v>
                </c:pt>
                <c:pt idx="12">
                  <c:v>90.1</c:v>
                </c:pt>
                <c:pt idx="13">
                  <c:v>90.9</c:v>
                </c:pt>
                <c:pt idx="14">
                  <c:v>91.6</c:v>
                </c:pt>
                <c:pt idx="15">
                  <c:v>91.5</c:v>
                </c:pt>
                <c:pt idx="16">
                  <c:v>91.5</c:v>
                </c:pt>
                <c:pt idx="17">
                  <c:v>92.5</c:v>
                </c:pt>
                <c:pt idx="18">
                  <c:v>91.6</c:v>
                </c:pt>
                <c:pt idx="19">
                  <c:v>92.5</c:v>
                </c:pt>
                <c:pt idx="20">
                  <c:v>93.2</c:v>
                </c:pt>
                <c:pt idx="21">
                  <c:v>92.8</c:v>
                </c:pt>
                <c:pt idx="22">
                  <c:v>93.5</c:v>
                </c:pt>
                <c:pt idx="23">
                  <c:v>94.8</c:v>
                </c:pt>
                <c:pt idx="24">
                  <c:v>94.3</c:v>
                </c:pt>
                <c:pt idx="25">
                  <c:v>93.4</c:v>
                </c:pt>
                <c:pt idx="26">
                  <c:v>92.9</c:v>
                </c:pt>
                <c:pt idx="27">
                  <c:v>93.2</c:v>
                </c:pt>
                <c:pt idx="28">
                  <c:v>93.8</c:v>
                </c:pt>
                <c:pt idx="29">
                  <c:v>95.5</c:v>
                </c:pt>
                <c:pt idx="30">
                  <c:v>94.6</c:v>
                </c:pt>
                <c:pt idx="31">
                  <c:v>94.2</c:v>
                </c:pt>
                <c:pt idx="32">
                  <c:v>94.4</c:v>
                </c:pt>
                <c:pt idx="33">
                  <c:v>93.2</c:v>
                </c:pt>
                <c:pt idx="34">
                  <c:v>94.2</c:v>
                </c:pt>
                <c:pt idx="35">
                  <c:v>94.3</c:v>
                </c:pt>
                <c:pt idx="36" formatCode="0.0">
                  <c:v>96</c:v>
                </c:pt>
                <c:pt idx="37" formatCode="0.0">
                  <c:v>95.3</c:v>
                </c:pt>
                <c:pt idx="38" formatCode="0.0">
                  <c:v>95.1</c:v>
                </c:pt>
                <c:pt idx="39" formatCode="0.0">
                  <c:v>93.8</c:v>
                </c:pt>
                <c:pt idx="40" formatCode="0.0">
                  <c:v>94.3</c:v>
                </c:pt>
                <c:pt idx="41" formatCode="0.0">
                  <c:v>93.5</c:v>
                </c:pt>
                <c:pt idx="42" formatCode="0.0">
                  <c:v>94</c:v>
                </c:pt>
                <c:pt idx="43" formatCode="0.0">
                  <c:v>95.3</c:v>
                </c:pt>
                <c:pt idx="44" formatCode="0.0">
                  <c:v>95.2</c:v>
                </c:pt>
                <c:pt idx="45" formatCode="0.0">
                  <c:v>95.2</c:v>
                </c:pt>
                <c:pt idx="46" formatCode="0.0">
                  <c:v>97.5</c:v>
                </c:pt>
                <c:pt idx="47" formatCode="0.0">
                  <c:v>97.1</c:v>
                </c:pt>
                <c:pt idx="48" formatCode="0.0">
                  <c:v>97</c:v>
                </c:pt>
                <c:pt idx="49" formatCode="0.0">
                  <c:v>95.9</c:v>
                </c:pt>
                <c:pt idx="50" formatCode="0.0">
                  <c:v>94.1</c:v>
                </c:pt>
                <c:pt idx="51" formatCode="0.0">
                  <c:v>95.1</c:v>
                </c:pt>
                <c:pt idx="52" formatCode="0.0">
                  <c:v>94.9</c:v>
                </c:pt>
                <c:pt idx="53" formatCode="0.0">
                  <c:v>95.2</c:v>
                </c:pt>
                <c:pt idx="54" formatCode="0.0">
                  <c:v>96.1</c:v>
                </c:pt>
                <c:pt idx="55" formatCode="0.0">
                  <c:v>96.8</c:v>
                </c:pt>
                <c:pt idx="56" formatCode="0.0">
                  <c:v>97</c:v>
                </c:pt>
                <c:pt idx="57" formatCode="0.0">
                  <c:v>97.4</c:v>
                </c:pt>
                <c:pt idx="58" formatCode="0.0">
                  <c:v>96.7</c:v>
                </c:pt>
                <c:pt idx="59" formatCode="0.0">
                  <c:v>97.5</c:v>
                </c:pt>
              </c:numCache>
            </c:numRef>
          </c:val>
        </c:ser>
        <c:ser>
          <c:idx val="2"/>
          <c:order val="2"/>
          <c:tx>
            <c:strRef>
              <c:f>'souhrnná výkonnost 2'!$E$5</c:f>
              <c:strCache>
                <c:ptCount val="1"/>
                <c:pt idx="0">
                  <c:v>Consumer confidence</c:v>
                </c:pt>
              </c:strCache>
            </c:strRef>
          </c:tx>
          <c:spPr>
            <a:ln w="19050">
              <a:solidFill>
                <a:srgbClr val="BD1B21"/>
              </a:solidFill>
            </a:ln>
          </c:spPr>
          <c:marker>
            <c:symbol val="none"/>
          </c:marker>
          <c:cat>
            <c:multiLvlStrRef>
              <c:f>'souhrnná výkonnost 2'!$A$18:$B$77</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2013</c:v>
                  </c:pt>
                  <c:pt idx="12">
                    <c:v>2014</c:v>
                  </c:pt>
                  <c:pt idx="24">
                    <c:v>2015</c:v>
                  </c:pt>
                  <c:pt idx="36">
                    <c:v>2016</c:v>
                  </c:pt>
                  <c:pt idx="48">
                    <c:v>2017</c:v>
                  </c:pt>
                </c:lvl>
              </c:multiLvlStrCache>
            </c:multiLvlStrRef>
          </c:cat>
          <c:val>
            <c:numRef>
              <c:f>'souhrnná výkonnost 2'!$E$18:$E$77</c:f>
              <c:numCache>
                <c:formatCode>###,###,##0.0</c:formatCode>
                <c:ptCount val="60"/>
                <c:pt idx="0">
                  <c:v>73.8</c:v>
                </c:pt>
                <c:pt idx="1">
                  <c:v>79.5</c:v>
                </c:pt>
                <c:pt idx="2" formatCode="###,###,##0">
                  <c:v>81</c:v>
                </c:pt>
                <c:pt idx="3">
                  <c:v>77.900000000000006</c:v>
                </c:pt>
                <c:pt idx="4" formatCode="###,###,##0">
                  <c:v>82</c:v>
                </c:pt>
                <c:pt idx="5">
                  <c:v>82.8</c:v>
                </c:pt>
                <c:pt idx="6">
                  <c:v>81.3</c:v>
                </c:pt>
                <c:pt idx="7">
                  <c:v>84.9</c:v>
                </c:pt>
                <c:pt idx="8">
                  <c:v>87.7</c:v>
                </c:pt>
                <c:pt idx="9">
                  <c:v>88.5</c:v>
                </c:pt>
                <c:pt idx="10">
                  <c:v>92.8</c:v>
                </c:pt>
                <c:pt idx="11">
                  <c:v>92.6</c:v>
                </c:pt>
                <c:pt idx="12">
                  <c:v>96.9</c:v>
                </c:pt>
                <c:pt idx="13">
                  <c:v>93.1</c:v>
                </c:pt>
                <c:pt idx="14">
                  <c:v>96.7</c:v>
                </c:pt>
                <c:pt idx="15">
                  <c:v>98.4</c:v>
                </c:pt>
                <c:pt idx="16">
                  <c:v>98.2</c:v>
                </c:pt>
                <c:pt idx="17">
                  <c:v>99.4</c:v>
                </c:pt>
                <c:pt idx="18">
                  <c:v>99.9</c:v>
                </c:pt>
                <c:pt idx="19">
                  <c:v>97.9</c:v>
                </c:pt>
                <c:pt idx="20">
                  <c:v>96.3</c:v>
                </c:pt>
                <c:pt idx="21">
                  <c:v>100.2</c:v>
                </c:pt>
                <c:pt idx="22">
                  <c:v>103.6</c:v>
                </c:pt>
                <c:pt idx="23">
                  <c:v>105.1</c:v>
                </c:pt>
                <c:pt idx="24">
                  <c:v>106.7</c:v>
                </c:pt>
                <c:pt idx="25">
                  <c:v>105.7</c:v>
                </c:pt>
                <c:pt idx="26">
                  <c:v>105.7</c:v>
                </c:pt>
                <c:pt idx="27">
                  <c:v>104.3</c:v>
                </c:pt>
                <c:pt idx="28">
                  <c:v>103.6</c:v>
                </c:pt>
                <c:pt idx="29">
                  <c:v>104.3</c:v>
                </c:pt>
                <c:pt idx="30">
                  <c:v>103.6</c:v>
                </c:pt>
                <c:pt idx="31">
                  <c:v>103.6</c:v>
                </c:pt>
                <c:pt idx="32">
                  <c:v>103.3</c:v>
                </c:pt>
                <c:pt idx="33">
                  <c:v>104.8</c:v>
                </c:pt>
                <c:pt idx="34">
                  <c:v>105.3</c:v>
                </c:pt>
                <c:pt idx="35">
                  <c:v>107.4</c:v>
                </c:pt>
                <c:pt idx="36" formatCode="0.0">
                  <c:v>110</c:v>
                </c:pt>
                <c:pt idx="37" formatCode="0.0">
                  <c:v>106.2</c:v>
                </c:pt>
                <c:pt idx="38" formatCode="0.0">
                  <c:v>104.8</c:v>
                </c:pt>
                <c:pt idx="39" formatCode="0.0">
                  <c:v>104.3</c:v>
                </c:pt>
                <c:pt idx="40" formatCode="0.0">
                  <c:v>104.3</c:v>
                </c:pt>
                <c:pt idx="41" formatCode="0.0">
                  <c:v>103.8</c:v>
                </c:pt>
                <c:pt idx="42" formatCode="0.0">
                  <c:v>102.3</c:v>
                </c:pt>
                <c:pt idx="43" formatCode="0.0">
                  <c:v>104.3</c:v>
                </c:pt>
                <c:pt idx="44" formatCode="0.0">
                  <c:v>106.4</c:v>
                </c:pt>
                <c:pt idx="45" formatCode="0.0">
                  <c:v>108.9</c:v>
                </c:pt>
                <c:pt idx="46" formatCode="0.0">
                  <c:v>107.9</c:v>
                </c:pt>
                <c:pt idx="47" formatCode="0.0">
                  <c:v>108.7</c:v>
                </c:pt>
                <c:pt idx="48" formatCode="0.0">
                  <c:v>110</c:v>
                </c:pt>
                <c:pt idx="49" formatCode="0.0">
                  <c:v>108.2</c:v>
                </c:pt>
                <c:pt idx="50" formatCode="0.0">
                  <c:v>108.7</c:v>
                </c:pt>
                <c:pt idx="51" formatCode="0.0">
                  <c:v>108.4</c:v>
                </c:pt>
                <c:pt idx="52" formatCode="0.0">
                  <c:v>108.4</c:v>
                </c:pt>
                <c:pt idx="53" formatCode="0.0">
                  <c:v>106.2</c:v>
                </c:pt>
                <c:pt idx="54" formatCode="0.0">
                  <c:v>105.7</c:v>
                </c:pt>
                <c:pt idx="55" formatCode="0.0">
                  <c:v>107.9</c:v>
                </c:pt>
                <c:pt idx="56" formatCode="0.0">
                  <c:v>109.2</c:v>
                </c:pt>
                <c:pt idx="57" formatCode="0.0">
                  <c:v>108.7</c:v>
                </c:pt>
                <c:pt idx="58" formatCode="0.0">
                  <c:v>110.3</c:v>
                </c:pt>
                <c:pt idx="59" formatCode="0.0">
                  <c:v>110</c:v>
                </c:pt>
              </c:numCache>
            </c:numRef>
          </c:val>
        </c:ser>
        <c:ser>
          <c:idx val="1"/>
          <c:order val="3"/>
          <c:tx>
            <c:strRef>
              <c:f>'souhrnná výkonnost 2'!$F$5</c:f>
              <c:strCache>
                <c:ptCount val="1"/>
                <c:pt idx="0">
                  <c:v>Total indicator</c:v>
                </c:pt>
              </c:strCache>
            </c:strRef>
          </c:tx>
          <c:spPr>
            <a:ln w="19050">
              <a:solidFill>
                <a:schemeClr val="tx1"/>
              </a:solidFill>
            </a:ln>
          </c:spPr>
          <c:marker>
            <c:symbol val="none"/>
          </c:marker>
          <c:cat>
            <c:multiLvlStrRef>
              <c:f>'souhrnná výkonnost 2'!$A$18:$B$77</c:f>
              <c:multiLvlStrCache>
                <c:ptCount val="60"/>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lvl>
                <c:lvl>
                  <c:pt idx="0">
                    <c:v>2013</c:v>
                  </c:pt>
                  <c:pt idx="12">
                    <c:v>2014</c:v>
                  </c:pt>
                  <c:pt idx="24">
                    <c:v>2015</c:v>
                  </c:pt>
                  <c:pt idx="36">
                    <c:v>2016</c:v>
                  </c:pt>
                  <c:pt idx="48">
                    <c:v>2017</c:v>
                  </c:pt>
                </c:lvl>
              </c:multiLvlStrCache>
            </c:multiLvlStrRef>
          </c:cat>
          <c:val>
            <c:numRef>
              <c:f>'souhrnná výkonnost 2'!$F$18:$F$77</c:f>
              <c:numCache>
                <c:formatCode>###,###,##0.0</c:formatCode>
                <c:ptCount val="60"/>
                <c:pt idx="0">
                  <c:v>82.8</c:v>
                </c:pt>
                <c:pt idx="1">
                  <c:v>84.2</c:v>
                </c:pt>
                <c:pt idx="2">
                  <c:v>84.4</c:v>
                </c:pt>
                <c:pt idx="3">
                  <c:v>81.900000000000006</c:v>
                </c:pt>
                <c:pt idx="4">
                  <c:v>83.3</c:v>
                </c:pt>
                <c:pt idx="5">
                  <c:v>83.8</c:v>
                </c:pt>
                <c:pt idx="6">
                  <c:v>83.6</c:v>
                </c:pt>
                <c:pt idx="7">
                  <c:v>84.8</c:v>
                </c:pt>
                <c:pt idx="8">
                  <c:v>87.5</c:v>
                </c:pt>
                <c:pt idx="9">
                  <c:v>88.9</c:v>
                </c:pt>
                <c:pt idx="10">
                  <c:v>90.4</c:v>
                </c:pt>
                <c:pt idx="11">
                  <c:v>91.2</c:v>
                </c:pt>
                <c:pt idx="12">
                  <c:v>91.3</c:v>
                </c:pt>
                <c:pt idx="13">
                  <c:v>91.2</c:v>
                </c:pt>
                <c:pt idx="14">
                  <c:v>92.4</c:v>
                </c:pt>
                <c:pt idx="15">
                  <c:v>92.6</c:v>
                </c:pt>
                <c:pt idx="16">
                  <c:v>92.6</c:v>
                </c:pt>
                <c:pt idx="17">
                  <c:v>93.6</c:v>
                </c:pt>
                <c:pt idx="18" formatCode="###,###,##0">
                  <c:v>93</c:v>
                </c:pt>
                <c:pt idx="19">
                  <c:v>93.4</c:v>
                </c:pt>
                <c:pt idx="20">
                  <c:v>93.7</c:v>
                </c:pt>
                <c:pt idx="21">
                  <c:v>94.1</c:v>
                </c:pt>
                <c:pt idx="22">
                  <c:v>95.2</c:v>
                </c:pt>
                <c:pt idx="23">
                  <c:v>96.5</c:v>
                </c:pt>
                <c:pt idx="24">
                  <c:v>96.4</c:v>
                </c:pt>
                <c:pt idx="25">
                  <c:v>95.5</c:v>
                </c:pt>
                <c:pt idx="26">
                  <c:v>95.1</c:v>
                </c:pt>
                <c:pt idx="27">
                  <c:v>95.1</c:v>
                </c:pt>
                <c:pt idx="28">
                  <c:v>95.5</c:v>
                </c:pt>
                <c:pt idx="29" formatCode="###,###,##0">
                  <c:v>97</c:v>
                </c:pt>
                <c:pt idx="30">
                  <c:v>96.1</c:v>
                </c:pt>
                <c:pt idx="31">
                  <c:v>95.7</c:v>
                </c:pt>
                <c:pt idx="32">
                  <c:v>95.9</c:v>
                </c:pt>
                <c:pt idx="33">
                  <c:v>95.1</c:v>
                </c:pt>
                <c:pt idx="34" formatCode="###,###,##0">
                  <c:v>96</c:v>
                </c:pt>
                <c:pt idx="35">
                  <c:v>96.5</c:v>
                </c:pt>
                <c:pt idx="36" formatCode="0.0">
                  <c:v>98.4</c:v>
                </c:pt>
                <c:pt idx="37" formatCode="0.0">
                  <c:v>97.1</c:v>
                </c:pt>
                <c:pt idx="38" formatCode="0.0">
                  <c:v>96.7</c:v>
                </c:pt>
                <c:pt idx="39" formatCode="0.0">
                  <c:v>95.6</c:v>
                </c:pt>
                <c:pt idx="40" formatCode="0.0">
                  <c:v>96</c:v>
                </c:pt>
                <c:pt idx="41" formatCode="0.0">
                  <c:v>95.3</c:v>
                </c:pt>
                <c:pt idx="42" formatCode="0.0">
                  <c:v>95.4</c:v>
                </c:pt>
                <c:pt idx="43" formatCode="0.0">
                  <c:v>96.8</c:v>
                </c:pt>
                <c:pt idx="44" formatCode="0.0">
                  <c:v>97.1</c:v>
                </c:pt>
                <c:pt idx="45" formatCode="0.0">
                  <c:v>97.5</c:v>
                </c:pt>
                <c:pt idx="46" formatCode="0.0">
                  <c:v>99.3</c:v>
                </c:pt>
                <c:pt idx="47" formatCode="0.0">
                  <c:v>99.1</c:v>
                </c:pt>
                <c:pt idx="48" formatCode="0.0">
                  <c:v>99.2</c:v>
                </c:pt>
                <c:pt idx="49" formatCode="0.0">
                  <c:v>98</c:v>
                </c:pt>
                <c:pt idx="50" formatCode="0.0">
                  <c:v>96.6</c:v>
                </c:pt>
                <c:pt idx="51" formatCode="0.0">
                  <c:v>97.4</c:v>
                </c:pt>
                <c:pt idx="52" formatCode="0.0">
                  <c:v>97.2</c:v>
                </c:pt>
                <c:pt idx="53" formatCode="0.0">
                  <c:v>97.1</c:v>
                </c:pt>
                <c:pt idx="54" formatCode="0.0">
                  <c:v>97.7</c:v>
                </c:pt>
                <c:pt idx="55" formatCode="0.0">
                  <c:v>98.7</c:v>
                </c:pt>
                <c:pt idx="56" formatCode="0.0">
                  <c:v>99.1</c:v>
                </c:pt>
                <c:pt idx="57" formatCode="0.0">
                  <c:v>99.3</c:v>
                </c:pt>
                <c:pt idx="58" formatCode="0.0">
                  <c:v>99</c:v>
                </c:pt>
                <c:pt idx="59" formatCode="0.0">
                  <c:v>99.6</c:v>
                </c:pt>
              </c:numCache>
            </c:numRef>
          </c:val>
        </c:ser>
        <c:marker val="1"/>
        <c:axId val="100771712"/>
        <c:axId val="100773248"/>
      </c:lineChart>
      <c:catAx>
        <c:axId val="100771712"/>
        <c:scaling>
          <c:orientation val="minMax"/>
        </c:scaling>
        <c:axPos val="b"/>
        <c:tickLblPos val="low"/>
        <c:spPr>
          <a:ln>
            <a:solidFill>
              <a:schemeClr val="tx1"/>
            </a:solidFill>
          </a:ln>
        </c:spPr>
        <c:crossAx val="100773248"/>
        <c:crossesAt val="100"/>
        <c:auto val="1"/>
        <c:lblAlgn val="ctr"/>
        <c:lblOffset val="100"/>
      </c:catAx>
      <c:valAx>
        <c:axId val="100773248"/>
        <c:scaling>
          <c:orientation val="minMax"/>
          <c:max val="130"/>
          <c:min val="70"/>
        </c:scaling>
        <c:axPos val="l"/>
        <c:majorGridlines>
          <c:spPr>
            <a:ln w="6350">
              <a:solidFill>
                <a:schemeClr val="bg1">
                  <a:lumMod val="75000"/>
                </a:schemeClr>
              </a:solidFill>
            </a:ln>
          </c:spPr>
        </c:majorGridlines>
        <c:numFmt formatCode="#,##0" sourceLinked="0"/>
        <c:tickLblPos val="nextTo"/>
        <c:spPr>
          <a:ln>
            <a:solidFill>
              <a:schemeClr val="tx1"/>
            </a:solidFill>
          </a:ln>
        </c:spPr>
        <c:crossAx val="100771712"/>
        <c:crosses val="autoZero"/>
        <c:crossBetween val="between"/>
        <c:majorUnit val="5"/>
      </c:valAx>
      <c:valAx>
        <c:axId val="100803712"/>
        <c:scaling>
          <c:orientation val="minMax"/>
          <c:max val="6"/>
          <c:min val="-6"/>
        </c:scaling>
        <c:axPos val="r"/>
        <c:numFmt formatCode="0" sourceLinked="0"/>
        <c:tickLblPos val="nextTo"/>
        <c:spPr>
          <a:ln>
            <a:solidFill>
              <a:schemeClr val="tx1"/>
            </a:solidFill>
          </a:ln>
        </c:spPr>
        <c:crossAx val="100805248"/>
        <c:crosses val="max"/>
        <c:crossBetween val="between"/>
        <c:majorUnit val="1"/>
      </c:valAx>
      <c:catAx>
        <c:axId val="100805248"/>
        <c:scaling>
          <c:orientation val="minMax"/>
        </c:scaling>
        <c:delete val="1"/>
        <c:axPos val="b"/>
        <c:tickLblPos val="none"/>
        <c:crossAx val="100803712"/>
        <c:crossesAt val="0"/>
        <c:auto val="1"/>
        <c:lblAlgn val="ctr"/>
        <c:lblOffset val="100"/>
      </c:catAx>
      <c:spPr>
        <a:ln>
          <a:solidFill>
            <a:schemeClr val="tx1"/>
          </a:solidFill>
        </a:ln>
      </c:spPr>
    </c:plotArea>
    <c:legend>
      <c:legendPos val="b"/>
      <c:layout>
        <c:manualLayout>
          <c:xMode val="edge"/>
          <c:yMode val="edge"/>
          <c:x val="6.2295583422442583E-2"/>
          <c:y val="0.90228835978835409"/>
          <c:w val="0.88075331324325201"/>
          <c:h val="8.2645784081954179E-2"/>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4.6948352704928246E-2"/>
          <c:y val="2.8458510079622041E-2"/>
          <c:w val="0.93956464282120356"/>
          <c:h val="0.6497469886299676"/>
        </c:manualLayout>
      </c:layout>
      <c:barChart>
        <c:barDir val="col"/>
        <c:grouping val="stacked"/>
        <c:ser>
          <c:idx val="5"/>
          <c:order val="1"/>
          <c:tx>
            <c:strRef>
              <c:f>'souhrnná výkonnost 3'!$D$5</c:f>
              <c:strCache>
                <c:ptCount val="1"/>
                <c:pt idx="0">
                  <c:v>Final consumption expenditure of households (inc. non-profit inst.)</c:v>
                </c:pt>
              </c:strCache>
            </c:strRef>
          </c:tx>
          <c:spPr>
            <a:solidFill>
              <a:srgbClr val="0071BC"/>
            </a:solidFill>
            <a:ln>
              <a:noFill/>
            </a:ln>
          </c:spPr>
          <c:val>
            <c:numRef>
              <c:f>'souhrnná výkonnost 3'!$D$10:$D$29</c:f>
              <c:numCache>
                <c:formatCode>#,##0.0</c:formatCode>
                <c:ptCount val="20"/>
                <c:pt idx="0">
                  <c:v>0.40597446298276807</c:v>
                </c:pt>
                <c:pt idx="1">
                  <c:v>0.39628462481417676</c:v>
                </c:pt>
                <c:pt idx="2">
                  <c:v>0.10072438430113149</c:v>
                </c:pt>
                <c:pt idx="3">
                  <c:v>-0.14406158457489276</c:v>
                </c:pt>
                <c:pt idx="4">
                  <c:v>-0.3419124833646765</c:v>
                </c:pt>
                <c:pt idx="5">
                  <c:v>9.7003151816959683E-3</c:v>
                </c:pt>
                <c:pt idx="6">
                  <c:v>0.64252536968968532</c:v>
                </c:pt>
                <c:pt idx="7">
                  <c:v>1.1251665920999594</c:v>
                </c:pt>
                <c:pt idx="8">
                  <c:v>0.95996723394403682</c:v>
                </c:pt>
                <c:pt idx="9">
                  <c:v>0.88418646707186277</c:v>
                </c:pt>
                <c:pt idx="10">
                  <c:v>0.95576447741813575</c:v>
                </c:pt>
                <c:pt idx="11">
                  <c:v>1.1866830908443908</c:v>
                </c:pt>
                <c:pt idx="12">
                  <c:v>1.122020889517066</c:v>
                </c:pt>
                <c:pt idx="13">
                  <c:v>1.2236602908141552</c:v>
                </c:pt>
                <c:pt idx="14">
                  <c:v>1.3569551772034671</c:v>
                </c:pt>
                <c:pt idx="15">
                  <c:v>1.1073481536560261</c:v>
                </c:pt>
                <c:pt idx="16">
                  <c:v>1.2033359007134954</c:v>
                </c:pt>
                <c:pt idx="17">
                  <c:v>1.5212657302113635</c:v>
                </c:pt>
                <c:pt idx="18">
                  <c:v>1.4525415814090294</c:v>
                </c:pt>
                <c:pt idx="19">
                  <c:v>1.3464774597454923</c:v>
                </c:pt>
              </c:numCache>
            </c:numRef>
          </c:val>
        </c:ser>
        <c:ser>
          <c:idx val="4"/>
          <c:order val="2"/>
          <c:tx>
            <c:strRef>
              <c:f>'souhrnná výkonnost 3'!$E$5</c:f>
              <c:strCache>
                <c:ptCount val="1"/>
                <c:pt idx="0">
                  <c:v>Final consumption expenditure of government institutions</c:v>
                </c:pt>
              </c:strCache>
            </c:strRef>
          </c:tx>
          <c:spPr>
            <a:solidFill>
              <a:srgbClr val="A6CDE8"/>
            </a:solidFill>
            <a:ln>
              <a:noFill/>
            </a:ln>
          </c:spPr>
          <c:val>
            <c:numRef>
              <c:f>'souhrnná výkonnost 3'!$E$10:$E$29</c:f>
              <c:numCache>
                <c:formatCode>#,##0.0</c:formatCode>
                <c:ptCount val="20"/>
                <c:pt idx="0">
                  <c:v>0.29182349651824113</c:v>
                </c:pt>
                <c:pt idx="1">
                  <c:v>0.39883827436684977</c:v>
                </c:pt>
                <c:pt idx="2">
                  <c:v>0.61835595894915063</c:v>
                </c:pt>
                <c:pt idx="3">
                  <c:v>0.49997414143888352</c:v>
                </c:pt>
                <c:pt idx="4">
                  <c:v>0.24721971722961228</c:v>
                </c:pt>
                <c:pt idx="5">
                  <c:v>0.3505045728102309</c:v>
                </c:pt>
                <c:pt idx="6">
                  <c:v>8.4527068204702571E-2</c:v>
                </c:pt>
                <c:pt idx="7">
                  <c:v>0.28017686102842726</c:v>
                </c:pt>
                <c:pt idx="8">
                  <c:v>0.38356988684026716</c:v>
                </c:pt>
                <c:pt idx="9">
                  <c:v>0.38665907102931585</c:v>
                </c:pt>
                <c:pt idx="10">
                  <c:v>0.60627256929248252</c:v>
                </c:pt>
                <c:pt idx="11">
                  <c:v>0.5639728704360647</c:v>
                </c:pt>
                <c:pt idx="12">
                  <c:v>0.33602278185610407</c:v>
                </c:pt>
                <c:pt idx="13">
                  <c:v>0.41149254163913818</c:v>
                </c:pt>
                <c:pt idx="14">
                  <c:v>0.34012918105702822</c:v>
                </c:pt>
                <c:pt idx="15">
                  <c:v>0.3862607771702421</c:v>
                </c:pt>
                <c:pt idx="16">
                  <c:v>0.47213665517492381</c:v>
                </c:pt>
                <c:pt idx="17">
                  <c:v>0.29799537695934841</c:v>
                </c:pt>
                <c:pt idx="18">
                  <c:v>0.22245730570723393</c:v>
                </c:pt>
                <c:pt idx="19">
                  <c:v>0.18902058446901696</c:v>
                </c:pt>
              </c:numCache>
            </c:numRef>
          </c:val>
        </c:ser>
        <c:ser>
          <c:idx val="3"/>
          <c:order val="3"/>
          <c:tx>
            <c:strRef>
              <c:f>'souhrnná výkonnost 3'!$J$5</c:f>
              <c:strCache>
                <c:ptCount val="1"/>
                <c:pt idx="0">
                  <c:v>Gross capital formation</c:v>
                </c:pt>
              </c:strCache>
            </c:strRef>
          </c:tx>
          <c:spPr>
            <a:solidFill>
              <a:srgbClr val="BD1B21"/>
            </a:solidFill>
            <a:ln>
              <a:noFill/>
            </a:ln>
          </c:spPr>
          <c:val>
            <c:numRef>
              <c:f>'souhrnná výkonnost 3'!$J$10:$J$29</c:f>
              <c:numCache>
                <c:formatCode>#,##0.0</c:formatCode>
                <c:ptCount val="20"/>
                <c:pt idx="0">
                  <c:v>-1.3565537417116751</c:v>
                </c:pt>
                <c:pt idx="1">
                  <c:v>-2.8563879245256727</c:v>
                </c:pt>
                <c:pt idx="2">
                  <c:v>-8.4138539479111193E-2</c:v>
                </c:pt>
                <c:pt idx="3">
                  <c:v>0.37621790098269453</c:v>
                </c:pt>
                <c:pt idx="4">
                  <c:v>-6.421771790176492E-2</c:v>
                </c:pt>
                <c:pt idx="5">
                  <c:v>1.7432034404711898</c:v>
                </c:pt>
                <c:pt idx="6">
                  <c:v>1.1897955210010245</c:v>
                </c:pt>
                <c:pt idx="7">
                  <c:v>0.47141627966226646</c:v>
                </c:pt>
                <c:pt idx="8">
                  <c:v>2.995551102866798</c:v>
                </c:pt>
                <c:pt idx="9">
                  <c:v>3.9932674109015083</c:v>
                </c:pt>
                <c:pt idx="10">
                  <c:v>2.7507831059265158</c:v>
                </c:pt>
                <c:pt idx="11">
                  <c:v>1.0081209599196153</c:v>
                </c:pt>
                <c:pt idx="12">
                  <c:v>1.027300796304933</c:v>
                </c:pt>
                <c:pt idx="13">
                  <c:v>-0.96946155529155886</c:v>
                </c:pt>
                <c:pt idx="14">
                  <c:v>-0.51354041218169999</c:v>
                </c:pt>
                <c:pt idx="15">
                  <c:v>-0.21949598559678929</c:v>
                </c:pt>
                <c:pt idx="16">
                  <c:v>-0.84198786360534394</c:v>
                </c:pt>
                <c:pt idx="17">
                  <c:v>0.63212927736085733</c:v>
                </c:pt>
                <c:pt idx="18">
                  <c:v>1.7212844693219043</c:v>
                </c:pt>
                <c:pt idx="19">
                  <c:v>2.4825034735268727</c:v>
                </c:pt>
              </c:numCache>
            </c:numRef>
          </c:val>
        </c:ser>
        <c:ser>
          <c:idx val="1"/>
          <c:order val="4"/>
          <c:tx>
            <c:strRef>
              <c:f>'souhrnná výkonnost 3'!$H$5</c:f>
              <c:strCache>
                <c:ptCount val="1"/>
                <c:pt idx="0">
                  <c:v>Foreign trade balance</c:v>
                </c:pt>
              </c:strCache>
            </c:strRef>
          </c:tx>
          <c:spPr>
            <a:solidFill>
              <a:srgbClr val="7DBB2D"/>
            </a:solidFill>
            <a:ln>
              <a:noFill/>
            </a:ln>
          </c:spPr>
          <c:val>
            <c:numRef>
              <c:f>'souhrnná výkonnost 3'!$H$10:$H$29</c:f>
              <c:numCache>
                <c:formatCode>#,##0.0</c:formatCode>
                <c:ptCount val="20"/>
                <c:pt idx="0">
                  <c:v>-1.1212539863066813</c:v>
                </c:pt>
                <c:pt idx="1">
                  <c:v>0.92540979141000812</c:v>
                </c:pt>
                <c:pt idx="2">
                  <c:v>-1.0354498395259251</c:v>
                </c:pt>
                <c:pt idx="3">
                  <c:v>0.55721289260918061</c:v>
                </c:pt>
                <c:pt idx="4">
                  <c:v>1.810412322845339</c:v>
                </c:pt>
                <c:pt idx="5">
                  <c:v>0.25472480422095312</c:v>
                </c:pt>
                <c:pt idx="6">
                  <c:v>1.4702269856408019</c:v>
                </c:pt>
                <c:pt idx="7">
                  <c:v>1.4755441754070078</c:v>
                </c:pt>
                <c:pt idx="8">
                  <c:v>0.87270670480565737</c:v>
                </c:pt>
                <c:pt idx="9">
                  <c:v>0.56954370937031307</c:v>
                </c:pt>
                <c:pt idx="10">
                  <c:v>1.4131260319789174</c:v>
                </c:pt>
                <c:pt idx="11">
                  <c:v>2.1455063702622859</c:v>
                </c:pt>
                <c:pt idx="12">
                  <c:v>1.0557410423051232</c:v>
                </c:pt>
                <c:pt idx="13">
                  <c:v>2.1496812176393996</c:v>
                </c:pt>
                <c:pt idx="14">
                  <c:v>0.65095065525561635</c:v>
                </c:pt>
                <c:pt idx="15">
                  <c:v>0.49407696770870096</c:v>
                </c:pt>
                <c:pt idx="16">
                  <c:v>2.1199424655121804</c:v>
                </c:pt>
                <c:pt idx="17">
                  <c:v>2.1610214378480004</c:v>
                </c:pt>
                <c:pt idx="18">
                  <c:v>1.6890565350750195</c:v>
                </c:pt>
                <c:pt idx="19">
                  <c:v>1.1657793622517323</c:v>
                </c:pt>
              </c:numCache>
            </c:numRef>
          </c:val>
        </c:ser>
        <c:gapWidth val="40"/>
        <c:overlap val="100"/>
        <c:axId val="100816384"/>
        <c:axId val="100817920"/>
      </c:barChart>
      <c:lineChart>
        <c:grouping val="standard"/>
        <c:ser>
          <c:idx val="0"/>
          <c:order val="0"/>
          <c:tx>
            <c:strRef>
              <c:f>'souhrnná výkonnost 3'!$C$5</c:f>
              <c:strCache>
                <c:ptCount val="1"/>
                <c:pt idx="0">
                  <c:v>GDP</c:v>
                </c:pt>
              </c:strCache>
            </c:strRef>
          </c:tx>
          <c:spPr>
            <a:ln>
              <a:solidFill>
                <a:prstClr val="black"/>
              </a:solidFill>
            </a:ln>
          </c:spPr>
          <c:marker>
            <c:symbol val="none"/>
          </c:marker>
          <c:cat>
            <c:multiLvlStrRef>
              <c:f>'souhrnná výkonnost 3'!$A$10:$B$29</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2013</c:v>
                  </c:pt>
                  <c:pt idx="4">
                    <c:v>2014</c:v>
                  </c:pt>
                  <c:pt idx="8">
                    <c:v>2015</c:v>
                  </c:pt>
                  <c:pt idx="12">
                    <c:v>2016</c:v>
                  </c:pt>
                  <c:pt idx="16">
                    <c:v>2017</c:v>
                  </c:pt>
                </c:lvl>
              </c:multiLvlStrCache>
            </c:multiLvlStrRef>
          </c:cat>
          <c:val>
            <c:numRef>
              <c:f>'souhrnná výkonnost 3'!$C$10:$C$29</c:f>
              <c:numCache>
                <c:formatCode>#,##0.0</c:formatCode>
                <c:ptCount val="20"/>
                <c:pt idx="0">
                  <c:v>-1.7511683134985219</c:v>
                </c:pt>
                <c:pt idx="1">
                  <c:v>-1.1225511599608582</c:v>
                </c:pt>
                <c:pt idx="2">
                  <c:v>-0.3518733567189688</c:v>
                </c:pt>
                <c:pt idx="3">
                  <c:v>1.3064560933108733</c:v>
                </c:pt>
                <c:pt idx="4">
                  <c:v>1.6429317745401153</c:v>
                </c:pt>
                <c:pt idx="5">
                  <c:v>2.3799514502212578</c:v>
                </c:pt>
                <c:pt idx="6">
                  <c:v>3.4229941989101591</c:v>
                </c:pt>
                <c:pt idx="7">
                  <c:v>3.3996850847558289</c:v>
                </c:pt>
                <c:pt idx="8">
                  <c:v>5.1924491451289025</c:v>
                </c:pt>
                <c:pt idx="9">
                  <c:v>5.7975987955825863</c:v>
                </c:pt>
                <c:pt idx="10">
                  <c:v>5.6880052521313917</c:v>
                </c:pt>
                <c:pt idx="11">
                  <c:v>4.880725514351437</c:v>
                </c:pt>
                <c:pt idx="12">
                  <c:v>3.5408169174491047</c:v>
                </c:pt>
                <c:pt idx="13">
                  <c:v>2.8477395147454407</c:v>
                </c:pt>
                <c:pt idx="14">
                  <c:v>1.843939906776336</c:v>
                </c:pt>
                <c:pt idx="15">
                  <c:v>1.765441823480645</c:v>
                </c:pt>
                <c:pt idx="16">
                  <c:v>2.9941522181081437</c:v>
                </c:pt>
                <c:pt idx="17">
                  <c:v>4.6377181743372642</c:v>
                </c:pt>
                <c:pt idx="18">
                  <c:v>5.1185945537624198</c:v>
                </c:pt>
                <c:pt idx="19">
                  <c:v>5.2033349062953755</c:v>
                </c:pt>
              </c:numCache>
            </c:numRef>
          </c:val>
        </c:ser>
        <c:marker val="1"/>
        <c:axId val="100816384"/>
        <c:axId val="100817920"/>
      </c:lineChart>
      <c:catAx>
        <c:axId val="100816384"/>
        <c:scaling>
          <c:orientation val="minMax"/>
        </c:scaling>
        <c:axPos val="b"/>
        <c:tickLblPos val="low"/>
        <c:spPr>
          <a:ln>
            <a:solidFill>
              <a:schemeClr val="tx1"/>
            </a:solidFill>
          </a:ln>
        </c:spPr>
        <c:txPr>
          <a:bodyPr rot="0" vert="horz"/>
          <a:lstStyle/>
          <a:p>
            <a:pPr>
              <a:defRPr/>
            </a:pPr>
            <a:endParaRPr lang="cs-CZ"/>
          </a:p>
        </c:txPr>
        <c:crossAx val="100817920"/>
        <c:crosses val="autoZero"/>
        <c:auto val="1"/>
        <c:lblAlgn val="ctr"/>
        <c:lblOffset val="100"/>
      </c:catAx>
      <c:valAx>
        <c:axId val="100817920"/>
        <c:scaling>
          <c:orientation val="minMax"/>
          <c:max val="6"/>
          <c:min val="-4"/>
        </c:scaling>
        <c:axPos val="l"/>
        <c:majorGridlines>
          <c:spPr>
            <a:ln w="6350">
              <a:solidFill>
                <a:schemeClr val="bg1">
                  <a:lumMod val="75000"/>
                </a:schemeClr>
              </a:solidFill>
            </a:ln>
          </c:spPr>
        </c:majorGridlines>
        <c:numFmt formatCode="#,##0" sourceLinked="0"/>
        <c:tickLblPos val="nextTo"/>
        <c:spPr>
          <a:ln>
            <a:solidFill>
              <a:schemeClr val="tx1"/>
            </a:solidFill>
          </a:ln>
        </c:spPr>
        <c:crossAx val="100816384"/>
        <c:crosses val="autoZero"/>
        <c:crossBetween val="between"/>
        <c:majorUnit val="1"/>
      </c:valAx>
      <c:spPr>
        <a:ln>
          <a:solidFill>
            <a:schemeClr val="tx1"/>
          </a:solidFill>
        </a:ln>
      </c:spPr>
    </c:plotArea>
    <c:legend>
      <c:legendPos val="b"/>
      <c:layout>
        <c:manualLayout>
          <c:xMode val="edge"/>
          <c:yMode val="edge"/>
          <c:x val="4.4891184424094004E-2"/>
          <c:y val="0.79301446583361457"/>
          <c:w val="0.94049666651103803"/>
          <c:h val="0.19014325115388939"/>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plotArea>
      <c:layout>
        <c:manualLayout>
          <c:layoutTarget val="inner"/>
          <c:xMode val="edge"/>
          <c:yMode val="edge"/>
          <c:x val="4.4404035346808868E-2"/>
          <c:y val="3.7154479717354444E-2"/>
          <c:w val="0.93674937195830466"/>
          <c:h val="0.63445260610154264"/>
        </c:manualLayout>
      </c:layout>
      <c:barChart>
        <c:barDir val="col"/>
        <c:grouping val="stacked"/>
        <c:ser>
          <c:idx val="4"/>
          <c:order val="0"/>
          <c:tx>
            <c:strRef>
              <c:f>'souhrnná výkonnost 4'!$C$5</c:f>
              <c:strCache>
                <c:ptCount val="1"/>
                <c:pt idx="0">
                  <c:v>Agriculture, forestry and fishing</c:v>
                </c:pt>
              </c:strCache>
            </c:strRef>
          </c:tx>
          <c:spPr>
            <a:solidFill>
              <a:srgbClr val="0071BC"/>
            </a:solidFill>
            <a:ln>
              <a:noFill/>
            </a:ln>
          </c:spPr>
          <c:val>
            <c:numRef>
              <c:f>'souhrnná výkonnost 4'!$C$10:$C$29</c:f>
              <c:numCache>
                <c:formatCode>#,##0.0</c:formatCode>
                <c:ptCount val="20"/>
                <c:pt idx="0">
                  <c:v>-4.4699648816173963E-2</c:v>
                </c:pt>
                <c:pt idx="1">
                  <c:v>-0.11466415714156009</c:v>
                </c:pt>
                <c:pt idx="2">
                  <c:v>-8.9941431175314654E-2</c:v>
                </c:pt>
                <c:pt idx="3">
                  <c:v>-6.1245633202245495E-3</c:v>
                </c:pt>
                <c:pt idx="4">
                  <c:v>9.4408798336974964E-2</c:v>
                </c:pt>
                <c:pt idx="5">
                  <c:v>0.23066751983404632</c:v>
                </c:pt>
                <c:pt idx="6">
                  <c:v>0.28225200568902681</c:v>
                </c:pt>
                <c:pt idx="7">
                  <c:v>0.25875789622783918</c:v>
                </c:pt>
                <c:pt idx="8">
                  <c:v>0.23202547241325647</c:v>
                </c:pt>
                <c:pt idx="9">
                  <c:v>0.1519285796170429</c:v>
                </c:pt>
                <c:pt idx="10">
                  <c:v>0.12094967534777865</c:v>
                </c:pt>
                <c:pt idx="11">
                  <c:v>0.10040143726492615</c:v>
                </c:pt>
                <c:pt idx="12">
                  <c:v>0.13957559104473763</c:v>
                </c:pt>
                <c:pt idx="13">
                  <c:v>0.21132726920557363</c:v>
                </c:pt>
                <c:pt idx="14">
                  <c:v>0.25387931030712041</c:v>
                </c:pt>
                <c:pt idx="15">
                  <c:v>0.31886734542080397</c:v>
                </c:pt>
                <c:pt idx="16">
                  <c:v>0.22546241575801171</c:v>
                </c:pt>
                <c:pt idx="17">
                  <c:v>0.15088911683333639</c:v>
                </c:pt>
                <c:pt idx="18">
                  <c:v>7.3981110548603179E-2</c:v>
                </c:pt>
                <c:pt idx="19">
                  <c:v>1.4293298094048838E-2</c:v>
                </c:pt>
              </c:numCache>
            </c:numRef>
          </c:val>
        </c:ser>
        <c:ser>
          <c:idx val="3"/>
          <c:order val="1"/>
          <c:tx>
            <c:strRef>
              <c:f>'souhrnná výkonnost 4'!$D$5</c:f>
              <c:strCache>
                <c:ptCount val="1"/>
                <c:pt idx="0">
                  <c:v>Manufacturing (CZ-NACE C)</c:v>
                </c:pt>
              </c:strCache>
            </c:strRef>
          </c:tx>
          <c:spPr>
            <a:solidFill>
              <a:srgbClr val="A6CDE8"/>
            </a:solidFill>
            <a:ln>
              <a:noFill/>
            </a:ln>
          </c:spPr>
          <c:val>
            <c:numRef>
              <c:f>'souhrnná výkonnost 4'!$D$10:$D$29</c:f>
              <c:numCache>
                <c:formatCode>#,##0.0</c:formatCode>
                <c:ptCount val="20"/>
                <c:pt idx="0">
                  <c:v>-0.80190174195229758</c:v>
                </c:pt>
                <c:pt idx="1">
                  <c:v>-0.63316913532183261</c:v>
                </c:pt>
                <c:pt idx="2">
                  <c:v>-0.65799971762020282</c:v>
                </c:pt>
                <c:pt idx="3">
                  <c:v>-0.58767125058761094</c:v>
                </c:pt>
                <c:pt idx="4">
                  <c:v>0.42669631687426285</c:v>
                </c:pt>
                <c:pt idx="5">
                  <c:v>1.1788143597117164</c:v>
                </c:pt>
                <c:pt idx="6">
                  <c:v>1.964716297964108</c:v>
                </c:pt>
                <c:pt idx="7">
                  <c:v>2.5539363152168306</c:v>
                </c:pt>
                <c:pt idx="8">
                  <c:v>2.1478703755568072</c:v>
                </c:pt>
                <c:pt idx="9">
                  <c:v>1.6166800300274804</c:v>
                </c:pt>
                <c:pt idx="10">
                  <c:v>1.4270095405518384</c:v>
                </c:pt>
                <c:pt idx="11">
                  <c:v>0.65863363852355983</c:v>
                </c:pt>
                <c:pt idx="12">
                  <c:v>1.1730324306135265</c:v>
                </c:pt>
                <c:pt idx="13">
                  <c:v>1.8409531560333301</c:v>
                </c:pt>
                <c:pt idx="14">
                  <c:v>1.8950378832938781</c:v>
                </c:pt>
                <c:pt idx="15">
                  <c:v>2.2496949915383979</c:v>
                </c:pt>
                <c:pt idx="16">
                  <c:v>1.8803316141150999</c:v>
                </c:pt>
                <c:pt idx="17">
                  <c:v>2.1182989480673546</c:v>
                </c:pt>
                <c:pt idx="18">
                  <c:v>2.1573007701652602</c:v>
                </c:pt>
                <c:pt idx="19">
                  <c:v>2.0433612402886703</c:v>
                </c:pt>
              </c:numCache>
            </c:numRef>
          </c:val>
        </c:ser>
        <c:ser>
          <c:idx val="2"/>
          <c:order val="2"/>
          <c:tx>
            <c:strRef>
              <c:f>'souhrnná výkonnost 4'!$E$5</c:f>
              <c:strCache>
                <c:ptCount val="1"/>
                <c:pt idx="0">
                  <c:v>Other industrial branches (CZ-NACE B,D,E)</c:v>
                </c:pt>
              </c:strCache>
            </c:strRef>
          </c:tx>
          <c:spPr>
            <a:solidFill>
              <a:srgbClr val="BD1B21"/>
            </a:solidFill>
            <a:ln>
              <a:noFill/>
            </a:ln>
          </c:spPr>
          <c:val>
            <c:numRef>
              <c:f>'souhrnná výkonnost 4'!$E$10:$E$29</c:f>
              <c:numCache>
                <c:formatCode>0.0</c:formatCode>
                <c:ptCount val="20"/>
                <c:pt idx="0">
                  <c:v>-0.99676396653493249</c:v>
                </c:pt>
                <c:pt idx="1">
                  <c:v>-0.99862189727617956</c:v>
                </c:pt>
                <c:pt idx="2">
                  <c:v>-0.64102712488527125</c:v>
                </c:pt>
                <c:pt idx="3">
                  <c:v>-0.2376831237571034</c:v>
                </c:pt>
                <c:pt idx="4">
                  <c:v>0.34101321981670818</c:v>
                </c:pt>
                <c:pt idx="5">
                  <c:v>0.10905314809036515</c:v>
                </c:pt>
                <c:pt idx="6">
                  <c:v>-0.12299518913780627</c:v>
                </c:pt>
                <c:pt idx="7">
                  <c:v>-0.11606163720933306</c:v>
                </c:pt>
                <c:pt idx="8">
                  <c:v>-0.13641374514700344</c:v>
                </c:pt>
                <c:pt idx="9">
                  <c:v>2.6994603690324401E-2</c:v>
                </c:pt>
                <c:pt idx="10">
                  <c:v>-2.4696121131873472E-2</c:v>
                </c:pt>
                <c:pt idx="11">
                  <c:v>-8.1123422474820725E-2</c:v>
                </c:pt>
                <c:pt idx="12">
                  <c:v>-0.25523928298471665</c:v>
                </c:pt>
                <c:pt idx="13">
                  <c:v>-0.25608606894098362</c:v>
                </c:pt>
                <c:pt idx="14">
                  <c:v>-0.25707511147730044</c:v>
                </c:pt>
                <c:pt idx="15">
                  <c:v>-0.26726875277732276</c:v>
                </c:pt>
                <c:pt idx="16">
                  <c:v>0.10746003681127697</c:v>
                </c:pt>
                <c:pt idx="17">
                  <c:v>-3.0739318352514287E-2</c:v>
                </c:pt>
                <c:pt idx="18" formatCode="General">
                  <c:v>0.32232468270919817</c:v>
                </c:pt>
                <c:pt idx="19" formatCode="General">
                  <c:v>0.39745451648189806</c:v>
                </c:pt>
              </c:numCache>
            </c:numRef>
          </c:val>
        </c:ser>
        <c:ser>
          <c:idx val="1"/>
          <c:order val="3"/>
          <c:tx>
            <c:strRef>
              <c:f>'souhrnná výkonnost 4'!$F$5</c:f>
              <c:strCache>
                <c:ptCount val="1"/>
                <c:pt idx="0">
                  <c:v>Construction</c:v>
                </c:pt>
              </c:strCache>
            </c:strRef>
          </c:tx>
          <c:spPr>
            <a:solidFill>
              <a:srgbClr val="E8AFB2"/>
            </a:solidFill>
            <a:ln>
              <a:noFill/>
            </a:ln>
          </c:spPr>
          <c:val>
            <c:numRef>
              <c:f>'souhrnná výkonnost 4'!$F$10:$F$29</c:f>
              <c:numCache>
                <c:formatCode>#,##0.0</c:formatCode>
                <c:ptCount val="20"/>
                <c:pt idx="0">
                  <c:v>-9.7833498488409248E-2</c:v>
                </c:pt>
                <c:pt idx="1">
                  <c:v>7.0101451917918181E-2</c:v>
                </c:pt>
                <c:pt idx="2">
                  <c:v>0.1406695555623115</c:v>
                </c:pt>
                <c:pt idx="3">
                  <c:v>0.16590826997768471</c:v>
                </c:pt>
                <c:pt idx="4">
                  <c:v>0.20380087901239571</c:v>
                </c:pt>
                <c:pt idx="5">
                  <c:v>7.707944200185142E-2</c:v>
                </c:pt>
                <c:pt idx="6">
                  <c:v>3.6125144783951582E-2</c:v>
                </c:pt>
                <c:pt idx="7">
                  <c:v>0.13861192388176091</c:v>
                </c:pt>
                <c:pt idx="8">
                  <c:v>0.1004407238403428</c:v>
                </c:pt>
                <c:pt idx="9">
                  <c:v>0.26610784775566931</c:v>
                </c:pt>
                <c:pt idx="10">
                  <c:v>0.35569158305836607</c:v>
                </c:pt>
                <c:pt idx="11">
                  <c:v>0.16508861905557687</c:v>
                </c:pt>
                <c:pt idx="12">
                  <c:v>6.0176601627870321E-2</c:v>
                </c:pt>
                <c:pt idx="13">
                  <c:v>-0.13874288331323112</c:v>
                </c:pt>
                <c:pt idx="14">
                  <c:v>-0.25240045091449731</c:v>
                </c:pt>
                <c:pt idx="15">
                  <c:v>-0.22682214751648944</c:v>
                </c:pt>
                <c:pt idx="16">
                  <c:v>-7.1054531040185123E-2</c:v>
                </c:pt>
                <c:pt idx="17">
                  <c:v>0.14652667240025907</c:v>
                </c:pt>
                <c:pt idx="18">
                  <c:v>0.11119905360655896</c:v>
                </c:pt>
                <c:pt idx="19">
                  <c:v>0.11216122907512521</c:v>
                </c:pt>
              </c:numCache>
            </c:numRef>
          </c:val>
        </c:ser>
        <c:ser>
          <c:idx val="0"/>
          <c:order val="4"/>
          <c:tx>
            <c:strRef>
              <c:f>'souhrnná výkonnost 4'!$G$5</c:f>
              <c:strCache>
                <c:ptCount val="1"/>
                <c:pt idx="0">
                  <c:v>Services (CZ-NACE G až U)</c:v>
                </c:pt>
              </c:strCache>
            </c:strRef>
          </c:tx>
          <c:spPr>
            <a:solidFill>
              <a:srgbClr val="7DBB2D"/>
            </a:solidFill>
            <a:ln>
              <a:noFill/>
            </a:ln>
          </c:spPr>
          <c:val>
            <c:numRef>
              <c:f>'souhrnná výkonnost 4'!$G$10:$G$29</c:f>
              <c:numCache>
                <c:formatCode>0.0</c:formatCode>
                <c:ptCount val="20"/>
                <c:pt idx="0">
                  <c:v>0.37644839519994561</c:v>
                </c:pt>
                <c:pt idx="1">
                  <c:v>0.81261671036245109</c:v>
                </c:pt>
                <c:pt idx="2">
                  <c:v>1.0166947027297948</c:v>
                </c:pt>
                <c:pt idx="3">
                  <c:v>1.3689952261875691</c:v>
                </c:pt>
                <c:pt idx="4">
                  <c:v>1.258026912334905</c:v>
                </c:pt>
                <c:pt idx="5">
                  <c:v>1.3856652786986978</c:v>
                </c:pt>
                <c:pt idx="6">
                  <c:v>1.625491558325431</c:v>
                </c:pt>
                <c:pt idx="7">
                  <c:v>1.6641765372351613</c:v>
                </c:pt>
                <c:pt idx="8">
                  <c:v>2.2624440762395142</c:v>
                </c:pt>
                <c:pt idx="9">
                  <c:v>2.9696553573602107</c:v>
                </c:pt>
                <c:pt idx="10">
                  <c:v>3.3867849325780148</c:v>
                </c:pt>
                <c:pt idx="11">
                  <c:v>3.5053477898363856</c:v>
                </c:pt>
                <c:pt idx="12">
                  <c:v>2.2395224984374358</c:v>
                </c:pt>
                <c:pt idx="13">
                  <c:v>1.1310584414837417</c:v>
                </c:pt>
                <c:pt idx="14">
                  <c:v>0.12888406553309981</c:v>
                </c:pt>
                <c:pt idx="15">
                  <c:v>-0.27609394109782032</c:v>
                </c:pt>
                <c:pt idx="16">
                  <c:v>0.80118882358588051</c:v>
                </c:pt>
                <c:pt idx="17">
                  <c:v>2.1714731564025342</c:v>
                </c:pt>
                <c:pt idx="18" formatCode="General">
                  <c:v>2.577516904958391</c:v>
                </c:pt>
                <c:pt idx="19" formatCode="General">
                  <c:v>2.8454982134076379</c:v>
                </c:pt>
              </c:numCache>
            </c:numRef>
          </c:val>
        </c:ser>
        <c:gapWidth val="70"/>
        <c:overlap val="100"/>
        <c:axId val="100911744"/>
        <c:axId val="102457728"/>
      </c:barChart>
      <c:lineChart>
        <c:grouping val="standard"/>
        <c:ser>
          <c:idx val="5"/>
          <c:order val="5"/>
          <c:tx>
            <c:strRef>
              <c:f>'souhrnná výkonnost 4'!$H$5</c:f>
              <c:strCache>
                <c:ptCount val="1"/>
                <c:pt idx="0">
                  <c:v>Total gross value added</c:v>
                </c:pt>
              </c:strCache>
            </c:strRef>
          </c:tx>
          <c:spPr>
            <a:ln w="19050">
              <a:solidFill>
                <a:prstClr val="black"/>
              </a:solidFill>
            </a:ln>
          </c:spPr>
          <c:marker>
            <c:symbol val="none"/>
          </c:marker>
          <c:cat>
            <c:multiLvlStrRef>
              <c:f>'souhrnná výkonnost 4'!$A$10:$B$29</c:f>
              <c:multiLvlStrCache>
                <c:ptCount val="20"/>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lvl>
                <c:lvl>
                  <c:pt idx="0">
                    <c:v>2013</c:v>
                  </c:pt>
                  <c:pt idx="4">
                    <c:v>2014</c:v>
                  </c:pt>
                  <c:pt idx="8">
                    <c:v>2015</c:v>
                  </c:pt>
                  <c:pt idx="12">
                    <c:v>2016</c:v>
                  </c:pt>
                  <c:pt idx="16">
                    <c:v>2017</c:v>
                  </c:pt>
                </c:lvl>
              </c:multiLvlStrCache>
            </c:multiLvlStrRef>
          </c:cat>
          <c:val>
            <c:numRef>
              <c:f>'souhrnná výkonnost 4'!$H$10:$H$29</c:f>
              <c:numCache>
                <c:formatCode>#,##0.0</c:formatCode>
                <c:ptCount val="20"/>
                <c:pt idx="0">
                  <c:v>-1.5564064599066569</c:v>
                </c:pt>
                <c:pt idx="1">
                  <c:v>-0.85476160118254663</c:v>
                </c:pt>
                <c:pt idx="2">
                  <c:v>-0.23921578851919525</c:v>
                </c:pt>
                <c:pt idx="3">
                  <c:v>0.69357314385266344</c:v>
                </c:pt>
                <c:pt idx="4">
                  <c:v>2.3418618184973092</c:v>
                </c:pt>
                <c:pt idx="5">
                  <c:v>2.9853700509145402</c:v>
                </c:pt>
                <c:pt idx="6">
                  <c:v>3.7747323841488187</c:v>
                </c:pt>
                <c:pt idx="7">
                  <c:v>4.4884230044466591</c:v>
                </c:pt>
                <c:pt idx="8">
                  <c:v>4.6030533672095215</c:v>
                </c:pt>
                <c:pt idx="9">
                  <c:v>5.0290309680465706</c:v>
                </c:pt>
                <c:pt idx="10">
                  <c:v>5.2622941596795165</c:v>
                </c:pt>
                <c:pt idx="11">
                  <c:v>4.357242052869359</c:v>
                </c:pt>
                <c:pt idx="12">
                  <c:v>3.3617514038440386</c:v>
                </c:pt>
                <c:pt idx="13">
                  <c:v>2.7921029280771741</c:v>
                </c:pt>
                <c:pt idx="14">
                  <c:v>1.7671103559341097</c:v>
                </c:pt>
                <c:pt idx="15">
                  <c:v>1.7915027023020438</c:v>
                </c:pt>
                <c:pt idx="16">
                  <c:v>2.9850934562979412</c:v>
                </c:pt>
                <c:pt idx="17">
                  <c:v>4.5669487030454166</c:v>
                </c:pt>
                <c:pt idx="18">
                  <c:v>5.2300017321239336</c:v>
                </c:pt>
                <c:pt idx="19">
                  <c:v>5.373455082647852</c:v>
                </c:pt>
              </c:numCache>
            </c:numRef>
          </c:val>
        </c:ser>
        <c:marker val="1"/>
        <c:axId val="100911744"/>
        <c:axId val="102457728"/>
      </c:lineChart>
      <c:catAx>
        <c:axId val="100911744"/>
        <c:scaling>
          <c:orientation val="minMax"/>
        </c:scaling>
        <c:axPos val="b"/>
        <c:tickLblPos val="low"/>
        <c:spPr>
          <a:ln>
            <a:solidFill>
              <a:schemeClr val="tx1"/>
            </a:solidFill>
          </a:ln>
        </c:spPr>
        <c:txPr>
          <a:bodyPr rot="0" vert="horz"/>
          <a:lstStyle/>
          <a:p>
            <a:pPr>
              <a:defRPr/>
            </a:pPr>
            <a:endParaRPr lang="cs-CZ"/>
          </a:p>
        </c:txPr>
        <c:crossAx val="102457728"/>
        <c:crosses val="autoZero"/>
        <c:auto val="1"/>
        <c:lblAlgn val="ctr"/>
        <c:lblOffset val="100"/>
      </c:catAx>
      <c:valAx>
        <c:axId val="102457728"/>
        <c:scaling>
          <c:orientation val="minMax"/>
          <c:max val="6"/>
          <c:min val="-3"/>
        </c:scaling>
        <c:axPos val="l"/>
        <c:majorGridlines>
          <c:spPr>
            <a:ln w="6350">
              <a:solidFill>
                <a:schemeClr val="bg1">
                  <a:lumMod val="75000"/>
                </a:schemeClr>
              </a:solidFill>
            </a:ln>
          </c:spPr>
        </c:majorGridlines>
        <c:numFmt formatCode="0" sourceLinked="0"/>
        <c:tickLblPos val="nextTo"/>
        <c:spPr>
          <a:ln>
            <a:solidFill>
              <a:schemeClr val="tx1"/>
            </a:solidFill>
          </a:ln>
        </c:spPr>
        <c:crossAx val="100911744"/>
        <c:crosses val="autoZero"/>
        <c:crossBetween val="between"/>
        <c:majorUnit val="1"/>
      </c:valAx>
      <c:spPr>
        <a:ln>
          <a:solidFill>
            <a:schemeClr val="tx1"/>
          </a:solidFill>
        </a:ln>
      </c:spPr>
    </c:plotArea>
    <c:legend>
      <c:legendPos val="b"/>
      <c:layout>
        <c:manualLayout>
          <c:xMode val="edge"/>
          <c:yMode val="edge"/>
          <c:x val="4.8782884397989404E-2"/>
          <c:y val="0.79016604750647301"/>
          <c:w val="0.92922619274506457"/>
          <c:h val="0.19462484520995013"/>
        </c:manualLayout>
      </c:layout>
      <c:spPr>
        <a:ln w="6350">
          <a:solidFill>
            <a:schemeClr val="tx1"/>
          </a:solidFill>
        </a:ln>
      </c:spPr>
    </c:legend>
    <c:plotVisOnly val="1"/>
    <c:dispBlanksAs val="gap"/>
  </c:chart>
  <c:spPr>
    <a:ln>
      <a:noFill/>
    </a:ln>
  </c:spPr>
  <c:txPr>
    <a:bodyPr/>
    <a:lstStyle/>
    <a:p>
      <a:pPr>
        <a:defRPr sz="800" baseline="0">
          <a:latin typeface="Arial" pitchFamily="34" charset="0"/>
        </a:defRPr>
      </a:pPr>
      <a:endParaRPr lang="cs-CZ"/>
    </a:p>
  </c:tx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94EA0-C52B-47AF-B482-6DDA897E0A9C}">
  <ds:schemaRefs>
    <ds:schemaRef ds:uri="http://schemas.openxmlformats.org/officeDocument/2006/bibliography"/>
  </ds:schemaRefs>
</ds:datastoreItem>
</file>

<file path=customXml/itemProps2.xml><?xml version="1.0" encoding="utf-8"?>
<ds:datastoreItem xmlns:ds="http://schemas.openxmlformats.org/officeDocument/2006/customXml" ds:itemID="{CDE3AD0E-7ADE-4F74-ADD4-8C6F9C8DD79B}">
  <ds:schemaRefs>
    <ds:schemaRef ds:uri="http://schemas.openxmlformats.org/officeDocument/2006/bibliography"/>
  </ds:schemaRefs>
</ds:datastoreItem>
</file>

<file path=customXml/itemProps3.xml><?xml version="1.0" encoding="utf-8"?>
<ds:datastoreItem xmlns:ds="http://schemas.openxmlformats.org/officeDocument/2006/customXml" ds:itemID="{6D266D52-7567-4CEE-9D08-DE3251D05A42}">
  <ds:schemaRefs>
    <ds:schemaRef ds:uri="http://schemas.openxmlformats.org/officeDocument/2006/bibliography"/>
  </ds:schemaRefs>
</ds:datastoreItem>
</file>

<file path=customXml/itemProps4.xml><?xml version="1.0" encoding="utf-8"?>
<ds:datastoreItem xmlns:ds="http://schemas.openxmlformats.org/officeDocument/2006/customXml" ds:itemID="{1DA355E9-DCEB-420B-8345-E144134D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2</TotalTime>
  <Pages>5</Pages>
  <Words>1627</Words>
  <Characters>9604</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11209</CharactersWithSpaces>
  <SharedDoc>false</SharedDoc>
  <HLinks>
    <vt:vector size="66" baseType="variant">
      <vt:variant>
        <vt:i4>1376311</vt:i4>
      </vt:variant>
      <vt:variant>
        <vt:i4>50</vt:i4>
      </vt:variant>
      <vt:variant>
        <vt:i4>0</vt:i4>
      </vt:variant>
      <vt:variant>
        <vt:i4>5</vt:i4>
      </vt:variant>
      <vt:variant>
        <vt:lpwstr/>
      </vt:variant>
      <vt:variant>
        <vt:lpwstr>_Toc469327805</vt:lpwstr>
      </vt:variant>
      <vt:variant>
        <vt:i4>1376311</vt:i4>
      </vt:variant>
      <vt:variant>
        <vt:i4>44</vt:i4>
      </vt:variant>
      <vt:variant>
        <vt:i4>0</vt:i4>
      </vt:variant>
      <vt:variant>
        <vt:i4>5</vt:i4>
      </vt:variant>
      <vt:variant>
        <vt:lpwstr/>
      </vt:variant>
      <vt:variant>
        <vt:lpwstr>_Toc469327804</vt:lpwstr>
      </vt:variant>
      <vt:variant>
        <vt:i4>1376311</vt:i4>
      </vt:variant>
      <vt:variant>
        <vt:i4>38</vt:i4>
      </vt:variant>
      <vt:variant>
        <vt:i4>0</vt:i4>
      </vt:variant>
      <vt:variant>
        <vt:i4>5</vt:i4>
      </vt:variant>
      <vt:variant>
        <vt:lpwstr/>
      </vt:variant>
      <vt:variant>
        <vt:lpwstr>_Toc469327803</vt:lpwstr>
      </vt:variant>
      <vt:variant>
        <vt:i4>1376311</vt:i4>
      </vt:variant>
      <vt:variant>
        <vt:i4>32</vt:i4>
      </vt:variant>
      <vt:variant>
        <vt:i4>0</vt:i4>
      </vt:variant>
      <vt:variant>
        <vt:i4>5</vt:i4>
      </vt:variant>
      <vt:variant>
        <vt:lpwstr/>
      </vt:variant>
      <vt:variant>
        <vt:lpwstr>_Toc469327802</vt:lpwstr>
      </vt:variant>
      <vt:variant>
        <vt:i4>1376311</vt:i4>
      </vt:variant>
      <vt:variant>
        <vt:i4>26</vt:i4>
      </vt:variant>
      <vt:variant>
        <vt:i4>0</vt:i4>
      </vt:variant>
      <vt:variant>
        <vt:i4>5</vt:i4>
      </vt:variant>
      <vt:variant>
        <vt:lpwstr/>
      </vt:variant>
      <vt:variant>
        <vt:lpwstr>_Toc469327801</vt:lpwstr>
      </vt:variant>
      <vt:variant>
        <vt:i4>1376311</vt:i4>
      </vt:variant>
      <vt:variant>
        <vt:i4>20</vt:i4>
      </vt:variant>
      <vt:variant>
        <vt:i4>0</vt:i4>
      </vt:variant>
      <vt:variant>
        <vt:i4>5</vt:i4>
      </vt:variant>
      <vt:variant>
        <vt:lpwstr/>
      </vt:variant>
      <vt:variant>
        <vt:lpwstr>_Toc469327800</vt:lpwstr>
      </vt:variant>
      <vt:variant>
        <vt:i4>1835064</vt:i4>
      </vt:variant>
      <vt:variant>
        <vt:i4>14</vt:i4>
      </vt:variant>
      <vt:variant>
        <vt:i4>0</vt:i4>
      </vt:variant>
      <vt:variant>
        <vt:i4>5</vt:i4>
      </vt:variant>
      <vt:variant>
        <vt:lpwstr/>
      </vt:variant>
      <vt:variant>
        <vt:lpwstr>_Toc469327799</vt:lpwstr>
      </vt:variant>
      <vt:variant>
        <vt:i4>1835064</vt:i4>
      </vt:variant>
      <vt:variant>
        <vt:i4>8</vt:i4>
      </vt:variant>
      <vt:variant>
        <vt:i4>0</vt:i4>
      </vt:variant>
      <vt:variant>
        <vt:i4>5</vt:i4>
      </vt:variant>
      <vt:variant>
        <vt:lpwstr/>
      </vt:variant>
      <vt:variant>
        <vt:lpwstr>_Toc469327798</vt:lpwstr>
      </vt:variant>
      <vt:variant>
        <vt:i4>1835064</vt:i4>
      </vt:variant>
      <vt:variant>
        <vt:i4>2</vt:i4>
      </vt:variant>
      <vt:variant>
        <vt:i4>0</vt:i4>
      </vt:variant>
      <vt:variant>
        <vt:i4>5</vt:i4>
      </vt:variant>
      <vt:variant>
        <vt:lpwstr/>
      </vt:variant>
      <vt:variant>
        <vt:lpwstr>_Toc469327797</vt:lpwstr>
      </vt:variant>
      <vt:variant>
        <vt:i4>6553606</vt:i4>
      </vt:variant>
      <vt:variant>
        <vt:i4>3</vt:i4>
      </vt:variant>
      <vt:variant>
        <vt:i4>0</vt:i4>
      </vt:variant>
      <vt:variant>
        <vt:i4>5</vt:i4>
      </vt:variant>
      <vt:variant>
        <vt:lpwstr>mailto:jiri.kamenicky@czso.cz</vt:lpwstr>
      </vt:variant>
      <vt:variant>
        <vt:lpwstr/>
      </vt:variant>
      <vt:variant>
        <vt:i4>6553606</vt:i4>
      </vt:variant>
      <vt:variant>
        <vt:i4>0</vt:i4>
      </vt:variant>
      <vt:variant>
        <vt:i4>0</vt:i4>
      </vt:variant>
      <vt:variant>
        <vt:i4>5</vt:i4>
      </vt:variant>
      <vt:variant>
        <vt:lpwstr>mailto:jiri.kamenicky@czso.cz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3</cp:revision>
  <cp:lastPrinted>2018-03-14T17:02:00Z</cp:lastPrinted>
  <dcterms:created xsi:type="dcterms:W3CDTF">2018-04-23T12:09:00Z</dcterms:created>
  <dcterms:modified xsi:type="dcterms:W3CDTF">2018-04-23T12:11:00Z</dcterms:modified>
</cp:coreProperties>
</file>