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08" w:rsidRPr="0087703B" w:rsidRDefault="00F853A5" w:rsidP="002D536A">
      <w:pPr>
        <w:pStyle w:val="Nadpis1"/>
        <w:numPr>
          <w:ilvl w:val="0"/>
          <w:numId w:val="24"/>
        </w:numPr>
        <w:jc w:val="both"/>
        <w:rPr>
          <w:lang w:val="en-GB"/>
        </w:rPr>
      </w:pPr>
      <w:bookmarkStart w:id="0" w:name="_Toc493683640"/>
      <w:r w:rsidRPr="0087703B">
        <w:rPr>
          <w:lang w:val="en-GB"/>
        </w:rPr>
        <w:t>St</w:t>
      </w:r>
      <w:r w:rsidR="00CC47D7" w:rsidRPr="0087703B">
        <w:rPr>
          <w:lang w:val="en-GB"/>
        </w:rPr>
        <w:t>ate Budget</w:t>
      </w:r>
      <w:bookmarkEnd w:id="0"/>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717173" w:rsidRDefault="00CC47D7" w:rsidP="00853C0F">
            <w:pPr>
              <w:spacing w:line="240" w:lineRule="auto"/>
              <w:rPr>
                <w:rFonts w:cs="Arial"/>
                <w:color w:val="0D0D0D" w:themeColor="text1" w:themeTint="F2"/>
                <w:spacing w:val="-4"/>
                <w:sz w:val="16"/>
                <w:szCs w:val="16"/>
                <w:lang w:val="en-GB"/>
              </w:rPr>
            </w:pPr>
            <w:r w:rsidRPr="00717173">
              <w:rPr>
                <w:rFonts w:cs="Arial"/>
                <w:color w:val="0D0D0D" w:themeColor="text1" w:themeTint="F2"/>
                <w:spacing w:val="-4"/>
                <w:sz w:val="16"/>
                <w:szCs w:val="16"/>
                <w:lang w:val="en-GB"/>
              </w:rPr>
              <w:t>State budget was staying in surplus within H1 already for the fourth time in a row, its size was how</w:t>
            </w:r>
            <w:r w:rsidR="0087703B">
              <w:rPr>
                <w:rFonts w:cs="Arial"/>
                <w:color w:val="0D0D0D" w:themeColor="text1" w:themeTint="F2"/>
                <w:spacing w:val="-4"/>
                <w:sz w:val="16"/>
                <w:szCs w:val="16"/>
                <w:lang w:val="en-GB"/>
              </w:rPr>
              <w:t>ev</w:t>
            </w:r>
            <w:r w:rsidRPr="00717173">
              <w:rPr>
                <w:rFonts w:cs="Arial"/>
                <w:color w:val="0D0D0D" w:themeColor="text1" w:themeTint="F2"/>
                <w:spacing w:val="-4"/>
                <w:sz w:val="16"/>
                <w:szCs w:val="16"/>
                <w:lang w:val="en-GB"/>
              </w:rPr>
              <w:t>er lower year-on-year</w:t>
            </w:r>
            <w:r w:rsidR="001C3961" w:rsidRPr="00717173">
              <w:rPr>
                <w:rFonts w:cs="Arial"/>
                <w:color w:val="0D0D0D" w:themeColor="text1" w:themeTint="F2"/>
                <w:spacing w:val="-4"/>
                <w:sz w:val="16"/>
                <w:szCs w:val="16"/>
                <w:lang w:val="en-GB"/>
              </w:rPr>
              <w:t>.</w:t>
            </w: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CC47D7" w:rsidP="00853C0F">
            <w:pPr>
              <w:spacing w:line="240" w:lineRule="auto"/>
              <w:rPr>
                <w:rFonts w:cs="Arial"/>
                <w:color w:val="0D0D0D" w:themeColor="text1" w:themeTint="F2"/>
                <w:spacing w:val="-4"/>
                <w:sz w:val="16"/>
                <w:szCs w:val="16"/>
                <w:lang w:val="en-GB"/>
              </w:rPr>
            </w:pPr>
            <w:r w:rsidRPr="00717173">
              <w:rPr>
                <w:rFonts w:cs="Arial"/>
                <w:color w:val="0D0D0D" w:themeColor="text1" w:themeTint="F2"/>
                <w:spacing w:val="-4"/>
                <w:sz w:val="16"/>
                <w:szCs w:val="16"/>
                <w:lang w:val="en-GB"/>
              </w:rPr>
              <w:t xml:space="preserve">The marked decline of </w:t>
            </w:r>
            <w:r w:rsidR="003114A6">
              <w:rPr>
                <w:rFonts w:cs="Arial"/>
                <w:color w:val="0D0D0D" w:themeColor="text1" w:themeTint="F2"/>
                <w:spacing w:val="-4"/>
                <w:sz w:val="16"/>
                <w:szCs w:val="16"/>
                <w:lang w:val="en-GB"/>
              </w:rPr>
              <w:t>income</w:t>
            </w:r>
            <w:r w:rsidRPr="00717173">
              <w:rPr>
                <w:rFonts w:cs="Arial"/>
                <w:color w:val="0D0D0D" w:themeColor="text1" w:themeTint="F2"/>
                <w:spacing w:val="-4"/>
                <w:sz w:val="16"/>
                <w:szCs w:val="16"/>
                <w:lang w:val="en-GB"/>
              </w:rPr>
              <w:t xml:space="preserve"> flowing from the European funds anticipated by budget was only partially offset by </w:t>
            </w:r>
            <w:r w:rsidR="0087703B" w:rsidRPr="00717173">
              <w:rPr>
                <w:rFonts w:cs="Arial"/>
                <w:color w:val="0D0D0D" w:themeColor="text1" w:themeTint="F2"/>
                <w:spacing w:val="-4"/>
                <w:sz w:val="16"/>
                <w:szCs w:val="16"/>
                <w:lang w:val="en-GB"/>
              </w:rPr>
              <w:t>growing</w:t>
            </w:r>
            <w:r w:rsidRPr="00717173">
              <w:rPr>
                <w:rFonts w:cs="Arial"/>
                <w:color w:val="0D0D0D" w:themeColor="text1" w:themeTint="F2"/>
                <w:spacing w:val="-4"/>
                <w:sz w:val="16"/>
                <w:szCs w:val="16"/>
                <w:lang w:val="en-GB"/>
              </w:rPr>
              <w:t xml:space="preserve"> tax </w:t>
            </w:r>
            <w:r w:rsidR="003114A6">
              <w:rPr>
                <w:rFonts w:cs="Arial"/>
                <w:color w:val="0D0D0D" w:themeColor="text1" w:themeTint="F2"/>
                <w:spacing w:val="-4"/>
                <w:sz w:val="16"/>
                <w:szCs w:val="16"/>
                <w:lang w:val="en-GB"/>
              </w:rPr>
              <w:t>revenues</w:t>
            </w:r>
            <w:r w:rsidRPr="00717173">
              <w:rPr>
                <w:rFonts w:cs="Arial"/>
                <w:color w:val="0D0D0D" w:themeColor="text1" w:themeTint="F2"/>
                <w:spacing w:val="-4"/>
                <w:sz w:val="16"/>
                <w:szCs w:val="16"/>
                <w:lang w:val="en-GB"/>
              </w:rPr>
              <w:t>.</w:t>
            </w:r>
            <w:r w:rsidR="001C3961" w:rsidRPr="00717173">
              <w:rPr>
                <w:rFonts w:cs="Arial"/>
                <w:color w:val="0D0D0D" w:themeColor="text1" w:themeTint="F2"/>
                <w:spacing w:val="-4"/>
                <w:sz w:val="16"/>
                <w:szCs w:val="16"/>
                <w:lang w:val="en-GB"/>
              </w:rPr>
              <w:t xml:space="preserve"> </w:t>
            </w:r>
          </w:p>
        </w:tc>
        <w:tc>
          <w:tcPr>
            <w:tcW w:w="144" w:type="pct"/>
          </w:tcPr>
          <w:p w:rsidR="001C3961" w:rsidRPr="00717173" w:rsidRDefault="001C3961" w:rsidP="00853C0F">
            <w:pPr>
              <w:pStyle w:val="Textpoznpodarou"/>
              <w:jc w:val="both"/>
              <w:rPr>
                <w:rFonts w:cs="Arial"/>
                <w:color w:val="0D0D0D" w:themeColor="text1" w:themeTint="F2"/>
                <w:lang w:val="en-GB"/>
              </w:rPr>
            </w:pPr>
          </w:p>
        </w:tc>
        <w:tc>
          <w:tcPr>
            <w:tcW w:w="3840" w:type="pct"/>
          </w:tcPr>
          <w:p w:rsidR="001C3961" w:rsidRPr="002D536A" w:rsidRDefault="004B3DA2" w:rsidP="00853C0F">
            <w:pPr>
              <w:pStyle w:val="Textpoznpodarou"/>
              <w:jc w:val="both"/>
              <w:rPr>
                <w:rFonts w:cs="Arial"/>
                <w:color w:val="000000" w:themeColor="text1"/>
                <w:lang w:val="en-GB"/>
              </w:rPr>
            </w:pPr>
            <w:r w:rsidRPr="002D536A">
              <w:rPr>
                <w:rFonts w:cs="Arial"/>
                <w:color w:val="0D0D0D" w:themeColor="text1" w:themeTint="F2"/>
                <w:lang w:val="en-GB"/>
              </w:rPr>
              <w:t>State bud</w:t>
            </w:r>
            <w:r w:rsidR="007367BE" w:rsidRPr="002D536A">
              <w:rPr>
                <w:rFonts w:cs="Arial"/>
                <w:color w:val="0D0D0D" w:themeColor="text1" w:themeTint="F2"/>
                <w:lang w:val="en-GB"/>
              </w:rPr>
              <w:t>get</w:t>
            </w:r>
            <w:r w:rsidRPr="002D536A">
              <w:rPr>
                <w:rFonts w:cs="Arial"/>
                <w:color w:val="0D0D0D" w:themeColor="text1" w:themeTint="F2"/>
                <w:lang w:val="en-GB"/>
              </w:rPr>
              <w:t xml:space="preserve"> (SB) </w:t>
            </w:r>
            <w:r w:rsidR="007367BE" w:rsidRPr="002D536A">
              <w:rPr>
                <w:rFonts w:cs="Arial"/>
                <w:color w:val="0D0D0D" w:themeColor="text1" w:themeTint="F2"/>
                <w:lang w:val="en-GB"/>
              </w:rPr>
              <w:t xml:space="preserve">was most influenced by the strengthening economic growth together with the irregular cycle of the drawing of resources from the European funds in the course of the first half of the year. The SB achieved a moderate surplus of 4.6 </w:t>
            </w:r>
            <w:r w:rsidR="00467B4F" w:rsidRPr="002D536A">
              <w:rPr>
                <w:rFonts w:cs="Arial"/>
                <w:color w:val="0D0D0D" w:themeColor="text1" w:themeTint="F2"/>
                <w:lang w:val="en-GB"/>
              </w:rPr>
              <w:t xml:space="preserve">CZK </w:t>
            </w:r>
            <w:proofErr w:type="spellStart"/>
            <w:r w:rsidR="00467B4F" w:rsidRPr="002D536A">
              <w:rPr>
                <w:rFonts w:cs="Arial"/>
                <w:color w:val="0D0D0D" w:themeColor="text1" w:themeTint="F2"/>
                <w:lang w:val="en-GB"/>
              </w:rPr>
              <w:t>bn</w:t>
            </w:r>
            <w:proofErr w:type="spellEnd"/>
            <w:r w:rsidR="007367BE" w:rsidRPr="002D536A">
              <w:rPr>
                <w:rFonts w:cs="Arial"/>
                <w:color w:val="0D0D0D" w:themeColor="text1" w:themeTint="F2"/>
                <w:lang w:val="en-GB"/>
              </w:rPr>
              <w:t xml:space="preserve"> in H1 2017 (based on the data of the Ministry of Finance on cash fulfilment). The positive balance was in this period attained already for the fourth time in a </w:t>
            </w:r>
            <w:proofErr w:type="gramStart"/>
            <w:r w:rsidR="007367BE" w:rsidRPr="002D536A">
              <w:rPr>
                <w:rFonts w:cs="Arial"/>
                <w:color w:val="0D0D0D" w:themeColor="text1" w:themeTint="F2"/>
                <w:lang w:val="en-GB"/>
              </w:rPr>
              <w:t>row,</w:t>
            </w:r>
            <w:proofErr w:type="gramEnd"/>
            <w:r w:rsidR="007367BE" w:rsidRPr="002D536A">
              <w:rPr>
                <w:rFonts w:cs="Arial"/>
                <w:color w:val="0D0D0D" w:themeColor="text1" w:themeTint="F2"/>
                <w:lang w:val="en-GB"/>
              </w:rPr>
              <w:t xml:space="preserve"> this year´s result was however at the same time the weakest after year 2014. </w:t>
            </w:r>
            <w:r w:rsidR="00473E0B" w:rsidRPr="002D536A">
              <w:rPr>
                <w:rFonts w:cs="Arial"/>
                <w:color w:val="0D0D0D" w:themeColor="text1" w:themeTint="F2"/>
                <w:lang w:val="en-GB"/>
              </w:rPr>
              <w:t xml:space="preserve">The narrowing surplus mirrored the effect of the notable </w:t>
            </w:r>
            <w:r w:rsidR="0056260F" w:rsidRPr="002D536A">
              <w:rPr>
                <w:rFonts w:cs="Arial"/>
                <w:color w:val="0D0D0D" w:themeColor="text1" w:themeTint="F2"/>
                <w:lang w:val="en-GB"/>
              </w:rPr>
              <w:t>irregularities in the flows of the resources from the EU budget</w:t>
            </w:r>
            <w:r w:rsidR="001C3961" w:rsidRPr="002D536A">
              <w:rPr>
                <w:rStyle w:val="Znakapoznpodarou"/>
                <w:color w:val="0D0D0D" w:themeColor="text1" w:themeTint="F2"/>
                <w:lang w:val="en-GB"/>
              </w:rPr>
              <w:footnoteReference w:id="1"/>
            </w:r>
            <w:r w:rsidR="001C3961" w:rsidRPr="002D536A">
              <w:rPr>
                <w:rFonts w:cs="Arial"/>
                <w:color w:val="0D0D0D" w:themeColor="text1" w:themeTint="F2"/>
                <w:lang w:val="en-GB"/>
              </w:rPr>
              <w:t xml:space="preserve">. </w:t>
            </w:r>
            <w:r w:rsidR="0056260F" w:rsidRPr="002D536A">
              <w:rPr>
                <w:rFonts w:cs="Arial"/>
                <w:color w:val="0D0D0D" w:themeColor="text1" w:themeTint="F2"/>
                <w:lang w:val="en-GB"/>
              </w:rPr>
              <w:t>Revenues of the SB from the EU were by nearly 60</w:t>
            </w:r>
            <w:r w:rsidR="00954C8E" w:rsidRPr="002D536A">
              <w:rPr>
                <w:rFonts w:cs="Arial"/>
                <w:color w:val="0D0D0D" w:themeColor="text1" w:themeTint="F2"/>
                <w:lang w:val="en-GB"/>
              </w:rPr>
              <w:t>%</w:t>
            </w:r>
            <w:r w:rsidR="0056260F" w:rsidRPr="002D536A">
              <w:rPr>
                <w:rFonts w:cs="Arial"/>
                <w:color w:val="0D0D0D" w:themeColor="text1" w:themeTint="F2"/>
                <w:lang w:val="en-GB"/>
              </w:rPr>
              <w:t xml:space="preserve"> lower this year. This slump was connected with the fact, that the vast majority of the last year´s revenues </w:t>
            </w:r>
            <w:proofErr w:type="gramStart"/>
            <w:r w:rsidR="0056260F" w:rsidRPr="002D536A">
              <w:rPr>
                <w:rFonts w:cs="Arial"/>
                <w:color w:val="0D0D0D" w:themeColor="text1" w:themeTint="F2"/>
                <w:lang w:val="en-GB"/>
              </w:rPr>
              <w:t>was</w:t>
            </w:r>
            <w:proofErr w:type="gramEnd"/>
            <w:r w:rsidR="0056260F" w:rsidRPr="002D536A">
              <w:rPr>
                <w:rFonts w:cs="Arial"/>
                <w:color w:val="0D0D0D" w:themeColor="text1" w:themeTint="F2"/>
                <w:lang w:val="en-GB"/>
              </w:rPr>
              <w:t xml:space="preserve"> still linked to the programme period </w:t>
            </w:r>
            <w:r w:rsidR="00B6493D" w:rsidRPr="002D536A">
              <w:rPr>
                <w:lang w:val="en-GB"/>
              </w:rPr>
              <w:t xml:space="preserve">2007 </w:t>
            </w:r>
            <w:r w:rsidR="0056260F" w:rsidRPr="002D536A">
              <w:rPr>
                <w:lang w:val="en-GB"/>
              </w:rPr>
              <w:t>till</w:t>
            </w:r>
            <w:r w:rsidR="00B6493D" w:rsidRPr="002D536A">
              <w:rPr>
                <w:lang w:val="en-GB"/>
              </w:rPr>
              <w:t xml:space="preserve"> </w:t>
            </w:r>
            <w:r w:rsidR="001C3961" w:rsidRPr="002D536A">
              <w:rPr>
                <w:lang w:val="en-GB"/>
              </w:rPr>
              <w:t xml:space="preserve">2013 </w:t>
            </w:r>
            <w:r w:rsidR="0056260F" w:rsidRPr="002D536A">
              <w:rPr>
                <w:lang w:val="en-GB"/>
              </w:rPr>
              <w:t xml:space="preserve">and also with the slow last as well as this year´s onset of the drawing of funds in the new programme period. The favourable economic development further stimulated the growth of the total tax </w:t>
            </w:r>
            <w:r w:rsidR="003114A6" w:rsidRPr="002D536A">
              <w:rPr>
                <w:lang w:val="en-GB"/>
              </w:rPr>
              <w:t>revenues</w:t>
            </w:r>
            <w:r w:rsidR="0056260F" w:rsidRPr="002D536A">
              <w:rPr>
                <w:lang w:val="en-GB"/>
              </w:rPr>
              <w:t xml:space="preserve">, whose </w:t>
            </w:r>
            <w:r w:rsidR="00734EE6" w:rsidRPr="002D536A">
              <w:rPr>
                <w:lang w:val="en-GB"/>
              </w:rPr>
              <w:t>state-wide</w:t>
            </w:r>
            <w:r w:rsidR="0056260F" w:rsidRPr="002D536A">
              <w:rPr>
                <w:lang w:val="en-GB"/>
              </w:rPr>
              <w:t xml:space="preserve"> collection thus accelerated to 8.7</w:t>
            </w:r>
            <w:r w:rsidR="00954C8E" w:rsidRPr="002D536A">
              <w:rPr>
                <w:lang w:val="en-GB"/>
              </w:rPr>
              <w:t>%</w:t>
            </w:r>
            <w:r w:rsidR="0056260F" w:rsidRPr="002D536A">
              <w:rPr>
                <w:lang w:val="en-GB"/>
              </w:rPr>
              <w:t xml:space="preserve"> (the best result in the first half of the year after year 2005). The SB balance forming the key component of the deficit or surplus of the government institution sector arrived at +0.2</w:t>
            </w:r>
            <w:r w:rsidR="00954C8E" w:rsidRPr="002D536A">
              <w:rPr>
                <w:lang w:val="en-GB"/>
              </w:rPr>
              <w:t>%</w:t>
            </w:r>
            <w:r w:rsidR="0056260F" w:rsidRPr="002D536A">
              <w:rPr>
                <w:lang w:val="en-GB"/>
              </w:rPr>
              <w:t xml:space="preserve"> in relation to the nominal GDP (+1.7</w:t>
            </w:r>
            <w:r w:rsidR="00954C8E" w:rsidRPr="002D536A">
              <w:rPr>
                <w:lang w:val="en-GB"/>
              </w:rPr>
              <w:t>%</w:t>
            </w:r>
            <w:r w:rsidR="0056260F" w:rsidRPr="002D536A">
              <w:rPr>
                <w:lang w:val="en-GB"/>
              </w:rPr>
              <w:t xml:space="preserve"> a year ago). </w:t>
            </w:r>
          </w:p>
          <w:p w:rsidR="001C3961" w:rsidRPr="002D536A" w:rsidRDefault="001C3961" w:rsidP="00853C0F">
            <w:pPr>
              <w:pStyle w:val="Textpoznpodarou"/>
              <w:jc w:val="both"/>
              <w:rPr>
                <w:rFonts w:cs="Arial"/>
                <w:color w:val="0D0D0D" w:themeColor="text1" w:themeTint="F2"/>
                <w:sz w:val="15"/>
                <w:szCs w:val="15"/>
                <w:lang w:val="en-GB"/>
              </w:rPr>
            </w:pPr>
          </w:p>
        </w:tc>
      </w:tr>
      <w:tr w:rsidR="001C3961" w:rsidRPr="0094422D" w:rsidTr="00853C0F">
        <w:trPr>
          <w:trHeight w:val="145"/>
        </w:trPr>
        <w:tc>
          <w:tcPr>
            <w:tcW w:w="1016" w:type="pct"/>
            <w:shd w:val="clear" w:color="auto" w:fill="auto"/>
          </w:tcPr>
          <w:p w:rsidR="001C3961" w:rsidRPr="00DA06FE" w:rsidRDefault="00281E7F" w:rsidP="00853C0F">
            <w:pPr>
              <w:spacing w:line="240" w:lineRule="auto"/>
              <w:rPr>
                <w:rFonts w:cs="Arial"/>
                <w:color w:val="0D0D0D" w:themeColor="text1" w:themeTint="F2"/>
                <w:spacing w:val="-2"/>
                <w:sz w:val="16"/>
                <w:szCs w:val="16"/>
                <w:lang w:val="en-GB"/>
              </w:rPr>
            </w:pPr>
            <w:r w:rsidRPr="00DA06FE">
              <w:rPr>
                <w:rFonts w:cs="Arial"/>
                <w:color w:val="0D0D0D" w:themeColor="text1" w:themeTint="F2"/>
                <w:spacing w:val="-2"/>
                <w:sz w:val="16"/>
                <w:szCs w:val="16"/>
                <w:lang w:val="en-GB"/>
              </w:rPr>
              <w:t xml:space="preserve">Year-on-year rate of growth of the VAT collection accelerated during the first six months of year 2017. </w:t>
            </w:r>
          </w:p>
        </w:tc>
        <w:tc>
          <w:tcPr>
            <w:tcW w:w="144" w:type="pct"/>
          </w:tcPr>
          <w:p w:rsidR="001C3961" w:rsidRPr="00DA06FE" w:rsidRDefault="001C3961" w:rsidP="00853C0F">
            <w:pPr>
              <w:pStyle w:val="Textpoznpodarou"/>
              <w:jc w:val="both"/>
              <w:rPr>
                <w:rFonts w:cs="Arial"/>
                <w:color w:val="0D0D0D" w:themeColor="text1" w:themeTint="F2"/>
                <w:lang w:val="en-GB"/>
              </w:rPr>
            </w:pPr>
          </w:p>
        </w:tc>
        <w:tc>
          <w:tcPr>
            <w:tcW w:w="3840" w:type="pct"/>
          </w:tcPr>
          <w:p w:rsidR="001C3961" w:rsidRPr="002D536A" w:rsidRDefault="001C3961" w:rsidP="003D5135">
            <w:pPr>
              <w:spacing w:line="240" w:lineRule="auto"/>
              <w:jc w:val="both"/>
              <w:rPr>
                <w:rFonts w:cs="Arial"/>
                <w:color w:val="000000" w:themeColor="text1"/>
                <w:lang w:val="en-GB"/>
              </w:rPr>
            </w:pPr>
            <w:r w:rsidRPr="002D536A">
              <w:rPr>
                <w:rFonts w:cs="Arial"/>
                <w:color w:val="000000" w:themeColor="text1"/>
                <w:lang w:val="en-GB"/>
              </w:rPr>
              <w:t>T</w:t>
            </w:r>
            <w:r w:rsidR="00CC51B3" w:rsidRPr="002D536A">
              <w:rPr>
                <w:rFonts w:cs="Arial"/>
                <w:color w:val="000000" w:themeColor="text1"/>
                <w:lang w:val="en-GB"/>
              </w:rPr>
              <w:t xml:space="preserve">he rate of growth of the </w:t>
            </w:r>
            <w:r w:rsidR="00DA06FE" w:rsidRPr="002D536A">
              <w:rPr>
                <w:rFonts w:cs="Arial"/>
                <w:color w:val="000000" w:themeColor="text1"/>
                <w:lang w:val="en-GB"/>
              </w:rPr>
              <w:t>state-wide</w:t>
            </w:r>
            <w:r w:rsidR="00CC51B3" w:rsidRPr="002D536A">
              <w:rPr>
                <w:rFonts w:cs="Arial"/>
                <w:color w:val="000000" w:themeColor="text1"/>
                <w:lang w:val="en-GB"/>
              </w:rPr>
              <w:t xml:space="preserve"> collection of the weight dominant tax – VAT – more than doubled year-on-year – to 14.1</w:t>
            </w:r>
            <w:r w:rsidR="00954C8E" w:rsidRPr="002D536A">
              <w:rPr>
                <w:rFonts w:cs="Arial"/>
                <w:color w:val="000000" w:themeColor="text1"/>
                <w:lang w:val="en-GB"/>
              </w:rPr>
              <w:t>%</w:t>
            </w:r>
            <w:r w:rsidR="00CC51B3" w:rsidRPr="002D536A">
              <w:rPr>
                <w:rFonts w:cs="Arial"/>
                <w:color w:val="000000" w:themeColor="text1"/>
                <w:lang w:val="en-GB"/>
              </w:rPr>
              <w:t xml:space="preserve"> (it increased by 13.1</w:t>
            </w:r>
            <w:r w:rsidR="00954C8E" w:rsidRPr="002D536A">
              <w:rPr>
                <w:rFonts w:cs="Arial"/>
                <w:color w:val="000000" w:themeColor="text1"/>
                <w:lang w:val="en-GB"/>
              </w:rPr>
              <w:t>%</w:t>
            </w:r>
            <w:r w:rsidR="00CC51B3" w:rsidRPr="002D536A">
              <w:rPr>
                <w:rFonts w:cs="Arial"/>
                <w:color w:val="000000" w:themeColor="text1"/>
                <w:lang w:val="en-GB"/>
              </w:rPr>
              <w:t xml:space="preserve"> at the level of the SB)</w:t>
            </w:r>
            <w:r w:rsidR="00CC51B3" w:rsidRPr="002D536A">
              <w:rPr>
                <w:rStyle w:val="Znakapoznpodarou"/>
                <w:color w:val="000000" w:themeColor="text1"/>
                <w:lang w:val="en-GB"/>
              </w:rPr>
              <w:footnoteReference w:id="2"/>
            </w:r>
            <w:r w:rsidR="00CC51B3" w:rsidRPr="002D536A">
              <w:rPr>
                <w:rFonts w:cs="Arial"/>
                <w:color w:val="000000" w:themeColor="text1"/>
                <w:lang w:val="en-GB"/>
              </w:rPr>
              <w:t xml:space="preserve"> primarily due to the pace acceleration in Q2 2017. The recent transfer of some activities from the grey economy due to the effect of the recent measures, introduced on the side of the tax </w:t>
            </w:r>
            <w:r w:rsidR="00965B40" w:rsidRPr="002D536A">
              <w:rPr>
                <w:rFonts w:cs="Arial"/>
                <w:color w:val="000000" w:themeColor="text1"/>
                <w:lang w:val="en-GB"/>
              </w:rPr>
              <w:t>collection</w:t>
            </w:r>
            <w:r w:rsidR="00CC51B3" w:rsidRPr="002D536A">
              <w:rPr>
                <w:rFonts w:cs="Arial"/>
                <w:color w:val="000000" w:themeColor="text1"/>
                <w:lang w:val="en-GB"/>
              </w:rPr>
              <w:t xml:space="preserve">, likely also partially contributed to this result. </w:t>
            </w:r>
            <w:r w:rsidR="002443A7" w:rsidRPr="002D536A">
              <w:rPr>
                <w:rFonts w:cs="Arial"/>
                <w:color w:val="000000" w:themeColor="text1"/>
                <w:lang w:val="en-GB"/>
              </w:rPr>
              <w:t xml:space="preserve">The </w:t>
            </w:r>
            <w:r w:rsidR="00DA06FE" w:rsidRPr="002D536A">
              <w:rPr>
                <w:rFonts w:cs="Arial"/>
                <w:color w:val="000000" w:themeColor="text1"/>
                <w:lang w:val="en-GB"/>
              </w:rPr>
              <w:t>long term</w:t>
            </w:r>
            <w:r w:rsidR="002443A7" w:rsidRPr="002D536A">
              <w:rPr>
                <w:rFonts w:cs="Arial"/>
                <w:color w:val="000000" w:themeColor="text1"/>
                <w:lang w:val="en-GB"/>
              </w:rPr>
              <w:t xml:space="preserve"> favourable development of the economy, which was manifested also by the swift growth of final consumption expenditure in H1 </w:t>
            </w:r>
            <w:r w:rsidRPr="002D536A">
              <w:rPr>
                <w:rFonts w:cs="Arial"/>
                <w:color w:val="000000" w:themeColor="text1"/>
                <w:lang w:val="en-GB"/>
              </w:rPr>
              <w:t>(</w:t>
            </w:r>
            <w:r w:rsidR="002443A7" w:rsidRPr="002D536A">
              <w:rPr>
                <w:rFonts w:cs="Arial"/>
                <w:color w:val="000000" w:themeColor="text1"/>
                <w:lang w:val="en-GB"/>
              </w:rPr>
              <w:t>in nominal terms by 6.1</w:t>
            </w:r>
            <w:r w:rsidR="00954C8E" w:rsidRPr="002D536A">
              <w:rPr>
                <w:rFonts w:cs="Arial"/>
                <w:color w:val="000000" w:themeColor="text1"/>
                <w:lang w:val="en-GB"/>
              </w:rPr>
              <w:t>%</w:t>
            </w:r>
            <w:r w:rsidR="002443A7" w:rsidRPr="002D536A">
              <w:rPr>
                <w:rFonts w:cs="Arial"/>
                <w:color w:val="000000" w:themeColor="text1"/>
                <w:lang w:val="en-GB"/>
              </w:rPr>
              <w:t xml:space="preserve"> for households, by 5.5</w:t>
            </w:r>
            <w:r w:rsidR="00954C8E" w:rsidRPr="002D536A">
              <w:rPr>
                <w:rFonts w:cs="Arial"/>
                <w:color w:val="000000" w:themeColor="text1"/>
                <w:lang w:val="en-GB"/>
              </w:rPr>
              <w:t>%</w:t>
            </w:r>
            <w:r w:rsidR="002443A7" w:rsidRPr="002D536A">
              <w:rPr>
                <w:rFonts w:cs="Arial"/>
                <w:color w:val="000000" w:themeColor="text1"/>
                <w:lang w:val="en-GB"/>
              </w:rPr>
              <w:t xml:space="preserve"> for the government institutions</w:t>
            </w:r>
            <w:r w:rsidRPr="002D536A">
              <w:rPr>
                <w:rStyle w:val="Znakapoznpodarou"/>
                <w:color w:val="000000" w:themeColor="text1"/>
                <w:lang w:val="en-GB"/>
              </w:rPr>
              <w:footnoteReference w:id="3"/>
            </w:r>
            <w:r w:rsidR="00D31EA5" w:rsidRPr="002D536A">
              <w:rPr>
                <w:rFonts w:cs="Arial"/>
                <w:color w:val="000000" w:themeColor="text1"/>
                <w:lang w:val="en-GB"/>
              </w:rPr>
              <w:t>)</w:t>
            </w:r>
            <w:r w:rsidR="003D5135" w:rsidRPr="002D536A">
              <w:rPr>
                <w:rFonts w:cs="Arial"/>
                <w:color w:val="000000" w:themeColor="text1"/>
                <w:lang w:val="en-GB"/>
              </w:rPr>
              <w:t xml:space="preserve"> had also positive effect</w:t>
            </w:r>
            <w:r w:rsidRPr="002D536A">
              <w:rPr>
                <w:rFonts w:cs="Arial"/>
                <w:color w:val="000000" w:themeColor="text1"/>
                <w:lang w:val="en-GB"/>
              </w:rPr>
              <w:t xml:space="preserve">. </w:t>
            </w:r>
            <w:r w:rsidR="00A77C13" w:rsidRPr="002D536A">
              <w:rPr>
                <w:rFonts w:cs="Arial"/>
                <w:color w:val="000000" w:themeColor="text1"/>
                <w:lang w:val="en-GB"/>
              </w:rPr>
              <w:t xml:space="preserve">This year´s growth of the VAT collection is also affected by the fact, that its last year´s collection (in contrast to other taxes important by volume) did not tightly fulfil the budget anticipations. </w:t>
            </w:r>
            <w:r w:rsidR="003D5135" w:rsidRPr="002D536A">
              <w:rPr>
                <w:rFonts w:cs="Arial"/>
                <w:color w:val="000000" w:themeColor="text1"/>
                <w:lang w:val="en-GB"/>
              </w:rPr>
              <w:t>On the contrary t</w:t>
            </w:r>
            <w:r w:rsidR="00162714" w:rsidRPr="002D536A">
              <w:rPr>
                <w:rFonts w:cs="Arial"/>
                <w:color w:val="000000" w:themeColor="text1"/>
                <w:lang w:val="en-GB"/>
              </w:rPr>
              <w:t xml:space="preserve">he lowering of the VAT rate for the food service activities </w:t>
            </w:r>
            <w:r w:rsidR="003D5135" w:rsidRPr="002D536A">
              <w:rPr>
                <w:rFonts w:cs="Arial"/>
                <w:color w:val="000000" w:themeColor="text1"/>
                <w:lang w:val="en-GB"/>
              </w:rPr>
              <w:t xml:space="preserve">as well as for newspapers and magazines </w:t>
            </w:r>
            <w:r w:rsidR="00162714" w:rsidRPr="002D536A">
              <w:rPr>
                <w:rFonts w:cs="Arial"/>
                <w:color w:val="000000" w:themeColor="text1"/>
                <w:lang w:val="en-GB"/>
              </w:rPr>
              <w:t>had a partial negative impact on th</w:t>
            </w:r>
            <w:r w:rsidR="003D5135" w:rsidRPr="002D536A">
              <w:rPr>
                <w:rFonts w:cs="Arial"/>
                <w:color w:val="000000" w:themeColor="text1"/>
                <w:lang w:val="en-GB"/>
              </w:rPr>
              <w:t>is year´s</w:t>
            </w:r>
            <w:r w:rsidR="00162714" w:rsidRPr="002D536A">
              <w:rPr>
                <w:rFonts w:cs="Arial"/>
                <w:color w:val="000000" w:themeColor="text1"/>
                <w:lang w:val="en-GB"/>
              </w:rPr>
              <w:t xml:space="preserve"> collection of the tax. </w:t>
            </w: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p w:rsidR="002D536A" w:rsidRPr="002D536A" w:rsidRDefault="002D536A" w:rsidP="003D5135">
            <w:pPr>
              <w:spacing w:line="240" w:lineRule="auto"/>
              <w:jc w:val="both"/>
              <w:rPr>
                <w:rFonts w:cs="Arial"/>
                <w:color w:val="000000" w:themeColor="text1"/>
                <w:lang w:val="en-GB"/>
              </w:rPr>
            </w:pPr>
          </w:p>
        </w:tc>
      </w:tr>
    </w:tbl>
    <w:p w:rsidR="001C3961" w:rsidRPr="00FF5A0D" w:rsidRDefault="001C3961" w:rsidP="001C3961">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87703B" w:rsidP="00853C0F">
            <w:pPr>
              <w:pStyle w:val="Textpoznpodarou"/>
              <w:jc w:val="both"/>
              <w:rPr>
                <w:highlight w:val="yellow"/>
              </w:rPr>
            </w:pPr>
            <w:r>
              <w:rPr>
                <w:color w:val="000000"/>
              </w:rPr>
              <w:t>Chart</w:t>
            </w:r>
            <w:r w:rsidR="001C3961">
              <w:rPr>
                <w:color w:val="000000"/>
              </w:rPr>
              <w:t xml:space="preserve"> 20</w:t>
            </w:r>
          </w:p>
        </w:tc>
        <w:tc>
          <w:tcPr>
            <w:tcW w:w="3262" w:type="pct"/>
          </w:tcPr>
          <w:p w:rsidR="001C3961" w:rsidRPr="00FC540C" w:rsidRDefault="00FC540C" w:rsidP="00853C0F">
            <w:pPr>
              <w:spacing w:line="240" w:lineRule="auto"/>
              <w:rPr>
                <w:rFonts w:cs="Arial"/>
                <w:bCs/>
                <w:lang w:val="en-GB"/>
              </w:rPr>
            </w:pPr>
            <w:r w:rsidRPr="00FC540C">
              <w:rPr>
                <w:rFonts w:cs="Arial"/>
                <w:b/>
                <w:bCs/>
                <w:lang w:val="en-GB"/>
              </w:rPr>
              <w:t xml:space="preserve">State wide collection of tax income </w:t>
            </w:r>
            <w:r w:rsidR="001C3961" w:rsidRPr="00FC540C">
              <w:rPr>
                <w:rFonts w:cs="Arial"/>
                <w:bCs/>
                <w:lang w:val="en-GB"/>
              </w:rPr>
              <w:t>(</w:t>
            </w:r>
            <w:r w:rsidRPr="00FC540C">
              <w:rPr>
                <w:rFonts w:cs="Arial"/>
                <w:bCs/>
                <w:lang w:val="en-GB"/>
              </w:rPr>
              <w:t xml:space="preserve">year-on-year </w:t>
            </w:r>
            <w:r w:rsidR="00954C8E">
              <w:rPr>
                <w:rFonts w:cs="Arial"/>
                <w:bCs/>
                <w:lang w:val="en-GB"/>
              </w:rPr>
              <w:t>in %</w:t>
            </w:r>
            <w:r w:rsidR="001C3961" w:rsidRPr="00FC540C">
              <w:rPr>
                <w:bCs/>
                <w:spacing w:val="-2"/>
                <w:lang w:val="en-GB"/>
              </w:rPr>
              <w:t>)</w:t>
            </w:r>
            <w:r w:rsidR="001C3961" w:rsidRPr="00FC540C">
              <w:rPr>
                <w:rFonts w:cs="Arial"/>
                <w:bCs/>
                <w:lang w:val="en-GB"/>
              </w:rPr>
              <w:t xml:space="preserve"> </w:t>
            </w:r>
          </w:p>
          <w:p w:rsidR="001C3961" w:rsidRPr="0007324C" w:rsidRDefault="00FC540C" w:rsidP="00853C0F">
            <w:pPr>
              <w:spacing w:line="240" w:lineRule="auto"/>
              <w:rPr>
                <w:rFonts w:cs="Arial"/>
                <w:b/>
                <w:bCs/>
              </w:rPr>
            </w:pPr>
            <w:r w:rsidRPr="00FC540C">
              <w:rPr>
                <w:rFonts w:cs="Arial"/>
                <w:b/>
                <w:bCs/>
                <w:lang w:val="en-GB"/>
              </w:rPr>
              <w:t xml:space="preserve">and state budget balance </w:t>
            </w:r>
            <w:r w:rsidR="001C3961" w:rsidRPr="00FC540C">
              <w:rPr>
                <w:rFonts w:cs="Arial"/>
                <w:bCs/>
                <w:lang w:val="en-GB"/>
              </w:rPr>
              <w:t>(</w:t>
            </w:r>
            <w:r w:rsidRPr="00FC540C">
              <w:rPr>
                <w:rFonts w:cs="Arial"/>
                <w:bCs/>
                <w:lang w:val="en-GB"/>
              </w:rPr>
              <w:t xml:space="preserve">in CZK </w:t>
            </w:r>
            <w:proofErr w:type="spellStart"/>
            <w:r w:rsidRPr="00FC540C">
              <w:rPr>
                <w:rFonts w:cs="Arial"/>
                <w:bCs/>
                <w:lang w:val="en-GB"/>
              </w:rPr>
              <w:t>bn</w:t>
            </w:r>
            <w:proofErr w:type="spellEnd"/>
            <w:r w:rsidR="001C3961" w:rsidRPr="00FC540C">
              <w:rPr>
                <w:rFonts w:cs="Arial"/>
                <w:bCs/>
                <w:lang w:val="en-GB"/>
              </w:rPr>
              <w:t xml:space="preserve">) </w:t>
            </w:r>
            <w:r w:rsidRPr="00FC540C">
              <w:rPr>
                <w:rFonts w:cs="Arial"/>
                <w:b/>
                <w:bCs/>
                <w:lang w:val="en-GB"/>
              </w:rPr>
              <w:t>in 1st half-years</w:t>
            </w:r>
            <w:r w:rsidR="001C3961">
              <w:rPr>
                <w:rFonts w:cs="Arial"/>
                <w:b/>
                <w:bCs/>
              </w:rPr>
              <w:t xml:space="preserve"> </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3D5135" w:rsidP="00853C0F">
            <w:pPr>
              <w:pStyle w:val="Textpoznpodarou"/>
              <w:ind w:left="-124"/>
              <w:jc w:val="both"/>
              <w:rPr>
                <w:sz w:val="16"/>
                <w:szCs w:val="16"/>
              </w:rPr>
            </w:pPr>
            <w:r w:rsidRPr="003D5135">
              <w:rPr>
                <w:noProof/>
                <w:sz w:val="16"/>
                <w:szCs w:val="16"/>
              </w:rPr>
              <w:drawing>
                <wp:inline distT="0" distB="0" distL="0" distR="0">
                  <wp:extent cx="4752000" cy="3528000"/>
                  <wp:effectExtent l="1905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6640" w:rsidRDefault="00A77C13">
            <w:pPr>
              <w:pStyle w:val="Textpoznpodarou"/>
              <w:ind w:left="-124"/>
              <w:jc w:val="right"/>
              <w:rPr>
                <w:sz w:val="14"/>
                <w:szCs w:val="14"/>
              </w:rPr>
            </w:pPr>
            <w:proofErr w:type="spellStart"/>
            <w:r>
              <w:rPr>
                <w:rFonts w:cs="Arial"/>
                <w:sz w:val="14"/>
                <w:szCs w:val="14"/>
              </w:rPr>
              <w:t>Source</w:t>
            </w:r>
            <w:proofErr w:type="spellEnd"/>
            <w:r w:rsidR="001C3961" w:rsidRPr="00535F78">
              <w:rPr>
                <w:rFonts w:cs="Arial"/>
                <w:sz w:val="14"/>
                <w:szCs w:val="14"/>
              </w:rPr>
              <w:t>: MF</w:t>
            </w:r>
            <w:r w:rsidR="005B4B28">
              <w:rPr>
                <w:rFonts w:cs="Arial"/>
                <w:sz w:val="14"/>
                <w:szCs w:val="14"/>
              </w:rPr>
              <w:t xml:space="preserve"> C</w:t>
            </w:r>
            <w:r w:rsidR="004E09D4">
              <w:rPr>
                <w:rFonts w:cs="Arial"/>
                <w:sz w:val="14"/>
                <w:szCs w:val="14"/>
              </w:rPr>
              <w:t>R</w:t>
            </w:r>
          </w:p>
        </w:tc>
      </w:tr>
    </w:tbl>
    <w:p w:rsidR="001C3961" w:rsidRPr="004E09D4"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6B1684" w:rsidRDefault="001C0684" w:rsidP="00853C0F">
            <w:pPr>
              <w:spacing w:line="240" w:lineRule="auto"/>
              <w:rPr>
                <w:rFonts w:cs="Arial"/>
                <w:bCs/>
                <w:iCs/>
                <w:color w:val="0D0D0D" w:themeColor="text1" w:themeTint="F2"/>
                <w:spacing w:val="-2"/>
                <w:sz w:val="16"/>
                <w:szCs w:val="16"/>
                <w:lang w:val="en-GB"/>
              </w:rPr>
            </w:pPr>
            <w:r w:rsidRPr="006B1684">
              <w:rPr>
                <w:rFonts w:cs="Arial"/>
                <w:bCs/>
                <w:iCs/>
                <w:color w:val="0D0D0D" w:themeColor="text1" w:themeTint="F2"/>
                <w:sz w:val="16"/>
                <w:szCs w:val="16"/>
                <w:lang w:val="en-GB"/>
              </w:rPr>
              <w:t>The mild growth of the collection of the consumption taxes was affected by short</w:t>
            </w:r>
            <w:r w:rsidR="00F925B7">
              <w:rPr>
                <w:rFonts w:cs="Arial"/>
                <w:bCs/>
                <w:iCs/>
                <w:color w:val="0D0D0D" w:themeColor="text1" w:themeTint="F2"/>
                <w:sz w:val="16"/>
                <w:szCs w:val="16"/>
                <w:lang w:val="en-GB"/>
              </w:rPr>
              <w:t xml:space="preserve"> t</w:t>
            </w:r>
            <w:r w:rsidRPr="006B1684">
              <w:rPr>
                <w:rFonts w:cs="Arial"/>
                <w:bCs/>
                <w:iCs/>
                <w:color w:val="0D0D0D" w:themeColor="text1" w:themeTint="F2"/>
                <w:sz w:val="16"/>
                <w:szCs w:val="16"/>
                <w:lang w:val="en-GB"/>
              </w:rPr>
              <w:t xml:space="preserve">erm lowering of the collection of tax on tobacco products in the first half of the year. </w:t>
            </w:r>
            <w:r w:rsidR="001C3961" w:rsidRPr="006B1684">
              <w:rPr>
                <w:rFonts w:cs="Arial"/>
                <w:bCs/>
                <w:iCs/>
                <w:color w:val="0D0D0D" w:themeColor="text1" w:themeTint="F2"/>
                <w:sz w:val="16"/>
                <w:szCs w:val="16"/>
                <w:lang w:val="en-GB"/>
              </w:rPr>
              <w:t xml:space="preserve"> </w:t>
            </w:r>
          </w:p>
        </w:tc>
        <w:tc>
          <w:tcPr>
            <w:tcW w:w="144" w:type="pct"/>
          </w:tcPr>
          <w:p w:rsidR="001C3961" w:rsidRPr="006B1684" w:rsidRDefault="001C3961" w:rsidP="00853C0F">
            <w:pPr>
              <w:pStyle w:val="Textpoznpodarou"/>
              <w:jc w:val="both"/>
              <w:rPr>
                <w:rFonts w:cs="Arial"/>
                <w:color w:val="0D0D0D" w:themeColor="text1" w:themeTint="F2"/>
                <w:lang w:val="en-GB"/>
              </w:rPr>
            </w:pPr>
          </w:p>
        </w:tc>
        <w:tc>
          <w:tcPr>
            <w:tcW w:w="3840" w:type="pct"/>
          </w:tcPr>
          <w:p w:rsidR="00E84AAD" w:rsidRDefault="00F925B7" w:rsidP="009C6B47">
            <w:pPr>
              <w:pStyle w:val="Textpoznpodarou"/>
              <w:jc w:val="both"/>
              <w:rPr>
                <w:spacing w:val="-2"/>
                <w:lang w:val="en-GB"/>
              </w:rPr>
            </w:pPr>
            <w:r>
              <w:rPr>
                <w:rFonts w:cs="Arial"/>
                <w:color w:val="000000" w:themeColor="text1"/>
                <w:spacing w:val="-2"/>
                <w:lang w:val="en-GB"/>
              </w:rPr>
              <w:t xml:space="preserve">The growth of the collection of all consumption taxes (against the rates from year 2016) was slowing down this year. The SB </w:t>
            </w:r>
            <w:r w:rsidR="00C362A5">
              <w:rPr>
                <w:rFonts w:cs="Arial"/>
                <w:color w:val="000000" w:themeColor="text1"/>
                <w:spacing w:val="-2"/>
                <w:lang w:val="en-GB"/>
              </w:rPr>
              <w:t>acquired</w:t>
            </w:r>
            <w:r>
              <w:rPr>
                <w:rFonts w:cs="Arial"/>
                <w:color w:val="000000" w:themeColor="text1"/>
                <w:spacing w:val="-2"/>
                <w:lang w:val="en-GB"/>
              </w:rPr>
              <w:t xml:space="preserve"> by 2.3</w:t>
            </w:r>
            <w:r w:rsidR="00954C8E">
              <w:rPr>
                <w:rFonts w:cs="Arial"/>
                <w:color w:val="000000" w:themeColor="text1"/>
                <w:spacing w:val="-2"/>
                <w:lang w:val="en-GB"/>
              </w:rPr>
              <w:t>%</w:t>
            </w:r>
            <w:r>
              <w:rPr>
                <w:rFonts w:cs="Arial"/>
                <w:color w:val="000000" w:themeColor="text1"/>
                <w:spacing w:val="-2"/>
                <w:lang w:val="en-GB"/>
              </w:rPr>
              <w:t xml:space="preserve"> more </w:t>
            </w:r>
            <w:r w:rsidR="00C362A5">
              <w:rPr>
                <w:rFonts w:cs="Arial"/>
                <w:color w:val="000000" w:themeColor="text1"/>
                <w:spacing w:val="-2"/>
                <w:lang w:val="en-GB"/>
              </w:rPr>
              <w:t>year-on-year in Q1, the revenue in effect stagnated in Q2</w:t>
            </w:r>
            <w:r w:rsidR="001C3961" w:rsidRPr="006B1684">
              <w:rPr>
                <w:rFonts w:cs="Arial"/>
                <w:color w:val="000000" w:themeColor="text1"/>
                <w:spacing w:val="-2"/>
                <w:lang w:val="en-GB"/>
              </w:rPr>
              <w:t>. T</w:t>
            </w:r>
            <w:r w:rsidR="00C362A5">
              <w:rPr>
                <w:rFonts w:cs="Arial"/>
                <w:color w:val="000000" w:themeColor="text1"/>
                <w:spacing w:val="-2"/>
                <w:lang w:val="en-GB"/>
              </w:rPr>
              <w:t>his development was mainly affected by the drop of collection of taxes on the tobacco products (by 2.4</w:t>
            </w:r>
            <w:r w:rsidR="00954C8E">
              <w:rPr>
                <w:rFonts w:cs="Arial"/>
                <w:color w:val="000000" w:themeColor="text1"/>
                <w:spacing w:val="-2"/>
                <w:lang w:val="en-GB"/>
              </w:rPr>
              <w:t>%</w:t>
            </w:r>
            <w:r w:rsidR="00C362A5">
              <w:rPr>
                <w:rFonts w:cs="Arial"/>
                <w:color w:val="000000" w:themeColor="text1"/>
                <w:spacing w:val="-2"/>
                <w:lang w:val="en-GB"/>
              </w:rPr>
              <w:t xml:space="preserve"> in H1). </w:t>
            </w:r>
            <w:r w:rsidR="009C6B47">
              <w:rPr>
                <w:rFonts w:cs="Arial"/>
                <w:color w:val="000000" w:themeColor="text1"/>
                <w:spacing w:val="-2"/>
                <w:lang w:val="en-GB"/>
              </w:rPr>
              <w:t>The administrative influences having a short term negative effect</w:t>
            </w:r>
            <w:r w:rsidR="001C3961" w:rsidRPr="006B1684">
              <w:rPr>
                <w:rStyle w:val="Znakapoznpodarou"/>
                <w:color w:val="0D0D0D" w:themeColor="text1" w:themeTint="F2"/>
                <w:spacing w:val="-2"/>
                <w:lang w:val="en-GB"/>
              </w:rPr>
              <w:footnoteReference w:id="4"/>
            </w:r>
            <w:r w:rsidR="001C3961" w:rsidRPr="006B1684">
              <w:rPr>
                <w:rFonts w:cs="Arial"/>
                <w:color w:val="0D0D0D" w:themeColor="text1" w:themeTint="F2"/>
                <w:spacing w:val="-2"/>
                <w:lang w:val="en-GB"/>
              </w:rPr>
              <w:t xml:space="preserve"> t</w:t>
            </w:r>
            <w:r w:rsidR="009C6B47">
              <w:rPr>
                <w:rFonts w:cs="Arial"/>
                <w:color w:val="0D0D0D" w:themeColor="text1" w:themeTint="F2"/>
                <w:spacing w:val="-2"/>
                <w:lang w:val="en-GB"/>
              </w:rPr>
              <w:t>hus exceeded the impact of the increase of rates of the consumption tax on tobacco products</w:t>
            </w:r>
            <w:r w:rsidR="001C3961" w:rsidRPr="006B1684">
              <w:rPr>
                <w:rStyle w:val="Znakapoznpodarou"/>
                <w:spacing w:val="-2"/>
                <w:lang w:val="en-GB"/>
              </w:rPr>
              <w:footnoteReference w:id="5"/>
            </w:r>
            <w:r w:rsidR="001C3961" w:rsidRPr="006B1684">
              <w:rPr>
                <w:spacing w:val="-2"/>
                <w:lang w:val="en-GB"/>
              </w:rPr>
              <w:t xml:space="preserve">. </w:t>
            </w:r>
            <w:r w:rsidR="002007DE">
              <w:rPr>
                <w:spacing w:val="-2"/>
                <w:lang w:val="en-GB"/>
              </w:rPr>
              <w:t xml:space="preserve">On the contrary, the collection of the weight dominant </w:t>
            </w:r>
            <w:r w:rsidR="009C6B47">
              <w:rPr>
                <w:spacing w:val="-2"/>
                <w:lang w:val="en-GB"/>
              </w:rPr>
              <w:t xml:space="preserve">consumption </w:t>
            </w:r>
            <w:r w:rsidR="002007DE">
              <w:rPr>
                <w:spacing w:val="-2"/>
                <w:lang w:val="en-GB"/>
              </w:rPr>
              <w:t xml:space="preserve">tax – on mineral oils – has been so far </w:t>
            </w:r>
            <w:r w:rsidR="009C6B47">
              <w:rPr>
                <w:spacing w:val="-2"/>
                <w:lang w:val="en-GB"/>
              </w:rPr>
              <w:t>fulfilling</w:t>
            </w:r>
            <w:r w:rsidR="002007DE">
              <w:rPr>
                <w:spacing w:val="-2"/>
                <w:lang w:val="en-GB"/>
              </w:rPr>
              <w:t xml:space="preserve"> </w:t>
            </w:r>
            <w:proofErr w:type="gramStart"/>
            <w:r w:rsidR="002007DE">
              <w:rPr>
                <w:spacing w:val="-2"/>
                <w:lang w:val="en-GB"/>
              </w:rPr>
              <w:t>this year´s budget anticipations</w:t>
            </w:r>
            <w:proofErr w:type="gramEnd"/>
            <w:r w:rsidR="002007DE">
              <w:rPr>
                <w:spacing w:val="-2"/>
                <w:lang w:val="en-GB"/>
              </w:rPr>
              <w:t>. It was higher by 2.5</w:t>
            </w:r>
            <w:r w:rsidR="00954C8E">
              <w:rPr>
                <w:spacing w:val="-2"/>
                <w:lang w:val="en-GB"/>
              </w:rPr>
              <w:t>%</w:t>
            </w:r>
            <w:r w:rsidR="002007DE">
              <w:rPr>
                <w:spacing w:val="-2"/>
                <w:lang w:val="en-GB"/>
              </w:rPr>
              <w:t xml:space="preserve"> compared to H1 </w:t>
            </w:r>
            <w:proofErr w:type="gramStart"/>
            <w:r w:rsidR="002007DE">
              <w:rPr>
                <w:spacing w:val="-2"/>
                <w:lang w:val="en-GB"/>
              </w:rPr>
              <w:t>2016,</w:t>
            </w:r>
            <w:proofErr w:type="gramEnd"/>
            <w:r w:rsidR="002007DE">
              <w:rPr>
                <w:spacing w:val="-2"/>
                <w:lang w:val="en-GB"/>
              </w:rPr>
              <w:t xml:space="preserve"> it was driven mostly by the higher consumption of the</w:t>
            </w:r>
            <w:r w:rsidR="004E7E53">
              <w:rPr>
                <w:spacing w:val="-2"/>
                <w:lang w:val="en-GB"/>
              </w:rPr>
              <w:t xml:space="preserve"> diesel fuel and </w:t>
            </w:r>
            <w:r w:rsidR="00D64644">
              <w:rPr>
                <w:spacing w:val="-2"/>
                <w:lang w:val="en-GB"/>
              </w:rPr>
              <w:t>jet fuel</w:t>
            </w:r>
            <w:r w:rsidR="001C3961" w:rsidRPr="006B1684">
              <w:rPr>
                <w:spacing w:val="-2"/>
                <w:lang w:val="en-GB"/>
              </w:rPr>
              <w:t xml:space="preserve">. </w:t>
            </w:r>
            <w:r w:rsidR="009C6B47">
              <w:rPr>
                <w:spacing w:val="-2"/>
                <w:lang w:val="en-GB"/>
              </w:rPr>
              <w:t xml:space="preserve">The introduction of the so called green fuel also into the animal </w:t>
            </w:r>
            <w:r w:rsidR="00D64644">
              <w:rPr>
                <w:spacing w:val="-2"/>
                <w:lang w:val="en-GB"/>
              </w:rPr>
              <w:t>primary production</w:t>
            </w:r>
            <w:r w:rsidR="009C6B47">
              <w:rPr>
                <w:spacing w:val="-2"/>
                <w:lang w:val="en-GB"/>
              </w:rPr>
              <w:t xml:space="preserve"> had the opposite negative effect.</w:t>
            </w:r>
          </w:p>
          <w:p w:rsidR="001C3961" w:rsidRPr="006B1684" w:rsidRDefault="001C3961" w:rsidP="009C6B47">
            <w:pPr>
              <w:pStyle w:val="Textpoznpodarou"/>
              <w:jc w:val="both"/>
              <w:rPr>
                <w:rFonts w:cs="Arial"/>
                <w:color w:val="0D0D0D" w:themeColor="text1" w:themeTint="F2"/>
                <w:spacing w:val="-2"/>
                <w:sz w:val="15"/>
                <w:szCs w:val="15"/>
                <w:lang w:val="en-GB"/>
              </w:rPr>
            </w:pPr>
          </w:p>
        </w:tc>
      </w:tr>
      <w:tr w:rsidR="001C3961" w:rsidRPr="0094422D" w:rsidTr="00853C0F">
        <w:trPr>
          <w:trHeight w:val="145"/>
        </w:trPr>
        <w:tc>
          <w:tcPr>
            <w:tcW w:w="1016" w:type="pct"/>
            <w:shd w:val="clear" w:color="auto" w:fill="auto"/>
          </w:tcPr>
          <w:p w:rsidR="00F65A44" w:rsidRDefault="00F65A44" w:rsidP="00F65A44">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 xml:space="preserve">Growth of the collection of the corporate taxes lagged behind the last year´s record pace. Rising wage costs were still more reflected in the growing </w:t>
            </w:r>
            <w:r w:rsidR="001434CE">
              <w:rPr>
                <w:rFonts w:cs="Arial"/>
                <w:bCs/>
                <w:iCs/>
                <w:color w:val="0D0D0D" w:themeColor="text1" w:themeTint="F2"/>
                <w:sz w:val="16"/>
                <w:szCs w:val="16"/>
                <w:lang w:val="en-GB"/>
              </w:rPr>
              <w:t xml:space="preserve">costs of </w:t>
            </w:r>
            <w:r>
              <w:rPr>
                <w:rFonts w:cs="Arial"/>
                <w:bCs/>
                <w:iCs/>
                <w:color w:val="0D0D0D" w:themeColor="text1" w:themeTint="F2"/>
                <w:sz w:val="16"/>
                <w:szCs w:val="16"/>
                <w:lang w:val="en-GB"/>
              </w:rPr>
              <w:t>wages</w:t>
            </w:r>
            <w:r w:rsidR="001434CE">
              <w:rPr>
                <w:rFonts w:cs="Arial"/>
                <w:bCs/>
                <w:iCs/>
                <w:color w:val="0D0D0D" w:themeColor="text1" w:themeTint="F2"/>
                <w:sz w:val="16"/>
                <w:szCs w:val="16"/>
                <w:lang w:val="en-GB"/>
              </w:rPr>
              <w:t xml:space="preserve">. </w:t>
            </w:r>
          </w:p>
          <w:p w:rsidR="001434CE" w:rsidRDefault="001434CE"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1C3961" w:rsidRPr="00F65A44" w:rsidRDefault="007B3048" w:rsidP="00F65A44">
            <w:pPr>
              <w:spacing w:line="240" w:lineRule="auto"/>
              <w:rPr>
                <w:rFonts w:cs="Arial"/>
                <w:bCs/>
                <w:iCs/>
                <w:color w:val="0D0D0D" w:themeColor="text1" w:themeTint="F2"/>
                <w:sz w:val="16"/>
                <w:szCs w:val="16"/>
                <w:lang w:val="en-GB"/>
              </w:rPr>
            </w:pPr>
            <w:r w:rsidRPr="00F65A44">
              <w:rPr>
                <w:rFonts w:cs="Arial"/>
                <w:bCs/>
                <w:iCs/>
                <w:color w:val="0D0D0D" w:themeColor="text1" w:themeTint="F2"/>
                <w:sz w:val="16"/>
                <w:szCs w:val="16"/>
                <w:lang w:val="en-GB"/>
              </w:rPr>
              <w:t xml:space="preserve">On the contrary the collection of </w:t>
            </w:r>
            <w:r w:rsidR="000D622A">
              <w:rPr>
                <w:rFonts w:cs="Arial"/>
                <w:bCs/>
                <w:iCs/>
                <w:color w:val="0D0D0D" w:themeColor="text1" w:themeTint="F2"/>
                <w:sz w:val="16"/>
                <w:szCs w:val="16"/>
                <w:lang w:val="en-GB"/>
              </w:rPr>
              <w:t xml:space="preserve">the income tax of natural persons from </w:t>
            </w:r>
            <w:r w:rsidR="00E84AAD">
              <w:rPr>
                <w:rFonts w:cs="Arial"/>
                <w:bCs/>
                <w:iCs/>
                <w:color w:val="0D0D0D" w:themeColor="text1" w:themeTint="F2"/>
                <w:sz w:val="16"/>
                <w:szCs w:val="16"/>
                <w:lang w:val="en-GB"/>
              </w:rPr>
              <w:t>employment</w:t>
            </w:r>
            <w:r w:rsidR="00F65A44" w:rsidRPr="00F65A44">
              <w:rPr>
                <w:rFonts w:cs="Arial"/>
                <w:bCs/>
                <w:iCs/>
                <w:color w:val="0D0D0D" w:themeColor="text1" w:themeTint="F2"/>
                <w:sz w:val="16"/>
                <w:szCs w:val="16"/>
                <w:lang w:val="en-GB"/>
              </w:rPr>
              <w:t xml:space="preserve"> </w:t>
            </w:r>
            <w:r w:rsidR="00F65A44" w:rsidRPr="00F65A44">
              <w:rPr>
                <w:rFonts w:cs="Arial"/>
                <w:bCs/>
                <w:iCs/>
                <w:color w:val="0D0D0D" w:themeColor="text1" w:themeTint="F2"/>
                <w:spacing w:val="-2"/>
                <w:sz w:val="16"/>
                <w:szCs w:val="16"/>
                <w:lang w:val="en-GB"/>
              </w:rPr>
              <w:t xml:space="preserve">further gained pace, since it benefited from the favourable situation on the labour market. </w:t>
            </w:r>
          </w:p>
        </w:tc>
        <w:tc>
          <w:tcPr>
            <w:tcW w:w="144" w:type="pct"/>
          </w:tcPr>
          <w:p w:rsidR="001C3961" w:rsidRPr="00F65A44" w:rsidRDefault="001C3961" w:rsidP="00853C0F">
            <w:pPr>
              <w:pStyle w:val="Textpoznpodarou"/>
              <w:jc w:val="both"/>
              <w:rPr>
                <w:rFonts w:cs="Arial"/>
                <w:color w:val="0D0D0D" w:themeColor="text1" w:themeTint="F2"/>
                <w:lang w:val="en-GB"/>
              </w:rPr>
            </w:pPr>
          </w:p>
        </w:tc>
        <w:tc>
          <w:tcPr>
            <w:tcW w:w="3840" w:type="pct"/>
          </w:tcPr>
          <w:p w:rsidR="001C3961" w:rsidRPr="00F65A44" w:rsidRDefault="001434CE" w:rsidP="00853C0F">
            <w:pPr>
              <w:pStyle w:val="Textpoznpodarou"/>
              <w:jc w:val="both"/>
              <w:rPr>
                <w:rFonts w:cs="Arial"/>
                <w:color w:val="0D0D0D" w:themeColor="text1" w:themeTint="F2"/>
                <w:spacing w:val="-2"/>
                <w:lang w:val="en-GB"/>
              </w:rPr>
            </w:pPr>
            <w:r>
              <w:rPr>
                <w:rFonts w:cs="Arial"/>
                <w:color w:val="0D0D0D" w:themeColor="text1" w:themeTint="F2"/>
                <w:spacing w:val="-2"/>
                <w:lang w:val="en-GB"/>
              </w:rPr>
              <w:t xml:space="preserve">Even though the </w:t>
            </w:r>
            <w:r w:rsidR="000D622A">
              <w:rPr>
                <w:rFonts w:cs="Arial"/>
                <w:color w:val="0D0D0D" w:themeColor="text1" w:themeTint="F2"/>
                <w:spacing w:val="-2"/>
                <w:lang w:val="en-GB"/>
              </w:rPr>
              <w:t>state-wide</w:t>
            </w:r>
            <w:r>
              <w:rPr>
                <w:rFonts w:cs="Arial"/>
                <w:color w:val="0D0D0D" w:themeColor="text1" w:themeTint="F2"/>
                <w:spacing w:val="-2"/>
                <w:lang w:val="en-GB"/>
              </w:rPr>
              <w:t xml:space="preserve"> collection of </w:t>
            </w:r>
            <w:r w:rsidR="000D622A">
              <w:rPr>
                <w:rFonts w:cs="Arial"/>
                <w:color w:val="0D0D0D" w:themeColor="text1" w:themeTint="F2"/>
                <w:spacing w:val="-2"/>
                <w:lang w:val="en-GB"/>
              </w:rPr>
              <w:t xml:space="preserve">corporate tax </w:t>
            </w:r>
            <w:r>
              <w:rPr>
                <w:rFonts w:cs="Arial"/>
                <w:color w:val="0D0D0D" w:themeColor="text1" w:themeTint="F2"/>
                <w:spacing w:val="-2"/>
                <w:lang w:val="en-GB"/>
              </w:rPr>
              <w:t>increased by brisk 7.6</w:t>
            </w:r>
            <w:r w:rsidR="00954C8E">
              <w:rPr>
                <w:rFonts w:cs="Arial"/>
                <w:color w:val="0D0D0D" w:themeColor="text1" w:themeTint="F2"/>
                <w:spacing w:val="-2"/>
                <w:lang w:val="en-GB"/>
              </w:rPr>
              <w:t>%</w:t>
            </w:r>
            <w:r>
              <w:rPr>
                <w:rFonts w:cs="Arial"/>
                <w:color w:val="0D0D0D" w:themeColor="text1" w:themeTint="F2"/>
                <w:spacing w:val="-2"/>
                <w:lang w:val="en-GB"/>
              </w:rPr>
              <w:t xml:space="preserve"> in H1, it presented the weakest result in the last four years. The slightly falling profitability of businesses from years 2016 (and partially also 2017) due to the growing wage costs already starts to be reflected in this year´s collection</w:t>
            </w:r>
            <w:r w:rsidR="001C3961" w:rsidRPr="00F65A44">
              <w:rPr>
                <w:rStyle w:val="Znakapoznpodarou"/>
                <w:color w:val="0D0D0D" w:themeColor="text1" w:themeTint="F2"/>
                <w:spacing w:val="-2"/>
                <w:lang w:val="en-GB"/>
              </w:rPr>
              <w:footnoteReference w:id="6"/>
            </w:r>
            <w:r w:rsidR="001C3961" w:rsidRPr="00F65A44">
              <w:rPr>
                <w:rFonts w:cs="Arial"/>
                <w:color w:val="0D0D0D" w:themeColor="text1" w:themeTint="F2"/>
                <w:spacing w:val="-2"/>
                <w:lang w:val="en-GB"/>
              </w:rPr>
              <w:t xml:space="preserve">. </w:t>
            </w:r>
            <w:r w:rsidR="004014D5">
              <w:rPr>
                <w:rFonts w:cs="Arial"/>
                <w:color w:val="0D0D0D" w:themeColor="text1" w:themeTint="F2"/>
                <w:spacing w:val="-2"/>
                <w:lang w:val="en-GB"/>
              </w:rPr>
              <w:t xml:space="preserve">The year-on-year rate of growth of the collection of </w:t>
            </w:r>
            <w:r w:rsidR="000D622A">
              <w:rPr>
                <w:rFonts w:cs="Arial"/>
                <w:color w:val="0D0D0D" w:themeColor="text1" w:themeTint="F2"/>
                <w:spacing w:val="-2"/>
                <w:lang w:val="en-GB"/>
              </w:rPr>
              <w:t xml:space="preserve">income tax of natural persons (ITNP) from dependent activity </w:t>
            </w:r>
            <w:r w:rsidR="004014D5">
              <w:rPr>
                <w:rFonts w:cs="Arial"/>
                <w:color w:val="0D0D0D" w:themeColor="text1" w:themeTint="F2"/>
                <w:spacing w:val="-2"/>
                <w:lang w:val="en-GB"/>
              </w:rPr>
              <w:t>kept further quickening and it strengthened by 12.6</w:t>
            </w:r>
            <w:r w:rsidR="00954C8E">
              <w:rPr>
                <w:rFonts w:cs="Arial"/>
                <w:color w:val="0D0D0D" w:themeColor="text1" w:themeTint="F2"/>
                <w:spacing w:val="-2"/>
                <w:lang w:val="en-GB"/>
              </w:rPr>
              <w:t>%</w:t>
            </w:r>
            <w:r w:rsidR="004014D5">
              <w:rPr>
                <w:rFonts w:cs="Arial"/>
                <w:color w:val="0D0D0D" w:themeColor="text1" w:themeTint="F2"/>
                <w:spacing w:val="-2"/>
                <w:lang w:val="en-GB"/>
              </w:rPr>
              <w:t xml:space="preserve"> for the whole half year. It thus tightly overtook the up-to-date record growth from the first half of year 2007. </w:t>
            </w:r>
            <w:r w:rsidR="00AF0522">
              <w:rPr>
                <w:rFonts w:cs="Arial"/>
                <w:color w:val="0D0D0D" w:themeColor="text1" w:themeTint="F2"/>
                <w:spacing w:val="-2"/>
                <w:lang w:val="en-GB"/>
              </w:rPr>
              <w:t>The collection was positive</w:t>
            </w:r>
            <w:r w:rsidR="007D4215">
              <w:rPr>
                <w:rFonts w:cs="Arial"/>
                <w:color w:val="0D0D0D" w:themeColor="text1" w:themeTint="F2"/>
                <w:spacing w:val="-2"/>
                <w:lang w:val="en-GB"/>
              </w:rPr>
              <w:t>ly</w:t>
            </w:r>
            <w:r w:rsidR="00AF0522">
              <w:rPr>
                <w:rFonts w:cs="Arial"/>
                <w:color w:val="0D0D0D" w:themeColor="text1" w:themeTint="F2"/>
                <w:spacing w:val="-2"/>
                <w:lang w:val="en-GB"/>
              </w:rPr>
              <w:t xml:space="preserve"> affected by the favourable situation on the labour market (high growth of employment, </w:t>
            </w:r>
            <w:proofErr w:type="gramStart"/>
            <w:r w:rsidR="00AF0522">
              <w:rPr>
                <w:rFonts w:cs="Arial"/>
                <w:color w:val="0D0D0D" w:themeColor="text1" w:themeTint="F2"/>
                <w:spacing w:val="-2"/>
                <w:lang w:val="en-GB"/>
              </w:rPr>
              <w:t>raising</w:t>
            </w:r>
            <w:proofErr w:type="gramEnd"/>
            <w:r w:rsidR="00AF0522">
              <w:rPr>
                <w:rFonts w:cs="Arial"/>
                <w:color w:val="0D0D0D" w:themeColor="text1" w:themeTint="F2"/>
                <w:spacing w:val="-2"/>
                <w:lang w:val="en-GB"/>
              </w:rPr>
              <w:t xml:space="preserve"> of average wages </w:t>
            </w:r>
            <w:r w:rsidR="00135C47">
              <w:rPr>
                <w:rFonts w:cs="Arial"/>
                <w:color w:val="0D0D0D" w:themeColor="text1" w:themeTint="F2"/>
                <w:spacing w:val="-2"/>
                <w:lang w:val="en-GB"/>
              </w:rPr>
              <w:t xml:space="preserve">both </w:t>
            </w:r>
            <w:r w:rsidR="00AF0522">
              <w:rPr>
                <w:rFonts w:cs="Arial"/>
                <w:color w:val="0D0D0D" w:themeColor="text1" w:themeTint="F2"/>
                <w:spacing w:val="-2"/>
                <w:lang w:val="en-GB"/>
              </w:rPr>
              <w:t>in the business sector a</w:t>
            </w:r>
            <w:r w:rsidR="00135C47">
              <w:rPr>
                <w:rFonts w:cs="Arial"/>
                <w:color w:val="0D0D0D" w:themeColor="text1" w:themeTint="F2"/>
                <w:spacing w:val="-2"/>
                <w:lang w:val="en-GB"/>
              </w:rPr>
              <w:t>nd th</w:t>
            </w:r>
            <w:r w:rsidR="00AF0522">
              <w:rPr>
                <w:rFonts w:cs="Arial"/>
                <w:color w:val="0D0D0D" w:themeColor="text1" w:themeTint="F2"/>
                <w:spacing w:val="-2"/>
                <w:lang w:val="en-GB"/>
              </w:rPr>
              <w:t xml:space="preserve">e activities with the dominance of state) as well as the </w:t>
            </w:r>
            <w:r w:rsidR="00135C47">
              <w:rPr>
                <w:rFonts w:cs="Arial"/>
                <w:color w:val="0D0D0D" w:themeColor="text1" w:themeTint="F2"/>
                <w:spacing w:val="-2"/>
                <w:lang w:val="en-GB"/>
              </w:rPr>
              <w:t>administrative measures of the state (repeated growth of the minimum wage limit, instruments to limit the grey economy).</w:t>
            </w:r>
            <w:r w:rsidR="001C3961" w:rsidRPr="00F65A44">
              <w:rPr>
                <w:rFonts w:cs="Arial"/>
                <w:spacing w:val="-2"/>
                <w:lang w:val="en-GB"/>
              </w:rPr>
              <w:t xml:space="preserve"> </w:t>
            </w:r>
            <w:r w:rsidR="00C965DE">
              <w:rPr>
                <w:rFonts w:cs="Arial"/>
                <w:spacing w:val="-2"/>
                <w:lang w:val="en-GB"/>
              </w:rPr>
              <w:t xml:space="preserve">The </w:t>
            </w:r>
            <w:r w:rsidR="007D4215">
              <w:rPr>
                <w:rFonts w:cs="Arial"/>
                <w:spacing w:val="-2"/>
                <w:lang w:val="en-GB"/>
              </w:rPr>
              <w:t>state-wide</w:t>
            </w:r>
            <w:r w:rsidR="00C965DE">
              <w:rPr>
                <w:rFonts w:cs="Arial"/>
                <w:spacing w:val="-2"/>
                <w:lang w:val="en-GB"/>
              </w:rPr>
              <w:t xml:space="preserve"> collection of the </w:t>
            </w:r>
            <w:r w:rsidR="007D4215">
              <w:rPr>
                <w:rFonts w:cs="Arial"/>
                <w:spacing w:val="-2"/>
                <w:lang w:val="en-GB"/>
              </w:rPr>
              <w:t xml:space="preserve">ITNP from the </w:t>
            </w:r>
            <w:r w:rsidR="001D3ADA">
              <w:rPr>
                <w:rFonts w:cs="Arial"/>
                <w:spacing w:val="-2"/>
                <w:lang w:val="en-GB"/>
              </w:rPr>
              <w:t xml:space="preserve">self-employment activity </w:t>
            </w:r>
            <w:r w:rsidR="00C965DE">
              <w:rPr>
                <w:rFonts w:cs="Arial"/>
                <w:spacing w:val="-2"/>
                <w:lang w:val="en-GB"/>
              </w:rPr>
              <w:t xml:space="preserve">was also more favourable year-on-year this </w:t>
            </w:r>
            <w:proofErr w:type="gramStart"/>
            <w:r w:rsidR="00C965DE">
              <w:rPr>
                <w:rFonts w:cs="Arial"/>
                <w:spacing w:val="-2"/>
                <w:lang w:val="en-GB"/>
              </w:rPr>
              <w:t>year</w:t>
            </w:r>
            <w:r w:rsidR="001C3961" w:rsidRPr="00F65A44">
              <w:rPr>
                <w:rFonts w:cs="Arial"/>
                <w:spacing w:val="-2"/>
                <w:lang w:val="en-GB"/>
              </w:rPr>
              <w:t>,</w:t>
            </w:r>
            <w:proofErr w:type="gramEnd"/>
            <w:r w:rsidR="001C3961" w:rsidRPr="00F65A44">
              <w:rPr>
                <w:rFonts w:cs="Arial"/>
                <w:spacing w:val="-2"/>
                <w:lang w:val="en-GB"/>
              </w:rPr>
              <w:t xml:space="preserve"> </w:t>
            </w:r>
            <w:r w:rsidR="00C965DE">
              <w:rPr>
                <w:rFonts w:cs="Arial"/>
                <w:spacing w:val="-2"/>
                <w:lang w:val="en-GB"/>
              </w:rPr>
              <w:t xml:space="preserve">it reflected not only the financial situation of the small entrepreneurs, but also their increasing number. On the contrary, the collection of </w:t>
            </w:r>
            <w:r w:rsidR="001D3ADA">
              <w:rPr>
                <w:rFonts w:cs="Arial"/>
                <w:spacing w:val="-2"/>
                <w:lang w:val="en-GB"/>
              </w:rPr>
              <w:t>ITNP</w:t>
            </w:r>
            <w:r w:rsidR="001C3961" w:rsidRPr="00F65A44">
              <w:rPr>
                <w:rFonts w:cs="Arial"/>
                <w:spacing w:val="-2"/>
                <w:lang w:val="en-GB"/>
              </w:rPr>
              <w:t xml:space="preserve"> </w:t>
            </w:r>
            <w:r w:rsidR="001D3ADA">
              <w:rPr>
                <w:rFonts w:cs="Arial"/>
                <w:spacing w:val="-2"/>
                <w:lang w:val="en-GB"/>
              </w:rPr>
              <w:t>from the capital revenues</w:t>
            </w:r>
            <w:r w:rsidR="00C965DE">
              <w:rPr>
                <w:rFonts w:cs="Arial"/>
                <w:spacing w:val="-2"/>
                <w:lang w:val="en-GB"/>
              </w:rPr>
              <w:t xml:space="preserve"> reduced by nearly 4</w:t>
            </w:r>
            <w:r w:rsidR="00954C8E">
              <w:rPr>
                <w:rFonts w:cs="Arial"/>
                <w:spacing w:val="-2"/>
                <w:lang w:val="en-GB"/>
              </w:rPr>
              <w:t>%</w:t>
            </w:r>
            <w:r w:rsidR="00C965DE">
              <w:rPr>
                <w:rFonts w:cs="Arial"/>
                <w:spacing w:val="-2"/>
                <w:lang w:val="en-GB"/>
              </w:rPr>
              <w:t xml:space="preserve">. </w:t>
            </w:r>
            <w:r w:rsidR="00FB36E3">
              <w:rPr>
                <w:rFonts w:cs="Arial"/>
                <w:spacing w:val="-2"/>
                <w:lang w:val="en-GB"/>
              </w:rPr>
              <w:t xml:space="preserve">The weaker rates among other things reflected also the </w:t>
            </w:r>
            <w:r w:rsidR="00FB36E3">
              <w:rPr>
                <w:rFonts w:cs="Arial"/>
                <w:spacing w:val="-2"/>
                <w:lang w:val="en-GB"/>
              </w:rPr>
              <w:lastRenderedPageBreak/>
              <w:t xml:space="preserve">prevailing low interest rates on deposits. The </w:t>
            </w:r>
            <w:r w:rsidR="00AD47F5">
              <w:rPr>
                <w:rFonts w:cs="Arial"/>
                <w:spacing w:val="-2"/>
                <w:lang w:val="en-GB"/>
              </w:rPr>
              <w:t xml:space="preserve">tax exemption for the </w:t>
            </w:r>
            <w:r w:rsidR="007C004C">
              <w:rPr>
                <w:rFonts w:cs="Arial"/>
                <w:spacing w:val="-2"/>
                <w:lang w:val="en-GB"/>
              </w:rPr>
              <w:t>retirement entitlement of the defence forces also had</w:t>
            </w:r>
            <w:r w:rsidR="00FB36E3">
              <w:rPr>
                <w:rFonts w:cs="Arial"/>
                <w:spacing w:val="-2"/>
                <w:lang w:val="en-GB"/>
              </w:rPr>
              <w:t xml:space="preserve"> a negative effect. </w:t>
            </w:r>
          </w:p>
        </w:tc>
      </w:tr>
    </w:tbl>
    <w:p w:rsidR="001C3961" w:rsidRPr="0074690B" w:rsidRDefault="001C3961" w:rsidP="001C3961">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87703B" w:rsidP="0087703B">
            <w:pPr>
              <w:pStyle w:val="Textpoznpodarou"/>
              <w:jc w:val="both"/>
              <w:rPr>
                <w:highlight w:val="yellow"/>
              </w:rPr>
            </w:pPr>
            <w:r>
              <w:rPr>
                <w:color w:val="000000"/>
              </w:rPr>
              <w:t xml:space="preserve">Chart </w:t>
            </w:r>
            <w:r w:rsidR="001C3961">
              <w:rPr>
                <w:color w:val="000000"/>
              </w:rPr>
              <w:t>21</w:t>
            </w:r>
          </w:p>
        </w:tc>
        <w:tc>
          <w:tcPr>
            <w:tcW w:w="3262" w:type="pct"/>
          </w:tcPr>
          <w:p w:rsidR="001C3961" w:rsidRPr="005E4728" w:rsidRDefault="001C3961" w:rsidP="0087703B">
            <w:pPr>
              <w:pStyle w:val="Textpoznpodarou"/>
              <w:rPr>
                <w:rFonts w:cs="Arial"/>
                <w:bCs/>
                <w:lang w:val="en-GB"/>
              </w:rPr>
            </w:pPr>
            <w:r w:rsidRPr="005E4728">
              <w:rPr>
                <w:rFonts w:cs="Arial"/>
                <w:b/>
                <w:bCs/>
                <w:lang w:val="en-GB"/>
              </w:rPr>
              <w:t>S</w:t>
            </w:r>
            <w:r w:rsidR="005E4728" w:rsidRPr="005E4728">
              <w:rPr>
                <w:rFonts w:cs="Arial"/>
                <w:b/>
                <w:bCs/>
                <w:lang w:val="en-GB"/>
              </w:rPr>
              <w:t xml:space="preserve">tructure of the CR income from the EU budget </w:t>
            </w:r>
            <w:r w:rsidRPr="005E4728">
              <w:rPr>
                <w:rFonts w:cs="Arial"/>
                <w:b/>
                <w:bCs/>
                <w:lang w:val="en-GB"/>
              </w:rPr>
              <w:t>a</w:t>
            </w:r>
            <w:r w:rsidR="005E4728" w:rsidRPr="005E4728">
              <w:rPr>
                <w:rFonts w:cs="Arial"/>
                <w:b/>
                <w:bCs/>
                <w:lang w:val="en-GB"/>
              </w:rPr>
              <w:t xml:space="preserve">nd net position of the CR towards EU in 1st half-years </w:t>
            </w:r>
            <w:r w:rsidRPr="005E4728">
              <w:rPr>
                <w:rFonts w:cs="Arial"/>
                <w:bCs/>
                <w:lang w:val="en-GB"/>
              </w:rPr>
              <w:t>(</w:t>
            </w:r>
            <w:r w:rsidR="0087703B" w:rsidRPr="005E4728">
              <w:rPr>
                <w:rFonts w:cs="Arial"/>
                <w:bCs/>
                <w:lang w:val="en-GB"/>
              </w:rPr>
              <w:t xml:space="preserve">in </w:t>
            </w:r>
            <w:r w:rsidR="00467B4F" w:rsidRPr="005E4728">
              <w:rPr>
                <w:rFonts w:cs="Arial"/>
                <w:bCs/>
                <w:lang w:val="en-GB"/>
              </w:rPr>
              <w:t xml:space="preserve">CZK </w:t>
            </w:r>
            <w:proofErr w:type="spellStart"/>
            <w:r w:rsidR="00467B4F" w:rsidRPr="005E4728">
              <w:rPr>
                <w:rFonts w:cs="Arial"/>
                <w:bCs/>
                <w:lang w:val="en-GB"/>
              </w:rPr>
              <w:t>bn</w:t>
            </w:r>
            <w:proofErr w:type="spellEnd"/>
            <w:r w:rsidRPr="005E4728">
              <w:rPr>
                <w:rFonts w:cs="Arial"/>
                <w:bCs/>
                <w:lang w:val="en-GB"/>
              </w:rPr>
              <w:t>)</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4"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2000" cy="3528000"/>
                  <wp:effectExtent l="0" t="0" r="0" b="0"/>
                  <wp:docPr id="4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6640" w:rsidRDefault="001C3961">
            <w:pPr>
              <w:pStyle w:val="Textpoznpodarou"/>
              <w:ind w:left="-124"/>
              <w:rPr>
                <w:sz w:val="14"/>
                <w:szCs w:val="14"/>
              </w:rPr>
            </w:pPr>
            <w:r>
              <w:rPr>
                <w:rFonts w:cs="Arial"/>
                <w:sz w:val="14"/>
                <w:szCs w:val="14"/>
              </w:rPr>
              <w:t>*</w:t>
            </w:r>
            <w:r w:rsidR="005E4728" w:rsidRPr="005E4728">
              <w:rPr>
                <w:rFonts w:cs="Arial"/>
                <w:sz w:val="14"/>
                <w:szCs w:val="14"/>
                <w:lang w:val="en-GB"/>
              </w:rPr>
              <w:t>Includes also the market oper</w:t>
            </w:r>
            <w:r w:rsidR="005E4728">
              <w:rPr>
                <w:rFonts w:cs="Arial"/>
                <w:sz w:val="14"/>
                <w:szCs w:val="14"/>
                <w:lang w:val="en-GB"/>
              </w:rPr>
              <w:t>a</w:t>
            </w:r>
            <w:r w:rsidR="005E4728" w:rsidRPr="005E4728">
              <w:rPr>
                <w:rFonts w:cs="Arial"/>
                <w:sz w:val="14"/>
                <w:szCs w:val="14"/>
                <w:lang w:val="en-GB"/>
              </w:rPr>
              <w:t xml:space="preserve">tions and veterinary measures. </w:t>
            </w:r>
            <w:r w:rsidRPr="005E4728">
              <w:rPr>
                <w:rFonts w:cs="Arial"/>
                <w:sz w:val="14"/>
                <w:szCs w:val="14"/>
                <w:lang w:val="en-GB"/>
              </w:rPr>
              <w:t xml:space="preserve">                                                                </w:t>
            </w:r>
            <w:r w:rsidR="002E61AD" w:rsidRPr="005E4728">
              <w:rPr>
                <w:rFonts w:cs="Arial"/>
                <w:sz w:val="14"/>
                <w:szCs w:val="14"/>
                <w:lang w:val="en-GB"/>
              </w:rPr>
              <w:t>Source</w:t>
            </w:r>
            <w:r w:rsidRPr="00535F78">
              <w:rPr>
                <w:rFonts w:cs="Arial"/>
                <w:sz w:val="14"/>
                <w:szCs w:val="14"/>
              </w:rPr>
              <w:t>: M</w:t>
            </w:r>
            <w:r w:rsidR="00FB332E">
              <w:rPr>
                <w:rFonts w:cs="Arial"/>
                <w:sz w:val="14"/>
                <w:szCs w:val="14"/>
              </w:rPr>
              <w:t>F</w:t>
            </w:r>
            <w:r w:rsidR="004E09D4">
              <w:rPr>
                <w:rFonts w:cs="Arial"/>
                <w:sz w:val="14"/>
                <w:szCs w:val="14"/>
              </w:rPr>
              <w:t xml:space="preserve"> CR</w:t>
            </w:r>
          </w:p>
        </w:tc>
      </w:tr>
    </w:tbl>
    <w:p w:rsidR="001C3961" w:rsidRPr="0074690B"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2E61AD" w:rsidRDefault="002E61AD" w:rsidP="00853C0F">
            <w:pPr>
              <w:spacing w:line="240" w:lineRule="auto"/>
              <w:rPr>
                <w:rFonts w:cs="Arial"/>
                <w:bCs/>
                <w:iCs/>
                <w:color w:val="0D0D0D" w:themeColor="text1" w:themeTint="F2"/>
                <w:spacing w:val="-2"/>
                <w:sz w:val="16"/>
                <w:szCs w:val="16"/>
                <w:lang w:val="en-GB"/>
              </w:rPr>
            </w:pPr>
            <w:r w:rsidRPr="002E61AD">
              <w:rPr>
                <w:rFonts w:cs="Arial"/>
                <w:bCs/>
                <w:iCs/>
                <w:color w:val="0D0D0D" w:themeColor="text1" w:themeTint="F2"/>
                <w:sz w:val="16"/>
                <w:szCs w:val="16"/>
                <w:lang w:val="en-GB"/>
              </w:rPr>
              <w:t xml:space="preserve">High growth rates of total tax revenues markedly exceeded the budget anticipations and contrasted with low revenues from the EU budget. </w:t>
            </w:r>
          </w:p>
        </w:tc>
        <w:tc>
          <w:tcPr>
            <w:tcW w:w="144" w:type="pct"/>
          </w:tcPr>
          <w:p w:rsidR="001C3961" w:rsidRPr="002E61AD" w:rsidRDefault="001C3961" w:rsidP="00853C0F">
            <w:pPr>
              <w:pStyle w:val="Textpoznpodarou"/>
              <w:jc w:val="both"/>
              <w:rPr>
                <w:rFonts w:cs="Arial"/>
                <w:color w:val="0D0D0D" w:themeColor="text1" w:themeTint="F2"/>
                <w:spacing w:val="-4"/>
                <w:lang w:val="en-GB"/>
              </w:rPr>
            </w:pPr>
          </w:p>
        </w:tc>
        <w:tc>
          <w:tcPr>
            <w:tcW w:w="3840" w:type="pct"/>
          </w:tcPr>
          <w:p w:rsidR="001C3961" w:rsidRPr="002E61AD" w:rsidRDefault="002E61AD" w:rsidP="00853C0F">
            <w:pPr>
              <w:pStyle w:val="Textpoznpodarou"/>
              <w:jc w:val="both"/>
              <w:rPr>
                <w:rFonts w:cs="Arial"/>
                <w:color w:val="0D0D0D" w:themeColor="text1" w:themeTint="F2"/>
                <w:spacing w:val="-2"/>
                <w:lang w:val="en-GB"/>
              </w:rPr>
            </w:pPr>
            <w:r>
              <w:rPr>
                <w:rFonts w:cs="Arial"/>
                <w:spacing w:val="-2"/>
                <w:lang w:val="en-GB"/>
              </w:rPr>
              <w:t>All SB tax revenues (including social security insurance) grew by 8.2</w:t>
            </w:r>
            <w:r w:rsidR="00954C8E">
              <w:rPr>
                <w:rFonts w:cs="Arial"/>
                <w:spacing w:val="-2"/>
                <w:lang w:val="en-GB"/>
              </w:rPr>
              <w:t>%</w:t>
            </w:r>
            <w:r>
              <w:rPr>
                <w:rFonts w:cs="Arial"/>
                <w:spacing w:val="-2"/>
                <w:lang w:val="en-GB"/>
              </w:rPr>
              <w:t xml:space="preserve"> in the first half of the year and significantly overtook the annual budget anticipations (3.9</w:t>
            </w:r>
            <w:r w:rsidR="00954C8E">
              <w:rPr>
                <w:rFonts w:cs="Arial"/>
                <w:spacing w:val="-2"/>
                <w:lang w:val="en-GB"/>
              </w:rPr>
              <w:t>%</w:t>
            </w:r>
            <w:r>
              <w:rPr>
                <w:rFonts w:cs="Arial"/>
                <w:spacing w:val="-2"/>
                <w:lang w:val="en-GB"/>
              </w:rPr>
              <w:t xml:space="preserve">). </w:t>
            </w:r>
            <w:r w:rsidR="00E84A6B">
              <w:rPr>
                <w:rFonts w:cs="Arial"/>
                <w:color w:val="0D0D0D" w:themeColor="text1" w:themeTint="F2"/>
                <w:spacing w:val="-2"/>
                <w:lang w:val="en-GB"/>
              </w:rPr>
              <w:t>I</w:t>
            </w:r>
            <w:r w:rsidR="00A91D49">
              <w:rPr>
                <w:rFonts w:cs="Arial"/>
                <w:color w:val="0D0D0D" w:themeColor="text1" w:themeTint="F2"/>
                <w:spacing w:val="-2"/>
                <w:lang w:val="en-GB"/>
              </w:rPr>
              <w:t>n</w:t>
            </w:r>
            <w:r w:rsidR="00E84A6B">
              <w:rPr>
                <w:rFonts w:cs="Arial"/>
                <w:color w:val="0D0D0D" w:themeColor="text1" w:themeTint="F2"/>
                <w:spacing w:val="-2"/>
                <w:lang w:val="en-GB"/>
              </w:rPr>
              <w:t xml:space="preserve"> contrast the total SB revenu</w:t>
            </w:r>
            <w:r w:rsidR="00A91D49">
              <w:rPr>
                <w:rFonts w:cs="Arial"/>
                <w:color w:val="0D0D0D" w:themeColor="text1" w:themeTint="F2"/>
                <w:spacing w:val="-2"/>
                <w:lang w:val="en-GB"/>
              </w:rPr>
              <w:t>e</w:t>
            </w:r>
            <w:r w:rsidR="00E84A6B">
              <w:rPr>
                <w:rFonts w:cs="Arial"/>
                <w:color w:val="0D0D0D" w:themeColor="text1" w:themeTint="F2"/>
                <w:spacing w:val="-2"/>
                <w:lang w:val="en-GB"/>
              </w:rPr>
              <w:t xml:space="preserve">s were by nearly 21 </w:t>
            </w:r>
            <w:proofErr w:type="spellStart"/>
            <w:r w:rsidR="00E84A6B">
              <w:rPr>
                <w:rFonts w:cs="Arial"/>
                <w:color w:val="0D0D0D" w:themeColor="text1" w:themeTint="F2"/>
                <w:spacing w:val="-2"/>
                <w:lang w:val="en-GB"/>
              </w:rPr>
              <w:t>bn</w:t>
            </w:r>
            <w:proofErr w:type="spellEnd"/>
            <w:r w:rsidR="00E84A6B">
              <w:rPr>
                <w:rFonts w:cs="Arial"/>
                <w:color w:val="0D0D0D" w:themeColor="text1" w:themeTint="F2"/>
                <w:spacing w:val="-2"/>
                <w:lang w:val="en-GB"/>
              </w:rPr>
              <w:t xml:space="preserve"> lower compared to H1 2016 and their rate of growth (-3.2</w:t>
            </w:r>
            <w:r w:rsidR="00954C8E">
              <w:rPr>
                <w:rFonts w:cs="Arial"/>
                <w:color w:val="0D0D0D" w:themeColor="text1" w:themeTint="F2"/>
                <w:spacing w:val="-2"/>
                <w:lang w:val="en-GB"/>
              </w:rPr>
              <w:t>%</w:t>
            </w:r>
            <w:r w:rsidR="00E84A6B">
              <w:rPr>
                <w:rFonts w:cs="Arial"/>
                <w:color w:val="0D0D0D" w:themeColor="text1" w:themeTint="F2"/>
                <w:spacing w:val="-2"/>
                <w:lang w:val="en-GB"/>
              </w:rPr>
              <w:t xml:space="preserve">) slightly lagged behind the budget anticipations so far. </w:t>
            </w:r>
            <w:r w:rsidR="001C3961" w:rsidRPr="002E61AD">
              <w:rPr>
                <w:rFonts w:cs="Arial"/>
                <w:color w:val="0D0D0D" w:themeColor="text1" w:themeTint="F2"/>
                <w:spacing w:val="-2"/>
                <w:lang w:val="en-GB"/>
              </w:rPr>
              <w:t>T</w:t>
            </w:r>
            <w:r w:rsidR="00A91D49">
              <w:rPr>
                <w:rFonts w:cs="Arial"/>
                <w:color w:val="0D0D0D" w:themeColor="text1" w:themeTint="F2"/>
                <w:spacing w:val="-2"/>
                <w:lang w:val="en-GB"/>
              </w:rPr>
              <w:t xml:space="preserve">his result was influenced by strong fall of the revenues from the EU sources. The CR acquired in total </w:t>
            </w:r>
            <w:r w:rsidR="001C3961" w:rsidRPr="002E61AD">
              <w:rPr>
                <w:rFonts w:cs="Arial"/>
                <w:color w:val="0D0D0D" w:themeColor="text1" w:themeTint="F2"/>
                <w:spacing w:val="-2"/>
                <w:lang w:val="en-GB"/>
              </w:rPr>
              <w:t>39</w:t>
            </w:r>
            <w:r w:rsidR="00A91D49">
              <w:rPr>
                <w:rFonts w:cs="Arial"/>
                <w:color w:val="0D0D0D" w:themeColor="text1" w:themeTint="F2"/>
                <w:spacing w:val="-2"/>
                <w:lang w:val="en-GB"/>
              </w:rPr>
              <w:t>.</w:t>
            </w:r>
            <w:r w:rsidR="001C3961" w:rsidRPr="002E61AD">
              <w:rPr>
                <w:rFonts w:cs="Arial"/>
                <w:color w:val="0D0D0D" w:themeColor="text1" w:themeTint="F2"/>
                <w:spacing w:val="-2"/>
                <w:lang w:val="en-GB"/>
              </w:rPr>
              <w:t xml:space="preserve">5 </w:t>
            </w:r>
            <w:r w:rsidR="00467B4F">
              <w:rPr>
                <w:rFonts w:cs="Arial"/>
                <w:color w:val="0D0D0D" w:themeColor="text1" w:themeTint="F2"/>
                <w:spacing w:val="-2"/>
                <w:lang w:val="en-GB"/>
              </w:rPr>
              <w:t xml:space="preserve">CZK </w:t>
            </w:r>
            <w:proofErr w:type="spellStart"/>
            <w:r w:rsidR="00467B4F">
              <w:rPr>
                <w:rFonts w:cs="Arial"/>
                <w:color w:val="0D0D0D" w:themeColor="text1" w:themeTint="F2"/>
                <w:spacing w:val="-2"/>
                <w:lang w:val="en-GB"/>
              </w:rPr>
              <w:t>bn</w:t>
            </w:r>
            <w:proofErr w:type="spellEnd"/>
            <w:r w:rsidR="001C3961" w:rsidRPr="002E61AD">
              <w:rPr>
                <w:rStyle w:val="Znakapoznpodarou"/>
                <w:color w:val="0D0D0D" w:themeColor="text1" w:themeTint="F2"/>
                <w:spacing w:val="-2"/>
                <w:lang w:val="en-GB"/>
              </w:rPr>
              <w:footnoteReference w:id="7"/>
            </w:r>
            <w:r w:rsidR="00A91D49">
              <w:rPr>
                <w:rFonts w:cs="Arial"/>
                <w:color w:val="0D0D0D" w:themeColor="text1" w:themeTint="F2"/>
                <w:spacing w:val="-2"/>
                <w:lang w:val="en-GB"/>
              </w:rPr>
              <w:t xml:space="preserve"> from the EU budget in H1 2017. It presented only one quarter of the amount from the first half of year 2015</w:t>
            </w:r>
            <w:r w:rsidR="00003721">
              <w:rPr>
                <w:rFonts w:cs="Arial"/>
                <w:color w:val="0D0D0D" w:themeColor="text1" w:themeTint="F2"/>
                <w:spacing w:val="-2"/>
                <w:lang w:val="en-GB"/>
              </w:rPr>
              <w:t>, when the drawing of the funds from the EU budget reached the peak. Apart from the volume of finances, their structure also changed.</w:t>
            </w:r>
            <w:r w:rsidR="00B01AEF">
              <w:rPr>
                <w:rFonts w:cs="Arial"/>
                <w:color w:val="0D0D0D" w:themeColor="text1" w:themeTint="F2"/>
                <w:spacing w:val="-2"/>
                <w:lang w:val="en-GB"/>
              </w:rPr>
              <w:t xml:space="preserve"> </w:t>
            </w:r>
            <w:r w:rsidR="004F267A">
              <w:rPr>
                <w:rFonts w:cs="Arial"/>
                <w:color w:val="0D0D0D" w:themeColor="text1" w:themeTint="F2"/>
                <w:spacing w:val="-2"/>
                <w:lang w:val="en-GB"/>
              </w:rPr>
              <w:t>Especially the break of the more project demanding structural actions (e.g. transportation constructions financed from the structural funds) stood behind the weaker drawing at the beginning of the new programme period. On the contrary, the volume of the direct payments in agriculture did not practically change in the last five years (it even slightly rose against H1 2016</w:t>
            </w:r>
            <w:r w:rsidR="001C3961" w:rsidRPr="002E61AD">
              <w:rPr>
                <w:rFonts w:cs="Arial"/>
                <w:color w:val="0D0D0D" w:themeColor="text1" w:themeTint="F2"/>
                <w:spacing w:val="-2"/>
                <w:lang w:val="en-GB"/>
              </w:rPr>
              <w:t>).</w:t>
            </w:r>
          </w:p>
          <w:p w:rsidR="001C3961" w:rsidRPr="002E61AD" w:rsidRDefault="001C3961" w:rsidP="00853C0F">
            <w:pPr>
              <w:pStyle w:val="Textpoznpodarou"/>
              <w:jc w:val="both"/>
              <w:rPr>
                <w:rFonts w:cs="Arial"/>
                <w:color w:val="0D0D0D" w:themeColor="text1" w:themeTint="F2"/>
                <w:spacing w:val="-2"/>
                <w:sz w:val="15"/>
                <w:szCs w:val="15"/>
                <w:lang w:val="en-GB"/>
              </w:rPr>
            </w:pPr>
          </w:p>
        </w:tc>
      </w:tr>
      <w:tr w:rsidR="001C3961" w:rsidRPr="00AD0FC0" w:rsidTr="00853C0F">
        <w:trPr>
          <w:trHeight w:val="145"/>
        </w:trPr>
        <w:tc>
          <w:tcPr>
            <w:tcW w:w="1016" w:type="pct"/>
            <w:shd w:val="clear" w:color="auto" w:fill="auto"/>
          </w:tcPr>
          <w:p w:rsidR="001C3961" w:rsidRPr="00E84A6B" w:rsidRDefault="00A80917" w:rsidP="00853C0F">
            <w:pPr>
              <w:spacing w:line="240" w:lineRule="auto"/>
              <w:rPr>
                <w:rFonts w:cs="Arial"/>
                <w:color w:val="0D0D0D" w:themeColor="text1" w:themeTint="F2"/>
                <w:spacing w:val="-2"/>
                <w:sz w:val="16"/>
                <w:szCs w:val="16"/>
                <w:lang w:val="en-GB"/>
              </w:rPr>
            </w:pPr>
            <w:r>
              <w:rPr>
                <w:rFonts w:cs="Arial"/>
                <w:color w:val="0D0D0D" w:themeColor="text1" w:themeTint="F2"/>
                <w:spacing w:val="-2"/>
                <w:sz w:val="16"/>
                <w:szCs w:val="16"/>
                <w:lang w:val="en-GB"/>
              </w:rPr>
              <w:t xml:space="preserve">Low drawing of investment continued during 2017. </w:t>
            </w:r>
          </w:p>
        </w:tc>
        <w:tc>
          <w:tcPr>
            <w:tcW w:w="144" w:type="pct"/>
          </w:tcPr>
          <w:p w:rsidR="001C3961" w:rsidRPr="00E84A6B" w:rsidRDefault="001C3961" w:rsidP="00853C0F">
            <w:pPr>
              <w:pStyle w:val="Textpoznpodarou"/>
              <w:jc w:val="both"/>
              <w:rPr>
                <w:rFonts w:cs="Arial"/>
                <w:color w:val="0D0D0D" w:themeColor="text1" w:themeTint="F2"/>
                <w:lang w:val="en-GB"/>
              </w:rPr>
            </w:pPr>
          </w:p>
        </w:tc>
        <w:tc>
          <w:tcPr>
            <w:tcW w:w="3840" w:type="pct"/>
          </w:tcPr>
          <w:p w:rsidR="007D232E" w:rsidRDefault="00A80917" w:rsidP="007D232E">
            <w:pPr>
              <w:pStyle w:val="Textpoznpodarou"/>
              <w:jc w:val="both"/>
              <w:rPr>
                <w:rFonts w:cs="Arial"/>
                <w:color w:val="000000" w:themeColor="text1"/>
                <w:spacing w:val="-2"/>
                <w:lang w:val="en-GB"/>
              </w:rPr>
            </w:pPr>
            <w:r>
              <w:rPr>
                <w:rFonts w:cs="Arial"/>
                <w:color w:val="000000" w:themeColor="text1"/>
                <w:spacing w:val="-2"/>
                <w:lang w:val="en-GB"/>
              </w:rPr>
              <w:t>Total SB outlays strengthened by 2.5</w:t>
            </w:r>
            <w:r w:rsidR="00954C8E">
              <w:rPr>
                <w:rFonts w:cs="Arial"/>
                <w:color w:val="000000" w:themeColor="text1"/>
                <w:spacing w:val="-2"/>
                <w:lang w:val="en-GB"/>
              </w:rPr>
              <w:t>%</w:t>
            </w:r>
            <w:r>
              <w:rPr>
                <w:rFonts w:cs="Arial"/>
                <w:color w:val="000000" w:themeColor="text1"/>
                <w:spacing w:val="-2"/>
                <w:lang w:val="en-GB"/>
              </w:rPr>
              <w:t xml:space="preserve"> </w:t>
            </w:r>
            <w:r w:rsidR="00745DD4">
              <w:rPr>
                <w:rFonts w:cs="Arial"/>
                <w:color w:val="000000" w:themeColor="text1"/>
                <w:spacing w:val="-2"/>
                <w:lang w:val="en-GB"/>
              </w:rPr>
              <w:t xml:space="preserve">year-on-year </w:t>
            </w:r>
            <w:r>
              <w:rPr>
                <w:rFonts w:cs="Arial"/>
                <w:color w:val="000000" w:themeColor="text1"/>
                <w:spacing w:val="-2"/>
                <w:lang w:val="en-GB"/>
              </w:rPr>
              <w:t>from January till June 2017</w:t>
            </w:r>
            <w:r w:rsidR="00745DD4">
              <w:rPr>
                <w:rFonts w:cs="Arial"/>
                <w:color w:val="000000" w:themeColor="text1"/>
                <w:spacing w:val="-2"/>
                <w:lang w:val="en-GB"/>
              </w:rPr>
              <w:t>. The growth of the current outlays (5.9</w:t>
            </w:r>
            <w:r w:rsidR="00954C8E">
              <w:rPr>
                <w:rFonts w:cs="Arial"/>
                <w:color w:val="000000" w:themeColor="text1"/>
                <w:spacing w:val="-2"/>
                <w:lang w:val="en-GB"/>
              </w:rPr>
              <w:t>%</w:t>
            </w:r>
            <w:r w:rsidR="00745DD4">
              <w:rPr>
                <w:rFonts w:cs="Arial"/>
                <w:color w:val="000000" w:themeColor="text1"/>
                <w:spacing w:val="-2"/>
                <w:lang w:val="en-GB"/>
              </w:rPr>
              <w:t>) was in contrast to the slump of investment (by 48</w:t>
            </w:r>
            <w:r w:rsidR="00954C8E">
              <w:rPr>
                <w:rFonts w:cs="Arial"/>
                <w:color w:val="000000" w:themeColor="text1"/>
                <w:spacing w:val="-2"/>
                <w:lang w:val="en-GB"/>
              </w:rPr>
              <w:t>%</w:t>
            </w:r>
            <w:r w:rsidR="00745DD4">
              <w:rPr>
                <w:rFonts w:cs="Arial"/>
                <w:color w:val="000000" w:themeColor="text1"/>
                <w:spacing w:val="-2"/>
                <w:lang w:val="en-GB"/>
              </w:rPr>
              <w:t>) in accordance with the budget anticipations.</w:t>
            </w:r>
            <w:r w:rsidR="001C3961" w:rsidRPr="00E84A6B">
              <w:rPr>
                <w:rFonts w:cs="Arial"/>
                <w:color w:val="000000" w:themeColor="text1"/>
                <w:spacing w:val="-2"/>
                <w:lang w:val="en-GB"/>
              </w:rPr>
              <w:t xml:space="preserve"> </w:t>
            </w:r>
            <w:r w:rsidR="006632EB">
              <w:rPr>
                <w:rFonts w:cs="Arial"/>
                <w:color w:val="000000" w:themeColor="text1"/>
                <w:spacing w:val="-2"/>
                <w:lang w:val="en-GB"/>
              </w:rPr>
              <w:t xml:space="preserve">The capital </w:t>
            </w:r>
            <w:r w:rsidR="00B26984">
              <w:rPr>
                <w:rFonts w:cs="Arial"/>
                <w:color w:val="000000" w:themeColor="text1"/>
                <w:spacing w:val="-2"/>
                <w:lang w:val="en-GB"/>
              </w:rPr>
              <w:t>expenditure</w:t>
            </w:r>
            <w:r w:rsidR="006632EB">
              <w:rPr>
                <w:rFonts w:cs="Arial"/>
                <w:color w:val="000000" w:themeColor="text1"/>
                <w:spacing w:val="-2"/>
                <w:lang w:val="en-GB"/>
              </w:rPr>
              <w:t xml:space="preserve"> only negligibly crossed 20 </w:t>
            </w:r>
            <w:r w:rsidR="00467B4F">
              <w:rPr>
                <w:rFonts w:cs="Arial"/>
                <w:color w:val="000000" w:themeColor="text1"/>
                <w:spacing w:val="-2"/>
                <w:lang w:val="en-GB"/>
              </w:rPr>
              <w:t>CZK bn</w:t>
            </w:r>
            <w:r w:rsidR="006632EB">
              <w:rPr>
                <w:rFonts w:cs="Arial"/>
                <w:color w:val="000000" w:themeColor="text1"/>
                <w:spacing w:val="-2"/>
                <w:lang w:val="en-GB"/>
              </w:rPr>
              <w:t>. Nearly one half of that headed to the financing of the common CR and EU programmes (</w:t>
            </w:r>
            <w:r w:rsidR="00133C5B">
              <w:rPr>
                <w:rFonts w:cs="Arial"/>
                <w:color w:val="000000" w:themeColor="text1"/>
                <w:spacing w:val="-2"/>
                <w:lang w:val="en-GB"/>
              </w:rPr>
              <w:t xml:space="preserve">all </w:t>
            </w:r>
            <w:r w:rsidR="00B26984">
              <w:rPr>
                <w:rFonts w:cs="Arial"/>
                <w:color w:val="000000" w:themeColor="text1"/>
                <w:spacing w:val="-2"/>
                <w:lang w:val="en-GB"/>
              </w:rPr>
              <w:t>expenditure</w:t>
            </w:r>
            <w:r w:rsidR="00133C5B">
              <w:rPr>
                <w:rFonts w:cs="Arial"/>
                <w:color w:val="000000" w:themeColor="text1"/>
                <w:spacing w:val="-2"/>
                <w:lang w:val="en-GB"/>
              </w:rPr>
              <w:t xml:space="preserve">, i.e. the non-investment as well on these projects arrived at 34 </w:t>
            </w:r>
            <w:proofErr w:type="spellStart"/>
            <w:r w:rsidR="00133C5B">
              <w:rPr>
                <w:rFonts w:cs="Arial"/>
                <w:color w:val="000000" w:themeColor="text1"/>
                <w:spacing w:val="-2"/>
                <w:lang w:val="en-GB"/>
              </w:rPr>
              <w:t>bn</w:t>
            </w:r>
            <w:proofErr w:type="spellEnd"/>
            <w:r w:rsidR="00133C5B">
              <w:rPr>
                <w:rFonts w:cs="Arial"/>
                <w:color w:val="000000" w:themeColor="text1"/>
                <w:spacing w:val="-2"/>
                <w:lang w:val="en-GB"/>
              </w:rPr>
              <w:t xml:space="preserve">, by 16 </w:t>
            </w:r>
            <w:proofErr w:type="spellStart"/>
            <w:r w:rsidR="00133C5B">
              <w:rPr>
                <w:rFonts w:cs="Arial"/>
                <w:color w:val="000000" w:themeColor="text1"/>
                <w:spacing w:val="-2"/>
                <w:lang w:val="en-GB"/>
              </w:rPr>
              <w:t>bn</w:t>
            </w:r>
            <w:proofErr w:type="spellEnd"/>
            <w:r w:rsidR="00133C5B">
              <w:rPr>
                <w:rFonts w:cs="Arial"/>
                <w:color w:val="000000" w:themeColor="text1"/>
                <w:spacing w:val="-2"/>
                <w:lang w:val="en-GB"/>
              </w:rPr>
              <w:t xml:space="preserve"> less year-on-year). The drawing of investment did not improve much </w:t>
            </w:r>
            <w:r w:rsidR="00C960EC">
              <w:rPr>
                <w:rFonts w:cs="Arial"/>
                <w:color w:val="000000" w:themeColor="text1"/>
                <w:spacing w:val="-2"/>
                <w:lang w:val="en-GB"/>
              </w:rPr>
              <w:t xml:space="preserve">even </w:t>
            </w:r>
            <w:r w:rsidR="00E84AAD">
              <w:rPr>
                <w:rFonts w:cs="Arial"/>
                <w:color w:val="000000" w:themeColor="text1"/>
                <w:spacing w:val="-2"/>
                <w:lang w:val="en-GB"/>
              </w:rPr>
              <w:t>during</w:t>
            </w:r>
            <w:r w:rsidR="00C960EC">
              <w:rPr>
                <w:rFonts w:cs="Arial"/>
                <w:color w:val="000000" w:themeColor="text1"/>
                <w:spacing w:val="-2"/>
                <w:lang w:val="en-GB"/>
              </w:rPr>
              <w:t xml:space="preserve"> the </w:t>
            </w:r>
            <w:r w:rsidR="00E84AAD">
              <w:rPr>
                <w:rFonts w:cs="Arial"/>
                <w:color w:val="000000" w:themeColor="text1"/>
                <w:spacing w:val="-2"/>
                <w:lang w:val="en-GB"/>
              </w:rPr>
              <w:t xml:space="preserve">summer </w:t>
            </w:r>
            <w:r w:rsidR="00C960EC">
              <w:rPr>
                <w:rFonts w:cs="Arial"/>
                <w:color w:val="000000" w:themeColor="text1"/>
                <w:spacing w:val="-2"/>
                <w:lang w:val="en-GB"/>
              </w:rPr>
              <w:t>holiday</w:t>
            </w:r>
            <w:r w:rsidR="00B26984">
              <w:rPr>
                <w:rFonts w:cs="Arial"/>
                <w:color w:val="000000" w:themeColor="text1"/>
                <w:spacing w:val="-2"/>
                <w:lang w:val="en-GB"/>
              </w:rPr>
              <w:t>s</w:t>
            </w:r>
            <w:r w:rsidR="001C3961" w:rsidRPr="00E84A6B">
              <w:rPr>
                <w:rStyle w:val="Znakapoznpodarou"/>
                <w:color w:val="000000" w:themeColor="text1"/>
                <w:spacing w:val="-2"/>
                <w:lang w:val="en-GB"/>
              </w:rPr>
              <w:footnoteReference w:id="8"/>
            </w:r>
            <w:r w:rsidR="001C3961" w:rsidRPr="00E84A6B">
              <w:rPr>
                <w:rFonts w:cs="Arial"/>
                <w:color w:val="000000" w:themeColor="text1"/>
                <w:spacing w:val="-2"/>
                <w:lang w:val="en-GB"/>
              </w:rPr>
              <w:t xml:space="preserve">. </w:t>
            </w:r>
            <w:r w:rsidR="00C960EC">
              <w:rPr>
                <w:rFonts w:cs="Arial"/>
                <w:color w:val="000000" w:themeColor="text1"/>
                <w:spacing w:val="-2"/>
                <w:lang w:val="en-GB"/>
              </w:rPr>
              <w:t xml:space="preserve">The share of investment on all SB </w:t>
            </w:r>
            <w:r w:rsidR="00B26984">
              <w:rPr>
                <w:rFonts w:cs="Arial"/>
                <w:color w:val="000000" w:themeColor="text1"/>
                <w:spacing w:val="-2"/>
                <w:lang w:val="en-GB"/>
              </w:rPr>
              <w:t>expenditure</w:t>
            </w:r>
            <w:r w:rsidR="00C960EC">
              <w:rPr>
                <w:rFonts w:cs="Arial"/>
                <w:color w:val="000000" w:themeColor="text1"/>
                <w:spacing w:val="-2"/>
                <w:lang w:val="en-GB"/>
              </w:rPr>
              <w:t xml:space="preserve"> lowered to </w:t>
            </w:r>
            <w:r w:rsidR="001C3961" w:rsidRPr="00E84A6B">
              <w:rPr>
                <w:rFonts w:cs="Arial"/>
                <w:color w:val="000000" w:themeColor="text1"/>
                <w:spacing w:val="-2"/>
                <w:lang w:val="en-GB"/>
              </w:rPr>
              <w:t>3</w:t>
            </w:r>
            <w:r w:rsidR="00C960EC">
              <w:rPr>
                <w:rFonts w:cs="Arial"/>
                <w:color w:val="000000" w:themeColor="text1"/>
                <w:spacing w:val="-2"/>
                <w:lang w:val="en-GB"/>
              </w:rPr>
              <w:t>.</w:t>
            </w:r>
            <w:r w:rsidR="001C3961" w:rsidRPr="00E84A6B">
              <w:rPr>
                <w:rFonts w:cs="Arial"/>
                <w:color w:val="000000" w:themeColor="text1"/>
                <w:spacing w:val="-2"/>
                <w:lang w:val="en-GB"/>
              </w:rPr>
              <w:t>2</w:t>
            </w:r>
            <w:r w:rsidR="00954C8E">
              <w:rPr>
                <w:rFonts w:cs="Arial"/>
                <w:color w:val="000000" w:themeColor="text1"/>
                <w:spacing w:val="-2"/>
                <w:lang w:val="en-GB"/>
              </w:rPr>
              <w:t>%</w:t>
            </w:r>
            <w:r w:rsidR="001C3961" w:rsidRPr="00E84A6B">
              <w:rPr>
                <w:rFonts w:cs="Arial"/>
                <w:color w:val="000000" w:themeColor="text1"/>
                <w:spacing w:val="-2"/>
                <w:lang w:val="en-GB"/>
              </w:rPr>
              <w:t xml:space="preserve"> (</w:t>
            </w:r>
            <w:r w:rsidR="00F67CF0">
              <w:rPr>
                <w:rFonts w:cs="Arial"/>
                <w:color w:val="000000" w:themeColor="text1"/>
                <w:spacing w:val="-2"/>
                <w:lang w:val="en-GB"/>
              </w:rPr>
              <w:t>the lowest value after year 2000).</w:t>
            </w:r>
          </w:p>
          <w:p w:rsidR="002D536A" w:rsidRPr="00E84A6B" w:rsidRDefault="002D536A" w:rsidP="007D232E">
            <w:pPr>
              <w:pStyle w:val="Textpoznpodarou"/>
              <w:jc w:val="both"/>
              <w:rPr>
                <w:rFonts w:cs="Arial"/>
                <w:color w:val="0D0D0D" w:themeColor="text1" w:themeTint="F2"/>
                <w:spacing w:val="-2"/>
                <w:sz w:val="15"/>
                <w:szCs w:val="15"/>
                <w:lang w:val="en-GB"/>
              </w:rPr>
            </w:pPr>
          </w:p>
        </w:tc>
      </w:tr>
      <w:tr w:rsidR="001C3961" w:rsidRPr="00AD0FC0" w:rsidTr="00853C0F">
        <w:trPr>
          <w:trHeight w:val="145"/>
        </w:trPr>
        <w:tc>
          <w:tcPr>
            <w:tcW w:w="1016" w:type="pct"/>
            <w:shd w:val="clear" w:color="auto" w:fill="auto"/>
          </w:tcPr>
          <w:p w:rsidR="001C3961" w:rsidRPr="00E84A6B" w:rsidRDefault="00D1221D" w:rsidP="0044315B">
            <w:pPr>
              <w:spacing w:line="240" w:lineRule="auto"/>
              <w:rPr>
                <w:rFonts w:cs="Arial"/>
                <w:bCs/>
                <w:iCs/>
                <w:color w:val="0D0D0D" w:themeColor="text1" w:themeTint="F2"/>
                <w:spacing w:val="-4"/>
                <w:sz w:val="16"/>
                <w:szCs w:val="16"/>
                <w:lang w:val="en-GB"/>
              </w:rPr>
            </w:pPr>
            <w:r>
              <w:rPr>
                <w:rFonts w:cs="Arial"/>
                <w:color w:val="0D0D0D" w:themeColor="text1" w:themeTint="F2"/>
                <w:spacing w:val="-2"/>
                <w:sz w:val="16"/>
                <w:szCs w:val="16"/>
                <w:lang w:val="en-GB"/>
              </w:rPr>
              <w:t xml:space="preserve">Especially the higher social benefits and expenditure on wages to </w:t>
            </w:r>
            <w:r w:rsidR="0044315B">
              <w:rPr>
                <w:rFonts w:cs="Arial"/>
                <w:color w:val="0D0D0D" w:themeColor="text1" w:themeTint="F2"/>
                <w:spacing w:val="-2"/>
                <w:sz w:val="16"/>
                <w:szCs w:val="16"/>
                <w:lang w:val="en-GB"/>
              </w:rPr>
              <w:t xml:space="preserve">public sector </w:t>
            </w:r>
            <w:r>
              <w:rPr>
                <w:rFonts w:cs="Arial"/>
                <w:color w:val="0D0D0D" w:themeColor="text1" w:themeTint="F2"/>
                <w:spacing w:val="-2"/>
                <w:sz w:val="16"/>
                <w:szCs w:val="16"/>
                <w:lang w:val="en-GB"/>
              </w:rPr>
              <w:t xml:space="preserve">employees contributed to the growth </w:t>
            </w:r>
            <w:r>
              <w:rPr>
                <w:rFonts w:cs="Arial"/>
                <w:color w:val="0D0D0D" w:themeColor="text1" w:themeTint="F2"/>
                <w:spacing w:val="-2"/>
                <w:sz w:val="16"/>
                <w:szCs w:val="16"/>
                <w:lang w:val="en-GB"/>
              </w:rPr>
              <w:lastRenderedPageBreak/>
              <w:t xml:space="preserve">of the current </w:t>
            </w:r>
            <w:r w:rsidR="00B26984">
              <w:rPr>
                <w:rFonts w:cs="Arial"/>
                <w:color w:val="0D0D0D" w:themeColor="text1" w:themeTint="F2"/>
                <w:spacing w:val="-2"/>
                <w:sz w:val="16"/>
                <w:szCs w:val="16"/>
                <w:lang w:val="en-GB"/>
              </w:rPr>
              <w:t>expenditure</w:t>
            </w:r>
            <w:r>
              <w:rPr>
                <w:rFonts w:cs="Arial"/>
                <w:color w:val="0D0D0D" w:themeColor="text1" w:themeTint="F2"/>
                <w:spacing w:val="-2"/>
                <w:sz w:val="16"/>
                <w:szCs w:val="16"/>
                <w:lang w:val="en-GB"/>
              </w:rPr>
              <w:t xml:space="preserve">. </w:t>
            </w:r>
          </w:p>
        </w:tc>
        <w:tc>
          <w:tcPr>
            <w:tcW w:w="144" w:type="pct"/>
          </w:tcPr>
          <w:p w:rsidR="001C3961" w:rsidRPr="00E84A6B" w:rsidRDefault="001C3961" w:rsidP="00853C0F">
            <w:pPr>
              <w:pStyle w:val="Textpoznpodarou"/>
              <w:jc w:val="both"/>
              <w:rPr>
                <w:rFonts w:cs="Arial"/>
                <w:color w:val="000000" w:themeColor="text1"/>
                <w:spacing w:val="-4"/>
                <w:lang w:val="en-GB"/>
              </w:rPr>
            </w:pPr>
          </w:p>
        </w:tc>
        <w:tc>
          <w:tcPr>
            <w:tcW w:w="3840" w:type="pct"/>
          </w:tcPr>
          <w:p w:rsidR="001C3961" w:rsidRPr="00E84A6B" w:rsidRDefault="00DA5374" w:rsidP="00853C0F">
            <w:pPr>
              <w:pStyle w:val="Textpoznpodarou"/>
              <w:jc w:val="both"/>
              <w:rPr>
                <w:rFonts w:cs="Arial"/>
                <w:color w:val="000000" w:themeColor="text1"/>
                <w:spacing w:val="-2"/>
                <w:lang w:val="en-GB"/>
              </w:rPr>
            </w:pPr>
            <w:r>
              <w:rPr>
                <w:rFonts w:cs="Arial"/>
                <w:color w:val="000000" w:themeColor="text1"/>
                <w:spacing w:val="-2"/>
                <w:lang w:val="en-GB"/>
              </w:rPr>
              <w:t xml:space="preserve">Mainly the weight dominant item of the social benefits </w:t>
            </w:r>
            <w:r w:rsidR="00482185">
              <w:rPr>
                <w:rFonts w:cs="Arial"/>
                <w:color w:val="000000" w:themeColor="text1"/>
                <w:spacing w:val="-2"/>
                <w:lang w:val="en-GB"/>
              </w:rPr>
              <w:t xml:space="preserve">(+13.5 </w:t>
            </w:r>
            <w:proofErr w:type="spellStart"/>
            <w:r w:rsidR="00482185">
              <w:rPr>
                <w:rFonts w:cs="Arial"/>
                <w:color w:val="000000" w:themeColor="text1"/>
                <w:spacing w:val="-2"/>
                <w:lang w:val="en-GB"/>
              </w:rPr>
              <w:t>bn</w:t>
            </w:r>
            <w:proofErr w:type="spellEnd"/>
            <w:r w:rsidR="00482185">
              <w:rPr>
                <w:rFonts w:cs="Arial"/>
                <w:color w:val="000000" w:themeColor="text1"/>
                <w:spacing w:val="-2"/>
                <w:lang w:val="en-GB"/>
              </w:rPr>
              <w:t xml:space="preserve">) </w:t>
            </w:r>
            <w:r>
              <w:rPr>
                <w:rFonts w:cs="Arial"/>
                <w:color w:val="000000" w:themeColor="text1"/>
                <w:spacing w:val="-2"/>
                <w:lang w:val="en-GB"/>
              </w:rPr>
              <w:t xml:space="preserve">was behind the higher current </w:t>
            </w:r>
            <w:r w:rsidR="00B26984">
              <w:rPr>
                <w:rFonts w:cs="Arial"/>
                <w:color w:val="000000" w:themeColor="text1"/>
                <w:spacing w:val="-2"/>
                <w:lang w:val="en-GB"/>
              </w:rPr>
              <w:t>expenditure</w:t>
            </w:r>
            <w:r>
              <w:rPr>
                <w:rFonts w:cs="Arial"/>
                <w:color w:val="000000" w:themeColor="text1"/>
                <w:spacing w:val="-2"/>
                <w:lang w:val="en-GB"/>
              </w:rPr>
              <w:t xml:space="preserve"> </w:t>
            </w:r>
            <w:r w:rsidR="001C3961" w:rsidRPr="00E84A6B">
              <w:rPr>
                <w:rFonts w:cs="Arial"/>
                <w:color w:val="000000" w:themeColor="text1"/>
                <w:spacing w:val="-2"/>
                <w:lang w:val="en-GB"/>
              </w:rPr>
              <w:t xml:space="preserve">(+34 </w:t>
            </w:r>
            <w:r w:rsidR="00467B4F">
              <w:rPr>
                <w:rFonts w:cs="Arial"/>
                <w:color w:val="000000" w:themeColor="text1"/>
                <w:spacing w:val="-2"/>
                <w:lang w:val="en-GB"/>
              </w:rPr>
              <w:t xml:space="preserve">CZK </w:t>
            </w:r>
            <w:proofErr w:type="spellStart"/>
            <w:r w:rsidR="00467B4F">
              <w:rPr>
                <w:rFonts w:cs="Arial"/>
                <w:color w:val="000000" w:themeColor="text1"/>
                <w:spacing w:val="-2"/>
                <w:lang w:val="en-GB"/>
              </w:rPr>
              <w:t>bn</w:t>
            </w:r>
            <w:proofErr w:type="spellEnd"/>
            <w:r w:rsidR="00482185">
              <w:rPr>
                <w:rFonts w:cs="Arial"/>
                <w:color w:val="000000" w:themeColor="text1"/>
                <w:spacing w:val="-2"/>
                <w:lang w:val="en-GB"/>
              </w:rPr>
              <w:t>) in H1. The non-investment outlays to the business subjects also notably contributed, they were nearly by one third higher year-on-year. The expenditure on the salaries of state employees rose by 7.6</w:t>
            </w:r>
            <w:r w:rsidR="00954C8E">
              <w:rPr>
                <w:rFonts w:cs="Arial"/>
                <w:color w:val="000000" w:themeColor="text1"/>
                <w:spacing w:val="-2"/>
                <w:lang w:val="en-GB"/>
              </w:rPr>
              <w:t>%</w:t>
            </w:r>
            <w:r w:rsidR="000A62FA">
              <w:rPr>
                <w:rFonts w:cs="Arial"/>
                <w:color w:val="000000" w:themeColor="text1"/>
                <w:spacing w:val="-2"/>
                <w:lang w:val="en-GB"/>
              </w:rPr>
              <w:t xml:space="preserve"> </w:t>
            </w:r>
            <w:r w:rsidR="00482185">
              <w:rPr>
                <w:rFonts w:cs="Arial"/>
                <w:color w:val="000000" w:themeColor="text1"/>
                <w:spacing w:val="-2"/>
                <w:lang w:val="en-GB"/>
              </w:rPr>
              <w:t xml:space="preserve">(it </w:t>
            </w:r>
            <w:r w:rsidR="00482185">
              <w:rPr>
                <w:rFonts w:cs="Arial"/>
                <w:color w:val="000000" w:themeColor="text1"/>
                <w:spacing w:val="-2"/>
                <w:lang w:val="en-GB"/>
              </w:rPr>
              <w:lastRenderedPageBreak/>
              <w:t xml:space="preserve">was a higher pace compared both to the previous year and Q1 2017). The growth of earnings of employees in the regional </w:t>
            </w:r>
            <w:r w:rsidR="003034C7">
              <w:rPr>
                <w:rFonts w:cs="Arial"/>
                <w:color w:val="000000" w:themeColor="text1"/>
                <w:spacing w:val="-2"/>
                <w:lang w:val="en-GB"/>
              </w:rPr>
              <w:t>education</w:t>
            </w:r>
            <w:r w:rsidR="00482185">
              <w:rPr>
                <w:rFonts w:cs="Arial"/>
                <w:color w:val="000000" w:themeColor="text1"/>
                <w:spacing w:val="-2"/>
                <w:lang w:val="en-GB"/>
              </w:rPr>
              <w:t xml:space="preserve"> manifested in the higher non-investment transfers to the public budgets on the regional level (+9.1</w:t>
            </w:r>
            <w:r w:rsidR="00954C8E">
              <w:rPr>
                <w:rFonts w:cs="Arial"/>
                <w:color w:val="000000" w:themeColor="text1"/>
                <w:spacing w:val="-2"/>
                <w:lang w:val="en-GB"/>
              </w:rPr>
              <w:t>%</w:t>
            </w:r>
            <w:r w:rsidR="00482185">
              <w:rPr>
                <w:rFonts w:cs="Arial"/>
                <w:color w:val="000000" w:themeColor="text1"/>
                <w:spacing w:val="-2"/>
                <w:lang w:val="en-GB"/>
              </w:rPr>
              <w:t>, +4.6</w:t>
            </w:r>
            <w:r w:rsidR="00954C8E">
              <w:rPr>
                <w:rFonts w:cs="Arial"/>
                <w:color w:val="000000" w:themeColor="text1"/>
                <w:spacing w:val="-2"/>
                <w:lang w:val="en-GB"/>
              </w:rPr>
              <w:t>%</w:t>
            </w:r>
            <w:r w:rsidR="00482185">
              <w:rPr>
                <w:rFonts w:cs="Arial"/>
                <w:color w:val="000000" w:themeColor="text1"/>
                <w:spacing w:val="-2"/>
                <w:lang w:val="en-GB"/>
              </w:rPr>
              <w:t xml:space="preserve"> for the whole last year). Less funds w</w:t>
            </w:r>
            <w:r w:rsidR="009D48DC">
              <w:rPr>
                <w:rFonts w:cs="Arial"/>
                <w:color w:val="000000" w:themeColor="text1"/>
                <w:spacing w:val="-2"/>
                <w:lang w:val="en-GB"/>
              </w:rPr>
              <w:t>ere</w:t>
            </w:r>
            <w:r w:rsidR="00482185">
              <w:rPr>
                <w:rFonts w:cs="Arial"/>
                <w:color w:val="000000" w:themeColor="text1"/>
                <w:spacing w:val="-2"/>
                <w:lang w:val="en-GB"/>
              </w:rPr>
              <w:t xml:space="preserve"> on the contrary</w:t>
            </w:r>
            <w:r w:rsidR="009D48DC">
              <w:rPr>
                <w:rFonts w:cs="Arial"/>
                <w:color w:val="000000" w:themeColor="text1"/>
                <w:spacing w:val="-2"/>
                <w:lang w:val="en-GB"/>
              </w:rPr>
              <w:t xml:space="preserve"> expended on the non-investment transfers to state funds (-5.5 </w:t>
            </w:r>
            <w:proofErr w:type="spellStart"/>
            <w:r w:rsidR="009D48DC">
              <w:rPr>
                <w:rFonts w:cs="Arial"/>
                <w:color w:val="000000" w:themeColor="text1"/>
                <w:spacing w:val="-2"/>
                <w:lang w:val="en-GB"/>
              </w:rPr>
              <w:t>bn</w:t>
            </w:r>
            <w:proofErr w:type="spellEnd"/>
            <w:r w:rsidR="001C3961" w:rsidRPr="00E84A6B">
              <w:rPr>
                <w:rStyle w:val="tabulka"/>
                <w:spacing w:val="-2"/>
                <w:lang w:val="en-GB"/>
              </w:rPr>
              <w:t>).</w:t>
            </w:r>
            <w:r w:rsidR="009D48DC">
              <w:rPr>
                <w:rStyle w:val="tabulka"/>
                <w:spacing w:val="-2"/>
                <w:lang w:val="en-GB"/>
              </w:rPr>
              <w:t xml:space="preserve"> The more long-term</w:t>
            </w:r>
            <w:r w:rsidR="003034C7">
              <w:rPr>
                <w:rStyle w:val="tabulka"/>
                <w:spacing w:val="-2"/>
                <w:lang w:val="en-GB"/>
              </w:rPr>
              <w:t xml:space="preserve"> trend of the reduction of net expenditure</w:t>
            </w:r>
            <w:r w:rsidR="009D48DC">
              <w:rPr>
                <w:rStyle w:val="tabulka"/>
                <w:spacing w:val="-2"/>
                <w:lang w:val="en-GB"/>
              </w:rPr>
              <w:t xml:space="preserve"> on state debt further continued (5 </w:t>
            </w:r>
            <w:proofErr w:type="spellStart"/>
            <w:r w:rsidR="009D48DC">
              <w:rPr>
                <w:rStyle w:val="tabulka"/>
                <w:spacing w:val="-2"/>
                <w:lang w:val="en-GB"/>
              </w:rPr>
              <w:t>bn</w:t>
            </w:r>
            <w:proofErr w:type="spellEnd"/>
            <w:r w:rsidR="009D48DC">
              <w:rPr>
                <w:rStyle w:val="tabulka"/>
                <w:spacing w:val="-2"/>
                <w:lang w:val="en-GB"/>
              </w:rPr>
              <w:t xml:space="preserve">). </w:t>
            </w:r>
          </w:p>
        </w:tc>
      </w:tr>
    </w:tbl>
    <w:p w:rsidR="001C3961" w:rsidRPr="001C6DE6" w:rsidRDefault="001C3961" w:rsidP="001C3961">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7D232E" w:rsidP="00853C0F">
            <w:pPr>
              <w:pStyle w:val="Textpoznpodarou"/>
              <w:jc w:val="both"/>
              <w:rPr>
                <w:highlight w:val="yellow"/>
              </w:rPr>
            </w:pPr>
            <w:r>
              <w:rPr>
                <w:color w:val="000000"/>
              </w:rPr>
              <w:t>Chart</w:t>
            </w:r>
            <w:r w:rsidR="001C3961">
              <w:rPr>
                <w:color w:val="000000"/>
              </w:rPr>
              <w:t xml:space="preserve"> 22</w:t>
            </w:r>
          </w:p>
        </w:tc>
        <w:tc>
          <w:tcPr>
            <w:tcW w:w="3262" w:type="pct"/>
          </w:tcPr>
          <w:p w:rsidR="001C3961" w:rsidRPr="0007324C" w:rsidRDefault="009277E9" w:rsidP="0044315B">
            <w:pPr>
              <w:spacing w:line="240" w:lineRule="auto"/>
              <w:rPr>
                <w:rFonts w:cs="Arial"/>
                <w:b/>
                <w:bCs/>
              </w:rPr>
            </w:pPr>
            <w:r w:rsidRPr="00403CE3">
              <w:rPr>
                <w:rFonts w:cs="Arial"/>
                <w:b/>
                <w:bCs/>
                <w:lang w:val="en-GB"/>
              </w:rPr>
              <w:t>Selected state budget expenditure</w:t>
            </w:r>
            <w:r>
              <w:rPr>
                <w:rFonts w:cs="Arial"/>
                <w:b/>
                <w:bCs/>
                <w:lang w:val="en-GB"/>
              </w:rPr>
              <w:t>s</w:t>
            </w:r>
            <w:r w:rsidRPr="00403CE3">
              <w:rPr>
                <w:rFonts w:cs="Arial"/>
                <w:b/>
                <w:bCs/>
                <w:lang w:val="en-GB"/>
              </w:rPr>
              <w:t xml:space="preserve"> </w:t>
            </w:r>
            <w:r>
              <w:rPr>
                <w:rFonts w:cs="Arial"/>
                <w:b/>
                <w:bCs/>
                <w:lang w:val="en-GB"/>
              </w:rPr>
              <w:t xml:space="preserve">in </w:t>
            </w:r>
            <w:r w:rsidR="0044315B" w:rsidRPr="009979D1">
              <w:rPr>
                <w:rFonts w:cs="Arial"/>
                <w:b/>
                <w:bCs/>
                <w:spacing w:val="-2"/>
                <w:lang w:val="en-GB"/>
              </w:rPr>
              <w:t>1st</w:t>
            </w:r>
            <w:r w:rsidR="0044315B" w:rsidDel="0044315B">
              <w:rPr>
                <w:rFonts w:cs="Arial"/>
                <w:b/>
                <w:bCs/>
                <w:lang w:val="en-GB"/>
              </w:rPr>
              <w:t xml:space="preserve"> </w:t>
            </w:r>
            <w:r>
              <w:rPr>
                <w:rFonts w:cs="Arial"/>
                <w:b/>
                <w:bCs/>
                <w:lang w:val="en-GB"/>
              </w:rPr>
              <w:t xml:space="preserve">half-years </w:t>
            </w:r>
            <w:r w:rsidR="001C3961">
              <w:rPr>
                <w:rFonts w:cs="Arial"/>
                <w:bCs/>
              </w:rPr>
              <w:t>(</w:t>
            </w:r>
            <w:r w:rsidR="007D232E">
              <w:rPr>
                <w:rFonts w:cs="Arial"/>
                <w:bCs/>
              </w:rPr>
              <w:t xml:space="preserve">in </w:t>
            </w:r>
            <w:r w:rsidR="00467B4F">
              <w:rPr>
                <w:rFonts w:cs="Arial"/>
                <w:bCs/>
              </w:rPr>
              <w:t xml:space="preserve">CZK </w:t>
            </w:r>
            <w:proofErr w:type="spellStart"/>
            <w:r w:rsidR="00467B4F">
              <w:rPr>
                <w:rFonts w:cs="Arial"/>
                <w:bCs/>
              </w:rPr>
              <w:t>bn</w:t>
            </w:r>
            <w:proofErr w:type="spellEnd"/>
            <w:r w:rsidR="001C3961">
              <w:rPr>
                <w:rFonts w:cs="Arial"/>
                <w:bCs/>
              </w:rPr>
              <w:t>)</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2000" cy="3528000"/>
                  <wp:effectExtent l="0" t="0" r="0" b="0"/>
                  <wp:docPr id="5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77E9" w:rsidRPr="009277E9" w:rsidRDefault="001C3961" w:rsidP="00853C0F">
            <w:pPr>
              <w:pStyle w:val="Textpoznpodarou"/>
              <w:rPr>
                <w:sz w:val="14"/>
                <w:szCs w:val="14"/>
                <w:lang w:val="en-GB"/>
              </w:rPr>
            </w:pPr>
            <w:r>
              <w:rPr>
                <w:sz w:val="14"/>
                <w:szCs w:val="14"/>
              </w:rPr>
              <w:t>*</w:t>
            </w:r>
            <w:r w:rsidR="009277E9">
              <w:t xml:space="preserve"> </w:t>
            </w:r>
            <w:r w:rsidR="009277E9" w:rsidRPr="009277E9">
              <w:rPr>
                <w:sz w:val="14"/>
                <w:szCs w:val="14"/>
                <w:lang w:val="en-GB"/>
              </w:rPr>
              <w:t xml:space="preserve">including the foster care benefits </w:t>
            </w:r>
          </w:p>
          <w:p w:rsidR="001C3961" w:rsidRPr="009277E9" w:rsidRDefault="001C3961" w:rsidP="00853C0F">
            <w:pPr>
              <w:pStyle w:val="Textpoznpodarou"/>
              <w:rPr>
                <w:sz w:val="14"/>
                <w:szCs w:val="14"/>
                <w:lang w:val="en-GB"/>
              </w:rPr>
            </w:pPr>
            <w:r w:rsidRPr="009277E9">
              <w:rPr>
                <w:sz w:val="14"/>
                <w:szCs w:val="14"/>
                <w:lang w:val="en-GB"/>
              </w:rPr>
              <w:t>**</w:t>
            </w:r>
            <w:r w:rsidR="00C16D5D">
              <w:t xml:space="preserve"> </w:t>
            </w:r>
            <w:r w:rsidR="00C16D5D">
              <w:rPr>
                <w:sz w:val="14"/>
                <w:szCs w:val="14"/>
                <w:lang w:val="en-GB"/>
              </w:rPr>
              <w:t>Ma</w:t>
            </w:r>
            <w:r w:rsidR="00C16D5D" w:rsidRPr="00C16D5D">
              <w:rPr>
                <w:sz w:val="14"/>
                <w:szCs w:val="14"/>
                <w:lang w:val="en-GB"/>
              </w:rPr>
              <w:t xml:space="preserve">terial deprivation assistance benefits, </w:t>
            </w:r>
            <w:r w:rsidR="00503EC3">
              <w:rPr>
                <w:sz w:val="14"/>
                <w:szCs w:val="14"/>
                <w:lang w:val="en-GB"/>
              </w:rPr>
              <w:t xml:space="preserve">Benefits for people with </w:t>
            </w:r>
            <w:r w:rsidR="00C16D5D" w:rsidRPr="00C16D5D">
              <w:rPr>
                <w:sz w:val="14"/>
                <w:szCs w:val="14"/>
                <w:lang w:val="en-GB"/>
              </w:rPr>
              <w:t>disabilit</w:t>
            </w:r>
            <w:r w:rsidR="00503EC3">
              <w:rPr>
                <w:sz w:val="14"/>
                <w:szCs w:val="14"/>
                <w:lang w:val="en-GB"/>
              </w:rPr>
              <w:t xml:space="preserve">ies, Care </w:t>
            </w:r>
            <w:r w:rsidR="00C16D5D" w:rsidRPr="00C16D5D">
              <w:rPr>
                <w:sz w:val="14"/>
                <w:szCs w:val="14"/>
                <w:lang w:val="en-GB"/>
              </w:rPr>
              <w:t xml:space="preserve">benefits </w:t>
            </w:r>
            <w:r w:rsidR="00556A44">
              <w:rPr>
                <w:sz w:val="14"/>
                <w:szCs w:val="14"/>
                <w:lang w:val="en-GB"/>
              </w:rPr>
              <w:t>(</w:t>
            </w:r>
            <w:r w:rsidR="00C16D5D" w:rsidRPr="00C16D5D">
              <w:rPr>
                <w:sz w:val="14"/>
                <w:szCs w:val="14"/>
                <w:lang w:val="en-GB"/>
              </w:rPr>
              <w:t>based on Act on State Social Support</w:t>
            </w:r>
            <w:r w:rsidR="00556A44">
              <w:rPr>
                <w:sz w:val="14"/>
                <w:szCs w:val="14"/>
                <w:lang w:val="en-GB"/>
              </w:rPr>
              <w:t>)</w:t>
            </w:r>
          </w:p>
          <w:p w:rsidR="00486640" w:rsidRDefault="001C3961">
            <w:pPr>
              <w:pStyle w:val="Textpoznpodarou"/>
              <w:rPr>
                <w:sz w:val="14"/>
                <w:szCs w:val="14"/>
              </w:rPr>
            </w:pPr>
            <w:r w:rsidRPr="009277E9">
              <w:rPr>
                <w:sz w:val="14"/>
                <w:szCs w:val="14"/>
                <w:lang w:val="en-GB"/>
              </w:rPr>
              <w:t>***</w:t>
            </w:r>
            <w:r w:rsidR="00C16D5D">
              <w:rPr>
                <w:sz w:val="14"/>
                <w:szCs w:val="14"/>
                <w:lang w:val="en-GB"/>
              </w:rPr>
              <w:t>Net expenditure</w:t>
            </w:r>
            <w:r w:rsidR="00556A44">
              <w:rPr>
                <w:sz w:val="14"/>
                <w:szCs w:val="14"/>
                <w:lang w:val="en-GB"/>
              </w:rPr>
              <w:t>s</w:t>
            </w:r>
            <w:r w:rsidR="00C16D5D">
              <w:rPr>
                <w:sz w:val="14"/>
                <w:szCs w:val="14"/>
                <w:lang w:val="en-GB"/>
              </w:rPr>
              <w:t xml:space="preserve"> </w:t>
            </w:r>
            <w:r w:rsidR="00C16D5D" w:rsidRPr="00C16D5D">
              <w:rPr>
                <w:sz w:val="14"/>
                <w:szCs w:val="14"/>
                <w:lang w:val="en-GB"/>
              </w:rPr>
              <w:t>also include the income of the chapter State debt</w:t>
            </w:r>
            <w:r w:rsidRPr="009277E9">
              <w:rPr>
                <w:sz w:val="14"/>
                <w:szCs w:val="14"/>
                <w:lang w:val="en-GB"/>
              </w:rPr>
              <w:t xml:space="preserve">.                                     </w:t>
            </w:r>
            <w:r w:rsidR="009277E9" w:rsidRPr="009277E9">
              <w:rPr>
                <w:sz w:val="14"/>
                <w:szCs w:val="14"/>
                <w:lang w:val="en-GB"/>
              </w:rPr>
              <w:t>Source</w:t>
            </w:r>
            <w:r w:rsidR="00FB332E" w:rsidRPr="009277E9">
              <w:rPr>
                <w:rFonts w:cs="Arial"/>
                <w:sz w:val="14"/>
                <w:szCs w:val="14"/>
                <w:lang w:val="en-GB"/>
              </w:rPr>
              <w:t>: MF</w:t>
            </w:r>
            <w:r w:rsidR="009277E9" w:rsidRPr="009277E9">
              <w:rPr>
                <w:rFonts w:cs="Arial"/>
                <w:sz w:val="14"/>
                <w:szCs w:val="14"/>
                <w:lang w:val="en-GB"/>
              </w:rPr>
              <w:t xml:space="preserve"> CR</w:t>
            </w:r>
            <w:r w:rsidRPr="009277E9">
              <w:rPr>
                <w:rFonts w:cs="Arial"/>
                <w:sz w:val="14"/>
                <w:szCs w:val="14"/>
                <w:lang w:val="en-GB"/>
              </w:rPr>
              <w:t>,</w:t>
            </w:r>
            <w:r w:rsidR="009277E9" w:rsidRPr="009277E9">
              <w:rPr>
                <w:rFonts w:cs="Arial"/>
                <w:sz w:val="14"/>
                <w:szCs w:val="14"/>
                <w:lang w:val="en-GB"/>
              </w:rPr>
              <w:t xml:space="preserve"> MLSA</w:t>
            </w:r>
          </w:p>
        </w:tc>
      </w:tr>
    </w:tbl>
    <w:p w:rsidR="001C3961" w:rsidRPr="0007324C" w:rsidRDefault="001C3961" w:rsidP="001C3961">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BC65CE" w:rsidRDefault="00BC65CE" w:rsidP="00853C0F">
            <w:pPr>
              <w:spacing w:line="240" w:lineRule="auto"/>
              <w:rPr>
                <w:rFonts w:cs="Arial"/>
                <w:bCs/>
                <w:iCs/>
                <w:color w:val="0D0D0D" w:themeColor="text1" w:themeTint="F2"/>
                <w:sz w:val="16"/>
                <w:szCs w:val="16"/>
                <w:lang w:val="en-GB"/>
              </w:rPr>
            </w:pPr>
            <w:r w:rsidRPr="00BC65CE">
              <w:rPr>
                <w:rFonts w:cs="Arial"/>
                <w:bCs/>
                <w:iCs/>
                <w:color w:val="0D0D0D" w:themeColor="text1" w:themeTint="F2"/>
                <w:sz w:val="16"/>
                <w:szCs w:val="16"/>
                <w:lang w:val="en-GB"/>
              </w:rPr>
              <w:t>The increase of the</w:t>
            </w:r>
            <w:r w:rsidR="00971A20">
              <w:rPr>
                <w:rFonts w:cs="Arial"/>
                <w:bCs/>
                <w:iCs/>
                <w:color w:val="0D0D0D" w:themeColor="text1" w:themeTint="F2"/>
                <w:sz w:val="16"/>
                <w:szCs w:val="16"/>
                <w:lang w:val="en-GB"/>
              </w:rPr>
              <w:t xml:space="preserve"> total</w:t>
            </w:r>
            <w:r w:rsidRPr="00BC65CE">
              <w:rPr>
                <w:rFonts w:cs="Arial"/>
                <w:bCs/>
                <w:iCs/>
                <w:color w:val="0D0D0D" w:themeColor="text1" w:themeTint="F2"/>
                <w:sz w:val="16"/>
                <w:szCs w:val="16"/>
                <w:lang w:val="en-GB"/>
              </w:rPr>
              <w:t xml:space="preserve"> social benefit expenditure was primarily </w:t>
            </w:r>
            <w:r w:rsidR="00CF2090" w:rsidRPr="00BC65CE">
              <w:rPr>
                <w:rFonts w:cs="Arial"/>
                <w:bCs/>
                <w:iCs/>
                <w:color w:val="0D0D0D" w:themeColor="text1" w:themeTint="F2"/>
                <w:sz w:val="16"/>
                <w:szCs w:val="16"/>
                <w:lang w:val="en-GB"/>
              </w:rPr>
              <w:t>impacted</w:t>
            </w:r>
            <w:r w:rsidRPr="00BC65CE">
              <w:rPr>
                <w:rFonts w:cs="Arial"/>
                <w:bCs/>
                <w:iCs/>
                <w:color w:val="0D0D0D" w:themeColor="text1" w:themeTint="F2"/>
                <w:sz w:val="16"/>
                <w:szCs w:val="16"/>
                <w:lang w:val="en-GB"/>
              </w:rPr>
              <w:t xml:space="preserve"> by the resources on pension. These grew the most dynamically within the last six years in the </w:t>
            </w:r>
            <w:r w:rsidR="00CF2090" w:rsidRPr="00BC65CE">
              <w:rPr>
                <w:rFonts w:cs="Arial"/>
                <w:bCs/>
                <w:iCs/>
                <w:color w:val="0D0D0D" w:themeColor="text1" w:themeTint="F2"/>
                <w:sz w:val="16"/>
                <w:szCs w:val="16"/>
                <w:lang w:val="en-GB"/>
              </w:rPr>
              <w:t>first</w:t>
            </w:r>
            <w:r w:rsidRPr="00BC65CE">
              <w:rPr>
                <w:rFonts w:cs="Arial"/>
                <w:bCs/>
                <w:iCs/>
                <w:color w:val="0D0D0D" w:themeColor="text1" w:themeTint="F2"/>
                <w:sz w:val="16"/>
                <w:szCs w:val="16"/>
                <w:lang w:val="en-GB"/>
              </w:rPr>
              <w:t xml:space="preserve"> half year. </w:t>
            </w:r>
          </w:p>
        </w:tc>
        <w:tc>
          <w:tcPr>
            <w:tcW w:w="144" w:type="pct"/>
          </w:tcPr>
          <w:p w:rsidR="001C3961" w:rsidRPr="00BC65CE" w:rsidRDefault="001C3961" w:rsidP="00853C0F">
            <w:pPr>
              <w:pStyle w:val="Textpoznpodarou"/>
              <w:jc w:val="both"/>
              <w:rPr>
                <w:rFonts w:cs="Arial"/>
                <w:color w:val="0D0D0D" w:themeColor="text1" w:themeTint="F2"/>
                <w:lang w:val="en-GB"/>
              </w:rPr>
            </w:pPr>
          </w:p>
        </w:tc>
        <w:tc>
          <w:tcPr>
            <w:tcW w:w="3840" w:type="pct"/>
          </w:tcPr>
          <w:p w:rsidR="001C3961" w:rsidRDefault="00C63CB3" w:rsidP="00422502">
            <w:pPr>
              <w:pStyle w:val="Textpoznpodarou"/>
              <w:jc w:val="both"/>
              <w:rPr>
                <w:rFonts w:cs="Arial"/>
                <w:color w:val="000000" w:themeColor="text1"/>
                <w:spacing w:val="-4"/>
                <w:lang w:val="en-GB"/>
              </w:rPr>
            </w:pPr>
            <w:r>
              <w:rPr>
                <w:rFonts w:cs="Arial"/>
                <w:color w:val="0D0D0D" w:themeColor="text1" w:themeTint="F2"/>
                <w:spacing w:val="-4"/>
                <w:lang w:val="en-GB"/>
              </w:rPr>
              <w:t>Year-on-year rate of growth of the expenditure on social benefits increased already for the fourth time in a row within H1 and achieved 5.3</w:t>
            </w:r>
            <w:r w:rsidR="00954C8E">
              <w:rPr>
                <w:rFonts w:cs="Arial"/>
                <w:color w:val="0D0D0D" w:themeColor="text1" w:themeTint="F2"/>
                <w:spacing w:val="-4"/>
                <w:lang w:val="en-GB"/>
              </w:rPr>
              <w:t>%</w:t>
            </w:r>
            <w:r>
              <w:rPr>
                <w:rFonts w:cs="Arial"/>
                <w:color w:val="0D0D0D" w:themeColor="text1" w:themeTint="F2"/>
                <w:spacing w:val="-4"/>
                <w:lang w:val="en-GB"/>
              </w:rPr>
              <w:t xml:space="preserve"> in year 2017. It was driven mainly by the weight dominant expenditure on pensions </w:t>
            </w:r>
            <w:r w:rsidR="001C3961" w:rsidRPr="00BC65CE">
              <w:rPr>
                <w:rFonts w:cs="Arial"/>
                <w:color w:val="0D0D0D" w:themeColor="text1" w:themeTint="F2"/>
                <w:spacing w:val="-4"/>
                <w:lang w:val="en-GB"/>
              </w:rPr>
              <w:t>(+6</w:t>
            </w:r>
            <w:r>
              <w:rPr>
                <w:rFonts w:cs="Arial"/>
                <w:color w:val="0D0D0D" w:themeColor="text1" w:themeTint="F2"/>
                <w:spacing w:val="-4"/>
                <w:lang w:val="en-GB"/>
              </w:rPr>
              <w:t>.</w:t>
            </w:r>
            <w:r w:rsidR="001C3961" w:rsidRPr="00BC65CE">
              <w:rPr>
                <w:rFonts w:cs="Arial"/>
                <w:color w:val="0D0D0D" w:themeColor="text1" w:themeTint="F2"/>
                <w:spacing w:val="-4"/>
                <w:lang w:val="en-GB"/>
              </w:rPr>
              <w:t>0</w:t>
            </w:r>
            <w:r w:rsidR="00954C8E">
              <w:rPr>
                <w:rFonts w:cs="Arial"/>
                <w:color w:val="0D0D0D" w:themeColor="text1" w:themeTint="F2"/>
                <w:spacing w:val="-4"/>
                <w:lang w:val="en-GB"/>
              </w:rPr>
              <w:t>%</w:t>
            </w:r>
            <w:r w:rsidR="001C3961" w:rsidRPr="00BC65CE">
              <w:rPr>
                <w:rFonts w:cs="Arial"/>
                <w:color w:val="0D0D0D" w:themeColor="text1" w:themeTint="F2"/>
                <w:spacing w:val="-4"/>
                <w:lang w:val="en-GB"/>
              </w:rPr>
              <w:t xml:space="preserve">), </w:t>
            </w:r>
            <w:r>
              <w:rPr>
                <w:rFonts w:cs="Arial"/>
                <w:color w:val="0D0D0D" w:themeColor="text1" w:themeTint="F2"/>
                <w:spacing w:val="-4"/>
                <w:lang w:val="en-GB"/>
              </w:rPr>
              <w:t>since the new legislation, which enables to increase pensions a</w:t>
            </w:r>
            <w:r w:rsidR="004B6195">
              <w:rPr>
                <w:rFonts w:cs="Arial"/>
                <w:color w:val="0D0D0D" w:themeColor="text1" w:themeTint="F2"/>
                <w:spacing w:val="-4"/>
                <w:lang w:val="en-GB"/>
              </w:rPr>
              <w:t>b</w:t>
            </w:r>
            <w:r>
              <w:rPr>
                <w:rFonts w:cs="Arial"/>
                <w:color w:val="0D0D0D" w:themeColor="text1" w:themeTint="F2"/>
                <w:spacing w:val="-4"/>
                <w:lang w:val="en-GB"/>
              </w:rPr>
              <w:t>ove the framework of the standard</w:t>
            </w:r>
            <w:r w:rsidR="004B6195">
              <w:rPr>
                <w:rFonts w:cs="Arial"/>
                <w:color w:val="0D0D0D" w:themeColor="text1" w:themeTint="F2"/>
                <w:spacing w:val="-4"/>
                <w:lang w:val="en-GB"/>
              </w:rPr>
              <w:t xml:space="preserve"> adjustment was utilised. </w:t>
            </w:r>
            <w:r w:rsidR="00ED2670">
              <w:rPr>
                <w:rFonts w:cs="Arial"/>
                <w:color w:val="0D0D0D" w:themeColor="text1" w:themeTint="F2"/>
                <w:spacing w:val="-4"/>
                <w:lang w:val="en-GB"/>
              </w:rPr>
              <w:t>2.</w:t>
            </w:r>
            <w:r w:rsidR="001C3961" w:rsidRPr="00BC65CE">
              <w:rPr>
                <w:rFonts w:cs="Arial"/>
                <w:color w:val="0D0D0D" w:themeColor="text1" w:themeTint="F2"/>
                <w:spacing w:val="-4"/>
                <w:lang w:val="en-GB"/>
              </w:rPr>
              <w:t xml:space="preserve">89 </w:t>
            </w:r>
            <w:r w:rsidR="00ED2670">
              <w:rPr>
                <w:rFonts w:cs="Arial"/>
                <w:color w:val="0D0D0D" w:themeColor="text1" w:themeTint="F2"/>
                <w:spacing w:val="-4"/>
                <w:lang w:val="en-GB"/>
              </w:rPr>
              <w:t>million</w:t>
            </w:r>
            <w:r w:rsidR="001C3961" w:rsidRPr="00BC65CE">
              <w:rPr>
                <w:rFonts w:cs="Arial"/>
                <w:color w:val="0D0D0D" w:themeColor="text1" w:themeTint="F2"/>
                <w:spacing w:val="-4"/>
                <w:lang w:val="en-GB"/>
              </w:rPr>
              <w:t xml:space="preserve"> </w:t>
            </w:r>
            <w:r w:rsidR="00B335ED">
              <w:rPr>
                <w:rFonts w:cs="Arial"/>
                <w:color w:val="0D0D0D" w:themeColor="text1" w:themeTint="F2"/>
                <w:spacing w:val="-4"/>
                <w:lang w:val="en-GB"/>
              </w:rPr>
              <w:t>p</w:t>
            </w:r>
            <w:r w:rsidR="004B6195">
              <w:rPr>
                <w:rFonts w:cs="Arial"/>
                <w:color w:val="0D0D0D" w:themeColor="text1" w:themeTint="F2"/>
                <w:spacing w:val="-4"/>
                <w:lang w:val="en-GB"/>
              </w:rPr>
              <w:t>ersons were receivin</w:t>
            </w:r>
            <w:r w:rsidR="00B335ED">
              <w:rPr>
                <w:rFonts w:cs="Arial"/>
                <w:color w:val="0D0D0D" w:themeColor="text1" w:themeTint="F2"/>
                <w:spacing w:val="-4"/>
                <w:lang w:val="en-GB"/>
              </w:rPr>
              <w:t>g</w:t>
            </w:r>
            <w:r w:rsidR="004B6195">
              <w:rPr>
                <w:rFonts w:cs="Arial"/>
                <w:color w:val="0D0D0D" w:themeColor="text1" w:themeTint="F2"/>
                <w:spacing w:val="-4"/>
                <w:lang w:val="en-GB"/>
              </w:rPr>
              <w:t xml:space="preserve"> the pensions from the state at the end of June. Their number</w:t>
            </w:r>
            <w:r w:rsidR="00B335ED">
              <w:rPr>
                <w:rFonts w:cs="Arial"/>
                <w:color w:val="0D0D0D" w:themeColor="text1" w:themeTint="F2"/>
                <w:spacing w:val="-4"/>
                <w:lang w:val="en-GB"/>
              </w:rPr>
              <w:t xml:space="preserve"> </w:t>
            </w:r>
            <w:r w:rsidR="004B6195">
              <w:rPr>
                <w:rFonts w:cs="Arial"/>
                <w:color w:val="0D0D0D" w:themeColor="text1" w:themeTint="F2"/>
                <w:spacing w:val="-4"/>
                <w:lang w:val="en-GB"/>
              </w:rPr>
              <w:t>stagnated year-on-year (slight growt</w:t>
            </w:r>
            <w:r w:rsidR="00B335ED">
              <w:rPr>
                <w:rFonts w:cs="Arial"/>
                <w:color w:val="0D0D0D" w:themeColor="text1" w:themeTint="F2"/>
                <w:spacing w:val="-4"/>
                <w:lang w:val="en-GB"/>
              </w:rPr>
              <w:t>h</w:t>
            </w:r>
            <w:r w:rsidR="004B6195">
              <w:rPr>
                <w:rFonts w:cs="Arial"/>
                <w:color w:val="0D0D0D" w:themeColor="text1" w:themeTint="F2"/>
                <w:spacing w:val="-4"/>
                <w:lang w:val="en-GB"/>
              </w:rPr>
              <w:t xml:space="preserve"> of the number</w:t>
            </w:r>
            <w:r w:rsidR="00B335ED">
              <w:rPr>
                <w:rFonts w:cs="Arial"/>
                <w:color w:val="0D0D0D" w:themeColor="text1" w:themeTint="F2"/>
                <w:spacing w:val="-4"/>
                <w:lang w:val="en-GB"/>
              </w:rPr>
              <w:t xml:space="preserve"> </w:t>
            </w:r>
            <w:r w:rsidR="004B6195">
              <w:rPr>
                <w:rFonts w:cs="Arial"/>
                <w:color w:val="0D0D0D" w:themeColor="text1" w:themeTint="F2"/>
                <w:spacing w:val="-4"/>
                <w:lang w:val="en-GB"/>
              </w:rPr>
              <w:t>of paid out pensions by 0.7</w:t>
            </w:r>
            <w:r w:rsidR="00954C8E">
              <w:rPr>
                <w:rFonts w:cs="Arial"/>
                <w:color w:val="0D0D0D" w:themeColor="text1" w:themeTint="F2"/>
                <w:spacing w:val="-4"/>
                <w:lang w:val="en-GB"/>
              </w:rPr>
              <w:t>%</w:t>
            </w:r>
            <w:r w:rsidR="004B6195">
              <w:rPr>
                <w:rFonts w:cs="Arial"/>
                <w:color w:val="0D0D0D" w:themeColor="text1" w:themeTint="F2"/>
                <w:spacing w:val="-4"/>
                <w:lang w:val="en-GB"/>
              </w:rPr>
              <w:t xml:space="preserve"> was offset by the reduction in all other </w:t>
            </w:r>
            <w:r w:rsidR="00B335ED">
              <w:rPr>
                <w:rFonts w:cs="Arial"/>
                <w:color w:val="0D0D0D" w:themeColor="text1" w:themeTint="F2"/>
                <w:spacing w:val="-4"/>
                <w:lang w:val="en-GB"/>
              </w:rPr>
              <w:t>pension</w:t>
            </w:r>
            <w:r w:rsidR="004B6195">
              <w:rPr>
                <w:rFonts w:cs="Arial"/>
                <w:color w:val="0D0D0D" w:themeColor="text1" w:themeTint="F2"/>
                <w:spacing w:val="-4"/>
                <w:lang w:val="en-GB"/>
              </w:rPr>
              <w:t xml:space="preserve"> categories). Even though the growth of expenditure on pensions was the highest in the last six years this year, the pension account deficit</w:t>
            </w:r>
            <w:r w:rsidR="001C3961" w:rsidRPr="00BC65CE">
              <w:rPr>
                <w:rStyle w:val="Znakapoznpodarou"/>
                <w:color w:val="0D0D0D" w:themeColor="text1" w:themeTint="F2"/>
                <w:spacing w:val="-4"/>
                <w:lang w:val="en-GB"/>
              </w:rPr>
              <w:footnoteReference w:id="9"/>
            </w:r>
            <w:r w:rsidR="001C3961" w:rsidRPr="00BC65CE">
              <w:rPr>
                <w:rFonts w:cs="Arial"/>
                <w:color w:val="0D0D0D" w:themeColor="text1" w:themeTint="F2"/>
                <w:spacing w:val="-4"/>
                <w:lang w:val="en-GB"/>
              </w:rPr>
              <w:t xml:space="preserve"> </w:t>
            </w:r>
            <w:r w:rsidR="004B6195">
              <w:rPr>
                <w:rFonts w:cs="Arial"/>
                <w:color w:val="0D0D0D" w:themeColor="text1" w:themeTint="F2"/>
                <w:spacing w:val="-4"/>
                <w:lang w:val="en-GB"/>
              </w:rPr>
              <w:t xml:space="preserve">was further reduced </w:t>
            </w:r>
            <w:r w:rsidR="001C3961" w:rsidRPr="00BC65CE">
              <w:rPr>
                <w:rFonts w:cs="Arial"/>
                <w:color w:val="0D0D0D" w:themeColor="text1" w:themeTint="F2"/>
                <w:spacing w:val="-4"/>
                <w:lang w:val="en-GB"/>
              </w:rPr>
              <w:t>(</w:t>
            </w:r>
            <w:r w:rsidR="004B6195">
              <w:rPr>
                <w:rFonts w:cs="Arial"/>
                <w:color w:val="0D0D0D" w:themeColor="text1" w:themeTint="F2"/>
                <w:spacing w:val="-4"/>
                <w:lang w:val="en-GB"/>
              </w:rPr>
              <w:t xml:space="preserve">down to </w:t>
            </w:r>
            <w:r w:rsidR="001C3961" w:rsidRPr="00BC65CE">
              <w:rPr>
                <w:rFonts w:cs="Arial"/>
                <w:color w:val="0D0D0D" w:themeColor="text1" w:themeTint="F2"/>
                <w:spacing w:val="-4"/>
                <w:lang w:val="en-GB"/>
              </w:rPr>
              <w:t>6</w:t>
            </w:r>
            <w:r w:rsidR="004B6195">
              <w:rPr>
                <w:rFonts w:cs="Arial"/>
                <w:color w:val="0D0D0D" w:themeColor="text1" w:themeTint="F2"/>
                <w:spacing w:val="-4"/>
                <w:lang w:val="en-GB"/>
              </w:rPr>
              <w:t>.</w:t>
            </w:r>
            <w:r w:rsidR="001C3961" w:rsidRPr="00BC65CE">
              <w:rPr>
                <w:rFonts w:cs="Arial"/>
                <w:color w:val="0D0D0D" w:themeColor="text1" w:themeTint="F2"/>
                <w:spacing w:val="-4"/>
                <w:lang w:val="en-GB"/>
              </w:rPr>
              <w:t xml:space="preserve">8 </w:t>
            </w:r>
            <w:r w:rsidR="004B6195">
              <w:rPr>
                <w:rFonts w:cs="Arial"/>
                <w:color w:val="0D0D0D" w:themeColor="text1" w:themeTint="F2"/>
                <w:spacing w:val="-4"/>
                <w:lang w:val="en-GB"/>
              </w:rPr>
              <w:t xml:space="preserve">CZK </w:t>
            </w:r>
            <w:proofErr w:type="spellStart"/>
            <w:r w:rsidR="004B6195">
              <w:rPr>
                <w:rFonts w:cs="Arial"/>
                <w:color w:val="0D0D0D" w:themeColor="text1" w:themeTint="F2"/>
                <w:spacing w:val="-4"/>
                <w:lang w:val="en-GB"/>
              </w:rPr>
              <w:t>bn</w:t>
            </w:r>
            <w:proofErr w:type="spellEnd"/>
            <w:r w:rsidR="004B6195">
              <w:rPr>
                <w:rFonts w:cs="Arial"/>
                <w:color w:val="0D0D0D" w:themeColor="text1" w:themeTint="F2"/>
                <w:spacing w:val="-4"/>
                <w:lang w:val="en-GB"/>
              </w:rPr>
              <w:t xml:space="preserve"> in H</w:t>
            </w:r>
            <w:r w:rsidR="001C3961" w:rsidRPr="00BC65CE">
              <w:rPr>
                <w:rFonts w:cs="Arial"/>
                <w:color w:val="0D0D0D" w:themeColor="text1" w:themeTint="F2"/>
                <w:spacing w:val="-4"/>
                <w:lang w:val="en-GB"/>
              </w:rPr>
              <w:t>1</w:t>
            </w:r>
            <w:r w:rsidR="004B6195">
              <w:rPr>
                <w:rFonts w:cs="Arial"/>
                <w:color w:val="0D0D0D" w:themeColor="text1" w:themeTint="F2"/>
                <w:spacing w:val="-4"/>
                <w:lang w:val="en-GB"/>
              </w:rPr>
              <w:t xml:space="preserve"> </w:t>
            </w:r>
            <w:r w:rsidR="001C3961" w:rsidRPr="00BC65CE">
              <w:rPr>
                <w:rFonts w:cs="Arial"/>
                <w:color w:val="0D0D0D" w:themeColor="text1" w:themeTint="F2"/>
                <w:spacing w:val="-4"/>
                <w:lang w:val="en-GB"/>
              </w:rPr>
              <w:t>2017).</w:t>
            </w:r>
            <w:r w:rsidR="001C3961" w:rsidRPr="00BC65CE">
              <w:rPr>
                <w:rFonts w:cs="Arial"/>
                <w:color w:val="000000" w:themeColor="text1"/>
                <w:spacing w:val="-4"/>
                <w:lang w:val="en-GB"/>
              </w:rPr>
              <w:t xml:space="preserve"> </w:t>
            </w:r>
            <w:r w:rsidR="00422502">
              <w:rPr>
                <w:rFonts w:cs="Arial"/>
                <w:color w:val="000000" w:themeColor="text1"/>
                <w:spacing w:val="-4"/>
                <w:lang w:val="en-GB"/>
              </w:rPr>
              <w:t xml:space="preserve">The strengthening growth of the insurance collection, whose pace </w:t>
            </w:r>
            <w:r w:rsidR="001C3961" w:rsidRPr="00BC65CE">
              <w:rPr>
                <w:rFonts w:cs="Arial"/>
                <w:color w:val="000000" w:themeColor="text1"/>
                <w:spacing w:val="-4"/>
                <w:lang w:val="en-GB"/>
              </w:rPr>
              <w:t>(+7</w:t>
            </w:r>
            <w:r w:rsidR="00422502">
              <w:rPr>
                <w:rFonts w:cs="Arial"/>
                <w:color w:val="000000" w:themeColor="text1"/>
                <w:spacing w:val="-4"/>
                <w:lang w:val="en-GB"/>
              </w:rPr>
              <w:t>.</w:t>
            </w:r>
            <w:r w:rsidR="001C3961" w:rsidRPr="00BC65CE">
              <w:rPr>
                <w:rFonts w:cs="Arial"/>
                <w:color w:val="000000" w:themeColor="text1"/>
                <w:spacing w:val="-4"/>
                <w:lang w:val="en-GB"/>
              </w:rPr>
              <w:t>3</w:t>
            </w:r>
            <w:r w:rsidR="00954C8E">
              <w:rPr>
                <w:rFonts w:cs="Arial"/>
                <w:color w:val="000000" w:themeColor="text1"/>
                <w:spacing w:val="-4"/>
                <w:lang w:val="en-GB"/>
              </w:rPr>
              <w:t>%</w:t>
            </w:r>
            <w:r w:rsidR="001C3961" w:rsidRPr="00BC65CE">
              <w:rPr>
                <w:rFonts w:cs="Arial"/>
                <w:color w:val="000000" w:themeColor="text1"/>
                <w:spacing w:val="-4"/>
                <w:lang w:val="en-GB"/>
              </w:rPr>
              <w:t xml:space="preserve">) </w:t>
            </w:r>
            <w:r w:rsidR="00422502">
              <w:rPr>
                <w:rFonts w:cs="Arial"/>
                <w:color w:val="000000" w:themeColor="text1"/>
                <w:spacing w:val="-4"/>
                <w:lang w:val="en-GB"/>
              </w:rPr>
              <w:t xml:space="preserve">approached the values from the peak of the business cycle in the preceding decade, had a positive effect. </w:t>
            </w:r>
          </w:p>
          <w:p w:rsidR="00422502" w:rsidRPr="00BC65CE" w:rsidRDefault="00422502" w:rsidP="00422502">
            <w:pPr>
              <w:pStyle w:val="Textpoznpodarou"/>
              <w:jc w:val="both"/>
              <w:rPr>
                <w:rFonts w:cs="Arial"/>
                <w:color w:val="0D0D0D" w:themeColor="text1" w:themeTint="F2"/>
                <w:spacing w:val="-4"/>
                <w:sz w:val="14"/>
                <w:szCs w:val="14"/>
                <w:lang w:val="en-GB"/>
              </w:rPr>
            </w:pPr>
          </w:p>
        </w:tc>
      </w:tr>
      <w:tr w:rsidR="001C3961" w:rsidRPr="00AD0FC0" w:rsidTr="00853C0F">
        <w:trPr>
          <w:trHeight w:val="145"/>
        </w:trPr>
        <w:tc>
          <w:tcPr>
            <w:tcW w:w="1016" w:type="pct"/>
            <w:shd w:val="clear" w:color="auto" w:fill="auto"/>
          </w:tcPr>
          <w:p w:rsidR="001C3961" w:rsidRPr="0016448A" w:rsidRDefault="0016448A" w:rsidP="00853C0F">
            <w:pPr>
              <w:spacing w:line="240" w:lineRule="auto"/>
              <w:rPr>
                <w:rFonts w:cs="Arial"/>
                <w:bCs/>
                <w:iCs/>
                <w:color w:val="0D0D0D" w:themeColor="text1" w:themeTint="F2"/>
                <w:spacing w:val="-2"/>
                <w:sz w:val="16"/>
                <w:szCs w:val="16"/>
                <w:lang w:val="en-GB"/>
              </w:rPr>
            </w:pPr>
            <w:r w:rsidRPr="0016448A">
              <w:rPr>
                <w:rFonts w:cs="Arial"/>
                <w:bCs/>
                <w:iCs/>
                <w:color w:val="0D0D0D" w:themeColor="text1" w:themeTint="F2"/>
                <w:spacing w:val="-2"/>
                <w:sz w:val="16"/>
                <w:szCs w:val="16"/>
                <w:lang w:val="en-GB"/>
              </w:rPr>
              <w:t>The growth of the sickness benefits insurance continued, the social care benefits strengthened via the legislative amendment.</w:t>
            </w:r>
          </w:p>
          <w:p w:rsidR="001C3961" w:rsidRPr="0016448A" w:rsidRDefault="001C3961" w:rsidP="00853C0F">
            <w:pPr>
              <w:spacing w:line="240" w:lineRule="auto"/>
              <w:rPr>
                <w:rFonts w:cs="Arial"/>
                <w:bCs/>
                <w:iCs/>
                <w:color w:val="0D0D0D" w:themeColor="text1" w:themeTint="F2"/>
                <w:spacing w:val="-2"/>
                <w:sz w:val="16"/>
                <w:szCs w:val="16"/>
                <w:lang w:val="en-GB"/>
              </w:rPr>
            </w:pPr>
          </w:p>
          <w:p w:rsidR="001C3961" w:rsidRDefault="001C3961" w:rsidP="00853C0F">
            <w:pPr>
              <w:spacing w:line="240" w:lineRule="auto"/>
              <w:rPr>
                <w:rFonts w:cs="Arial"/>
                <w:bCs/>
                <w:iCs/>
                <w:color w:val="0D0D0D" w:themeColor="text1" w:themeTint="F2"/>
                <w:spacing w:val="-2"/>
                <w:sz w:val="16"/>
                <w:szCs w:val="16"/>
                <w:lang w:val="en-GB"/>
              </w:rPr>
            </w:pPr>
          </w:p>
          <w:p w:rsidR="00971A20" w:rsidRPr="0016448A" w:rsidRDefault="00971A20" w:rsidP="00853C0F">
            <w:pPr>
              <w:spacing w:line="240" w:lineRule="auto"/>
              <w:rPr>
                <w:rFonts w:cs="Arial"/>
                <w:bCs/>
                <w:iCs/>
                <w:color w:val="0D0D0D" w:themeColor="text1" w:themeTint="F2"/>
                <w:spacing w:val="-2"/>
                <w:sz w:val="16"/>
                <w:szCs w:val="16"/>
                <w:lang w:val="en-GB"/>
              </w:rPr>
            </w:pPr>
          </w:p>
          <w:p w:rsidR="001C3961" w:rsidRPr="0016448A" w:rsidRDefault="00FC0894" w:rsidP="00853C0F">
            <w:pPr>
              <w:spacing w:line="240" w:lineRule="auto"/>
              <w:rPr>
                <w:rFonts w:cs="Arial"/>
                <w:bCs/>
                <w:iCs/>
                <w:color w:val="000000" w:themeColor="text1"/>
                <w:sz w:val="16"/>
                <w:szCs w:val="16"/>
                <w:lang w:val="en-GB"/>
              </w:rPr>
            </w:pPr>
            <w:r>
              <w:rPr>
                <w:rFonts w:cs="Arial"/>
                <w:bCs/>
                <w:iCs/>
                <w:color w:val="0D0D0D" w:themeColor="text1" w:themeTint="F2"/>
                <w:spacing w:val="-2"/>
                <w:sz w:val="16"/>
                <w:szCs w:val="16"/>
                <w:lang w:val="en-GB"/>
              </w:rPr>
              <w:t xml:space="preserve">The more favourable financial situation of households was reflected in the reduction of volume of the material </w:t>
            </w:r>
            <w:r>
              <w:rPr>
                <w:rFonts w:cs="Arial"/>
                <w:bCs/>
                <w:iCs/>
                <w:color w:val="0D0D0D" w:themeColor="text1" w:themeTint="F2"/>
                <w:spacing w:val="-2"/>
                <w:sz w:val="16"/>
                <w:szCs w:val="16"/>
                <w:lang w:val="en-GB"/>
              </w:rPr>
              <w:lastRenderedPageBreak/>
              <w:t xml:space="preserve">deprivation assistance benefits as well as the state social support. </w:t>
            </w:r>
          </w:p>
        </w:tc>
        <w:tc>
          <w:tcPr>
            <w:tcW w:w="144" w:type="pct"/>
          </w:tcPr>
          <w:p w:rsidR="001C3961" w:rsidRPr="0016448A" w:rsidRDefault="001C3961" w:rsidP="00853C0F">
            <w:pPr>
              <w:pStyle w:val="Textpoznpodarou"/>
              <w:jc w:val="both"/>
              <w:rPr>
                <w:rFonts w:cs="Arial"/>
                <w:color w:val="0D0D0D" w:themeColor="text1" w:themeTint="F2"/>
                <w:lang w:val="en-GB"/>
              </w:rPr>
            </w:pPr>
          </w:p>
        </w:tc>
        <w:tc>
          <w:tcPr>
            <w:tcW w:w="3840" w:type="pct"/>
          </w:tcPr>
          <w:p w:rsidR="001C3961" w:rsidRPr="0016448A" w:rsidRDefault="00FC0894"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Expenditure on other social benefits (apart from pensions) was by 3.0</w:t>
            </w:r>
            <w:r w:rsidR="00954C8E">
              <w:rPr>
                <w:rFonts w:cs="Arial"/>
                <w:color w:val="0D0D0D" w:themeColor="text1" w:themeTint="F2"/>
                <w:spacing w:val="-4"/>
                <w:lang w:val="en-GB"/>
              </w:rPr>
              <w:t>%</w:t>
            </w:r>
            <w:r>
              <w:rPr>
                <w:rFonts w:cs="Arial"/>
                <w:color w:val="0D0D0D" w:themeColor="text1" w:themeTint="F2"/>
                <w:spacing w:val="-4"/>
                <w:lang w:val="en-GB"/>
              </w:rPr>
              <w:t xml:space="preserve"> higher. Their year-on-year rate of growth was growing already second year in a row. Higher expenditure on sickness insurance benefits stood behind this result </w:t>
            </w:r>
            <w:r w:rsidR="001C3961" w:rsidRPr="0016448A">
              <w:rPr>
                <w:color w:val="000000" w:themeColor="text1"/>
                <w:spacing w:val="-4"/>
                <w:lang w:val="en-GB"/>
              </w:rPr>
              <w:t>(</w:t>
            </w:r>
            <w:r>
              <w:rPr>
                <w:color w:val="000000" w:themeColor="text1"/>
                <w:spacing w:val="-4"/>
                <w:lang w:val="en-GB"/>
              </w:rPr>
              <w:t xml:space="preserve">already for the fifth time in a row, by 4.5 </w:t>
            </w:r>
            <w:proofErr w:type="spellStart"/>
            <w:r>
              <w:rPr>
                <w:color w:val="000000" w:themeColor="text1"/>
                <w:spacing w:val="-4"/>
                <w:lang w:val="en-GB"/>
              </w:rPr>
              <w:t>bn</w:t>
            </w:r>
            <w:proofErr w:type="spellEnd"/>
            <w:r>
              <w:rPr>
                <w:color w:val="000000" w:themeColor="text1"/>
                <w:spacing w:val="-4"/>
                <w:lang w:val="en-GB"/>
              </w:rPr>
              <w:t xml:space="preserve"> more in total</w:t>
            </w:r>
            <w:r w:rsidR="001C3961" w:rsidRPr="0016448A">
              <w:rPr>
                <w:color w:val="000000" w:themeColor="text1"/>
                <w:spacing w:val="-4"/>
                <w:lang w:val="en-GB"/>
              </w:rPr>
              <w:t xml:space="preserve">) </w:t>
            </w:r>
            <w:r>
              <w:rPr>
                <w:color w:val="000000" w:themeColor="text1"/>
                <w:spacing w:val="-4"/>
                <w:lang w:val="en-GB"/>
              </w:rPr>
              <w:t xml:space="preserve">due to the growing sickness rate, but also higher drawing of the </w:t>
            </w:r>
            <w:r w:rsidR="002C2364">
              <w:rPr>
                <w:color w:val="000000" w:themeColor="text1"/>
                <w:spacing w:val="-4"/>
                <w:lang w:val="en-GB"/>
              </w:rPr>
              <w:t xml:space="preserve">maternity benefits. </w:t>
            </w:r>
            <w:r w:rsidR="003D42F9">
              <w:rPr>
                <w:color w:val="000000" w:themeColor="text1"/>
                <w:spacing w:val="-4"/>
                <w:lang w:val="en-GB"/>
              </w:rPr>
              <w:t xml:space="preserve">The assistance to care to persons in long-term sickness also grew by </w:t>
            </w:r>
            <w:r w:rsidR="001C3961" w:rsidRPr="0016448A">
              <w:rPr>
                <w:spacing w:val="-4"/>
                <w:lang w:val="en-GB"/>
              </w:rPr>
              <w:t>1</w:t>
            </w:r>
            <w:r w:rsidR="003D42F9">
              <w:rPr>
                <w:spacing w:val="-4"/>
                <w:lang w:val="en-GB"/>
              </w:rPr>
              <w:t>.</w:t>
            </w:r>
            <w:r w:rsidR="001C3961" w:rsidRPr="0016448A">
              <w:rPr>
                <w:spacing w:val="-4"/>
                <w:lang w:val="en-GB"/>
              </w:rPr>
              <w:t xml:space="preserve">5 </w:t>
            </w:r>
            <w:r w:rsidR="003D42F9">
              <w:rPr>
                <w:spacing w:val="-4"/>
                <w:lang w:val="en-GB"/>
              </w:rPr>
              <w:t xml:space="preserve">CZK </w:t>
            </w:r>
            <w:proofErr w:type="spellStart"/>
            <w:r w:rsidR="003D42F9">
              <w:rPr>
                <w:spacing w:val="-4"/>
                <w:lang w:val="en-GB"/>
              </w:rPr>
              <w:t>bn</w:t>
            </w:r>
            <w:proofErr w:type="spellEnd"/>
            <w:r w:rsidR="003D42F9">
              <w:rPr>
                <w:spacing w:val="-4"/>
                <w:lang w:val="en-GB"/>
              </w:rPr>
              <w:t xml:space="preserve"> (as a result of </w:t>
            </w:r>
            <w:r w:rsidR="001C3961" w:rsidRPr="0016448A">
              <w:rPr>
                <w:spacing w:val="-4"/>
                <w:lang w:val="en-GB"/>
              </w:rPr>
              <w:t>10</w:t>
            </w:r>
            <w:r w:rsidR="00954C8E">
              <w:rPr>
                <w:spacing w:val="-4"/>
                <w:lang w:val="en-GB"/>
              </w:rPr>
              <w:t>%</w:t>
            </w:r>
            <w:r w:rsidR="001C3961" w:rsidRPr="0016448A">
              <w:rPr>
                <w:spacing w:val="-4"/>
                <w:lang w:val="en-GB"/>
              </w:rPr>
              <w:t xml:space="preserve"> </w:t>
            </w:r>
            <w:r w:rsidR="003D42F9">
              <w:rPr>
                <w:spacing w:val="-4"/>
                <w:lang w:val="en-GB"/>
              </w:rPr>
              <w:t xml:space="preserve">across-the-board adjustment in August </w:t>
            </w:r>
            <w:r w:rsidR="001C3961" w:rsidRPr="0016448A">
              <w:rPr>
                <w:spacing w:val="-4"/>
                <w:lang w:val="en-GB"/>
              </w:rPr>
              <w:t xml:space="preserve">2016). </w:t>
            </w:r>
            <w:r w:rsidR="003D42F9">
              <w:rPr>
                <w:spacing w:val="-4"/>
                <w:lang w:val="en-GB"/>
              </w:rPr>
              <w:t xml:space="preserve">The growth of the foster care benefits also continued in </w:t>
            </w:r>
            <w:r w:rsidR="003D42F9" w:rsidRPr="00971A20">
              <w:rPr>
                <w:spacing w:val="-5"/>
                <w:lang w:val="en-GB"/>
              </w:rPr>
              <w:t xml:space="preserve">growth by a milder pace. The state paid out less on the unemployment benefits </w:t>
            </w:r>
            <w:r w:rsidR="001C3961" w:rsidRPr="00971A20">
              <w:rPr>
                <w:spacing w:val="-5"/>
                <w:lang w:val="en-GB"/>
              </w:rPr>
              <w:t>(-3</w:t>
            </w:r>
            <w:r w:rsidR="003D42F9" w:rsidRPr="00971A20">
              <w:rPr>
                <w:spacing w:val="-5"/>
                <w:lang w:val="en-GB"/>
              </w:rPr>
              <w:t>.</w:t>
            </w:r>
            <w:r w:rsidR="001C3961" w:rsidRPr="00971A20">
              <w:rPr>
                <w:spacing w:val="-5"/>
                <w:lang w:val="en-GB"/>
              </w:rPr>
              <w:t>4</w:t>
            </w:r>
            <w:r w:rsidR="00954C8E" w:rsidRPr="00971A20">
              <w:rPr>
                <w:spacing w:val="-5"/>
                <w:lang w:val="en-GB"/>
              </w:rPr>
              <w:t>%</w:t>
            </w:r>
            <w:r w:rsidR="001C3961" w:rsidRPr="00971A20">
              <w:rPr>
                <w:spacing w:val="-5"/>
                <w:lang w:val="en-GB"/>
              </w:rPr>
              <w:t>),</w:t>
            </w:r>
            <w:r w:rsidR="001C3961" w:rsidRPr="0016448A">
              <w:rPr>
                <w:spacing w:val="-4"/>
                <w:lang w:val="en-GB"/>
              </w:rPr>
              <w:t xml:space="preserve"> </w:t>
            </w:r>
            <w:r w:rsidR="003D42F9">
              <w:rPr>
                <w:spacing w:val="-4"/>
                <w:lang w:val="en-GB"/>
              </w:rPr>
              <w:t xml:space="preserve">which were paid out to one quarter of all registered job applicants. </w:t>
            </w:r>
            <w:r w:rsidR="00826EE3">
              <w:rPr>
                <w:spacing w:val="-4"/>
                <w:lang w:val="en-GB"/>
              </w:rPr>
              <w:t xml:space="preserve">Improved financial situation of households was reflected in the lower volume of paid out benefits of the state social support </w:t>
            </w:r>
            <w:r w:rsidR="001C3961" w:rsidRPr="0016448A">
              <w:rPr>
                <w:spacing w:val="-4"/>
                <w:lang w:val="en-GB"/>
              </w:rPr>
              <w:t>(-1</w:t>
            </w:r>
            <w:r w:rsidR="00826EE3">
              <w:rPr>
                <w:spacing w:val="-4"/>
                <w:lang w:val="en-GB"/>
              </w:rPr>
              <w:t>.</w:t>
            </w:r>
            <w:r w:rsidR="001C3961" w:rsidRPr="0016448A">
              <w:rPr>
                <w:spacing w:val="-4"/>
                <w:lang w:val="en-GB"/>
              </w:rPr>
              <w:t>5</w:t>
            </w:r>
            <w:r w:rsidR="00954C8E">
              <w:rPr>
                <w:spacing w:val="-4"/>
                <w:lang w:val="en-GB"/>
              </w:rPr>
              <w:t>%</w:t>
            </w:r>
            <w:r w:rsidR="001C3961" w:rsidRPr="0016448A">
              <w:rPr>
                <w:spacing w:val="-4"/>
                <w:lang w:val="en-GB"/>
              </w:rPr>
              <w:t>) a</w:t>
            </w:r>
            <w:r w:rsidR="00826EE3">
              <w:rPr>
                <w:spacing w:val="-4"/>
                <w:lang w:val="en-GB"/>
              </w:rPr>
              <w:t xml:space="preserve">nd especially in the deepening of the fall of the </w:t>
            </w:r>
            <w:r w:rsidR="00826EE3">
              <w:rPr>
                <w:spacing w:val="-4"/>
                <w:lang w:val="en-GB"/>
              </w:rPr>
              <w:lastRenderedPageBreak/>
              <w:t>expenditure on material deprivation assistance benefits (to</w:t>
            </w:r>
            <w:r w:rsidR="001C3961" w:rsidRPr="0016448A">
              <w:rPr>
                <w:rFonts w:cs="Arial"/>
                <w:color w:val="0D0D0D" w:themeColor="text1" w:themeTint="F2"/>
                <w:spacing w:val="-4"/>
                <w:lang w:val="en-GB"/>
              </w:rPr>
              <w:t> </w:t>
            </w:r>
            <w:r w:rsidR="001C3961" w:rsidRPr="0016448A">
              <w:rPr>
                <w:spacing w:val="-4"/>
                <w:lang w:val="en-GB"/>
              </w:rPr>
              <w:t>-17</w:t>
            </w:r>
            <w:r w:rsidR="00954C8E">
              <w:rPr>
                <w:spacing w:val="-4"/>
                <w:lang w:val="en-GB"/>
              </w:rPr>
              <w:t>%</w:t>
            </w:r>
            <w:r w:rsidR="001C3961" w:rsidRPr="0016448A">
              <w:rPr>
                <w:spacing w:val="-4"/>
                <w:lang w:val="en-GB"/>
              </w:rPr>
              <w:t xml:space="preserve">, </w:t>
            </w:r>
            <w:r w:rsidR="00826EE3">
              <w:rPr>
                <w:spacing w:val="-4"/>
                <w:lang w:val="en-GB"/>
              </w:rPr>
              <w:t>the drop amounted to 30</w:t>
            </w:r>
            <w:r w:rsidR="00954C8E">
              <w:rPr>
                <w:spacing w:val="-4"/>
                <w:lang w:val="en-GB"/>
              </w:rPr>
              <w:t>%</w:t>
            </w:r>
            <w:r w:rsidR="00826EE3">
              <w:rPr>
                <w:spacing w:val="-4"/>
                <w:lang w:val="en-GB"/>
              </w:rPr>
              <w:t xml:space="preserve"> in the last three years</w:t>
            </w:r>
            <w:r w:rsidR="001C3961" w:rsidRPr="0016448A">
              <w:rPr>
                <w:spacing w:val="-4"/>
                <w:lang w:val="en-GB"/>
              </w:rPr>
              <w:t>).</w:t>
            </w:r>
          </w:p>
        </w:tc>
      </w:tr>
    </w:tbl>
    <w:p w:rsidR="001C3961" w:rsidRPr="00503EC3" w:rsidRDefault="001C3961" w:rsidP="00D9640A">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A279CF" w:rsidP="00853C0F">
            <w:pPr>
              <w:pStyle w:val="Textpoznpodarou"/>
              <w:jc w:val="both"/>
              <w:rPr>
                <w:highlight w:val="yellow"/>
              </w:rPr>
            </w:pPr>
            <w:r>
              <w:rPr>
                <w:color w:val="000000"/>
              </w:rPr>
              <w:t xml:space="preserve">Chart </w:t>
            </w:r>
            <w:r w:rsidR="001C3961">
              <w:rPr>
                <w:color w:val="000000"/>
              </w:rPr>
              <w:t>23</w:t>
            </w:r>
          </w:p>
        </w:tc>
        <w:tc>
          <w:tcPr>
            <w:tcW w:w="3262" w:type="pct"/>
          </w:tcPr>
          <w:p w:rsidR="00556A44" w:rsidRDefault="001C3961" w:rsidP="00853C0F">
            <w:pPr>
              <w:pStyle w:val="Textpoznpodarou"/>
              <w:rPr>
                <w:rFonts w:cs="Arial"/>
                <w:b/>
                <w:bCs/>
                <w:spacing w:val="-2"/>
                <w:lang w:val="en-GB"/>
              </w:rPr>
            </w:pPr>
            <w:r w:rsidRPr="009979D1">
              <w:rPr>
                <w:rFonts w:cs="Arial"/>
                <w:b/>
                <w:bCs/>
                <w:spacing w:val="-2"/>
                <w:lang w:val="en-GB"/>
              </w:rPr>
              <w:t>P</w:t>
            </w:r>
            <w:r w:rsidR="009979D1" w:rsidRPr="009979D1">
              <w:rPr>
                <w:rFonts w:cs="Arial"/>
                <w:b/>
                <w:bCs/>
                <w:spacing w:val="-2"/>
                <w:lang w:val="en-GB"/>
              </w:rPr>
              <w:t xml:space="preserve">ension recipients, income and expenditure on pensions from the </w:t>
            </w:r>
            <w:r w:rsidR="00556A44">
              <w:rPr>
                <w:rFonts w:cs="Arial"/>
                <w:b/>
                <w:bCs/>
                <w:spacing w:val="-2"/>
                <w:lang w:val="en-GB"/>
              </w:rPr>
              <w:t>state budget</w:t>
            </w:r>
            <w:r w:rsidRPr="009979D1">
              <w:rPr>
                <w:rFonts w:cs="Arial"/>
                <w:b/>
                <w:bCs/>
                <w:spacing w:val="-2"/>
                <w:lang w:val="en-GB"/>
              </w:rPr>
              <w:t xml:space="preserve"> </w:t>
            </w:r>
            <w:r w:rsidRPr="009979D1">
              <w:rPr>
                <w:rFonts w:cs="Arial"/>
                <w:bCs/>
                <w:spacing w:val="-2"/>
                <w:lang w:val="en-GB"/>
              </w:rPr>
              <w:t>(</w:t>
            </w:r>
            <w:r w:rsidR="009979D1" w:rsidRPr="009979D1">
              <w:rPr>
                <w:rFonts w:cs="Arial"/>
                <w:bCs/>
                <w:spacing w:val="-2"/>
                <w:lang w:val="en-GB"/>
              </w:rPr>
              <w:t xml:space="preserve">year-on-year </w:t>
            </w:r>
            <w:r w:rsidR="00954C8E">
              <w:rPr>
                <w:rFonts w:cs="Arial"/>
                <w:bCs/>
                <w:spacing w:val="-2"/>
                <w:lang w:val="en-GB"/>
              </w:rPr>
              <w:t>in %</w:t>
            </w:r>
            <w:r w:rsidRPr="009979D1">
              <w:rPr>
                <w:bCs/>
                <w:spacing w:val="-2"/>
                <w:lang w:val="en-GB"/>
              </w:rPr>
              <w:t>)</w:t>
            </w:r>
            <w:r w:rsidRPr="009979D1">
              <w:rPr>
                <w:rFonts w:cs="Arial"/>
                <w:bCs/>
                <w:spacing w:val="-2"/>
                <w:lang w:val="en-GB"/>
              </w:rPr>
              <w:t xml:space="preserve"> </w:t>
            </w:r>
            <w:r w:rsidRPr="009979D1">
              <w:rPr>
                <w:rFonts w:cs="Arial"/>
                <w:b/>
                <w:bCs/>
                <w:spacing w:val="-2"/>
                <w:lang w:val="en-GB"/>
              </w:rPr>
              <w:t>a</w:t>
            </w:r>
            <w:r w:rsidR="009979D1" w:rsidRPr="009979D1">
              <w:rPr>
                <w:rFonts w:cs="Arial"/>
                <w:b/>
                <w:bCs/>
                <w:spacing w:val="-2"/>
                <w:lang w:val="en-GB"/>
              </w:rPr>
              <w:t>nd pension account balance</w:t>
            </w:r>
          </w:p>
          <w:p w:rsidR="001C3961" w:rsidRPr="009979D1" w:rsidRDefault="009979D1" w:rsidP="00853C0F">
            <w:pPr>
              <w:pStyle w:val="Textpoznpodarou"/>
              <w:rPr>
                <w:spacing w:val="-2"/>
                <w:lang w:val="en-GB" w:eastAsia="en-US"/>
              </w:rPr>
            </w:pPr>
            <w:r w:rsidRPr="009979D1">
              <w:rPr>
                <w:rFonts w:cs="Arial"/>
                <w:b/>
                <w:bCs/>
                <w:spacing w:val="-2"/>
                <w:lang w:val="en-GB"/>
              </w:rPr>
              <w:t xml:space="preserve"> </w:t>
            </w:r>
            <w:r w:rsidR="001C3961" w:rsidRPr="009979D1">
              <w:rPr>
                <w:rFonts w:cs="Arial"/>
                <w:bCs/>
                <w:spacing w:val="-2"/>
                <w:lang w:val="en-GB"/>
              </w:rPr>
              <w:t>(</w:t>
            </w:r>
            <w:r w:rsidRPr="009979D1">
              <w:rPr>
                <w:rFonts w:cs="Arial"/>
                <w:bCs/>
                <w:spacing w:val="-2"/>
                <w:lang w:val="en-GB"/>
              </w:rPr>
              <w:t xml:space="preserve">in CZK </w:t>
            </w:r>
            <w:proofErr w:type="spellStart"/>
            <w:r w:rsidRPr="009979D1">
              <w:rPr>
                <w:rFonts w:cs="Arial"/>
                <w:bCs/>
                <w:spacing w:val="-2"/>
                <w:lang w:val="en-GB"/>
              </w:rPr>
              <w:t>bn</w:t>
            </w:r>
            <w:proofErr w:type="spellEnd"/>
            <w:r w:rsidR="001C3961" w:rsidRPr="009979D1">
              <w:rPr>
                <w:rFonts w:cs="Arial"/>
                <w:bCs/>
                <w:spacing w:val="-2"/>
                <w:lang w:val="en-GB"/>
              </w:rPr>
              <w:t xml:space="preserve">) </w:t>
            </w:r>
            <w:r w:rsidRPr="009979D1">
              <w:rPr>
                <w:rFonts w:cs="Arial"/>
                <w:b/>
                <w:bCs/>
                <w:spacing w:val="-2"/>
                <w:lang w:val="en-GB"/>
              </w:rPr>
              <w:t>in 1st half-years</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AC444B" w:rsidP="00853C0F">
            <w:pPr>
              <w:pStyle w:val="Textpoznpodarou"/>
              <w:ind w:left="-124"/>
              <w:jc w:val="both"/>
              <w:rPr>
                <w:sz w:val="16"/>
                <w:szCs w:val="16"/>
              </w:rPr>
            </w:pPr>
            <w:r w:rsidRPr="00AC444B">
              <w:rPr>
                <w:noProof/>
                <w:sz w:val="16"/>
                <w:szCs w:val="16"/>
              </w:rPr>
              <w:drawing>
                <wp:inline distT="0" distB="0" distL="0" distR="0">
                  <wp:extent cx="4752000" cy="352800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6640" w:rsidRDefault="00AC444B">
            <w:pPr>
              <w:autoSpaceDE w:val="0"/>
              <w:autoSpaceDN w:val="0"/>
              <w:adjustRightInd w:val="0"/>
              <w:spacing w:line="240" w:lineRule="auto"/>
              <w:rPr>
                <w:rFonts w:cs="Arial"/>
                <w:sz w:val="14"/>
                <w:szCs w:val="14"/>
              </w:rPr>
            </w:pPr>
            <w:r>
              <w:rPr>
                <w:rFonts w:cs="Arial"/>
                <w:sz w:val="14"/>
                <w:szCs w:val="14"/>
                <w:lang w:val="en-GB"/>
              </w:rPr>
              <w:t>*</w:t>
            </w:r>
            <w:r w:rsidR="001C3961" w:rsidRPr="005D5DAE">
              <w:rPr>
                <w:rFonts w:cs="Arial"/>
                <w:sz w:val="14"/>
                <w:szCs w:val="14"/>
                <w:lang w:val="en-GB"/>
              </w:rPr>
              <w:t xml:space="preserve"> </w:t>
            </w:r>
            <w:r w:rsidR="005D5DAE" w:rsidRPr="005D5DAE">
              <w:rPr>
                <w:rFonts w:cs="Arial"/>
                <w:sz w:val="14"/>
                <w:szCs w:val="14"/>
                <w:lang w:val="en-GB"/>
              </w:rPr>
              <w:t>Old</w:t>
            </w:r>
            <w:r w:rsidR="005D5DAE">
              <w:rPr>
                <w:rFonts w:cs="Arial"/>
                <w:sz w:val="14"/>
                <w:szCs w:val="14"/>
                <w:lang w:val="en-GB"/>
              </w:rPr>
              <w:t xml:space="preserve"> </w:t>
            </w:r>
            <w:r w:rsidR="005D5DAE" w:rsidRPr="005D5DAE">
              <w:rPr>
                <w:rFonts w:cs="Arial"/>
                <w:sz w:val="14"/>
                <w:szCs w:val="14"/>
                <w:lang w:val="en-GB"/>
              </w:rPr>
              <w:t xml:space="preserve">age pension income awarded before the pension age </w:t>
            </w:r>
            <w:r w:rsidR="005D5DAE">
              <w:rPr>
                <w:rFonts w:cs="Arial"/>
                <w:sz w:val="14"/>
                <w:szCs w:val="14"/>
                <w:lang w:val="en-GB"/>
              </w:rPr>
              <w:t xml:space="preserve">is reached </w:t>
            </w:r>
            <w:r w:rsidR="005D5DAE" w:rsidRPr="005D5DAE">
              <w:rPr>
                <w:rFonts w:cs="Arial"/>
                <w:sz w:val="14"/>
                <w:szCs w:val="14"/>
                <w:lang w:val="en-GB"/>
              </w:rPr>
              <w:t>and shortened for the earliness is for the whole time per</w:t>
            </w:r>
            <w:r w:rsidR="005D5DAE">
              <w:rPr>
                <w:rFonts w:cs="Arial"/>
                <w:sz w:val="14"/>
                <w:szCs w:val="14"/>
                <w:lang w:val="en-GB"/>
              </w:rPr>
              <w:t>i</w:t>
            </w:r>
            <w:r w:rsidR="005D5DAE" w:rsidRPr="005D5DAE">
              <w:rPr>
                <w:rFonts w:cs="Arial"/>
                <w:sz w:val="14"/>
                <w:szCs w:val="14"/>
                <w:lang w:val="en-GB"/>
              </w:rPr>
              <w:t xml:space="preserve">od of the drawing the benefit.                                             </w:t>
            </w:r>
            <w:r w:rsidR="00503EC3">
              <w:rPr>
                <w:rFonts w:cs="Arial"/>
                <w:sz w:val="14"/>
                <w:szCs w:val="14"/>
                <w:lang w:val="en-GB"/>
              </w:rPr>
              <w:t xml:space="preserve"> </w:t>
            </w:r>
            <w:r w:rsidR="005D5DAE" w:rsidRPr="005D5DAE">
              <w:rPr>
                <w:rFonts w:cs="Arial"/>
                <w:sz w:val="14"/>
                <w:szCs w:val="14"/>
                <w:lang w:val="en-GB"/>
              </w:rPr>
              <w:t xml:space="preserve">                                 </w:t>
            </w:r>
            <w:proofErr w:type="spellStart"/>
            <w:r w:rsidR="00791DB3">
              <w:rPr>
                <w:rFonts w:cs="Arial"/>
                <w:sz w:val="14"/>
                <w:szCs w:val="14"/>
              </w:rPr>
              <w:t>Source</w:t>
            </w:r>
            <w:proofErr w:type="spellEnd"/>
            <w:r w:rsidR="001C3961" w:rsidRPr="007E5880">
              <w:rPr>
                <w:sz w:val="14"/>
                <w:szCs w:val="14"/>
              </w:rPr>
              <w:t>: MF</w:t>
            </w:r>
            <w:r w:rsidR="00CF5576">
              <w:rPr>
                <w:sz w:val="14"/>
                <w:szCs w:val="14"/>
              </w:rPr>
              <w:t xml:space="preserve"> CR, CSSA</w:t>
            </w:r>
          </w:p>
        </w:tc>
      </w:tr>
    </w:tbl>
    <w:p w:rsidR="001C3961" w:rsidRPr="00503EC3"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C54D19" w:rsidRDefault="004C0ECD" w:rsidP="00853C0F">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 xml:space="preserve">The size of the state debt </w:t>
            </w:r>
            <w:r w:rsidR="002A109C">
              <w:rPr>
                <w:rFonts w:cs="Arial"/>
                <w:bCs/>
                <w:iCs/>
                <w:color w:val="0D0D0D" w:themeColor="text1" w:themeTint="F2"/>
                <w:sz w:val="16"/>
                <w:szCs w:val="16"/>
                <w:lang w:val="en-GB"/>
              </w:rPr>
              <w:t>stabilised following the one-off increase in Q1 in the subsequent months</w:t>
            </w:r>
            <w:r w:rsidR="001C3961" w:rsidRPr="00C54D19">
              <w:rPr>
                <w:rFonts w:cs="Arial"/>
                <w:bCs/>
                <w:iCs/>
                <w:color w:val="0D0D0D" w:themeColor="text1" w:themeTint="F2"/>
                <w:sz w:val="16"/>
                <w:szCs w:val="16"/>
                <w:lang w:val="en-GB"/>
              </w:rPr>
              <w:t xml:space="preserve">. </w:t>
            </w: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C54D19" w:rsidP="00853C0F">
            <w:pPr>
              <w:spacing w:line="240" w:lineRule="auto"/>
              <w:rPr>
                <w:rFonts w:cs="Arial"/>
                <w:bCs/>
                <w:iCs/>
                <w:color w:val="0D0D0D" w:themeColor="text1" w:themeTint="F2"/>
                <w:sz w:val="16"/>
                <w:szCs w:val="16"/>
                <w:lang w:val="en-GB"/>
              </w:rPr>
            </w:pPr>
            <w:r w:rsidRPr="00C54D19">
              <w:rPr>
                <w:rFonts w:cs="Arial"/>
                <w:bCs/>
                <w:iCs/>
                <w:color w:val="0D0D0D" w:themeColor="text1" w:themeTint="F2"/>
                <w:sz w:val="16"/>
                <w:szCs w:val="16"/>
                <w:lang w:val="en-GB"/>
              </w:rPr>
              <w:t xml:space="preserve">The proportion of foreign investors </w:t>
            </w:r>
            <w:r w:rsidR="002A109C">
              <w:rPr>
                <w:rFonts w:cs="Arial"/>
                <w:bCs/>
                <w:iCs/>
                <w:color w:val="0D0D0D" w:themeColor="text1" w:themeTint="F2"/>
                <w:sz w:val="16"/>
                <w:szCs w:val="16"/>
                <w:lang w:val="en-GB"/>
              </w:rPr>
              <w:t xml:space="preserve">on the total possession of the Czech state bonds still remained high. </w:t>
            </w:r>
            <w:r w:rsidR="001C3961" w:rsidRPr="00C54D19">
              <w:rPr>
                <w:rFonts w:cs="Arial"/>
                <w:bCs/>
                <w:iCs/>
                <w:color w:val="0D0D0D" w:themeColor="text1" w:themeTint="F2"/>
                <w:sz w:val="16"/>
                <w:szCs w:val="16"/>
                <w:lang w:val="en-GB"/>
              </w:rPr>
              <w:t xml:space="preserve"> </w:t>
            </w:r>
          </w:p>
        </w:tc>
        <w:tc>
          <w:tcPr>
            <w:tcW w:w="144" w:type="pct"/>
          </w:tcPr>
          <w:p w:rsidR="001C3961" w:rsidRPr="00C54D19" w:rsidRDefault="001C3961" w:rsidP="00853C0F">
            <w:pPr>
              <w:pStyle w:val="Textpoznpodarou"/>
              <w:jc w:val="both"/>
              <w:rPr>
                <w:rFonts w:cs="Arial"/>
                <w:color w:val="0D0D0D" w:themeColor="text1" w:themeTint="F2"/>
                <w:lang w:val="en-GB"/>
              </w:rPr>
            </w:pPr>
          </w:p>
        </w:tc>
        <w:tc>
          <w:tcPr>
            <w:tcW w:w="3840" w:type="pct"/>
          </w:tcPr>
          <w:p w:rsidR="0016737F" w:rsidRDefault="002A109C" w:rsidP="00853C0F">
            <w:pPr>
              <w:pStyle w:val="Textpoznpodarou"/>
              <w:jc w:val="both"/>
              <w:rPr>
                <w:rFonts w:cs="Arial"/>
                <w:color w:val="0D0D0D" w:themeColor="text1" w:themeTint="F2"/>
                <w:spacing w:val="-4"/>
                <w:lang w:val="en-GB"/>
              </w:rPr>
            </w:pPr>
            <w:r>
              <w:rPr>
                <w:spacing w:val="-4"/>
                <w:lang w:val="en-GB"/>
              </w:rPr>
              <w:t xml:space="preserve">The state debt reached the so far record size of 1 789 </w:t>
            </w:r>
            <w:r w:rsidR="00467B4F">
              <w:rPr>
                <w:spacing w:val="-4"/>
                <w:lang w:val="en-GB"/>
              </w:rPr>
              <w:t>CZK bn</w:t>
            </w:r>
            <w:r>
              <w:rPr>
                <w:spacing w:val="-4"/>
                <w:lang w:val="en-GB"/>
              </w:rPr>
              <w:t xml:space="preserve"> at the end of June. The more significant growt</w:t>
            </w:r>
            <w:r w:rsidR="000029FF">
              <w:rPr>
                <w:spacing w:val="-4"/>
                <w:lang w:val="en-GB"/>
              </w:rPr>
              <w:t>h</w:t>
            </w:r>
            <w:r>
              <w:rPr>
                <w:spacing w:val="-4"/>
                <w:lang w:val="en-GB"/>
              </w:rPr>
              <w:t xml:space="preserve"> of the indebtedness (by 10.9</w:t>
            </w:r>
            <w:r w:rsidR="00954C8E">
              <w:rPr>
                <w:spacing w:val="-4"/>
                <w:lang w:val="en-GB"/>
              </w:rPr>
              <w:t>%</w:t>
            </w:r>
            <w:r>
              <w:rPr>
                <w:spacing w:val="-4"/>
                <w:lang w:val="en-GB"/>
              </w:rPr>
              <w:t>) occurred during Q1</w:t>
            </w:r>
            <w:r w:rsidR="000029FF">
              <w:rPr>
                <w:spacing w:val="-4"/>
                <w:lang w:val="en-GB"/>
              </w:rPr>
              <w:t xml:space="preserve">, its level stabilised in the next </w:t>
            </w:r>
            <w:r w:rsidR="00791DB3">
              <w:rPr>
                <w:spacing w:val="-4"/>
                <w:lang w:val="en-GB"/>
              </w:rPr>
              <w:t xml:space="preserve">quarter. </w:t>
            </w:r>
            <w:r w:rsidR="00B56708">
              <w:rPr>
                <w:spacing w:val="-4"/>
                <w:lang w:val="en-GB"/>
              </w:rPr>
              <w:t xml:space="preserve">Sharp increase of the debt was associated to the large volume of issued medium and </w:t>
            </w:r>
            <w:r w:rsidR="00F76870">
              <w:rPr>
                <w:spacing w:val="-4"/>
                <w:lang w:val="en-GB"/>
              </w:rPr>
              <w:t>long-term</w:t>
            </w:r>
            <w:r w:rsidR="00B56708">
              <w:rPr>
                <w:spacing w:val="-4"/>
                <w:lang w:val="en-GB"/>
              </w:rPr>
              <w:t xml:space="preserve"> state bonds (LSB), aimed to cover the LSB repayments, that is expected in the remaining part of this year.</w:t>
            </w:r>
            <w:r w:rsidR="00E32A58">
              <w:rPr>
                <w:spacing w:val="-4"/>
                <w:lang w:val="en-GB"/>
              </w:rPr>
              <w:t xml:space="preserve"> More intensive issue of government </w:t>
            </w:r>
            <w:r w:rsidR="00F76870">
              <w:rPr>
                <w:spacing w:val="-4"/>
                <w:lang w:val="en-GB"/>
              </w:rPr>
              <w:t>treasury bills</w:t>
            </w:r>
            <w:r w:rsidR="001C3961" w:rsidRPr="00C54D19">
              <w:rPr>
                <w:rFonts w:cs="Arial"/>
                <w:spacing w:val="-4"/>
                <w:lang w:val="en-GB"/>
              </w:rPr>
              <w:t xml:space="preserve"> </w:t>
            </w:r>
            <w:r w:rsidR="00E32A58">
              <w:rPr>
                <w:rFonts w:cs="Arial"/>
                <w:spacing w:val="-4"/>
                <w:lang w:val="en-GB"/>
              </w:rPr>
              <w:t>realised for the reasons of utilisation of negative yields manifested throughout the whole half-year</w:t>
            </w:r>
            <w:r w:rsidR="001C3961" w:rsidRPr="00C54D19">
              <w:rPr>
                <w:rStyle w:val="Znakapoznpodarou"/>
                <w:color w:val="0D0D0D" w:themeColor="text1" w:themeTint="F2"/>
                <w:spacing w:val="-4"/>
                <w:lang w:val="en-GB"/>
              </w:rPr>
              <w:footnoteReference w:id="10"/>
            </w:r>
            <w:r w:rsidR="001C3961" w:rsidRPr="00C54D19">
              <w:rPr>
                <w:rFonts w:cs="Arial"/>
                <w:color w:val="0D0D0D" w:themeColor="text1" w:themeTint="F2"/>
                <w:spacing w:val="-4"/>
                <w:lang w:val="en-GB"/>
              </w:rPr>
              <w:t>. T</w:t>
            </w:r>
            <w:r w:rsidR="00D2210A">
              <w:rPr>
                <w:rFonts w:cs="Arial"/>
                <w:color w:val="0D0D0D" w:themeColor="text1" w:themeTint="F2"/>
                <w:spacing w:val="-4"/>
                <w:lang w:val="en-GB"/>
              </w:rPr>
              <w:t>hese operations led to the growth of the internal indebtedness. In contrast the crown value of the external debt slightly shrank since the beginning of the year (by 2.6</w:t>
            </w:r>
            <w:r w:rsidR="00954C8E">
              <w:rPr>
                <w:rFonts w:cs="Arial"/>
                <w:color w:val="0D0D0D" w:themeColor="text1" w:themeTint="F2"/>
                <w:spacing w:val="-4"/>
                <w:lang w:val="en-GB"/>
              </w:rPr>
              <w:t>%</w:t>
            </w:r>
            <w:r w:rsidR="00D2210A">
              <w:rPr>
                <w:rFonts w:cs="Arial"/>
                <w:color w:val="0D0D0D" w:themeColor="text1" w:themeTint="F2"/>
                <w:spacing w:val="-4"/>
                <w:lang w:val="en-GB"/>
              </w:rPr>
              <w:t>). The share of the external debt fell below 15</w:t>
            </w:r>
            <w:r w:rsidR="00954C8E">
              <w:rPr>
                <w:rFonts w:cs="Arial"/>
                <w:color w:val="0D0D0D" w:themeColor="text1" w:themeTint="F2"/>
                <w:spacing w:val="-4"/>
                <w:lang w:val="en-GB"/>
              </w:rPr>
              <w:t>%</w:t>
            </w:r>
            <w:r w:rsidR="00D2210A">
              <w:rPr>
                <w:rFonts w:cs="Arial"/>
                <w:color w:val="0D0D0D" w:themeColor="text1" w:themeTint="F2"/>
                <w:spacing w:val="-4"/>
                <w:lang w:val="en-GB"/>
              </w:rPr>
              <w:t xml:space="preserve"> for the first time since the beginning of year 2008. The inflow of the speculative</w:t>
            </w:r>
            <w:r w:rsidR="002622A2">
              <w:rPr>
                <w:rFonts w:cs="Arial"/>
                <w:color w:val="0D0D0D" w:themeColor="text1" w:themeTint="F2"/>
                <w:spacing w:val="-4"/>
                <w:lang w:val="en-GB"/>
              </w:rPr>
              <w:t xml:space="preserve"> capital into the CR in connection with the expected </w:t>
            </w:r>
            <w:r w:rsidR="008F650D">
              <w:rPr>
                <w:rFonts w:cs="Arial"/>
                <w:color w:val="0D0D0D" w:themeColor="text1" w:themeTint="F2"/>
                <w:spacing w:val="-4"/>
                <w:lang w:val="en-GB"/>
              </w:rPr>
              <w:t xml:space="preserve">exit from the regime of forex interventions </w:t>
            </w:r>
            <w:r w:rsidR="002622A2">
              <w:rPr>
                <w:rFonts w:cs="Arial"/>
                <w:color w:val="0D0D0D" w:themeColor="text1" w:themeTint="F2"/>
                <w:spacing w:val="-4"/>
                <w:lang w:val="en-GB"/>
              </w:rPr>
              <w:t>peaked</w:t>
            </w:r>
            <w:r w:rsidR="00D2210A">
              <w:rPr>
                <w:rFonts w:cs="Arial"/>
                <w:color w:val="0D0D0D" w:themeColor="text1" w:themeTint="F2"/>
                <w:spacing w:val="-4"/>
                <w:lang w:val="en-GB"/>
              </w:rPr>
              <w:t xml:space="preserve"> in the first third of the year</w:t>
            </w:r>
            <w:r w:rsidR="002622A2">
              <w:rPr>
                <w:rFonts w:cs="Arial"/>
                <w:color w:val="0D0D0D" w:themeColor="text1" w:themeTint="F2"/>
                <w:spacing w:val="-4"/>
                <w:lang w:val="en-GB"/>
              </w:rPr>
              <w:t xml:space="preserve">. It was also evidenced by the strong growth of the volume of the Czech bonds held by foreign investors. While they owned crown bonds worth 424 </w:t>
            </w:r>
            <w:r w:rsidR="00467B4F">
              <w:rPr>
                <w:rFonts w:cs="Arial"/>
                <w:color w:val="0D0D0D" w:themeColor="text1" w:themeTint="F2"/>
                <w:spacing w:val="-4"/>
                <w:lang w:val="en-GB"/>
              </w:rPr>
              <w:t>CZK bn</w:t>
            </w:r>
            <w:r w:rsidR="002622A2">
              <w:rPr>
                <w:rFonts w:cs="Arial"/>
                <w:color w:val="0D0D0D" w:themeColor="text1" w:themeTint="F2"/>
                <w:spacing w:val="-4"/>
                <w:lang w:val="en-GB"/>
              </w:rPr>
              <w:t xml:space="preserve"> at the end of year 2016, it was already 718 </w:t>
            </w:r>
            <w:r w:rsidR="00467B4F">
              <w:rPr>
                <w:rFonts w:cs="Arial"/>
                <w:color w:val="0D0D0D" w:themeColor="text1" w:themeTint="F2"/>
                <w:spacing w:val="-4"/>
                <w:lang w:val="en-GB"/>
              </w:rPr>
              <w:t>CZK bn</w:t>
            </w:r>
            <w:r w:rsidR="002622A2">
              <w:rPr>
                <w:rFonts w:cs="Arial"/>
                <w:color w:val="0D0D0D" w:themeColor="text1" w:themeTint="F2"/>
                <w:spacing w:val="-4"/>
                <w:lang w:val="en-GB"/>
              </w:rPr>
              <w:t xml:space="preserve"> at the end of this year´s April (47</w:t>
            </w:r>
            <w:r w:rsidR="00954C8E">
              <w:rPr>
                <w:rFonts w:cs="Arial"/>
                <w:color w:val="0D0D0D" w:themeColor="text1" w:themeTint="F2"/>
                <w:spacing w:val="-4"/>
                <w:lang w:val="en-GB"/>
              </w:rPr>
              <w:t>%</w:t>
            </w:r>
            <w:r w:rsidR="002622A2">
              <w:rPr>
                <w:rFonts w:cs="Arial"/>
                <w:color w:val="0D0D0D" w:themeColor="text1" w:themeTint="F2"/>
                <w:spacing w:val="-4"/>
                <w:lang w:val="en-GB"/>
              </w:rPr>
              <w:t xml:space="preserve"> of the value of all crown bonds). This volume in effect did not change in the course of Q2.</w:t>
            </w:r>
          </w:p>
          <w:p w:rsidR="001C3961" w:rsidRPr="0016737F" w:rsidRDefault="001C3961" w:rsidP="00853C0F">
            <w:pPr>
              <w:pStyle w:val="Textpoznpodarou"/>
              <w:jc w:val="both"/>
              <w:rPr>
                <w:rFonts w:cs="Arial"/>
                <w:color w:val="000000" w:themeColor="text1"/>
                <w:sz w:val="16"/>
                <w:szCs w:val="16"/>
                <w:lang w:val="en-GB"/>
              </w:rPr>
            </w:pPr>
          </w:p>
        </w:tc>
      </w:tr>
      <w:tr w:rsidR="001C3961" w:rsidRPr="0094422D" w:rsidTr="00853C0F">
        <w:trPr>
          <w:trHeight w:val="145"/>
        </w:trPr>
        <w:tc>
          <w:tcPr>
            <w:tcW w:w="1016" w:type="pct"/>
            <w:shd w:val="clear" w:color="auto" w:fill="auto"/>
          </w:tcPr>
          <w:p w:rsidR="001C3961" w:rsidRDefault="001C3961" w:rsidP="00853C0F">
            <w:pPr>
              <w:spacing w:line="240" w:lineRule="auto"/>
              <w:rPr>
                <w:rFonts w:cs="Arial"/>
                <w:bCs/>
                <w:iCs/>
                <w:color w:val="0D0D0D" w:themeColor="text1" w:themeTint="F2"/>
                <w:sz w:val="16"/>
                <w:szCs w:val="16"/>
                <w:lang w:val="en-GB"/>
              </w:rPr>
            </w:pPr>
            <w:r w:rsidRPr="009135C7">
              <w:rPr>
                <w:rFonts w:cs="Arial"/>
                <w:bCs/>
                <w:iCs/>
                <w:color w:val="0D0D0D" w:themeColor="text1" w:themeTint="F2"/>
                <w:sz w:val="16"/>
                <w:szCs w:val="16"/>
                <w:lang w:val="en-GB"/>
              </w:rPr>
              <w:t>Relativ</w:t>
            </w:r>
            <w:r w:rsidR="007D232E">
              <w:rPr>
                <w:rFonts w:cs="Arial"/>
                <w:bCs/>
                <w:iCs/>
                <w:color w:val="0D0D0D" w:themeColor="text1" w:themeTint="F2"/>
                <w:sz w:val="16"/>
                <w:szCs w:val="16"/>
                <w:lang w:val="en-GB"/>
              </w:rPr>
              <w:t xml:space="preserve">e indebtedness of government institutions in the CR did not attain even one half of the EU level despite the increase in Q1. </w:t>
            </w:r>
          </w:p>
          <w:p w:rsidR="007D232E" w:rsidRDefault="007D232E" w:rsidP="00853C0F">
            <w:pPr>
              <w:spacing w:line="240" w:lineRule="auto"/>
              <w:rPr>
                <w:rFonts w:cs="Arial"/>
                <w:bCs/>
                <w:iCs/>
                <w:color w:val="0D0D0D" w:themeColor="text1" w:themeTint="F2"/>
                <w:sz w:val="16"/>
                <w:szCs w:val="16"/>
                <w:lang w:val="en-GB"/>
              </w:rPr>
            </w:pPr>
          </w:p>
          <w:p w:rsidR="007D232E" w:rsidRPr="009135C7" w:rsidRDefault="007D232E" w:rsidP="00853C0F">
            <w:pPr>
              <w:spacing w:line="240" w:lineRule="auto"/>
              <w:rPr>
                <w:rFonts w:cs="Arial"/>
                <w:bCs/>
                <w:iCs/>
                <w:color w:val="0D0D0D" w:themeColor="text1" w:themeTint="F2"/>
                <w:sz w:val="16"/>
                <w:szCs w:val="16"/>
                <w:lang w:val="en-GB"/>
              </w:rPr>
            </w:pPr>
          </w:p>
          <w:p w:rsidR="001C3961" w:rsidRPr="009135C7" w:rsidRDefault="001C3961" w:rsidP="00853C0F">
            <w:pPr>
              <w:spacing w:line="240" w:lineRule="auto"/>
              <w:rPr>
                <w:rFonts w:cs="Arial"/>
                <w:bCs/>
                <w:iCs/>
                <w:color w:val="0D0D0D" w:themeColor="text1" w:themeTint="F2"/>
                <w:sz w:val="16"/>
                <w:szCs w:val="16"/>
                <w:lang w:val="en-GB"/>
              </w:rPr>
            </w:pPr>
          </w:p>
          <w:p w:rsidR="001C3961" w:rsidRPr="009135C7" w:rsidRDefault="001C3961" w:rsidP="00853C0F">
            <w:pPr>
              <w:spacing w:line="240" w:lineRule="auto"/>
              <w:rPr>
                <w:rFonts w:cs="Arial"/>
                <w:bCs/>
                <w:iCs/>
                <w:color w:val="0D0D0D" w:themeColor="text1" w:themeTint="F2"/>
                <w:sz w:val="16"/>
                <w:szCs w:val="16"/>
                <w:lang w:val="en-GB"/>
              </w:rPr>
            </w:pPr>
          </w:p>
          <w:p w:rsidR="001C3961" w:rsidRPr="009135C7" w:rsidRDefault="009135C7" w:rsidP="00853C0F">
            <w:pPr>
              <w:spacing w:line="240" w:lineRule="auto"/>
              <w:rPr>
                <w:rFonts w:cs="Arial"/>
                <w:bCs/>
                <w:iCs/>
                <w:color w:val="0D0D0D" w:themeColor="text1" w:themeTint="F2"/>
                <w:sz w:val="16"/>
                <w:szCs w:val="16"/>
                <w:lang w:val="en-GB"/>
              </w:rPr>
            </w:pPr>
            <w:r w:rsidRPr="009135C7">
              <w:rPr>
                <w:rFonts w:cs="Arial"/>
                <w:bCs/>
                <w:iCs/>
                <w:color w:val="0D0D0D" w:themeColor="text1" w:themeTint="F2"/>
                <w:sz w:val="16"/>
                <w:szCs w:val="16"/>
                <w:lang w:val="en-GB"/>
              </w:rPr>
              <w:lastRenderedPageBreak/>
              <w:t xml:space="preserve">The position of the most indebted countries of the Union did not improve in the last year. </w:t>
            </w:r>
          </w:p>
        </w:tc>
        <w:tc>
          <w:tcPr>
            <w:tcW w:w="144" w:type="pct"/>
          </w:tcPr>
          <w:p w:rsidR="001C3961" w:rsidRPr="009135C7" w:rsidRDefault="001C3961" w:rsidP="00853C0F">
            <w:pPr>
              <w:pStyle w:val="Textpoznpodarou"/>
              <w:jc w:val="both"/>
              <w:rPr>
                <w:rFonts w:cs="Arial"/>
                <w:color w:val="0D0D0D" w:themeColor="text1" w:themeTint="F2"/>
                <w:lang w:val="en-GB"/>
              </w:rPr>
            </w:pPr>
          </w:p>
        </w:tc>
        <w:tc>
          <w:tcPr>
            <w:tcW w:w="3840" w:type="pct"/>
          </w:tcPr>
          <w:p w:rsidR="001C3961" w:rsidRPr="009135C7" w:rsidRDefault="000A4AC8" w:rsidP="00853C0F">
            <w:pPr>
              <w:pStyle w:val="Textpoznpodarou"/>
              <w:jc w:val="both"/>
              <w:rPr>
                <w:color w:val="000000" w:themeColor="text1"/>
                <w:spacing w:val="-4"/>
                <w:lang w:val="en-GB"/>
              </w:rPr>
            </w:pPr>
            <w:r>
              <w:rPr>
                <w:color w:val="000000" w:themeColor="text1"/>
                <w:spacing w:val="-4"/>
                <w:lang w:val="en-GB"/>
              </w:rPr>
              <w:t xml:space="preserve">The debt of the whole sector of the government institutions (reflecting also the budget </w:t>
            </w:r>
            <w:r w:rsidR="00F17A82">
              <w:rPr>
                <w:color w:val="000000" w:themeColor="text1"/>
                <w:spacing w:val="-4"/>
                <w:lang w:val="en-GB"/>
              </w:rPr>
              <w:t>of the regional municipalities or</w:t>
            </w:r>
            <w:r>
              <w:rPr>
                <w:color w:val="000000" w:themeColor="text1"/>
                <w:spacing w:val="-4"/>
                <w:lang w:val="en-GB"/>
              </w:rPr>
              <w:t xml:space="preserve"> health insurance companies) attained according to the up-to-date data of the CZSO the amount of </w:t>
            </w:r>
            <w:r w:rsidR="001C0F48">
              <w:rPr>
                <w:color w:val="000000" w:themeColor="text1"/>
                <w:spacing w:val="-4"/>
                <w:lang w:val="en-GB"/>
              </w:rPr>
              <w:t xml:space="preserve">1 925 </w:t>
            </w:r>
            <w:r w:rsidR="00467B4F">
              <w:rPr>
                <w:color w:val="000000" w:themeColor="text1"/>
                <w:spacing w:val="-4"/>
                <w:lang w:val="en-GB"/>
              </w:rPr>
              <w:t>CZK bn</w:t>
            </w:r>
            <w:r w:rsidR="001C0F48">
              <w:rPr>
                <w:color w:val="000000" w:themeColor="text1"/>
                <w:spacing w:val="-4"/>
                <w:lang w:val="en-GB"/>
              </w:rPr>
              <w:t xml:space="preserve"> at the end of Q1 </w:t>
            </w:r>
            <w:r w:rsidR="001C3961" w:rsidRPr="009135C7">
              <w:rPr>
                <w:color w:val="000000" w:themeColor="text1"/>
                <w:spacing w:val="-4"/>
                <w:lang w:val="en-GB"/>
              </w:rPr>
              <w:t>2017</w:t>
            </w:r>
            <w:r w:rsidR="001C3961" w:rsidRPr="009135C7">
              <w:rPr>
                <w:rStyle w:val="Znakapoznpodarou"/>
                <w:color w:val="000000" w:themeColor="text1"/>
                <w:spacing w:val="-4"/>
                <w:lang w:val="en-GB"/>
              </w:rPr>
              <w:footnoteReference w:id="11"/>
            </w:r>
            <w:r w:rsidR="001C0F48">
              <w:rPr>
                <w:color w:val="000000" w:themeColor="text1"/>
                <w:spacing w:val="-4"/>
                <w:lang w:val="en-GB"/>
              </w:rPr>
              <w:t xml:space="preserve"> and it was 39.9</w:t>
            </w:r>
            <w:r w:rsidR="00954C8E">
              <w:rPr>
                <w:color w:val="000000" w:themeColor="text1"/>
                <w:spacing w:val="-4"/>
                <w:lang w:val="en-GB"/>
              </w:rPr>
              <w:t>%</w:t>
            </w:r>
            <w:r w:rsidR="001C0F48">
              <w:rPr>
                <w:color w:val="000000" w:themeColor="text1"/>
                <w:spacing w:val="-4"/>
                <w:lang w:val="en-GB"/>
              </w:rPr>
              <w:t xml:space="preserve"> in relation to the GDP.</w:t>
            </w:r>
            <w:r w:rsidR="00812129">
              <w:rPr>
                <w:color w:val="000000" w:themeColor="text1"/>
                <w:spacing w:val="-4"/>
                <w:lang w:val="en-GB"/>
              </w:rPr>
              <w:t xml:space="preserve"> The absolute size of debt increased by 9.7</w:t>
            </w:r>
            <w:r w:rsidR="00954C8E">
              <w:rPr>
                <w:color w:val="000000" w:themeColor="text1"/>
                <w:spacing w:val="-4"/>
                <w:lang w:val="en-GB"/>
              </w:rPr>
              <w:t>%</w:t>
            </w:r>
            <w:r w:rsidR="00812129">
              <w:rPr>
                <w:color w:val="000000" w:themeColor="text1"/>
                <w:spacing w:val="-4"/>
                <w:lang w:val="en-GB"/>
              </w:rPr>
              <w:t xml:space="preserve"> during the first months of year 2017. </w:t>
            </w:r>
            <w:r w:rsidR="001C0F48">
              <w:rPr>
                <w:color w:val="000000" w:themeColor="text1"/>
                <w:spacing w:val="-4"/>
                <w:lang w:val="en-GB"/>
              </w:rPr>
              <w:t xml:space="preserve">It presented the largest quarter-on-quarter addition since year 2010, when the </w:t>
            </w:r>
            <w:r w:rsidR="00812129">
              <w:rPr>
                <w:color w:val="000000" w:themeColor="text1"/>
                <w:spacing w:val="-4"/>
                <w:lang w:val="en-GB"/>
              </w:rPr>
              <w:t xml:space="preserve">impact of the economic recession fully took effect. </w:t>
            </w:r>
            <w:r w:rsidR="004F11A2">
              <w:rPr>
                <w:color w:val="000000" w:themeColor="text1"/>
                <w:spacing w:val="-4"/>
                <w:lang w:val="en-GB"/>
              </w:rPr>
              <w:t>Nevertheless, this year´s debt enlargement was connected to the specific situation on the bond market reflect</w:t>
            </w:r>
            <w:r w:rsidR="00C475DF">
              <w:rPr>
                <w:color w:val="000000" w:themeColor="text1"/>
                <w:spacing w:val="-4"/>
                <w:lang w:val="en-GB"/>
              </w:rPr>
              <w:t>ing</w:t>
            </w:r>
            <w:r w:rsidR="004F11A2">
              <w:rPr>
                <w:color w:val="000000" w:themeColor="text1"/>
                <w:spacing w:val="-4"/>
                <w:lang w:val="en-GB"/>
              </w:rPr>
              <w:t xml:space="preserve"> the expectation of the nearing </w:t>
            </w:r>
            <w:r w:rsidR="00333DF8">
              <w:rPr>
                <w:rFonts w:cs="Arial"/>
                <w:bCs/>
                <w:iCs/>
                <w:color w:val="0D0D0D" w:themeColor="text1" w:themeTint="F2"/>
                <w:lang w:val="en-GB"/>
              </w:rPr>
              <w:t xml:space="preserve">end of the forex intervention </w:t>
            </w:r>
            <w:r w:rsidR="00333DF8">
              <w:rPr>
                <w:rFonts w:cs="Arial"/>
                <w:bCs/>
                <w:iCs/>
                <w:color w:val="0D0D0D" w:themeColor="text1" w:themeTint="F2"/>
                <w:lang w:val="en-GB"/>
              </w:rPr>
              <w:lastRenderedPageBreak/>
              <w:t>regime</w:t>
            </w:r>
            <w:r w:rsidR="001C3961" w:rsidRPr="009135C7">
              <w:rPr>
                <w:rFonts w:cs="Arial"/>
                <w:bCs/>
                <w:iCs/>
                <w:color w:val="0D0D0D" w:themeColor="text1" w:themeTint="F2"/>
                <w:lang w:val="en-GB"/>
              </w:rPr>
              <w:t xml:space="preserve">. </w:t>
            </w:r>
            <w:r w:rsidR="0004146D">
              <w:rPr>
                <w:rFonts w:cs="Arial"/>
                <w:bCs/>
                <w:iCs/>
                <w:color w:val="0D0D0D" w:themeColor="text1" w:themeTint="F2"/>
                <w:lang w:val="en-GB"/>
              </w:rPr>
              <w:t xml:space="preserve">The central government institutions nearly exclusively participated on the growth of the debt, since the </w:t>
            </w:r>
            <w:r w:rsidR="00E84CAB">
              <w:rPr>
                <w:rFonts w:cs="Arial"/>
                <w:bCs/>
                <w:iCs/>
                <w:color w:val="0D0D0D" w:themeColor="text1" w:themeTint="F2"/>
                <w:lang w:val="en-GB"/>
              </w:rPr>
              <w:t>indebtedness</w:t>
            </w:r>
            <w:r w:rsidR="0004146D">
              <w:rPr>
                <w:rFonts w:cs="Arial"/>
                <w:bCs/>
                <w:iCs/>
                <w:color w:val="0D0D0D" w:themeColor="text1" w:themeTint="F2"/>
                <w:lang w:val="en-GB"/>
              </w:rPr>
              <w:t xml:space="preserve"> of the local government institutions lowered both year-on-year and quarter-on-quarter. The CR was the eight relatively the least</w:t>
            </w:r>
            <w:r w:rsidR="00E84CAB">
              <w:rPr>
                <w:rFonts w:cs="Arial"/>
                <w:bCs/>
                <w:iCs/>
                <w:color w:val="0D0D0D" w:themeColor="text1" w:themeTint="F2"/>
                <w:lang w:val="en-GB"/>
              </w:rPr>
              <w:t xml:space="preserve"> indebted country at the end of </w:t>
            </w:r>
            <w:r w:rsidR="0066759E">
              <w:rPr>
                <w:rFonts w:cs="Arial"/>
                <w:bCs/>
                <w:iCs/>
                <w:color w:val="0D0D0D" w:themeColor="text1" w:themeTint="F2"/>
                <w:lang w:val="en-GB"/>
              </w:rPr>
              <w:t>Q1 (o</w:t>
            </w:r>
            <w:r w:rsidR="009A0990">
              <w:rPr>
                <w:rFonts w:cs="Arial"/>
                <w:bCs/>
                <w:iCs/>
                <w:color w:val="0D0D0D" w:themeColor="text1" w:themeTint="F2"/>
                <w:lang w:val="en-GB"/>
              </w:rPr>
              <w:t>nly Estonia, Luxembourg and Bulgaria had a notably lower debt than the CR) and in spite of mild worsening of the position at the beginning of the year its indebtedness did not reach even half the level of th</w:t>
            </w:r>
            <w:r w:rsidR="00855458">
              <w:rPr>
                <w:rFonts w:cs="Arial"/>
                <w:bCs/>
                <w:iCs/>
                <w:color w:val="0D0D0D" w:themeColor="text1" w:themeTint="F2"/>
                <w:lang w:val="en-GB"/>
              </w:rPr>
              <w:t xml:space="preserve">e </w:t>
            </w:r>
            <w:r w:rsidR="009A0990">
              <w:rPr>
                <w:rFonts w:cs="Arial"/>
                <w:bCs/>
                <w:iCs/>
                <w:color w:val="0D0D0D" w:themeColor="text1" w:themeTint="F2"/>
                <w:lang w:val="en-GB"/>
              </w:rPr>
              <w:t>EU (84.1</w:t>
            </w:r>
            <w:r w:rsidR="00954C8E">
              <w:rPr>
                <w:rFonts w:cs="Arial"/>
                <w:bCs/>
                <w:iCs/>
                <w:color w:val="0D0D0D" w:themeColor="text1" w:themeTint="F2"/>
                <w:lang w:val="en-GB"/>
              </w:rPr>
              <w:t>%</w:t>
            </w:r>
            <w:r w:rsidR="009A0990">
              <w:rPr>
                <w:rFonts w:cs="Arial"/>
                <w:bCs/>
                <w:iCs/>
                <w:color w:val="0D0D0D" w:themeColor="text1" w:themeTint="F2"/>
                <w:lang w:val="en-GB"/>
              </w:rPr>
              <w:t>). The indebtedness of the EU shrank year-on-year only by 0.2 p. p., since the situation did not improve in the most</w:t>
            </w:r>
            <w:r w:rsidR="00855458">
              <w:rPr>
                <w:rFonts w:cs="Arial"/>
                <w:bCs/>
                <w:iCs/>
                <w:color w:val="0D0D0D" w:themeColor="text1" w:themeTint="F2"/>
                <w:lang w:val="en-GB"/>
              </w:rPr>
              <w:t xml:space="preserve"> hit countries</w:t>
            </w:r>
            <w:r w:rsidR="001C3961" w:rsidRPr="009135C7">
              <w:rPr>
                <w:color w:val="0D0D0D" w:themeColor="text1" w:themeTint="F2"/>
                <w:spacing w:val="-4"/>
                <w:lang w:val="en-GB"/>
              </w:rPr>
              <w:t>.</w:t>
            </w:r>
          </w:p>
        </w:tc>
      </w:tr>
    </w:tbl>
    <w:p w:rsidR="001C3961" w:rsidRDefault="001C3961" w:rsidP="001C3961">
      <w:pPr>
        <w:pStyle w:val="Textpoznpodarou"/>
        <w:jc w:val="both"/>
        <w:rPr>
          <w:rFonts w:cs="Arial"/>
          <w:color w:val="000000"/>
          <w:sz w:val="15"/>
          <w:szCs w:val="15"/>
        </w:rPr>
      </w:pPr>
    </w:p>
    <w:tbl>
      <w:tblPr>
        <w:tblW w:w="4963" w:type="pct"/>
        <w:tblInd w:w="108" w:type="dxa"/>
        <w:tblLayout w:type="fixed"/>
        <w:tblLook w:val="00A0"/>
      </w:tblPr>
      <w:tblGrid>
        <w:gridCol w:w="1997"/>
        <w:gridCol w:w="284"/>
        <w:gridCol w:w="1119"/>
        <w:gridCol w:w="6381"/>
      </w:tblGrid>
      <w:tr w:rsidR="001C3961" w:rsidRPr="007E5880"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EC439A" w:rsidP="00853C0F">
            <w:pPr>
              <w:pStyle w:val="Textpoznpodarou"/>
              <w:jc w:val="both"/>
              <w:rPr>
                <w:highlight w:val="yellow"/>
              </w:rPr>
            </w:pPr>
            <w:r>
              <w:rPr>
                <w:color w:val="000000"/>
              </w:rPr>
              <w:t xml:space="preserve">Chart </w:t>
            </w:r>
            <w:r w:rsidR="001C3961">
              <w:rPr>
                <w:color w:val="000000"/>
              </w:rPr>
              <w:t>24</w:t>
            </w:r>
          </w:p>
        </w:tc>
        <w:tc>
          <w:tcPr>
            <w:tcW w:w="3262" w:type="pct"/>
          </w:tcPr>
          <w:p w:rsidR="001C3961" w:rsidRPr="0064229B" w:rsidRDefault="001C3961" w:rsidP="00853C0F">
            <w:pPr>
              <w:pStyle w:val="Textpoznpodarou"/>
              <w:rPr>
                <w:spacing w:val="-2"/>
                <w:lang w:val="en-GB" w:eastAsia="en-US"/>
              </w:rPr>
            </w:pPr>
            <w:r w:rsidRPr="0064229B">
              <w:rPr>
                <w:rFonts w:cs="Arial"/>
                <w:b/>
                <w:bCs/>
                <w:lang w:val="en-GB"/>
              </w:rPr>
              <w:t>Stru</w:t>
            </w:r>
            <w:r w:rsidR="007610C3" w:rsidRPr="0064229B">
              <w:rPr>
                <w:rFonts w:cs="Arial"/>
                <w:b/>
                <w:bCs/>
                <w:lang w:val="en-GB"/>
              </w:rPr>
              <w:t>cture of the CR state debt</w:t>
            </w:r>
            <w:r w:rsidRPr="0064229B">
              <w:rPr>
                <w:rFonts w:cs="Arial"/>
                <w:b/>
                <w:bCs/>
                <w:lang w:val="en-GB"/>
              </w:rPr>
              <w:t xml:space="preserve"> </w:t>
            </w:r>
            <w:r w:rsidRPr="0064229B">
              <w:rPr>
                <w:rFonts w:cs="Arial"/>
                <w:bCs/>
                <w:lang w:val="en-GB"/>
              </w:rPr>
              <w:t>(</w:t>
            </w:r>
            <w:r w:rsidR="007610C3" w:rsidRPr="0064229B">
              <w:rPr>
                <w:rFonts w:cs="Arial"/>
                <w:bCs/>
                <w:lang w:val="en-GB"/>
              </w:rPr>
              <w:t>balance at the end of quarter, in CZK bn</w:t>
            </w:r>
            <w:r w:rsidRPr="0064229B">
              <w:rPr>
                <w:rFonts w:cs="Arial"/>
                <w:bCs/>
                <w:lang w:val="en-GB"/>
              </w:rPr>
              <w:t xml:space="preserve">) </w:t>
            </w:r>
            <w:r w:rsidRPr="0064229B">
              <w:rPr>
                <w:rFonts w:cs="Arial"/>
                <w:b/>
                <w:bCs/>
                <w:lang w:val="en-GB"/>
              </w:rPr>
              <w:t>a</w:t>
            </w:r>
            <w:r w:rsidR="007610C3" w:rsidRPr="0064229B">
              <w:rPr>
                <w:rFonts w:cs="Arial"/>
                <w:b/>
                <w:bCs/>
                <w:lang w:val="en-GB"/>
              </w:rPr>
              <w:t xml:space="preserve">nd </w:t>
            </w:r>
            <w:r w:rsidR="0064229B" w:rsidRPr="0064229B">
              <w:rPr>
                <w:rFonts w:cs="Arial"/>
                <w:b/>
                <w:bCs/>
                <w:lang w:val="en-GB"/>
              </w:rPr>
              <w:t>share of CZK bonds held by non-residents</w:t>
            </w:r>
            <w:r w:rsidRPr="0064229B">
              <w:rPr>
                <w:rFonts w:cs="Arial"/>
                <w:b/>
                <w:bCs/>
                <w:lang w:val="en-GB"/>
              </w:rPr>
              <w:t xml:space="preserve"> </w:t>
            </w:r>
            <w:r w:rsidRPr="0064229B">
              <w:rPr>
                <w:rFonts w:cs="Arial"/>
                <w:bCs/>
                <w:lang w:val="en-GB"/>
              </w:rPr>
              <w:t>(</w:t>
            </w:r>
            <w:r w:rsidR="00954C8E">
              <w:rPr>
                <w:rFonts w:cs="Arial"/>
                <w:bCs/>
                <w:lang w:val="en-GB"/>
              </w:rPr>
              <w:t>in %</w:t>
            </w:r>
            <w:r w:rsidRPr="0064229B">
              <w:rPr>
                <w:rFonts w:cs="Arial"/>
                <w:bCs/>
                <w:lang w:val="en-GB"/>
              </w:rPr>
              <w:t xml:space="preserve">, </w:t>
            </w:r>
            <w:r w:rsidR="00EC439A" w:rsidRPr="0064229B">
              <w:rPr>
                <w:rFonts w:cs="Arial"/>
                <w:bCs/>
                <w:lang w:val="en-GB"/>
              </w:rPr>
              <w:t>right axis</w:t>
            </w:r>
            <w:r w:rsidRPr="0064229B">
              <w:rPr>
                <w:rFonts w:cs="Arial"/>
                <w:bCs/>
                <w:lang w:val="en-GB"/>
              </w:rPr>
              <w:t>)</w:t>
            </w:r>
          </w:p>
        </w:tc>
      </w:tr>
      <w:tr w:rsidR="001C3961" w:rsidRPr="006D67AC"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7384" cy="3528000"/>
                  <wp:effectExtent l="0" t="0" r="5116" b="0"/>
                  <wp:docPr id="5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3961" w:rsidRDefault="00EC439A" w:rsidP="00853C0F">
            <w:pPr>
              <w:autoSpaceDE w:val="0"/>
              <w:autoSpaceDN w:val="0"/>
              <w:adjustRightInd w:val="0"/>
              <w:spacing w:line="240" w:lineRule="auto"/>
              <w:jc w:val="right"/>
              <w:rPr>
                <w:sz w:val="14"/>
                <w:szCs w:val="14"/>
              </w:rPr>
            </w:pPr>
            <w:r>
              <w:rPr>
                <w:sz w:val="14"/>
                <w:szCs w:val="14"/>
              </w:rPr>
              <w:t>Source</w:t>
            </w:r>
            <w:r w:rsidR="001C3961">
              <w:rPr>
                <w:sz w:val="14"/>
                <w:szCs w:val="14"/>
              </w:rPr>
              <w:t>: MF</w:t>
            </w:r>
            <w:r w:rsidR="00F76870">
              <w:rPr>
                <w:sz w:val="14"/>
                <w:szCs w:val="14"/>
              </w:rPr>
              <w:t xml:space="preserve"> CR</w:t>
            </w:r>
          </w:p>
          <w:p w:rsidR="00486640" w:rsidRDefault="00486640">
            <w:pPr>
              <w:autoSpaceDE w:val="0"/>
              <w:autoSpaceDN w:val="0"/>
              <w:adjustRightInd w:val="0"/>
              <w:spacing w:line="240" w:lineRule="auto"/>
              <w:rPr>
                <w:rFonts w:cs="Arial"/>
                <w:sz w:val="14"/>
                <w:szCs w:val="14"/>
              </w:rPr>
            </w:pPr>
          </w:p>
        </w:tc>
      </w:tr>
    </w:tbl>
    <w:p w:rsidR="008A03DE" w:rsidRPr="00CE7158" w:rsidRDefault="008A03DE" w:rsidP="008A03DE">
      <w:pPr>
        <w:pStyle w:val="Textpoznpodarou"/>
        <w:jc w:val="both"/>
        <w:rPr>
          <w:rFonts w:cs="Arial"/>
          <w:color w:val="000000"/>
          <w:sz w:val="10"/>
          <w:szCs w:val="10"/>
        </w:rPr>
      </w:pPr>
    </w:p>
    <w:sectPr w:rsidR="008A03DE" w:rsidRPr="00CE7158" w:rsidSect="002D536A">
      <w:headerReference w:type="even" r:id="rId14"/>
      <w:headerReference w:type="default" r:id="rId15"/>
      <w:footerReference w:type="even" r:id="rId16"/>
      <w:footerReference w:type="default" r:id="rId17"/>
      <w:type w:val="continuous"/>
      <w:pgSz w:w="11906" w:h="16838" w:code="9"/>
      <w:pgMar w:top="1134" w:right="1134" w:bottom="1418" w:left="1134" w:header="680" w:footer="680"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F4" w:rsidRDefault="000C3EF4" w:rsidP="00E71A58">
      <w:r>
        <w:separator/>
      </w:r>
    </w:p>
  </w:endnote>
  <w:endnote w:type="continuationSeparator" w:id="0">
    <w:p w:rsidR="000C3EF4" w:rsidRDefault="000C3EF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1165C9" w:rsidRPr="005A21E0">
      <w:rPr>
        <w:rFonts w:ascii="Arial" w:hAnsi="Arial" w:cs="Arial"/>
        <w:sz w:val="16"/>
        <w:szCs w:val="16"/>
      </w:rPr>
      <w:fldChar w:fldCharType="begin"/>
    </w:r>
    <w:r w:rsidRPr="005A21E0">
      <w:rPr>
        <w:rFonts w:ascii="Arial" w:hAnsi="Arial" w:cs="Arial"/>
        <w:sz w:val="16"/>
        <w:szCs w:val="16"/>
      </w:rPr>
      <w:instrText>PAGE   \* MERGEFORMAT</w:instrText>
    </w:r>
    <w:r w:rsidR="001165C9" w:rsidRPr="005A21E0">
      <w:rPr>
        <w:rFonts w:ascii="Arial" w:hAnsi="Arial" w:cs="Arial"/>
        <w:sz w:val="16"/>
        <w:szCs w:val="16"/>
      </w:rPr>
      <w:fldChar w:fldCharType="separate"/>
    </w:r>
    <w:r w:rsidR="002D536A">
      <w:rPr>
        <w:rFonts w:ascii="Arial" w:hAnsi="Arial" w:cs="Arial"/>
        <w:noProof/>
        <w:sz w:val="16"/>
        <w:szCs w:val="16"/>
      </w:rPr>
      <w:t>32</w:t>
    </w:r>
    <w:r w:rsidR="001165C9"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rPr>
        <w:noProof/>
        <w:lang w:eastAsia="cs-CZ"/>
      </w:rPr>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1165C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165C9" w:rsidRPr="00223E00">
      <w:rPr>
        <w:rFonts w:ascii="Arial" w:hAnsi="Arial" w:cs="Arial"/>
        <w:sz w:val="16"/>
        <w:szCs w:val="16"/>
      </w:rPr>
      <w:fldChar w:fldCharType="separate"/>
    </w:r>
    <w:r w:rsidR="002D536A">
      <w:rPr>
        <w:rFonts w:ascii="Arial" w:hAnsi="Arial" w:cs="Arial"/>
        <w:noProof/>
        <w:sz w:val="16"/>
        <w:szCs w:val="16"/>
      </w:rPr>
      <w:t>31</w:t>
    </w:r>
    <w:r w:rsidR="001165C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F4" w:rsidRDefault="000C3EF4" w:rsidP="00E71A58">
      <w:r>
        <w:separator/>
      </w:r>
    </w:p>
  </w:footnote>
  <w:footnote w:type="continuationSeparator" w:id="0">
    <w:p w:rsidR="000C3EF4" w:rsidRDefault="000C3EF4" w:rsidP="00E71A58">
      <w:r>
        <w:continuationSeparator/>
      </w:r>
    </w:p>
  </w:footnote>
  <w:footnote w:id="1">
    <w:p w:rsidR="00486640" w:rsidRPr="00AB5D66" w:rsidRDefault="00486640" w:rsidP="001C3961">
      <w:pPr>
        <w:pStyle w:val="Textpoznpodarou"/>
        <w:jc w:val="both"/>
        <w:rPr>
          <w:color w:val="0D0D0D" w:themeColor="text1" w:themeTint="F2"/>
          <w:spacing w:val="-2"/>
          <w:sz w:val="16"/>
          <w:szCs w:val="16"/>
          <w:lang w:val="en-GB"/>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w:t>
      </w:r>
      <w:r w:rsidRPr="00AB5D66">
        <w:rPr>
          <w:color w:val="0D0D0D" w:themeColor="text1" w:themeTint="F2"/>
          <w:spacing w:val="-2"/>
          <w:sz w:val="16"/>
          <w:szCs w:val="16"/>
          <w:lang w:val="en-GB"/>
        </w:rPr>
        <w:t xml:space="preserve">According to the calculations of the MF, the SB adjusted on both </w:t>
      </w:r>
      <w:r>
        <w:rPr>
          <w:color w:val="0D0D0D" w:themeColor="text1" w:themeTint="F2"/>
          <w:spacing w:val="-2"/>
          <w:sz w:val="16"/>
          <w:szCs w:val="16"/>
          <w:lang w:val="en-GB"/>
        </w:rPr>
        <w:t>income and expenditure</w:t>
      </w:r>
      <w:r w:rsidRPr="00AB5D66">
        <w:rPr>
          <w:color w:val="0D0D0D" w:themeColor="text1" w:themeTint="F2"/>
          <w:spacing w:val="-2"/>
          <w:sz w:val="16"/>
          <w:szCs w:val="16"/>
          <w:lang w:val="en-GB"/>
        </w:rPr>
        <w:t xml:space="preserve"> side for the resources from the EU budget (and financial mechanisms) ended in deficit of 13.2 </w:t>
      </w:r>
      <w:r>
        <w:rPr>
          <w:color w:val="0D0D0D" w:themeColor="text1" w:themeTint="F2"/>
          <w:spacing w:val="-2"/>
          <w:sz w:val="16"/>
          <w:szCs w:val="16"/>
          <w:lang w:val="en-GB"/>
        </w:rPr>
        <w:t xml:space="preserve">CZK </w:t>
      </w:r>
      <w:proofErr w:type="spellStart"/>
      <w:r>
        <w:rPr>
          <w:color w:val="0D0D0D" w:themeColor="text1" w:themeTint="F2"/>
          <w:spacing w:val="-2"/>
          <w:sz w:val="16"/>
          <w:szCs w:val="16"/>
          <w:lang w:val="en-GB"/>
        </w:rPr>
        <w:t>bn</w:t>
      </w:r>
      <w:proofErr w:type="spellEnd"/>
      <w:r w:rsidRPr="00AB5D66">
        <w:rPr>
          <w:color w:val="0D0D0D" w:themeColor="text1" w:themeTint="F2"/>
          <w:spacing w:val="-2"/>
          <w:sz w:val="16"/>
          <w:szCs w:val="16"/>
          <w:lang w:val="en-GB"/>
        </w:rPr>
        <w:t xml:space="preserve"> this year (such adjusted result would represent a deficit of 30.8 </w:t>
      </w:r>
      <w:proofErr w:type="spellStart"/>
      <w:r w:rsidRPr="00AB5D66">
        <w:rPr>
          <w:color w:val="0D0D0D" w:themeColor="text1" w:themeTint="F2"/>
          <w:spacing w:val="-2"/>
          <w:sz w:val="16"/>
          <w:szCs w:val="16"/>
          <w:lang w:val="en-GB"/>
        </w:rPr>
        <w:t>bn</w:t>
      </w:r>
      <w:proofErr w:type="spellEnd"/>
      <w:r w:rsidRPr="00AB5D66">
        <w:rPr>
          <w:color w:val="0D0D0D" w:themeColor="text1" w:themeTint="F2"/>
          <w:spacing w:val="-2"/>
          <w:sz w:val="16"/>
          <w:szCs w:val="16"/>
          <w:lang w:val="en-GB"/>
        </w:rPr>
        <w:t xml:space="preserve"> in H1 2016).</w:t>
      </w:r>
    </w:p>
  </w:footnote>
  <w:footnote w:id="2">
    <w:p w:rsidR="00486640" w:rsidRPr="00484EA9" w:rsidRDefault="00486640" w:rsidP="00FF6014">
      <w:pPr>
        <w:pStyle w:val="Textpoznpodarou"/>
        <w:jc w:val="both"/>
        <w:rPr>
          <w:color w:val="0D0D0D" w:themeColor="text1" w:themeTint="F2"/>
          <w:spacing w:val="-2"/>
          <w:sz w:val="16"/>
          <w:szCs w:val="16"/>
          <w:lang w:val="en-GB"/>
        </w:rPr>
      </w:pPr>
      <w:r>
        <w:rPr>
          <w:rStyle w:val="Znakapoznpodarou"/>
          <w:color w:val="0D0D0D" w:themeColor="text1" w:themeTint="F2"/>
          <w:spacing w:val="-2"/>
          <w:sz w:val="16"/>
          <w:szCs w:val="16"/>
        </w:rPr>
        <w:footnoteRef/>
      </w:r>
      <w:r>
        <w:rPr>
          <w:color w:val="0D0D0D" w:themeColor="text1" w:themeTint="F2"/>
          <w:spacing w:val="-2"/>
          <w:sz w:val="16"/>
          <w:szCs w:val="16"/>
        </w:rPr>
        <w:t xml:space="preserve"> </w:t>
      </w:r>
      <w:r w:rsidRPr="00484EA9">
        <w:rPr>
          <w:color w:val="0D0D0D" w:themeColor="text1" w:themeTint="F2"/>
          <w:spacing w:val="-2"/>
          <w:sz w:val="16"/>
          <w:szCs w:val="16"/>
          <w:lang w:val="en-GB"/>
        </w:rPr>
        <w:t>The proportion of the SB on the state-wide VAT revenue fell from 70.25</w:t>
      </w:r>
      <w:r>
        <w:rPr>
          <w:color w:val="0D0D0D" w:themeColor="text1" w:themeTint="F2"/>
          <w:spacing w:val="-2"/>
          <w:sz w:val="16"/>
          <w:szCs w:val="16"/>
          <w:lang w:val="en-GB"/>
        </w:rPr>
        <w:t>%</w:t>
      </w:r>
      <w:r w:rsidRPr="00484EA9">
        <w:rPr>
          <w:color w:val="0D0D0D" w:themeColor="text1" w:themeTint="F2"/>
          <w:spacing w:val="-2"/>
          <w:sz w:val="16"/>
          <w:szCs w:val="16"/>
          <w:lang w:val="en-GB"/>
        </w:rPr>
        <w:t xml:space="preserve"> to 69.68</w:t>
      </w:r>
      <w:r>
        <w:rPr>
          <w:color w:val="0D0D0D" w:themeColor="text1" w:themeTint="F2"/>
          <w:spacing w:val="-2"/>
          <w:sz w:val="16"/>
          <w:szCs w:val="16"/>
          <w:lang w:val="en-GB"/>
        </w:rPr>
        <w:t>%</w:t>
      </w:r>
      <w:r w:rsidRPr="00484EA9">
        <w:rPr>
          <w:color w:val="0D0D0D" w:themeColor="text1" w:themeTint="F2"/>
          <w:spacing w:val="-2"/>
          <w:sz w:val="16"/>
          <w:szCs w:val="16"/>
          <w:lang w:val="en-GB"/>
        </w:rPr>
        <w:t xml:space="preserve"> due to the change of the </w:t>
      </w:r>
      <w:r>
        <w:rPr>
          <w:color w:val="0D0D0D" w:themeColor="text1" w:themeTint="F2"/>
          <w:spacing w:val="-2"/>
          <w:sz w:val="16"/>
          <w:szCs w:val="16"/>
          <w:lang w:val="en-GB"/>
        </w:rPr>
        <w:t xml:space="preserve">budget </w:t>
      </w:r>
      <w:r w:rsidRPr="000D622A">
        <w:rPr>
          <w:color w:val="0D0D0D" w:themeColor="text1" w:themeTint="F2"/>
          <w:spacing w:val="-2"/>
          <w:sz w:val="16"/>
          <w:szCs w:val="16"/>
          <w:lang w:val="en-GB"/>
        </w:rPr>
        <w:t>appropriations</w:t>
      </w:r>
      <w:r>
        <w:rPr>
          <w:color w:val="0D0D0D" w:themeColor="text1" w:themeTint="F2"/>
          <w:spacing w:val="-2"/>
          <w:sz w:val="16"/>
          <w:szCs w:val="16"/>
          <w:lang w:val="en-GB"/>
        </w:rPr>
        <w:t xml:space="preserve"> of taxes</w:t>
      </w:r>
      <w:r w:rsidRPr="00484EA9">
        <w:rPr>
          <w:color w:val="0D0D0D" w:themeColor="text1" w:themeTint="F2"/>
          <w:spacing w:val="-2"/>
          <w:sz w:val="16"/>
          <w:szCs w:val="16"/>
          <w:lang w:val="en-GB"/>
        </w:rPr>
        <w:t xml:space="preserve"> startin</w:t>
      </w:r>
      <w:r>
        <w:rPr>
          <w:color w:val="0D0D0D" w:themeColor="text1" w:themeTint="F2"/>
          <w:spacing w:val="-2"/>
          <w:sz w:val="16"/>
          <w:szCs w:val="16"/>
          <w:lang w:val="en-GB"/>
        </w:rPr>
        <w:t>g</w:t>
      </w:r>
      <w:r w:rsidRPr="00484EA9">
        <w:rPr>
          <w:color w:val="0D0D0D" w:themeColor="text1" w:themeTint="F2"/>
          <w:spacing w:val="-2"/>
          <w:sz w:val="16"/>
          <w:szCs w:val="16"/>
          <w:lang w:val="en-GB"/>
        </w:rPr>
        <w:t xml:space="preserve"> 1. 1. 2017. R</w:t>
      </w:r>
      <w:r>
        <w:rPr>
          <w:color w:val="0D0D0D" w:themeColor="text1" w:themeTint="F2"/>
          <w:spacing w:val="-2"/>
          <w:sz w:val="16"/>
          <w:szCs w:val="16"/>
          <w:lang w:val="en-GB"/>
        </w:rPr>
        <w:t>eciprocally, the percentage share of the tax revenue – from the tax returns on income taxes of natural persons was amended</w:t>
      </w:r>
      <w:r w:rsidRPr="00484EA9">
        <w:rPr>
          <w:color w:val="0D0D0D" w:themeColor="text1" w:themeTint="F2"/>
          <w:spacing w:val="-2"/>
          <w:sz w:val="16"/>
          <w:szCs w:val="16"/>
          <w:lang w:val="en-GB"/>
        </w:rPr>
        <w:t xml:space="preserve">, </w:t>
      </w:r>
      <w:r>
        <w:rPr>
          <w:color w:val="0D0D0D" w:themeColor="text1" w:themeTint="F2"/>
          <w:spacing w:val="-2"/>
          <w:sz w:val="16"/>
          <w:szCs w:val="16"/>
          <w:lang w:val="en-GB"/>
        </w:rPr>
        <w:t>specifically for the benefit of the SB</w:t>
      </w:r>
      <w:r w:rsidRPr="00484EA9">
        <w:rPr>
          <w:color w:val="0D0D0D" w:themeColor="text1" w:themeTint="F2"/>
          <w:spacing w:val="-2"/>
          <w:sz w:val="16"/>
          <w:szCs w:val="16"/>
          <w:lang w:val="en-GB"/>
        </w:rPr>
        <w:t>.</w:t>
      </w:r>
    </w:p>
  </w:footnote>
  <w:footnote w:id="3">
    <w:p w:rsidR="00486640" w:rsidRPr="00484EA9" w:rsidRDefault="00486640" w:rsidP="00FF6014">
      <w:pPr>
        <w:pStyle w:val="Textpoznpodarou"/>
        <w:jc w:val="both"/>
        <w:rPr>
          <w:sz w:val="16"/>
          <w:szCs w:val="16"/>
          <w:lang w:val="en-GB"/>
        </w:rPr>
      </w:pPr>
      <w:r w:rsidRPr="00484EA9">
        <w:rPr>
          <w:rStyle w:val="Znakapoznpodarou"/>
          <w:sz w:val="16"/>
          <w:szCs w:val="16"/>
          <w:lang w:val="en-GB"/>
        </w:rPr>
        <w:footnoteRef/>
      </w:r>
      <w:r w:rsidRPr="00484EA9">
        <w:rPr>
          <w:sz w:val="16"/>
          <w:szCs w:val="16"/>
          <w:lang w:val="en-GB"/>
        </w:rPr>
        <w:t xml:space="preserve"> </w:t>
      </w:r>
      <w:r>
        <w:rPr>
          <w:sz w:val="16"/>
          <w:szCs w:val="16"/>
          <w:lang w:val="en-GB"/>
        </w:rPr>
        <w:t>Data are not adjusted for the seasonal and calendar effects. There were 4 working days less both year-on-year and quarter-on-quarter in Q2 itself. The year-on-year rate of growth of the total nominal final consumption expenditure stagnated during the first half of year 2017</w:t>
      </w:r>
      <w:r w:rsidR="00E84119">
        <w:rPr>
          <w:sz w:val="16"/>
          <w:szCs w:val="16"/>
          <w:lang w:val="en-GB"/>
        </w:rPr>
        <w:t xml:space="preserve"> (6.0% in Q1</w:t>
      </w:r>
      <w:r w:rsidR="00E84119" w:rsidRPr="00484EA9">
        <w:rPr>
          <w:sz w:val="16"/>
          <w:szCs w:val="16"/>
          <w:lang w:val="en-GB"/>
        </w:rPr>
        <w:t xml:space="preserve">, </w:t>
      </w:r>
      <w:r w:rsidR="00E84119">
        <w:rPr>
          <w:sz w:val="16"/>
          <w:szCs w:val="16"/>
          <w:lang w:val="en-GB"/>
        </w:rPr>
        <w:t>5.9% in Q2)</w:t>
      </w:r>
      <w:r>
        <w:rPr>
          <w:sz w:val="16"/>
          <w:szCs w:val="16"/>
          <w:lang w:val="en-GB"/>
        </w:rPr>
        <w:t>, after the adjustment it on the contrary increased (it was 5.4% in Q1</w:t>
      </w:r>
      <w:r w:rsidRPr="00484EA9">
        <w:rPr>
          <w:sz w:val="16"/>
          <w:szCs w:val="16"/>
          <w:lang w:val="en-GB"/>
        </w:rPr>
        <w:t xml:space="preserve">, </w:t>
      </w:r>
      <w:r>
        <w:rPr>
          <w:sz w:val="16"/>
          <w:szCs w:val="16"/>
          <w:lang w:val="en-GB"/>
        </w:rPr>
        <w:t>6.4% in Q2</w:t>
      </w:r>
      <w:r w:rsidRPr="00484EA9">
        <w:rPr>
          <w:sz w:val="16"/>
          <w:szCs w:val="16"/>
          <w:lang w:val="en-GB"/>
        </w:rPr>
        <w:t>).</w:t>
      </w:r>
    </w:p>
  </w:footnote>
  <w:footnote w:id="4">
    <w:p w:rsidR="00486640" w:rsidRPr="00484EA9" w:rsidRDefault="00486640" w:rsidP="00FF6014">
      <w:pPr>
        <w:pStyle w:val="Textpoznpodarou"/>
        <w:jc w:val="both"/>
        <w:rPr>
          <w:color w:val="0D0D0D" w:themeColor="text1" w:themeTint="F2"/>
          <w:sz w:val="16"/>
          <w:szCs w:val="16"/>
          <w:lang w:val="en-GB"/>
        </w:rPr>
      </w:pPr>
      <w:r w:rsidRPr="00484EA9">
        <w:rPr>
          <w:rStyle w:val="Znakapoznpodarou"/>
          <w:color w:val="0D0D0D" w:themeColor="text1" w:themeTint="F2"/>
          <w:sz w:val="16"/>
          <w:szCs w:val="16"/>
          <w:lang w:val="en-GB"/>
        </w:rPr>
        <w:footnoteRef/>
      </w:r>
      <w:r w:rsidRPr="00484EA9">
        <w:rPr>
          <w:color w:val="0D0D0D" w:themeColor="text1" w:themeTint="F2"/>
          <w:sz w:val="16"/>
          <w:szCs w:val="16"/>
          <w:lang w:val="en-GB"/>
        </w:rPr>
        <w:t xml:space="preserve"> </w:t>
      </w:r>
      <w:r>
        <w:rPr>
          <w:color w:val="0D0D0D" w:themeColor="text1" w:themeTint="F2"/>
          <w:sz w:val="16"/>
          <w:szCs w:val="16"/>
          <w:lang w:val="en-GB"/>
        </w:rPr>
        <w:t xml:space="preserve">The taxes for cigarettes with old covers, </w:t>
      </w:r>
      <w:r>
        <w:rPr>
          <w:rFonts w:cs="Arial"/>
          <w:color w:val="0D0D0D" w:themeColor="text1" w:themeTint="F2"/>
          <w:sz w:val="16"/>
          <w:szCs w:val="16"/>
          <w:lang w:val="en-GB"/>
        </w:rPr>
        <w:t xml:space="preserve">which had to be withdrawn from the circulation, were returned. The withdrawal of cigarettes was connected to the introduction of new products burdened by a higher tax rate and containing more thorough health warning. </w:t>
      </w:r>
    </w:p>
  </w:footnote>
  <w:footnote w:id="5">
    <w:p w:rsidR="00486640" w:rsidRPr="00484EA9" w:rsidRDefault="00486640" w:rsidP="00FF6014">
      <w:pPr>
        <w:pStyle w:val="Textpoznpodarou"/>
        <w:jc w:val="both"/>
        <w:rPr>
          <w:spacing w:val="-2"/>
          <w:sz w:val="16"/>
          <w:szCs w:val="16"/>
          <w:lang w:val="en-GB"/>
        </w:rPr>
      </w:pPr>
      <w:r w:rsidRPr="00484EA9">
        <w:rPr>
          <w:rStyle w:val="Znakapoznpodarou"/>
          <w:spacing w:val="-2"/>
          <w:sz w:val="16"/>
          <w:szCs w:val="16"/>
          <w:lang w:val="en-GB"/>
        </w:rPr>
        <w:footnoteRef/>
      </w:r>
      <w:r w:rsidRPr="00484EA9">
        <w:rPr>
          <w:spacing w:val="-2"/>
          <w:sz w:val="16"/>
          <w:szCs w:val="16"/>
          <w:lang w:val="en-GB"/>
        </w:rPr>
        <w:t xml:space="preserve"> </w:t>
      </w:r>
      <w:r>
        <w:rPr>
          <w:spacing w:val="-2"/>
          <w:sz w:val="16"/>
          <w:szCs w:val="16"/>
          <w:lang w:val="en-GB"/>
        </w:rPr>
        <w:t xml:space="preserve">The effect of the increased rates for the first eight months of year 2017 was already stronger </w:t>
      </w:r>
      <w:r w:rsidRPr="00484EA9">
        <w:rPr>
          <w:spacing w:val="-2"/>
          <w:sz w:val="16"/>
          <w:szCs w:val="16"/>
          <w:lang w:val="en-GB"/>
        </w:rPr>
        <w:t>a</w:t>
      </w:r>
      <w:r>
        <w:rPr>
          <w:spacing w:val="-2"/>
          <w:sz w:val="16"/>
          <w:szCs w:val="16"/>
          <w:lang w:val="en-GB"/>
        </w:rPr>
        <w:t xml:space="preserve">nd the collection of taxes on tobacco products was already by 0.8% higher year-on-year. </w:t>
      </w:r>
    </w:p>
  </w:footnote>
  <w:footnote w:id="6">
    <w:p w:rsidR="00486640" w:rsidRPr="00906DC3" w:rsidRDefault="00486640" w:rsidP="008F4108">
      <w:pPr>
        <w:pStyle w:val="Textpoznpodarou"/>
        <w:jc w:val="both"/>
        <w:rPr>
          <w:sz w:val="16"/>
          <w:szCs w:val="16"/>
          <w:lang w:val="en-GB"/>
        </w:rPr>
      </w:pPr>
      <w:r w:rsidRPr="001D0079">
        <w:rPr>
          <w:rStyle w:val="Znakapoznpodarou"/>
          <w:sz w:val="16"/>
          <w:szCs w:val="16"/>
        </w:rPr>
        <w:footnoteRef/>
      </w:r>
      <w:r>
        <w:rPr>
          <w:sz w:val="16"/>
          <w:szCs w:val="16"/>
        </w:rPr>
        <w:t xml:space="preserve"> </w:t>
      </w:r>
      <w:r w:rsidRPr="00906DC3">
        <w:rPr>
          <w:sz w:val="16"/>
          <w:szCs w:val="16"/>
          <w:lang w:val="en-GB"/>
        </w:rPr>
        <w:t>This fact is even more supported by the data from the fi</w:t>
      </w:r>
      <w:r>
        <w:rPr>
          <w:sz w:val="16"/>
          <w:szCs w:val="16"/>
          <w:lang w:val="en-GB"/>
        </w:rPr>
        <w:t>r</w:t>
      </w:r>
      <w:r w:rsidRPr="00906DC3">
        <w:rPr>
          <w:sz w:val="16"/>
          <w:szCs w:val="16"/>
          <w:lang w:val="en-GB"/>
        </w:rPr>
        <w:t xml:space="preserve">st eight months of the year (which already </w:t>
      </w:r>
      <w:r>
        <w:rPr>
          <w:sz w:val="16"/>
          <w:szCs w:val="16"/>
          <w:lang w:val="en-GB"/>
        </w:rPr>
        <w:t xml:space="preserve">take </w:t>
      </w:r>
      <w:r w:rsidRPr="00906DC3">
        <w:rPr>
          <w:sz w:val="16"/>
          <w:szCs w:val="16"/>
          <w:lang w:val="en-GB"/>
        </w:rPr>
        <w:t>fully</w:t>
      </w:r>
      <w:r>
        <w:rPr>
          <w:sz w:val="16"/>
          <w:szCs w:val="16"/>
          <w:lang w:val="en-GB"/>
        </w:rPr>
        <w:t xml:space="preserve"> </w:t>
      </w:r>
      <w:r w:rsidRPr="00906DC3">
        <w:rPr>
          <w:sz w:val="16"/>
          <w:szCs w:val="16"/>
          <w:lang w:val="en-GB"/>
        </w:rPr>
        <w:t>into consideration the payments of all large taxpayers for year 2016), when the year-on-year increase of the corporate tax collection lowered below 2</w:t>
      </w:r>
      <w:r>
        <w:rPr>
          <w:sz w:val="16"/>
          <w:szCs w:val="16"/>
          <w:lang w:val="en-GB"/>
        </w:rPr>
        <w:t>%</w:t>
      </w:r>
      <w:r w:rsidRPr="00906DC3">
        <w:rPr>
          <w:sz w:val="16"/>
          <w:szCs w:val="16"/>
          <w:lang w:val="en-GB"/>
        </w:rPr>
        <w:t>.</w:t>
      </w:r>
    </w:p>
  </w:footnote>
  <w:footnote w:id="7">
    <w:p w:rsidR="00486640" w:rsidRPr="0074690B" w:rsidRDefault="00486640" w:rsidP="008F4108">
      <w:pPr>
        <w:pStyle w:val="Textpoznpodarou"/>
        <w:jc w:val="both"/>
        <w:rPr>
          <w:sz w:val="16"/>
          <w:szCs w:val="16"/>
        </w:rPr>
      </w:pPr>
      <w:r w:rsidRPr="00906DC3">
        <w:rPr>
          <w:rStyle w:val="Znakapoznpodarou"/>
          <w:sz w:val="16"/>
          <w:szCs w:val="16"/>
          <w:lang w:val="en-GB"/>
        </w:rPr>
        <w:footnoteRef/>
      </w:r>
      <w:r w:rsidRPr="00906DC3">
        <w:rPr>
          <w:sz w:val="16"/>
          <w:szCs w:val="16"/>
          <w:lang w:val="en-GB"/>
        </w:rPr>
        <w:t xml:space="preserve"> </w:t>
      </w:r>
      <w:r>
        <w:rPr>
          <w:sz w:val="16"/>
          <w:szCs w:val="16"/>
          <w:lang w:val="en-GB"/>
        </w:rPr>
        <w:t>According to the more detailed data published by the M</w:t>
      </w:r>
      <w:r w:rsidR="00E84AAD">
        <w:rPr>
          <w:sz w:val="16"/>
          <w:szCs w:val="16"/>
          <w:lang w:val="en-GB"/>
        </w:rPr>
        <w:t>F</w:t>
      </w:r>
      <w:r>
        <w:rPr>
          <w:sz w:val="16"/>
          <w:szCs w:val="16"/>
          <w:lang w:val="en-GB"/>
        </w:rPr>
        <w:t xml:space="preserve"> CR at the beginning of August </w:t>
      </w:r>
      <w:r w:rsidRPr="00906DC3">
        <w:rPr>
          <w:sz w:val="16"/>
          <w:szCs w:val="16"/>
          <w:lang w:val="en-GB"/>
        </w:rPr>
        <w:t>2017</w:t>
      </w:r>
      <w:r w:rsidRPr="0074690B">
        <w:rPr>
          <w:sz w:val="16"/>
          <w:szCs w:val="16"/>
        </w:rPr>
        <w:t>.</w:t>
      </w:r>
    </w:p>
  </w:footnote>
  <w:footnote w:id="8">
    <w:p w:rsidR="00486640" w:rsidRPr="008C3460" w:rsidRDefault="00486640" w:rsidP="008C3460">
      <w:pPr>
        <w:pStyle w:val="Textpoznpodarou"/>
        <w:jc w:val="both"/>
        <w:rPr>
          <w:sz w:val="16"/>
          <w:szCs w:val="16"/>
          <w:lang w:val="en-GB"/>
        </w:rPr>
      </w:pPr>
      <w:r w:rsidRPr="009760E6">
        <w:rPr>
          <w:rStyle w:val="Znakapoznpodarou"/>
          <w:sz w:val="16"/>
          <w:szCs w:val="16"/>
        </w:rPr>
        <w:footnoteRef/>
      </w:r>
      <w:r w:rsidRPr="009760E6">
        <w:rPr>
          <w:sz w:val="16"/>
          <w:szCs w:val="16"/>
        </w:rPr>
        <w:t xml:space="preserve"> </w:t>
      </w:r>
      <w:r w:rsidRPr="008C3460">
        <w:rPr>
          <w:sz w:val="16"/>
          <w:szCs w:val="16"/>
          <w:lang w:val="en-GB"/>
        </w:rPr>
        <w:t>Total capital expenditure of the SB attained 34.4 CZK bn since January till August 2017, it comprised nearly one third of the yearly value anticipated by the budget.  Expenditure to cover the common programmes of the CR and the EU from the programme period 2014-2020 mildly increased to 16.6 CZK bn.</w:t>
      </w:r>
    </w:p>
  </w:footnote>
  <w:footnote w:id="9">
    <w:p w:rsidR="00486640" w:rsidRPr="00601F2E" w:rsidRDefault="00486640" w:rsidP="0019642B">
      <w:pPr>
        <w:pStyle w:val="Textpoznpodarou"/>
        <w:jc w:val="both"/>
        <w:rPr>
          <w:sz w:val="16"/>
          <w:szCs w:val="16"/>
          <w:lang w:val="en-GB"/>
        </w:rPr>
      </w:pPr>
      <w:r w:rsidRPr="00E82336">
        <w:rPr>
          <w:rStyle w:val="Znakapoznpodarou"/>
          <w:sz w:val="16"/>
          <w:szCs w:val="16"/>
        </w:rPr>
        <w:footnoteRef/>
      </w:r>
      <w:r w:rsidRPr="00E82336">
        <w:rPr>
          <w:sz w:val="16"/>
          <w:szCs w:val="16"/>
        </w:rPr>
        <w:t xml:space="preserve"> </w:t>
      </w:r>
      <w:r w:rsidRPr="00601F2E">
        <w:rPr>
          <w:sz w:val="16"/>
          <w:szCs w:val="16"/>
          <w:lang w:val="en-GB"/>
        </w:rPr>
        <w:t xml:space="preserve">It is expressed as the difference between revenues and </w:t>
      </w:r>
      <w:r>
        <w:rPr>
          <w:sz w:val="16"/>
          <w:szCs w:val="16"/>
          <w:lang w:val="en-GB"/>
        </w:rPr>
        <w:t>expenditure</w:t>
      </w:r>
      <w:r w:rsidRPr="00601F2E">
        <w:rPr>
          <w:sz w:val="16"/>
          <w:szCs w:val="16"/>
          <w:lang w:val="en-GB"/>
        </w:rPr>
        <w:t xml:space="preserve"> on the pensions from the SB (based on preliminary data). </w:t>
      </w:r>
    </w:p>
  </w:footnote>
  <w:footnote w:id="10">
    <w:p w:rsidR="00486640" w:rsidRPr="00601F2E" w:rsidRDefault="00486640" w:rsidP="0019642B">
      <w:pPr>
        <w:pStyle w:val="Textpoznpodarou"/>
        <w:jc w:val="both"/>
        <w:rPr>
          <w:sz w:val="16"/>
          <w:szCs w:val="16"/>
          <w:lang w:val="en-GB"/>
        </w:rPr>
      </w:pPr>
      <w:r w:rsidRPr="00601F2E">
        <w:rPr>
          <w:rStyle w:val="Znakapoznpodarou"/>
          <w:sz w:val="16"/>
          <w:szCs w:val="16"/>
          <w:lang w:val="en-GB"/>
        </w:rPr>
        <w:footnoteRef/>
      </w:r>
      <w:r w:rsidRPr="00601F2E">
        <w:rPr>
          <w:sz w:val="16"/>
          <w:szCs w:val="16"/>
          <w:lang w:val="en-GB"/>
        </w:rPr>
        <w:t xml:space="preserve"> </w:t>
      </w:r>
      <w:r>
        <w:rPr>
          <w:sz w:val="16"/>
          <w:szCs w:val="16"/>
          <w:lang w:val="en-GB"/>
        </w:rPr>
        <w:t>The proportion of the short-term debt increased due to these operations. The share of the value of bonds with maturity within 18 months on all bonds arrived at more than 30% at the end of June 2017, by 5 p. p. less a year ago.</w:t>
      </w:r>
    </w:p>
  </w:footnote>
  <w:footnote w:id="11">
    <w:p w:rsidR="00486640" w:rsidRPr="00C30EB6" w:rsidRDefault="00486640" w:rsidP="0066759E">
      <w:pPr>
        <w:pStyle w:val="Textpoznpodarou"/>
        <w:jc w:val="both"/>
        <w:rPr>
          <w:color w:val="0D0D0D" w:themeColor="text1" w:themeTint="F2"/>
          <w:spacing w:val="-2"/>
          <w:sz w:val="16"/>
          <w:szCs w:val="16"/>
          <w:lang w:val="en-GB"/>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w:t>
      </w:r>
      <w:r w:rsidRPr="00C30EB6">
        <w:rPr>
          <w:color w:val="0D0D0D" w:themeColor="text1" w:themeTint="F2"/>
          <w:spacing w:val="-2"/>
          <w:sz w:val="16"/>
          <w:szCs w:val="16"/>
          <w:lang w:val="en-GB"/>
        </w:rPr>
        <w:t>The CZSO publis</w:t>
      </w:r>
      <w:r>
        <w:rPr>
          <w:color w:val="0D0D0D" w:themeColor="text1" w:themeTint="F2"/>
          <w:spacing w:val="-2"/>
          <w:sz w:val="16"/>
          <w:szCs w:val="16"/>
          <w:lang w:val="en-GB"/>
        </w:rPr>
        <w:t>h</w:t>
      </w:r>
      <w:r w:rsidRPr="00C30EB6">
        <w:rPr>
          <w:color w:val="0D0D0D" w:themeColor="text1" w:themeTint="F2"/>
          <w:spacing w:val="-2"/>
          <w:sz w:val="16"/>
          <w:szCs w:val="16"/>
          <w:lang w:val="en-GB"/>
        </w:rPr>
        <w:t xml:space="preserve"> the preliminary data regarding to debt and deficit of the government institutions sector for Q2 2017 on 4th October 201</w:t>
      </w:r>
      <w:r>
        <w:rPr>
          <w:color w:val="0D0D0D" w:themeColor="text1" w:themeTint="F2"/>
          <w:spacing w:val="-2"/>
          <w:sz w:val="16"/>
          <w:szCs w:val="16"/>
          <w:lang w:val="en-GB"/>
        </w:rPr>
        <w:t>7</w:t>
      </w:r>
      <w:r w:rsidRPr="00C30EB6">
        <w:rPr>
          <w:color w:val="0D0D0D" w:themeColor="text1" w:themeTint="F2"/>
          <w:spacing w:val="-2"/>
          <w:sz w:val="16"/>
          <w:szCs w:val="16"/>
          <w:lang w:val="en-GB"/>
        </w:rPr>
        <w:t xml:space="preserve">, Eurostat then on 24th October 2017.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186F16"/>
    <w:multiLevelType w:val="hybridMultilevel"/>
    <w:tmpl w:val="BA06FF0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2"/>
  </w:num>
  <w:num w:numId="4">
    <w:abstractNumId w:val="21"/>
  </w:num>
  <w:num w:numId="5">
    <w:abstractNumId w:val="15"/>
  </w:num>
  <w:num w:numId="6">
    <w:abstractNumId w:val="18"/>
  </w:num>
  <w:num w:numId="7">
    <w:abstractNumId w:val="5"/>
  </w:num>
  <w:num w:numId="8">
    <w:abstractNumId w:val="10"/>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6"/>
  </w:num>
  <w:num w:numId="17">
    <w:abstractNumId w:val="6"/>
  </w:num>
  <w:num w:numId="18">
    <w:abstractNumId w:val="22"/>
  </w:num>
  <w:num w:numId="19">
    <w:abstractNumId w:val="9"/>
  </w:num>
  <w:num w:numId="20">
    <w:abstractNumId w:val="1"/>
  </w:num>
  <w:num w:numId="21">
    <w:abstractNumId w:val="11"/>
  </w:num>
  <w:num w:numId="22">
    <w:abstractNumId w:val="14"/>
  </w:num>
  <w:num w:numId="23">
    <w:abstractNumId w:val="3"/>
  </w:num>
  <w:num w:numId="2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3EF4"/>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5C9"/>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3FAB"/>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36A"/>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05E-2"/>
          <c:w val="0.90191712370542376"/>
          <c:h val="0.80441990809425656"/>
        </c:manualLayout>
      </c:layout>
      <c:barChart>
        <c:barDir val="col"/>
        <c:grouping val="clustered"/>
        <c:ser>
          <c:idx val="2"/>
          <c:order val="4"/>
          <c:tx>
            <c:strRef>
              <c:f>'Státní rozpočet 1'!$A$40</c:f>
              <c:strCache>
                <c:ptCount val="1"/>
                <c:pt idx="0">
                  <c:v>State budget balance (right axis)</c:v>
                </c:pt>
              </c:strCache>
            </c:strRef>
          </c:tx>
          <c:spPr>
            <a:solidFill>
              <a:sysClr val="window" lastClr="FFFFFF">
                <a:lumMod val="75000"/>
              </a:sysClr>
            </a:solidFill>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3.7600000000000002</c:v>
                </c:pt>
                <c:pt idx="1">
                  <c:v>7.64</c:v>
                </c:pt>
                <c:pt idx="2">
                  <c:v>1.2749999999999977</c:v>
                </c:pt>
                <c:pt idx="3">
                  <c:v>-5.6519999999999975</c:v>
                </c:pt>
                <c:pt idx="4">
                  <c:v>-68.259</c:v>
                </c:pt>
                <c:pt idx="5">
                  <c:v>-75.661999999999992</c:v>
                </c:pt>
                <c:pt idx="6">
                  <c:v>-62.855999999999995</c:v>
                </c:pt>
                <c:pt idx="7">
                  <c:v>-71.721999999999994</c:v>
                </c:pt>
                <c:pt idx="8">
                  <c:v>-31.52</c:v>
                </c:pt>
                <c:pt idx="9">
                  <c:v>1.45</c:v>
                </c:pt>
                <c:pt idx="10">
                  <c:v>22.650000000000031</c:v>
                </c:pt>
                <c:pt idx="11">
                  <c:v>40.65</c:v>
                </c:pt>
                <c:pt idx="12">
                  <c:v>4.6199999999999966</c:v>
                </c:pt>
              </c:numCache>
            </c:numRef>
          </c:val>
        </c:ser>
        <c:gapWidth val="43"/>
        <c:axId val="162027008"/>
        <c:axId val="162025472"/>
      </c:barChart>
      <c:lineChart>
        <c:grouping val="standard"/>
        <c:ser>
          <c:idx val="0"/>
          <c:order val="0"/>
          <c:tx>
            <c:strRef>
              <c:f>'Státní rozpočet 1'!$A$36</c:f>
              <c:strCache>
                <c:ptCount val="1"/>
                <c:pt idx="0">
                  <c:v>Value added tax</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20.770252324037173</c:v>
                </c:pt>
                <c:pt idx="1">
                  <c:v>11.996921046844065</c:v>
                </c:pt>
                <c:pt idx="2">
                  <c:v>11.958762886597954</c:v>
                </c:pt>
                <c:pt idx="3">
                  <c:v>4.9022187143734284</c:v>
                </c:pt>
                <c:pt idx="4">
                  <c:v>-1.4629660591874336</c:v>
                </c:pt>
                <c:pt idx="5">
                  <c:v>7.6355306693815148</c:v>
                </c:pt>
                <c:pt idx="6">
                  <c:v>6.9047056041617481</c:v>
                </c:pt>
                <c:pt idx="7">
                  <c:v>-5.419155054191549</c:v>
                </c:pt>
                <c:pt idx="8">
                  <c:v>13.88369192391643</c:v>
                </c:pt>
                <c:pt idx="9">
                  <c:v>6.8861660620165708</c:v>
                </c:pt>
                <c:pt idx="10">
                  <c:v>-4.828690361831562</c:v>
                </c:pt>
                <c:pt idx="11">
                  <c:v>6.0022878675728455</c:v>
                </c:pt>
                <c:pt idx="12">
                  <c:v>14.060813813241955</c:v>
                </c:pt>
              </c:numCache>
            </c:numRef>
          </c:val>
        </c:ser>
        <c:ser>
          <c:idx val="1"/>
          <c:order val="1"/>
          <c:tx>
            <c:strRef>
              <c:f>'Státní rozpočet 1'!$A$37</c:f>
              <c:strCache>
                <c:ptCount val="1"/>
                <c:pt idx="0">
                  <c:v>Consumption tax</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35.457324241711625</c:v>
                </c:pt>
                <c:pt idx="1">
                  <c:v>19.128623502864055</c:v>
                </c:pt>
                <c:pt idx="2">
                  <c:v>-13.434358152411463</c:v>
                </c:pt>
                <c:pt idx="3">
                  <c:v>3.3327722605622077</c:v>
                </c:pt>
                <c:pt idx="4">
                  <c:v>-4.5935820166150778</c:v>
                </c:pt>
                <c:pt idx="5">
                  <c:v>12.053952535427726</c:v>
                </c:pt>
                <c:pt idx="6">
                  <c:v>6.4604601554167402</c:v>
                </c:pt>
                <c:pt idx="7">
                  <c:v>-2.6334621439816743</c:v>
                </c:pt>
                <c:pt idx="8">
                  <c:v>-3.0721740408643292</c:v>
                </c:pt>
                <c:pt idx="9">
                  <c:v>10.646041856232927</c:v>
                </c:pt>
                <c:pt idx="10">
                  <c:v>-3.8240131578947247</c:v>
                </c:pt>
                <c:pt idx="11">
                  <c:v>7.7668519310246689</c:v>
                </c:pt>
                <c:pt idx="12">
                  <c:v>0.80666490346467978</c:v>
                </c:pt>
              </c:numCache>
            </c:numRef>
          </c:val>
        </c:ser>
        <c:ser>
          <c:idx val="3"/>
          <c:order val="2"/>
          <c:tx>
            <c:strRef>
              <c:f>'Státní rozpočet 1'!$A$38</c:f>
              <c:strCache>
                <c:ptCount val="1"/>
                <c:pt idx="0">
                  <c:v>Income taxes natural persons(from employm.)</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7.2278911564625865</c:v>
                </c:pt>
                <c:pt idx="1">
                  <c:v>2.2997620935765468</c:v>
                </c:pt>
                <c:pt idx="2">
                  <c:v>12.20930232558139</c:v>
                </c:pt>
                <c:pt idx="3">
                  <c:v>-5.4749568221070746</c:v>
                </c:pt>
                <c:pt idx="4">
                  <c:v>-6.0661428832450213</c:v>
                </c:pt>
                <c:pt idx="5">
                  <c:v>-0.11670881151526658</c:v>
                </c:pt>
                <c:pt idx="6">
                  <c:v>6.6601752677701942</c:v>
                </c:pt>
                <c:pt idx="7">
                  <c:v>2.2092386342888335</c:v>
                </c:pt>
                <c:pt idx="8">
                  <c:v>5.4841014648088731</c:v>
                </c:pt>
                <c:pt idx="9">
                  <c:v>4.7417442845046809</c:v>
                </c:pt>
                <c:pt idx="10">
                  <c:v>1.0509296685529512</c:v>
                </c:pt>
                <c:pt idx="11">
                  <c:v>10.704000000000008</c:v>
                </c:pt>
                <c:pt idx="12">
                  <c:v>12.559618441971381</c:v>
                </c:pt>
              </c:numCache>
            </c:numRef>
          </c:val>
        </c:ser>
        <c:ser>
          <c:idx val="4"/>
          <c:order val="3"/>
          <c:tx>
            <c:strRef>
              <c:f>'Státní rozpočet 1'!$A$39</c:f>
              <c:strCache>
                <c:ptCount val="1"/>
                <c:pt idx="0">
                  <c:v>Income taxes of legal persons</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26.596315507064929</c:v>
                </c:pt>
                <c:pt idx="1">
                  <c:v>5.9197513421870553</c:v>
                </c:pt>
                <c:pt idx="2">
                  <c:v>-1.3872215552887752</c:v>
                </c:pt>
                <c:pt idx="3">
                  <c:v>26.565670228594588</c:v>
                </c:pt>
                <c:pt idx="4">
                  <c:v>-22.293470129314954</c:v>
                </c:pt>
                <c:pt idx="5">
                  <c:v>10.16366387016917</c:v>
                </c:pt>
                <c:pt idx="6">
                  <c:v>-13.50811485642947</c:v>
                </c:pt>
                <c:pt idx="7">
                  <c:v>-1.8042725173210101</c:v>
                </c:pt>
                <c:pt idx="8">
                  <c:v>-2.645891518447745</c:v>
                </c:pt>
                <c:pt idx="9">
                  <c:v>8.3949871659368949</c:v>
                </c:pt>
                <c:pt idx="10">
                  <c:v>8.3855690207550051</c:v>
                </c:pt>
                <c:pt idx="11">
                  <c:v>11.425266675234539</c:v>
                </c:pt>
                <c:pt idx="12">
                  <c:v>7.5778546712802699</c:v>
                </c:pt>
              </c:numCache>
            </c:numRef>
          </c:val>
        </c:ser>
        <c:marker val="1"/>
        <c:axId val="161213824"/>
        <c:axId val="161949184"/>
      </c:lineChart>
      <c:catAx>
        <c:axId val="161213824"/>
        <c:scaling>
          <c:orientation val="minMax"/>
        </c:scaling>
        <c:axPos val="b"/>
        <c:numFmt formatCode="General" sourceLinked="1"/>
        <c:tickLblPos val="low"/>
        <c:spPr>
          <a:ln>
            <a:solidFill>
              <a:schemeClr val="tx1"/>
            </a:solidFill>
          </a:ln>
        </c:spPr>
        <c:crossAx val="161949184"/>
        <c:crosses val="autoZero"/>
        <c:auto val="1"/>
        <c:lblAlgn val="ctr"/>
        <c:lblOffset val="0"/>
      </c:catAx>
      <c:valAx>
        <c:axId val="161949184"/>
        <c:scaling>
          <c:orientation val="minMax"/>
          <c:max val="35"/>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61213824"/>
        <c:crosses val="autoZero"/>
        <c:crossBetween val="between"/>
        <c:majorUnit val="5"/>
      </c:valAx>
      <c:valAx>
        <c:axId val="162025472"/>
        <c:scaling>
          <c:orientation val="minMax"/>
          <c:max val="70"/>
          <c:min val="-80"/>
        </c:scaling>
        <c:axPos val="r"/>
        <c:numFmt formatCode="#,##0" sourceLinked="0"/>
        <c:tickLblPos val="nextTo"/>
        <c:crossAx val="162027008"/>
        <c:crosses val="max"/>
        <c:crossBetween val="between"/>
        <c:majorUnit val="10"/>
      </c:valAx>
      <c:catAx>
        <c:axId val="162027008"/>
        <c:scaling>
          <c:orientation val="minMax"/>
        </c:scaling>
        <c:delete val="1"/>
        <c:axPos val="b"/>
        <c:tickLblPos val="none"/>
        <c:crossAx val="162025472"/>
        <c:crosses val="autoZero"/>
        <c:auto val="1"/>
        <c:lblAlgn val="ctr"/>
        <c:lblOffset val="100"/>
      </c:catAx>
      <c:spPr>
        <a:ln>
          <a:solidFill>
            <a:schemeClr val="tx1"/>
          </a:solidFill>
        </a:ln>
      </c:spPr>
    </c:plotArea>
    <c:legend>
      <c:legendPos val="b"/>
      <c:layout>
        <c:manualLayout>
          <c:xMode val="edge"/>
          <c:yMode val="edge"/>
          <c:x val="3.0497685185185211E-2"/>
          <c:y val="0.87269019274376658"/>
          <c:w val="0.9612659932659936"/>
          <c:h val="0.12011026077097522"/>
        </c:manualLayout>
      </c:layout>
      <c:spPr>
        <a:ln w="6350">
          <a:solidFill>
            <a:schemeClr val="tx1"/>
          </a:solidFill>
        </a:ln>
      </c:spPr>
      <c:txPr>
        <a:bodyPr/>
        <a:lstStyle/>
        <a:p>
          <a:pPr>
            <a:defRPr sz="75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5885856591416561E-2"/>
          <c:y val="2.1967687074830006E-2"/>
          <c:w val="0.92164178636877248"/>
          <c:h val="0.79758786848072549"/>
        </c:manualLayout>
      </c:layout>
      <c:barChart>
        <c:barDir val="col"/>
        <c:grouping val="stacked"/>
        <c:ser>
          <c:idx val="0"/>
          <c:order val="0"/>
          <c:tx>
            <c:strRef>
              <c:f>'Státní rozpočet 2'!$A$77</c:f>
              <c:strCache>
                <c:ptCount val="1"/>
                <c:pt idx="0">
                  <c:v>Structural funds</c:v>
                </c:pt>
              </c:strCache>
            </c:strRef>
          </c:tx>
          <c:spPr>
            <a:solidFill>
              <a:srgbClr val="BD1B25"/>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2'!$B$77:$N$77</c:f>
              <c:numCache>
                <c:formatCode>#,##0.0</c:formatCode>
                <c:ptCount val="13"/>
                <c:pt idx="0">
                  <c:v>3.2596999999999987</c:v>
                </c:pt>
                <c:pt idx="1">
                  <c:v>0.76380000000000148</c:v>
                </c:pt>
                <c:pt idx="2">
                  <c:v>2.9116999999999948</c:v>
                </c:pt>
                <c:pt idx="3">
                  <c:v>18.781729999999929</c:v>
                </c:pt>
                <c:pt idx="4">
                  <c:v>19.819170000000035</c:v>
                </c:pt>
                <c:pt idx="5">
                  <c:v>15.15996</c:v>
                </c:pt>
                <c:pt idx="6">
                  <c:v>12.547209999999998</c:v>
                </c:pt>
                <c:pt idx="7">
                  <c:v>4.2539899999999955</c:v>
                </c:pt>
                <c:pt idx="8">
                  <c:v>11.90465</c:v>
                </c:pt>
                <c:pt idx="9">
                  <c:v>34.893100000000011</c:v>
                </c:pt>
                <c:pt idx="10">
                  <c:v>96.006079999999983</c:v>
                </c:pt>
                <c:pt idx="11">
                  <c:v>36.659170023613044</c:v>
                </c:pt>
                <c:pt idx="12">
                  <c:v>7.5708382493577497</c:v>
                </c:pt>
              </c:numCache>
            </c:numRef>
          </c:val>
        </c:ser>
        <c:ser>
          <c:idx val="1"/>
          <c:order val="1"/>
          <c:tx>
            <c:strRef>
              <c:f>'Státní rozpočet 2'!$A$78</c:f>
              <c:strCache>
                <c:ptCount val="1"/>
                <c:pt idx="0">
                  <c:v>Cohesion funds</c:v>
                </c:pt>
              </c:strCache>
            </c:strRef>
          </c:tx>
          <c:spPr>
            <a:solidFill>
              <a:srgbClr val="F8A124"/>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2'!$B$78:$N$78</c:f>
              <c:numCache>
                <c:formatCode>#,##0.0</c:formatCode>
                <c:ptCount val="13"/>
                <c:pt idx="0">
                  <c:v>0.35230000000000061</c:v>
                </c:pt>
                <c:pt idx="1">
                  <c:v>3.6486000000000001</c:v>
                </c:pt>
                <c:pt idx="2">
                  <c:v>0.42590000000000061</c:v>
                </c:pt>
                <c:pt idx="3">
                  <c:v>13.973800000000002</c:v>
                </c:pt>
                <c:pt idx="4">
                  <c:v>11.58196</c:v>
                </c:pt>
                <c:pt idx="5">
                  <c:v>4.0828199999999955</c:v>
                </c:pt>
                <c:pt idx="6">
                  <c:v>0.86347000000000063</c:v>
                </c:pt>
                <c:pt idx="7">
                  <c:v>0.20305000000000001</c:v>
                </c:pt>
                <c:pt idx="8">
                  <c:v>0.47140000000000032</c:v>
                </c:pt>
                <c:pt idx="9">
                  <c:v>17.878209999999989</c:v>
                </c:pt>
                <c:pt idx="10">
                  <c:v>29.547130000000003</c:v>
                </c:pt>
                <c:pt idx="11">
                  <c:v>27.588253876318962</c:v>
                </c:pt>
                <c:pt idx="12">
                  <c:v>6.3277452996307089</c:v>
                </c:pt>
              </c:numCache>
            </c:numRef>
          </c:val>
        </c:ser>
        <c:ser>
          <c:idx val="2"/>
          <c:order val="2"/>
          <c:tx>
            <c:strRef>
              <c:f>'Státní rozpočet 2'!$A$79</c:f>
              <c:strCache>
                <c:ptCount val="1"/>
                <c:pt idx="0">
                  <c:v>Direct payments in agriculture*</c:v>
                </c:pt>
              </c:strCache>
            </c:strRef>
          </c:tx>
          <c:spPr>
            <a:solidFill>
              <a:srgbClr val="47AEE7"/>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2'!$B$79:$N$79</c:f>
              <c:numCache>
                <c:formatCode>#,##0.0</c:formatCode>
                <c:ptCount val="13"/>
                <c:pt idx="0">
                  <c:v>6.8854999999999995</c:v>
                </c:pt>
                <c:pt idx="1">
                  <c:v>8.5137550000000015</c:v>
                </c:pt>
                <c:pt idx="2">
                  <c:v>10.171150000000001</c:v>
                </c:pt>
                <c:pt idx="3">
                  <c:v>9.5222000000000016</c:v>
                </c:pt>
                <c:pt idx="4">
                  <c:v>13.3177</c:v>
                </c:pt>
                <c:pt idx="5">
                  <c:v>14.18098</c:v>
                </c:pt>
                <c:pt idx="6">
                  <c:v>15.741469999999998</c:v>
                </c:pt>
                <c:pt idx="7">
                  <c:v>18.786939999999948</c:v>
                </c:pt>
                <c:pt idx="8">
                  <c:v>21.01</c:v>
                </c:pt>
                <c:pt idx="9">
                  <c:v>24.161349999999956</c:v>
                </c:pt>
                <c:pt idx="10">
                  <c:v>23.599900000000005</c:v>
                </c:pt>
                <c:pt idx="11">
                  <c:v>18.645387208474506</c:v>
                </c:pt>
                <c:pt idx="12">
                  <c:v>21.912326264663918</c:v>
                </c:pt>
              </c:numCache>
            </c:numRef>
          </c:val>
        </c:ser>
        <c:ser>
          <c:idx val="3"/>
          <c:order val="3"/>
          <c:tx>
            <c:strRef>
              <c:f>'Státní rozpočet 2'!$A$80</c:f>
              <c:strCache>
                <c:ptCount val="1"/>
                <c:pt idx="0">
                  <c:v>Rural development and fishing</c:v>
                </c:pt>
              </c:strCache>
            </c:strRef>
          </c:tx>
          <c:spPr>
            <a:solidFill>
              <a:srgbClr val="0071BC"/>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2'!$B$80:$N$80</c:f>
              <c:numCache>
                <c:formatCode>#,##0.0</c:formatCode>
                <c:ptCount val="13"/>
                <c:pt idx="0">
                  <c:v>1.7181999999999975</c:v>
                </c:pt>
                <c:pt idx="1">
                  <c:v>2.2130999999999998</c:v>
                </c:pt>
                <c:pt idx="2">
                  <c:v>3.0166999999999948</c:v>
                </c:pt>
                <c:pt idx="3">
                  <c:v>2.1449900000000048</c:v>
                </c:pt>
                <c:pt idx="4">
                  <c:v>6.0011899999999985</c:v>
                </c:pt>
                <c:pt idx="5">
                  <c:v>7.4794200000000108</c:v>
                </c:pt>
                <c:pt idx="6">
                  <c:v>7.7303300000000004</c:v>
                </c:pt>
                <c:pt idx="7">
                  <c:v>7.6745099999999908</c:v>
                </c:pt>
                <c:pt idx="8">
                  <c:v>6.80227</c:v>
                </c:pt>
                <c:pt idx="9">
                  <c:v>6.2812100000000024</c:v>
                </c:pt>
                <c:pt idx="10">
                  <c:v>1.3738199999999998</c:v>
                </c:pt>
                <c:pt idx="11">
                  <c:v>3.0041342681294516</c:v>
                </c:pt>
                <c:pt idx="12">
                  <c:v>3.6522234276508767</c:v>
                </c:pt>
              </c:numCache>
            </c:numRef>
          </c:val>
        </c:ser>
        <c:ser>
          <c:idx val="4"/>
          <c:order val="4"/>
          <c:tx>
            <c:strRef>
              <c:f>'Státní rozpočet 2'!$A$81</c:f>
              <c:strCache>
                <c:ptCount val="1"/>
                <c:pt idx="0">
                  <c:v>Other income</c:v>
                </c:pt>
              </c:strCache>
            </c:strRef>
          </c:tx>
          <c:spPr>
            <a:solidFill>
              <a:srgbClr val="BFBFBF"/>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2'!$B$81:$N$81</c:f>
              <c:numCache>
                <c:formatCode>#,##0.0</c:formatCode>
                <c:ptCount val="13"/>
                <c:pt idx="0">
                  <c:v>5.644199999999989</c:v>
                </c:pt>
                <c:pt idx="1">
                  <c:v>3.1660999999999997</c:v>
                </c:pt>
                <c:pt idx="2">
                  <c:v>0.51729999999999998</c:v>
                </c:pt>
                <c:pt idx="3">
                  <c:v>0</c:v>
                </c:pt>
                <c:pt idx="4">
                  <c:v>0.58942999999999957</c:v>
                </c:pt>
                <c:pt idx="5">
                  <c:v>0.48283000000000031</c:v>
                </c:pt>
                <c:pt idx="6">
                  <c:v>0</c:v>
                </c:pt>
                <c:pt idx="7">
                  <c:v>0</c:v>
                </c:pt>
                <c:pt idx="8">
                  <c:v>0</c:v>
                </c:pt>
                <c:pt idx="9">
                  <c:v>0</c:v>
                </c:pt>
                <c:pt idx="10">
                  <c:v>0</c:v>
                </c:pt>
                <c:pt idx="11">
                  <c:v>0</c:v>
                </c:pt>
                <c:pt idx="12">
                  <c:v>0</c:v>
                </c:pt>
              </c:numCache>
            </c:numRef>
          </c:val>
        </c:ser>
        <c:gapWidth val="39"/>
        <c:overlap val="100"/>
        <c:axId val="168888576"/>
        <c:axId val="169197568"/>
      </c:barChart>
      <c:lineChart>
        <c:grouping val="standard"/>
        <c:ser>
          <c:idx val="5"/>
          <c:order val="5"/>
          <c:tx>
            <c:strRef>
              <c:f>'Státní rozpočet 2'!$A$82</c:f>
              <c:strCache>
                <c:ptCount val="1"/>
                <c:pt idx="0">
                  <c:v>Net position towards EU budget</c:v>
                </c:pt>
              </c:strCache>
            </c:strRef>
          </c:tx>
          <c:spPr>
            <a:ln w="19050">
              <a:solidFill>
                <a:schemeClr val="tx1">
                  <a:lumMod val="95000"/>
                  <a:lumOff val="5000"/>
                </a:schemeClr>
              </a:solidFill>
            </a:ln>
          </c:spPr>
          <c:marker>
            <c:symbol val="none"/>
          </c:marke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2'!$B$82:$N$82</c:f>
              <c:numCache>
                <c:formatCode>#,##0.0</c:formatCode>
                <c:ptCount val="13"/>
                <c:pt idx="0">
                  <c:v>2.6703000000000001</c:v>
                </c:pt>
                <c:pt idx="1">
                  <c:v>3.1989999999999998</c:v>
                </c:pt>
                <c:pt idx="2">
                  <c:v>2.1196999999999977</c:v>
                </c:pt>
                <c:pt idx="3">
                  <c:v>26.20938999999996</c:v>
                </c:pt>
                <c:pt idx="4">
                  <c:v>29.07404</c:v>
                </c:pt>
                <c:pt idx="5">
                  <c:v>22.706880000000005</c:v>
                </c:pt>
                <c:pt idx="6">
                  <c:v>17.385659999999955</c:v>
                </c:pt>
                <c:pt idx="7">
                  <c:v>6.86343999999999</c:v>
                </c:pt>
                <c:pt idx="8">
                  <c:v>14.966500000000023</c:v>
                </c:pt>
                <c:pt idx="9">
                  <c:v>56.419000000000004</c:v>
                </c:pt>
                <c:pt idx="10">
                  <c:v>126.82836999999998</c:v>
                </c:pt>
                <c:pt idx="11">
                  <c:v>66.611208234866069</c:v>
                </c:pt>
                <c:pt idx="12">
                  <c:v>16.659537298133305</c:v>
                </c:pt>
              </c:numCache>
            </c:numRef>
          </c:val>
        </c:ser>
        <c:marker val="1"/>
        <c:axId val="168888576"/>
        <c:axId val="169197568"/>
      </c:lineChart>
      <c:catAx>
        <c:axId val="168888576"/>
        <c:scaling>
          <c:orientation val="minMax"/>
        </c:scaling>
        <c:axPos val="b"/>
        <c:numFmt formatCode="General" sourceLinked="1"/>
        <c:tickLblPos val="nextTo"/>
        <c:txPr>
          <a:bodyPr/>
          <a:lstStyle/>
          <a:p>
            <a:pPr>
              <a:defRPr sz="800">
                <a:latin typeface="Arial" pitchFamily="34" charset="0"/>
                <a:cs typeface="Arial" pitchFamily="34" charset="0"/>
              </a:defRPr>
            </a:pPr>
            <a:endParaRPr lang="cs-CZ"/>
          </a:p>
        </c:txPr>
        <c:crossAx val="169197568"/>
        <c:crosses val="autoZero"/>
        <c:auto val="1"/>
        <c:lblAlgn val="ctr"/>
        <c:lblOffset val="20"/>
      </c:catAx>
      <c:valAx>
        <c:axId val="169197568"/>
        <c:scaling>
          <c:orientation val="minMax"/>
          <c:max val="160"/>
          <c:min val="0"/>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68888576"/>
        <c:crosses val="autoZero"/>
        <c:crossBetween val="between"/>
        <c:majorUnit val="10"/>
      </c:valAx>
      <c:spPr>
        <a:ln>
          <a:solidFill>
            <a:schemeClr val="tx1">
              <a:lumMod val="95000"/>
              <a:lumOff val="5000"/>
            </a:schemeClr>
          </a:solidFill>
        </a:ln>
      </c:spPr>
    </c:plotArea>
    <c:legend>
      <c:legendPos val="r"/>
      <c:layout>
        <c:manualLayout>
          <c:xMode val="edge"/>
          <c:yMode val="edge"/>
          <c:x val="6.3517658206840313E-2"/>
          <c:y val="0.86898582766440413"/>
          <c:w val="0.92018571517242886"/>
          <c:h val="0.1223741496598639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654503640965086E-2"/>
          <c:y val="2.5575113378684816E-2"/>
          <c:w val="0.88571919735113291"/>
          <c:h val="0.75695549886621361"/>
        </c:manualLayout>
      </c:layout>
      <c:barChart>
        <c:barDir val="col"/>
        <c:grouping val="clustered"/>
        <c:ser>
          <c:idx val="0"/>
          <c:order val="0"/>
          <c:tx>
            <c:strRef>
              <c:f>'Státní rozpočet 3'!$B$31</c:f>
              <c:strCache>
                <c:ptCount val="1"/>
                <c:pt idx="0">
                  <c:v>Current expenditures (right axis)</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3'!$B$32:$B$44</c:f>
              <c:numCache>
                <c:formatCode>0.0</c:formatCode>
                <c:ptCount val="13"/>
                <c:pt idx="0">
                  <c:v>402.04</c:v>
                </c:pt>
                <c:pt idx="1">
                  <c:v>437.53299999999939</c:v>
                </c:pt>
                <c:pt idx="2">
                  <c:v>455.274</c:v>
                </c:pt>
                <c:pt idx="3">
                  <c:v>488.71899999999914</c:v>
                </c:pt>
                <c:pt idx="4">
                  <c:v>523.79999999999995</c:v>
                </c:pt>
                <c:pt idx="5">
                  <c:v>527.73400000000004</c:v>
                </c:pt>
                <c:pt idx="6">
                  <c:v>523.22</c:v>
                </c:pt>
                <c:pt idx="7">
                  <c:v>534.42999999999938</c:v>
                </c:pt>
                <c:pt idx="8">
                  <c:v>544.65</c:v>
                </c:pt>
                <c:pt idx="9">
                  <c:v>552.71100000000001</c:v>
                </c:pt>
                <c:pt idx="10">
                  <c:v>564.13</c:v>
                </c:pt>
                <c:pt idx="11">
                  <c:v>575.57000000000005</c:v>
                </c:pt>
                <c:pt idx="12">
                  <c:v>609.57000000000005</c:v>
                </c:pt>
              </c:numCache>
            </c:numRef>
          </c:val>
        </c:ser>
        <c:gapWidth val="70"/>
        <c:axId val="77590912"/>
        <c:axId val="77589120"/>
      </c:barChart>
      <c:lineChart>
        <c:grouping val="standard"/>
        <c:ser>
          <c:idx val="1"/>
          <c:order val="1"/>
          <c:tx>
            <c:strRef>
              <c:f>'Státní rozpočet 3'!$C$31</c:f>
              <c:strCache>
                <c:ptCount val="1"/>
                <c:pt idx="0">
                  <c:v>Wages of public sector employees</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3'!$C$32:$C$44</c:f>
              <c:numCache>
                <c:formatCode>0.0</c:formatCode>
                <c:ptCount val="13"/>
                <c:pt idx="0">
                  <c:v>34.160000000000011</c:v>
                </c:pt>
                <c:pt idx="1">
                  <c:v>35.65</c:v>
                </c:pt>
                <c:pt idx="2">
                  <c:v>37.92</c:v>
                </c:pt>
                <c:pt idx="3">
                  <c:v>37.730000000000011</c:v>
                </c:pt>
                <c:pt idx="4">
                  <c:v>38.980000000000004</c:v>
                </c:pt>
                <c:pt idx="5">
                  <c:v>39.36</c:v>
                </c:pt>
                <c:pt idx="6">
                  <c:v>35.700000000000003</c:v>
                </c:pt>
                <c:pt idx="7">
                  <c:v>36.300000000000004</c:v>
                </c:pt>
                <c:pt idx="8">
                  <c:v>36.879999999999995</c:v>
                </c:pt>
                <c:pt idx="9">
                  <c:v>38.090000000000003</c:v>
                </c:pt>
                <c:pt idx="10">
                  <c:v>41.879999999999995</c:v>
                </c:pt>
                <c:pt idx="11">
                  <c:v>43.220000000000013</c:v>
                </c:pt>
                <c:pt idx="12">
                  <c:v>46.51</c:v>
                </c:pt>
              </c:numCache>
            </c:numRef>
          </c:val>
        </c:ser>
        <c:ser>
          <c:idx val="2"/>
          <c:order val="2"/>
          <c:tx>
            <c:strRef>
              <c:f>'Státní rozpočet 3'!$D$31</c:f>
              <c:strCache>
                <c:ptCount val="1"/>
                <c:pt idx="0">
                  <c:v>Unemployment benefits</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3'!$D$32:$D$44</c:f>
              <c:numCache>
                <c:formatCode>0.0</c:formatCode>
                <c:ptCount val="13"/>
                <c:pt idx="0">
                  <c:v>3.69</c:v>
                </c:pt>
                <c:pt idx="1">
                  <c:v>3.8959999999999977</c:v>
                </c:pt>
                <c:pt idx="2">
                  <c:v>3.7800000000000002</c:v>
                </c:pt>
                <c:pt idx="3">
                  <c:v>3.56</c:v>
                </c:pt>
                <c:pt idx="4">
                  <c:v>7.3049999999999899</c:v>
                </c:pt>
                <c:pt idx="5">
                  <c:v>7.7700000000000014</c:v>
                </c:pt>
                <c:pt idx="6">
                  <c:v>6.22799999999999</c:v>
                </c:pt>
                <c:pt idx="7">
                  <c:v>4.8410000000000002</c:v>
                </c:pt>
                <c:pt idx="8">
                  <c:v>5.357999999999989</c:v>
                </c:pt>
                <c:pt idx="9">
                  <c:v>5.2690000000000001</c:v>
                </c:pt>
                <c:pt idx="10">
                  <c:v>4.6099999999999985</c:v>
                </c:pt>
                <c:pt idx="11">
                  <c:v>4.4700000000000024</c:v>
                </c:pt>
                <c:pt idx="12">
                  <c:v>4.3199999999999985</c:v>
                </c:pt>
              </c:numCache>
            </c:numRef>
          </c:val>
        </c:ser>
        <c:ser>
          <c:idx val="3"/>
          <c:order val="3"/>
          <c:tx>
            <c:strRef>
              <c:f>'Státní rozpočet 3'!$E$31</c:f>
              <c:strCache>
                <c:ptCount val="1"/>
                <c:pt idx="0">
                  <c:v>State social supoort benefits*</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3'!$E$32:$E$44</c:f>
              <c:numCache>
                <c:formatCode>General</c:formatCode>
                <c:ptCount val="13"/>
                <c:pt idx="0">
                  <c:v>16.649999999999999</c:v>
                </c:pt>
                <c:pt idx="1">
                  <c:v>17.04</c:v>
                </c:pt>
                <c:pt idx="2">
                  <c:v>23.830000000000005</c:v>
                </c:pt>
                <c:pt idx="3">
                  <c:v>21.52</c:v>
                </c:pt>
                <c:pt idx="4">
                  <c:v>20.594999999999999</c:v>
                </c:pt>
                <c:pt idx="5">
                  <c:v>20.64</c:v>
                </c:pt>
                <c:pt idx="6">
                  <c:v>18.405999999999956</c:v>
                </c:pt>
                <c:pt idx="7">
                  <c:v>17.881</c:v>
                </c:pt>
                <c:pt idx="8">
                  <c:v>18.681999999999999</c:v>
                </c:pt>
                <c:pt idx="9">
                  <c:v>18.91</c:v>
                </c:pt>
                <c:pt idx="10">
                  <c:v>18.91</c:v>
                </c:pt>
                <c:pt idx="11">
                  <c:v>18.979999999999986</c:v>
                </c:pt>
                <c:pt idx="12">
                  <c:v>18.760000000000002</c:v>
                </c:pt>
              </c:numCache>
            </c:numRef>
          </c:val>
        </c:ser>
        <c:ser>
          <c:idx val="4"/>
          <c:order val="4"/>
          <c:tx>
            <c:strRef>
              <c:f>'Státní rozpočet 3'!$F$31</c:f>
              <c:strCache>
                <c:ptCount val="1"/>
                <c:pt idx="0">
                  <c:v>Sickness benefits</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3'!$F$32:$F$44</c:f>
              <c:numCache>
                <c:formatCode>0.00</c:formatCode>
                <c:ptCount val="13"/>
                <c:pt idx="0">
                  <c:v>17.497</c:v>
                </c:pt>
                <c:pt idx="1">
                  <c:v>17.936</c:v>
                </c:pt>
                <c:pt idx="2">
                  <c:v>18.398</c:v>
                </c:pt>
                <c:pt idx="3">
                  <c:v>16.734000000000005</c:v>
                </c:pt>
                <c:pt idx="4">
                  <c:v>14.089</c:v>
                </c:pt>
                <c:pt idx="5">
                  <c:v>11.56</c:v>
                </c:pt>
                <c:pt idx="6">
                  <c:v>11.773</c:v>
                </c:pt>
                <c:pt idx="7">
                  <c:v>10.243999999999998</c:v>
                </c:pt>
                <c:pt idx="8">
                  <c:v>10.609</c:v>
                </c:pt>
                <c:pt idx="9">
                  <c:v>11.201000000000001</c:v>
                </c:pt>
                <c:pt idx="10">
                  <c:v>12.43</c:v>
                </c:pt>
                <c:pt idx="11">
                  <c:v>13.57</c:v>
                </c:pt>
                <c:pt idx="12">
                  <c:v>14.75</c:v>
                </c:pt>
              </c:numCache>
            </c:numRef>
          </c:val>
        </c:ser>
        <c:ser>
          <c:idx val="5"/>
          <c:order val="5"/>
          <c:tx>
            <c:strRef>
              <c:f>'Státní rozpočet 3'!$G$31</c:f>
              <c:strCache>
                <c:ptCount val="1"/>
                <c:pt idx="0">
                  <c:v>Social care benefits**</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3'!$G$32:$G$44</c:f>
              <c:numCache>
                <c:formatCode>General</c:formatCode>
                <c:ptCount val="13"/>
                <c:pt idx="2" formatCode="0.00">
                  <c:v>11.691000000000001</c:v>
                </c:pt>
                <c:pt idx="3" formatCode="0.00">
                  <c:v>13.246999999999998</c:v>
                </c:pt>
                <c:pt idx="4" formatCode="0.00">
                  <c:v>13.003</c:v>
                </c:pt>
                <c:pt idx="5" formatCode="0.00">
                  <c:v>13.486000000000002</c:v>
                </c:pt>
                <c:pt idx="6" formatCode="0.00">
                  <c:v>12.911000000000001</c:v>
                </c:pt>
                <c:pt idx="7" formatCode="0.00">
                  <c:v>13.282</c:v>
                </c:pt>
                <c:pt idx="8" formatCode="0.00">
                  <c:v>15.668000000000001</c:v>
                </c:pt>
                <c:pt idx="9" formatCode="0.00">
                  <c:v>16.734999999999999</c:v>
                </c:pt>
                <c:pt idx="10" formatCode="0.00">
                  <c:v>16.93</c:v>
                </c:pt>
                <c:pt idx="11" formatCode="0.00">
                  <c:v>16.779999999999987</c:v>
                </c:pt>
                <c:pt idx="12" formatCode="0.00">
                  <c:v>17.489999999999952</c:v>
                </c:pt>
              </c:numCache>
            </c:numRef>
          </c:val>
        </c:ser>
        <c:ser>
          <c:idx val="6"/>
          <c:order val="6"/>
          <c:tx>
            <c:strRef>
              <c:f>'Státní rozpočet 3'!$H$31</c:f>
              <c:strCache>
                <c:ptCount val="1"/>
                <c:pt idx="0">
                  <c:v>State debt (net expenditures) ***</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3'!$H$32:$H$44</c:f>
              <c:numCache>
                <c:formatCode>0.0</c:formatCode>
                <c:ptCount val="13"/>
                <c:pt idx="0">
                  <c:v>14.81</c:v>
                </c:pt>
                <c:pt idx="1">
                  <c:v>17.16</c:v>
                </c:pt>
                <c:pt idx="2">
                  <c:v>17.05</c:v>
                </c:pt>
                <c:pt idx="3">
                  <c:v>16.5</c:v>
                </c:pt>
                <c:pt idx="4">
                  <c:v>25.770000000000003</c:v>
                </c:pt>
                <c:pt idx="5">
                  <c:v>21.27</c:v>
                </c:pt>
                <c:pt idx="6">
                  <c:v>25.810000000000031</c:v>
                </c:pt>
                <c:pt idx="7">
                  <c:v>26.419999999999987</c:v>
                </c:pt>
                <c:pt idx="8">
                  <c:v>30.400000000000002</c:v>
                </c:pt>
                <c:pt idx="9">
                  <c:v>26.86</c:v>
                </c:pt>
                <c:pt idx="10">
                  <c:v>23.549999999999986</c:v>
                </c:pt>
                <c:pt idx="11">
                  <c:v>23.759999999999987</c:v>
                </c:pt>
                <c:pt idx="12">
                  <c:v>18.75</c:v>
                </c:pt>
              </c:numCache>
            </c:numRef>
          </c:val>
        </c:ser>
        <c:ser>
          <c:idx val="7"/>
          <c:order val="7"/>
          <c:tx>
            <c:strRef>
              <c:f>'Státní rozpočet 3'!$I$31</c:f>
              <c:strCache>
                <c:ptCount val="1"/>
                <c:pt idx="0">
                  <c:v>Capital expenditures</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3'!$I$32:$I$44</c:f>
              <c:numCache>
                <c:formatCode>0.0</c:formatCode>
                <c:ptCount val="13"/>
                <c:pt idx="0">
                  <c:v>20.45</c:v>
                </c:pt>
                <c:pt idx="1">
                  <c:v>23.643000000000001</c:v>
                </c:pt>
                <c:pt idx="2">
                  <c:v>26.771000000000001</c:v>
                </c:pt>
                <c:pt idx="3">
                  <c:v>53.505000000000003</c:v>
                </c:pt>
                <c:pt idx="4">
                  <c:v>51.149000000000001</c:v>
                </c:pt>
                <c:pt idx="5">
                  <c:v>55.873000000000005</c:v>
                </c:pt>
                <c:pt idx="6">
                  <c:v>47.277000000000001</c:v>
                </c:pt>
                <c:pt idx="7">
                  <c:v>41.93</c:v>
                </c:pt>
                <c:pt idx="8">
                  <c:v>36.779000000000003</c:v>
                </c:pt>
                <c:pt idx="9">
                  <c:v>34.894000000000005</c:v>
                </c:pt>
                <c:pt idx="10">
                  <c:v>54.02</c:v>
                </c:pt>
                <c:pt idx="11">
                  <c:v>39.090000000000003</c:v>
                </c:pt>
                <c:pt idx="12">
                  <c:v>20.309999999999999</c:v>
                </c:pt>
              </c:numCache>
            </c:numRef>
          </c:val>
        </c:ser>
        <c:marker val="1"/>
        <c:axId val="173776256"/>
        <c:axId val="77587584"/>
      </c:lineChart>
      <c:catAx>
        <c:axId val="173776256"/>
        <c:scaling>
          <c:orientation val="minMax"/>
        </c:scaling>
        <c:axPos val="b"/>
        <c:numFmt formatCode="General" sourceLinked="1"/>
        <c:tickLblPos val="low"/>
        <c:spPr>
          <a:ln>
            <a:solidFill>
              <a:schemeClr val="bg1">
                <a:lumMod val="50000"/>
              </a:schemeClr>
            </a:solidFill>
          </a:ln>
        </c:spPr>
        <c:crossAx val="77587584"/>
        <c:crosses val="autoZero"/>
        <c:auto val="1"/>
        <c:lblAlgn val="ctr"/>
        <c:lblOffset val="20"/>
      </c:catAx>
      <c:valAx>
        <c:axId val="77587584"/>
        <c:scaling>
          <c:orientation val="minMax"/>
          <c:max val="6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73776256"/>
        <c:crosses val="autoZero"/>
        <c:crossBetween val="between"/>
        <c:majorUnit val="5"/>
      </c:valAx>
      <c:valAx>
        <c:axId val="77589120"/>
        <c:scaling>
          <c:orientation val="minMax"/>
          <c:max val="700"/>
          <c:min val="0"/>
        </c:scaling>
        <c:axPos val="r"/>
        <c:numFmt formatCode="0" sourceLinked="0"/>
        <c:tickLblPos val="nextTo"/>
        <c:spPr>
          <a:ln>
            <a:solidFill>
              <a:schemeClr val="tx1"/>
            </a:solidFill>
          </a:ln>
        </c:spPr>
        <c:crossAx val="77590912"/>
        <c:crosses val="max"/>
        <c:crossBetween val="between"/>
        <c:majorUnit val="100"/>
      </c:valAx>
      <c:catAx>
        <c:axId val="77590912"/>
        <c:scaling>
          <c:orientation val="minMax"/>
        </c:scaling>
        <c:delete val="1"/>
        <c:axPos val="b"/>
        <c:numFmt formatCode="General" sourceLinked="1"/>
        <c:tickLblPos val="none"/>
        <c:crossAx val="77589120"/>
        <c:crosses val="autoZero"/>
        <c:auto val="1"/>
        <c:lblAlgn val="ctr"/>
        <c:lblOffset val="100"/>
      </c:catAx>
      <c:spPr>
        <a:ln>
          <a:solidFill>
            <a:schemeClr val="tx1"/>
          </a:solidFill>
        </a:ln>
      </c:spPr>
    </c:plotArea>
    <c:legend>
      <c:legendPos val="b"/>
      <c:layout>
        <c:manualLayout>
          <c:xMode val="edge"/>
          <c:yMode val="edge"/>
          <c:x val="5.3073638025823273E-2"/>
          <c:y val="0.83424149659864366"/>
          <c:w val="0.88356227363294537"/>
          <c:h val="0.1568200113378684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1.544165056508486E-2"/>
          <c:w val="0.86855180193698733"/>
          <c:h val="0.76732256235827823"/>
        </c:manualLayout>
      </c:layout>
      <c:barChart>
        <c:barDir val="col"/>
        <c:grouping val="clustered"/>
        <c:ser>
          <c:idx val="4"/>
          <c:order val="4"/>
          <c:tx>
            <c:strRef>
              <c:f>'Státní rozpočet 4'!$F$22</c:f>
              <c:strCache>
                <c:ptCount val="1"/>
                <c:pt idx="0">
                  <c:v>Balance of incomes and expenditures, right axis</c:v>
                </c:pt>
              </c:strCache>
            </c:strRef>
          </c:tx>
          <c:spPr>
            <a:solidFill>
              <a:schemeClr val="bg1">
                <a:lumMod val="65000"/>
              </a:schemeClr>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-5.289999999999992</c:v>
                </c:pt>
                <c:pt idx="1">
                  <c:v>-8.0400000000000187</c:v>
                </c:pt>
                <c:pt idx="2">
                  <c:v>0.15999999999999712</c:v>
                </c:pt>
                <c:pt idx="3">
                  <c:v>6.0900000000000025</c:v>
                </c:pt>
                <c:pt idx="4">
                  <c:v>-7.4699999999999989</c:v>
                </c:pt>
                <c:pt idx="5">
                  <c:v>-18.659999999999997</c:v>
                </c:pt>
                <c:pt idx="6">
                  <c:v>-24.669999999999987</c:v>
                </c:pt>
                <c:pt idx="7">
                  <c:v>-21.629999999999992</c:v>
                </c:pt>
                <c:pt idx="8">
                  <c:v>-19.550000000000011</c:v>
                </c:pt>
                <c:pt idx="9">
                  <c:v>-15.79</c:v>
                </c:pt>
                <c:pt idx="10">
                  <c:v>-11.490000000000002</c:v>
                </c:pt>
                <c:pt idx="11">
                  <c:v>-8.7700000000000102</c:v>
                </c:pt>
                <c:pt idx="12">
                  <c:v>-6.7800000000000011</c:v>
                </c:pt>
              </c:numCache>
            </c:numRef>
          </c:val>
        </c:ser>
        <c:gapWidth val="43"/>
        <c:axId val="88892160"/>
        <c:axId val="88886272"/>
      </c:barChart>
      <c:lineChart>
        <c:grouping val="standard"/>
        <c:ser>
          <c:idx val="0"/>
          <c:order val="0"/>
          <c:tx>
            <c:strRef>
              <c:f>'Státní rozpočet 4'!$B$22</c:f>
              <c:strCache>
                <c:ptCount val="1"/>
                <c:pt idx="0">
                  <c:v>Total number of pension recipients </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0.97119001180084363</c:v>
                </c:pt>
                <c:pt idx="1">
                  <c:v>1.7113420628585061</c:v>
                </c:pt>
                <c:pt idx="2">
                  <c:v>0.87203655500734056</c:v>
                </c:pt>
                <c:pt idx="3">
                  <c:v>1.3906623570156833</c:v>
                </c:pt>
                <c:pt idx="4">
                  <c:v>1.3478834471453638</c:v>
                </c:pt>
                <c:pt idx="5">
                  <c:v>1.2637169965881578</c:v>
                </c:pt>
                <c:pt idx="6">
                  <c:v>0.81439496394068567</c:v>
                </c:pt>
                <c:pt idx="7">
                  <c:v>1.2304166450441696</c:v>
                </c:pt>
                <c:pt idx="8">
                  <c:v>-0.21063254977326551</c:v>
                </c:pt>
                <c:pt idx="9">
                  <c:v>0.16190735460577343</c:v>
                </c:pt>
                <c:pt idx="10">
                  <c:v>-1.9049971634387989E-2</c:v>
                </c:pt>
                <c:pt idx="11">
                  <c:v>0.70327331099943535</c:v>
                </c:pt>
                <c:pt idx="12">
                  <c:v>0.24419969415261294</c:v>
                </c:pt>
              </c:numCache>
            </c:numRef>
          </c:val>
        </c:ser>
        <c:ser>
          <c:idx val="1"/>
          <c:order val="1"/>
          <c:tx>
            <c:strRef>
              <c:f>'Státní rozpočet 4'!$C$22</c:f>
              <c:strCache>
                <c:ptCount val="1"/>
                <c:pt idx="0">
                  <c:v>In that old age pensions at early retirement*</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1.8836726276404638</c:v>
                </c:pt>
                <c:pt idx="1">
                  <c:v>7.0013988339436057</c:v>
                </c:pt>
                <c:pt idx="2">
                  <c:v>9.0068878386914868</c:v>
                </c:pt>
                <c:pt idx="3">
                  <c:v>7.4826769799065405</c:v>
                </c:pt>
                <c:pt idx="4">
                  <c:v>8.0882140941880749</c:v>
                </c:pt>
                <c:pt idx="5">
                  <c:v>11.095225012070149</c:v>
                </c:pt>
                <c:pt idx="6">
                  <c:v>7.5647200626191449</c:v>
                </c:pt>
                <c:pt idx="7">
                  <c:v>14.971695923141496</c:v>
                </c:pt>
                <c:pt idx="8">
                  <c:v>3.4652004411102268</c:v>
                </c:pt>
                <c:pt idx="9">
                  <c:v>4.0094799891914708</c:v>
                </c:pt>
                <c:pt idx="10">
                  <c:v>3.9149958775273794</c:v>
                </c:pt>
                <c:pt idx="11">
                  <c:v>3.4372780952083235</c:v>
                </c:pt>
                <c:pt idx="12">
                  <c:v>2.6132260896274886</c:v>
                </c:pt>
              </c:numCache>
            </c:numRef>
          </c:val>
        </c:ser>
        <c:ser>
          <c:idx val="2"/>
          <c:order val="2"/>
          <c:tx>
            <c:strRef>
              <c:f>'Státní rozpočet 4'!$D$22</c:f>
              <c:strCache>
                <c:ptCount val="1"/>
                <c:pt idx="0">
                  <c:v>Incomes on pensions </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5.7971014492753508</c:v>
                </c:pt>
                <c:pt idx="1">
                  <c:v>7.1573316041176867</c:v>
                </c:pt>
                <c:pt idx="2">
                  <c:v>10.325264750378224</c:v>
                </c:pt>
                <c:pt idx="3">
                  <c:v>8.1179293794994809</c:v>
                </c:pt>
                <c:pt idx="4">
                  <c:v>1.483924154987631</c:v>
                </c:pt>
                <c:pt idx="5">
                  <c:v>-3.3243766793726053</c:v>
                </c:pt>
                <c:pt idx="6">
                  <c:v>3.7748044728847674</c:v>
                </c:pt>
                <c:pt idx="7">
                  <c:v>3.2949236997819895</c:v>
                </c:pt>
                <c:pt idx="8">
                  <c:v>-0.78991799324650469</c:v>
                </c:pt>
                <c:pt idx="9">
                  <c:v>2.5952713790797999</c:v>
                </c:pt>
                <c:pt idx="10">
                  <c:v>5.4798578199052059</c:v>
                </c:pt>
                <c:pt idx="11">
                  <c:v>5.9196854816062814</c:v>
                </c:pt>
                <c:pt idx="12">
                  <c:v>7.3068561429556098</c:v>
                </c:pt>
              </c:numCache>
            </c:numRef>
          </c:val>
        </c:ser>
        <c:ser>
          <c:idx val="3"/>
          <c:order val="3"/>
          <c:tx>
            <c:strRef>
              <c:f>'Státní rozpočet 4'!$E$22</c:f>
              <c:strCache>
                <c:ptCount val="1"/>
                <c:pt idx="0">
                  <c:v>Expenditures on pensions </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6.5772034459907438</c:v>
                </c:pt>
                <c:pt idx="1">
                  <c:v>9.0004663454065028</c:v>
                </c:pt>
                <c:pt idx="2">
                  <c:v>3.8861950941243597</c:v>
                </c:pt>
                <c:pt idx="3">
                  <c:v>4.0565584460155062</c:v>
                </c:pt>
                <c:pt idx="4">
                  <c:v>10.488126649076518</c:v>
                </c:pt>
                <c:pt idx="5">
                  <c:v>3.5044776119403052</c:v>
                </c:pt>
                <c:pt idx="6">
                  <c:v>6.8350925765703305</c:v>
                </c:pt>
                <c:pt idx="7">
                  <c:v>1.2147716229348882</c:v>
                </c:pt>
                <c:pt idx="8">
                  <c:v>-1.8082893262921971</c:v>
                </c:pt>
                <c:pt idx="9">
                  <c:v>0.27705345501955492</c:v>
                </c:pt>
                <c:pt idx="10">
                  <c:v>2.6816187225743602</c:v>
                </c:pt>
                <c:pt idx="11">
                  <c:v>4.1257781998522916</c:v>
                </c:pt>
                <c:pt idx="12">
                  <c:v>5.9738548844750596</c:v>
                </c:pt>
              </c:numCache>
            </c:numRef>
          </c:val>
        </c:ser>
        <c:marker val="1"/>
        <c:axId val="88883200"/>
        <c:axId val="88884736"/>
      </c:lineChart>
      <c:catAx>
        <c:axId val="88883200"/>
        <c:scaling>
          <c:orientation val="minMax"/>
        </c:scaling>
        <c:axPos val="b"/>
        <c:numFmt formatCode="General" sourceLinked="1"/>
        <c:tickLblPos val="low"/>
        <c:spPr>
          <a:ln>
            <a:solidFill>
              <a:schemeClr val="bg1">
                <a:lumMod val="50000"/>
              </a:schemeClr>
            </a:solidFill>
          </a:ln>
        </c:spPr>
        <c:crossAx val="88884736"/>
        <c:crossesAt val="0"/>
        <c:auto val="1"/>
        <c:lblAlgn val="ctr"/>
        <c:lblOffset val="0"/>
      </c:catAx>
      <c:valAx>
        <c:axId val="88884736"/>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88883200"/>
        <c:crosses val="autoZero"/>
        <c:crossBetween val="between"/>
        <c:majorUnit val="3"/>
      </c:valAx>
      <c:valAx>
        <c:axId val="88886272"/>
        <c:scaling>
          <c:orientation val="minMax"/>
          <c:max val="30"/>
          <c:min val="-25"/>
        </c:scaling>
        <c:axPos val="r"/>
        <c:numFmt formatCode="0" sourceLinked="0"/>
        <c:tickLblPos val="nextTo"/>
        <c:spPr>
          <a:ln>
            <a:solidFill>
              <a:schemeClr val="tx1"/>
            </a:solidFill>
          </a:ln>
        </c:spPr>
        <c:crossAx val="88892160"/>
        <c:crosses val="max"/>
        <c:crossBetween val="between"/>
        <c:majorUnit val="5"/>
      </c:valAx>
      <c:catAx>
        <c:axId val="88892160"/>
        <c:scaling>
          <c:orientation val="minMax"/>
        </c:scaling>
        <c:delete val="1"/>
        <c:axPos val="b"/>
        <c:numFmt formatCode="General" sourceLinked="1"/>
        <c:tickLblPos val="none"/>
        <c:crossAx val="88886272"/>
        <c:crosses val="autoZero"/>
        <c:auto val="1"/>
        <c:lblAlgn val="ctr"/>
        <c:lblOffset val="100"/>
      </c:catAx>
      <c:spPr>
        <a:ln>
          <a:solidFill>
            <a:schemeClr val="tx1"/>
          </a:solidFill>
        </a:ln>
      </c:spPr>
    </c:plotArea>
    <c:legend>
      <c:legendPos val="b"/>
      <c:layout>
        <c:manualLayout>
          <c:xMode val="edge"/>
          <c:yMode val="edge"/>
          <c:x val="6.2962331649832087E-2"/>
          <c:y val="0.83275311791383366"/>
          <c:w val="0.86057601724928656"/>
          <c:h val="0.16039399092970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8967687074829931E-2"/>
          <c:w val="0.87842537233566564"/>
          <c:h val="0.73371428571428576"/>
        </c:manualLayout>
      </c:layout>
      <c:barChart>
        <c:barDir val="col"/>
        <c:grouping val="stacked"/>
        <c:ser>
          <c:idx val="0"/>
          <c:order val="0"/>
          <c:tx>
            <c:strRef>
              <c:f>'Státní rozpočet 5'!$B$31</c:f>
              <c:strCache>
                <c:ptCount val="1"/>
                <c:pt idx="0">
                  <c:v>State treasury bills</c:v>
                </c:pt>
              </c:strCache>
            </c:strRef>
          </c:tx>
          <c:spPr>
            <a:solidFill>
              <a:srgbClr val="BD1B21"/>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5'!$C$31:$AZ$31</c:f>
              <c:numCache>
                <c:formatCode>#,##0</c:formatCode>
                <c:ptCount val="50"/>
                <c:pt idx="0">
                  <c:v>126.545</c:v>
                </c:pt>
                <c:pt idx="1">
                  <c:v>109</c:v>
                </c:pt>
                <c:pt idx="2">
                  <c:v>98.034000000000006</c:v>
                </c:pt>
                <c:pt idx="3">
                  <c:v>94.248999999999995</c:v>
                </c:pt>
                <c:pt idx="4">
                  <c:v>86.825999999999979</c:v>
                </c:pt>
                <c:pt idx="5">
                  <c:v>79.324999999999989</c:v>
                </c:pt>
                <c:pt idx="6">
                  <c:v>71.884</c:v>
                </c:pt>
                <c:pt idx="7">
                  <c:v>89.568000000000012</c:v>
                </c:pt>
                <c:pt idx="8">
                  <c:v>78.144000000000005</c:v>
                </c:pt>
                <c:pt idx="9">
                  <c:v>66.144999999999996</c:v>
                </c:pt>
                <c:pt idx="10">
                  <c:v>54.649000000000001</c:v>
                </c:pt>
                <c:pt idx="11">
                  <c:v>82.167999999999992</c:v>
                </c:pt>
                <c:pt idx="12">
                  <c:v>46.833999999999996</c:v>
                </c:pt>
                <c:pt idx="13">
                  <c:v>32.875</c:v>
                </c:pt>
                <c:pt idx="14">
                  <c:v>45.340999999999994</c:v>
                </c:pt>
                <c:pt idx="15">
                  <c:v>78.748999999999995</c:v>
                </c:pt>
                <c:pt idx="16">
                  <c:v>60.950999999999993</c:v>
                </c:pt>
                <c:pt idx="17">
                  <c:v>79.837000000000003</c:v>
                </c:pt>
                <c:pt idx="18">
                  <c:v>79.491000000000156</c:v>
                </c:pt>
                <c:pt idx="19">
                  <c:v>88.183999999999983</c:v>
                </c:pt>
                <c:pt idx="20">
                  <c:v>87.545000000000002</c:v>
                </c:pt>
                <c:pt idx="21">
                  <c:v>89.194999999999993</c:v>
                </c:pt>
                <c:pt idx="22">
                  <c:v>128.47800000000001</c:v>
                </c:pt>
                <c:pt idx="23">
                  <c:v>113.331</c:v>
                </c:pt>
                <c:pt idx="24">
                  <c:v>137.54399999999998</c:v>
                </c:pt>
                <c:pt idx="25">
                  <c:v>141.077</c:v>
                </c:pt>
                <c:pt idx="26">
                  <c:v>143.268</c:v>
                </c:pt>
                <c:pt idx="27">
                  <c:v>162.60899999999998</c:v>
                </c:pt>
                <c:pt idx="28">
                  <c:v>177.10899999999998</c:v>
                </c:pt>
                <c:pt idx="29">
                  <c:v>163.3820000000004</c:v>
                </c:pt>
                <c:pt idx="30">
                  <c:v>172.06700000000001</c:v>
                </c:pt>
                <c:pt idx="31">
                  <c:v>189.13499999999999</c:v>
                </c:pt>
                <c:pt idx="32">
                  <c:v>185.86600000000001</c:v>
                </c:pt>
                <c:pt idx="33">
                  <c:v>161.66499999999999</c:v>
                </c:pt>
                <c:pt idx="34">
                  <c:v>137.51599999999999</c:v>
                </c:pt>
                <c:pt idx="35">
                  <c:v>120.89100000000002</c:v>
                </c:pt>
                <c:pt idx="36">
                  <c:v>97.57</c:v>
                </c:pt>
                <c:pt idx="37">
                  <c:v>98.149000000000001</c:v>
                </c:pt>
                <c:pt idx="38">
                  <c:v>90.838999999999999</c:v>
                </c:pt>
                <c:pt idx="39">
                  <c:v>107.627</c:v>
                </c:pt>
                <c:pt idx="40">
                  <c:v>81.661000000000001</c:v>
                </c:pt>
                <c:pt idx="41">
                  <c:v>88.458000000000013</c:v>
                </c:pt>
                <c:pt idx="42">
                  <c:v>104.687</c:v>
                </c:pt>
                <c:pt idx="43">
                  <c:v>84.432000000000002</c:v>
                </c:pt>
                <c:pt idx="44">
                  <c:v>79.186999999999998</c:v>
                </c:pt>
                <c:pt idx="45">
                  <c:v>58</c:v>
                </c:pt>
                <c:pt idx="46">
                  <c:v>17.7</c:v>
                </c:pt>
                <c:pt idx="47">
                  <c:v>4.22</c:v>
                </c:pt>
                <c:pt idx="48">
                  <c:v>70.343999999999994</c:v>
                </c:pt>
                <c:pt idx="49">
                  <c:v>147.89800000000031</c:v>
                </c:pt>
              </c:numCache>
            </c:numRef>
          </c:val>
        </c:ser>
        <c:ser>
          <c:idx val="1"/>
          <c:order val="1"/>
          <c:tx>
            <c:strRef>
              <c:f>'Státní rozpočet 5'!$B$32</c:f>
              <c:strCache>
                <c:ptCount val="1"/>
                <c:pt idx="0">
                  <c:v>Savings government bonds</c:v>
                </c:pt>
              </c:strCache>
            </c:strRef>
          </c:tx>
          <c:spPr>
            <a:solidFill>
              <a:srgbClr val="E8AFB2"/>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5'!$C$32:$AZ$32</c:f>
              <c:numCache>
                <c:formatCode>#,##0</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20.428999999999952</c:v>
                </c:pt>
                <c:pt idx="28">
                  <c:v>20.428999999999952</c:v>
                </c:pt>
                <c:pt idx="29">
                  <c:v>35.714000000000006</c:v>
                </c:pt>
                <c:pt idx="30">
                  <c:v>35.708000000000013</c:v>
                </c:pt>
                <c:pt idx="31">
                  <c:v>56.206000000000003</c:v>
                </c:pt>
                <c:pt idx="32">
                  <c:v>56.206000000000003</c:v>
                </c:pt>
                <c:pt idx="33">
                  <c:v>73.781999999999996</c:v>
                </c:pt>
                <c:pt idx="34">
                  <c:v>73.738</c:v>
                </c:pt>
                <c:pt idx="35">
                  <c:v>87.578999999999979</c:v>
                </c:pt>
                <c:pt idx="36">
                  <c:v>87.55</c:v>
                </c:pt>
                <c:pt idx="37">
                  <c:v>80.653999999999982</c:v>
                </c:pt>
                <c:pt idx="38">
                  <c:v>80.60899999999998</c:v>
                </c:pt>
                <c:pt idx="39">
                  <c:v>77.828999999999979</c:v>
                </c:pt>
                <c:pt idx="40">
                  <c:v>77.793000000000006</c:v>
                </c:pt>
                <c:pt idx="41">
                  <c:v>77.828999999999979</c:v>
                </c:pt>
                <c:pt idx="42">
                  <c:v>77.801000000000002</c:v>
                </c:pt>
                <c:pt idx="43">
                  <c:v>66.921999999999997</c:v>
                </c:pt>
                <c:pt idx="44">
                  <c:v>66.911000000000186</c:v>
                </c:pt>
                <c:pt idx="45">
                  <c:v>59.9</c:v>
                </c:pt>
                <c:pt idx="46">
                  <c:v>59.9</c:v>
                </c:pt>
                <c:pt idx="47">
                  <c:v>37.757373000000001</c:v>
                </c:pt>
                <c:pt idx="48">
                  <c:v>37.751000000000005</c:v>
                </c:pt>
                <c:pt idx="49">
                  <c:v>31.02</c:v>
                </c:pt>
              </c:numCache>
            </c:numRef>
          </c:val>
        </c:ser>
        <c:ser>
          <c:idx val="2"/>
          <c:order val="2"/>
          <c:tx>
            <c:strRef>
              <c:f>'Státní rozpočet 5'!$B$33</c:f>
              <c:strCache>
                <c:ptCount val="1"/>
                <c:pt idx="0">
                  <c:v>Long (-medium) term state bonds</c:v>
                </c:pt>
              </c:strCache>
            </c:strRef>
          </c:tx>
          <c:spPr>
            <a:solidFill>
              <a:srgbClr val="A6CDE8"/>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5'!$C$33:$AZ$33</c:f>
              <c:numCache>
                <c:formatCode>#,##0</c:formatCode>
                <c:ptCount val="50"/>
                <c:pt idx="0">
                  <c:v>391.274</c:v>
                </c:pt>
                <c:pt idx="1">
                  <c:v>428.77099999999939</c:v>
                </c:pt>
                <c:pt idx="2">
                  <c:v>456.56</c:v>
                </c:pt>
                <c:pt idx="3">
                  <c:v>487.50299999999999</c:v>
                </c:pt>
                <c:pt idx="4">
                  <c:v>495.72099999999926</c:v>
                </c:pt>
                <c:pt idx="5">
                  <c:v>532.05399999999997</c:v>
                </c:pt>
                <c:pt idx="6">
                  <c:v>554.81699999999864</c:v>
                </c:pt>
                <c:pt idx="7">
                  <c:v>588.93499999999949</c:v>
                </c:pt>
                <c:pt idx="8">
                  <c:v>612.06099999999947</c:v>
                </c:pt>
                <c:pt idx="9">
                  <c:v>666.81999999999948</c:v>
                </c:pt>
                <c:pt idx="10">
                  <c:v>664.79500000000053</c:v>
                </c:pt>
                <c:pt idx="11">
                  <c:v>692.19400000000053</c:v>
                </c:pt>
                <c:pt idx="12">
                  <c:v>693.11500000000001</c:v>
                </c:pt>
                <c:pt idx="13">
                  <c:v>728.61800000000005</c:v>
                </c:pt>
                <c:pt idx="14">
                  <c:v>700.70399999999995</c:v>
                </c:pt>
                <c:pt idx="15">
                  <c:v>735.55099999999948</c:v>
                </c:pt>
                <c:pt idx="16">
                  <c:v>753.09699999999998</c:v>
                </c:pt>
                <c:pt idx="17">
                  <c:v>830.01</c:v>
                </c:pt>
                <c:pt idx="18">
                  <c:v>861.48699999999997</c:v>
                </c:pt>
                <c:pt idx="19">
                  <c:v>838.56699999999864</c:v>
                </c:pt>
                <c:pt idx="20">
                  <c:v>878.78000000000054</c:v>
                </c:pt>
                <c:pt idx="21">
                  <c:v>903.13300000000004</c:v>
                </c:pt>
                <c:pt idx="22">
                  <c:v>956.30699999999877</c:v>
                </c:pt>
                <c:pt idx="23">
                  <c:v>922.95099999999877</c:v>
                </c:pt>
                <c:pt idx="24">
                  <c:v>962.34499999999946</c:v>
                </c:pt>
                <c:pt idx="25">
                  <c:v>967.24099999999999</c:v>
                </c:pt>
                <c:pt idx="26">
                  <c:v>1003.614</c:v>
                </c:pt>
                <c:pt idx="27">
                  <c:v>999.13199999999949</c:v>
                </c:pt>
                <c:pt idx="28">
                  <c:v>1055.951</c:v>
                </c:pt>
                <c:pt idx="29">
                  <c:v>1063.3779999999999</c:v>
                </c:pt>
                <c:pt idx="30">
                  <c:v>1085.259</c:v>
                </c:pt>
                <c:pt idx="31">
                  <c:v>1042.0029999999999</c:v>
                </c:pt>
                <c:pt idx="32">
                  <c:v>1090.1229999999998</c:v>
                </c:pt>
                <c:pt idx="33">
                  <c:v>1060.3129999999999</c:v>
                </c:pt>
                <c:pt idx="34">
                  <c:v>1059.616</c:v>
                </c:pt>
                <c:pt idx="35">
                  <c:v>1079.675</c:v>
                </c:pt>
                <c:pt idx="36">
                  <c:v>1100.798</c:v>
                </c:pt>
                <c:pt idx="37">
                  <c:v>1150.5329999999999</c:v>
                </c:pt>
                <c:pt idx="38">
                  <c:v>1159.375</c:v>
                </c:pt>
                <c:pt idx="39">
                  <c:v>1175.655</c:v>
                </c:pt>
                <c:pt idx="40">
                  <c:v>1200.799</c:v>
                </c:pt>
                <c:pt idx="41">
                  <c:v>1189.82</c:v>
                </c:pt>
                <c:pt idx="42">
                  <c:v>1177.1919999999998</c:v>
                </c:pt>
                <c:pt idx="43">
                  <c:v>1235.1969999999999</c:v>
                </c:pt>
                <c:pt idx="44">
                  <c:v>1263.7760000000001</c:v>
                </c:pt>
                <c:pt idx="45">
                  <c:v>1288.8</c:v>
                </c:pt>
                <c:pt idx="46">
                  <c:v>1298.0999999999999</c:v>
                </c:pt>
                <c:pt idx="47">
                  <c:v>1301.5999999999999</c:v>
                </c:pt>
                <c:pt idx="48">
                  <c:v>1410.3129999999999</c:v>
                </c:pt>
                <c:pt idx="49">
                  <c:v>1347.2118500000001</c:v>
                </c:pt>
              </c:numCache>
            </c:numRef>
          </c:val>
        </c:ser>
        <c:ser>
          <c:idx val="3"/>
          <c:order val="3"/>
          <c:tx>
            <c:strRef>
              <c:f>'Státní rozpočet 5'!$B$34</c:f>
              <c:strCache>
                <c:ptCount val="1"/>
                <c:pt idx="0">
                  <c:v>Short-term loans</c:v>
                </c:pt>
              </c:strCache>
            </c:strRef>
          </c:tx>
          <c:spPr>
            <a:solidFill>
              <a:srgbClr val="0071BC"/>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5'!$C$34:$AZ$34</c:f>
              <c:numCache>
                <c:formatCode>#,##0</c:formatCode>
                <c:ptCount val="50"/>
                <c:pt idx="0">
                  <c:v>0</c:v>
                </c:pt>
                <c:pt idx="1">
                  <c:v>0</c:v>
                </c:pt>
                <c:pt idx="2">
                  <c:v>0</c:v>
                </c:pt>
                <c:pt idx="3">
                  <c:v>0</c:v>
                </c:pt>
                <c:pt idx="4">
                  <c:v>0</c:v>
                </c:pt>
                <c:pt idx="5">
                  <c:v>0</c:v>
                </c:pt>
                <c:pt idx="6">
                  <c:v>0</c:v>
                </c:pt>
                <c:pt idx="7">
                  <c:v>2.4</c:v>
                </c:pt>
                <c:pt idx="8">
                  <c:v>0</c:v>
                </c:pt>
                <c:pt idx="9">
                  <c:v>0</c:v>
                </c:pt>
                <c:pt idx="10">
                  <c:v>0</c:v>
                </c:pt>
                <c:pt idx="11">
                  <c:v>3.9000000000000014E-2</c:v>
                </c:pt>
                <c:pt idx="12">
                  <c:v>1.4E-2</c:v>
                </c:pt>
                <c:pt idx="13">
                  <c:v>0.79500000000000004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8.1</c:v>
                </c:pt>
                <c:pt idx="30">
                  <c:v>0</c:v>
                </c:pt>
                <c:pt idx="31">
                  <c:v>0</c:v>
                </c:pt>
                <c:pt idx="32">
                  <c:v>0</c:v>
                </c:pt>
                <c:pt idx="33">
                  <c:v>0</c:v>
                </c:pt>
                <c:pt idx="34">
                  <c:v>1.585</c:v>
                </c:pt>
                <c:pt idx="35">
                  <c:v>0</c:v>
                </c:pt>
                <c:pt idx="36">
                  <c:v>3.2600000000000002</c:v>
                </c:pt>
                <c:pt idx="37">
                  <c:v>11.620999999999999</c:v>
                </c:pt>
                <c:pt idx="38">
                  <c:v>12.352000000000025</c:v>
                </c:pt>
                <c:pt idx="39">
                  <c:v>2.5449999999999999</c:v>
                </c:pt>
                <c:pt idx="40">
                  <c:v>4.9930000000000003</c:v>
                </c:pt>
                <c:pt idx="41">
                  <c:v>11.764000000000001</c:v>
                </c:pt>
                <c:pt idx="42">
                  <c:v>10.553000000000004</c:v>
                </c:pt>
                <c:pt idx="43">
                  <c:v>2.8549999999999978</c:v>
                </c:pt>
                <c:pt idx="44">
                  <c:v>1.357</c:v>
                </c:pt>
                <c:pt idx="45">
                  <c:v>0</c:v>
                </c:pt>
                <c:pt idx="46">
                  <c:v>1.5</c:v>
                </c:pt>
                <c:pt idx="47">
                  <c:v>0</c:v>
                </c:pt>
                <c:pt idx="48">
                  <c:v>2.0000000000000048E-3</c:v>
                </c:pt>
              </c:numCache>
            </c:numRef>
          </c:val>
        </c:ser>
        <c:ser>
          <c:idx val="4"/>
          <c:order val="4"/>
          <c:tx>
            <c:strRef>
              <c:f>'Státní rozpočet 5'!$B$35</c:f>
              <c:strCache>
                <c:ptCount val="1"/>
                <c:pt idx="0">
                  <c:v>Foreign bond issues</c:v>
                </c:pt>
              </c:strCache>
            </c:strRef>
          </c:tx>
          <c:spPr>
            <a:solidFill>
              <a:srgbClr val="7DBB2D"/>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5'!$C$35:$AZ$35</c:f>
              <c:numCache>
                <c:formatCode>#,##0</c:formatCode>
                <c:ptCount val="50"/>
                <c:pt idx="0">
                  <c:v>78.884999999999991</c:v>
                </c:pt>
                <c:pt idx="1">
                  <c:v>78.885999999999981</c:v>
                </c:pt>
                <c:pt idx="2">
                  <c:v>78.88</c:v>
                </c:pt>
                <c:pt idx="3">
                  <c:v>78.873999999999981</c:v>
                </c:pt>
                <c:pt idx="4">
                  <c:v>84.891000000000005</c:v>
                </c:pt>
                <c:pt idx="5">
                  <c:v>84.733000000000004</c:v>
                </c:pt>
                <c:pt idx="6">
                  <c:v>84.557999999999993</c:v>
                </c:pt>
                <c:pt idx="7">
                  <c:v>84.111999999999995</c:v>
                </c:pt>
                <c:pt idx="8">
                  <c:v>84.200999999999993</c:v>
                </c:pt>
                <c:pt idx="9">
                  <c:v>84.04</c:v>
                </c:pt>
                <c:pt idx="10">
                  <c:v>83.929000000000002</c:v>
                </c:pt>
                <c:pt idx="11">
                  <c:v>83.685999999999979</c:v>
                </c:pt>
                <c:pt idx="12">
                  <c:v>83.658999999999978</c:v>
                </c:pt>
                <c:pt idx="13">
                  <c:v>131.55800000000031</c:v>
                </c:pt>
                <c:pt idx="14">
                  <c:v>133.07299999999998</c:v>
                </c:pt>
                <c:pt idx="15">
                  <c:v>137.87</c:v>
                </c:pt>
                <c:pt idx="16">
                  <c:v>138.3850000000003</c:v>
                </c:pt>
                <c:pt idx="17">
                  <c:v>175.62700000000001</c:v>
                </c:pt>
                <c:pt idx="18">
                  <c:v>173.05600000000001</c:v>
                </c:pt>
                <c:pt idx="19">
                  <c:v>193.018</c:v>
                </c:pt>
                <c:pt idx="20">
                  <c:v>189.80800000000031</c:v>
                </c:pt>
                <c:pt idx="21">
                  <c:v>192.506</c:v>
                </c:pt>
                <c:pt idx="22">
                  <c:v>237.06300000000002</c:v>
                </c:pt>
                <c:pt idx="23">
                  <c:v>240.29599999999999</c:v>
                </c:pt>
                <c:pt idx="24">
                  <c:v>237.41399999999999</c:v>
                </c:pt>
                <c:pt idx="25">
                  <c:v>237.08600000000001</c:v>
                </c:pt>
                <c:pt idx="26">
                  <c:v>240.11599999999999</c:v>
                </c:pt>
                <c:pt idx="27">
                  <c:v>245.74599999999998</c:v>
                </c:pt>
                <c:pt idx="28">
                  <c:v>288.46499999999969</c:v>
                </c:pt>
                <c:pt idx="29">
                  <c:v>295.37599999999969</c:v>
                </c:pt>
                <c:pt idx="30">
                  <c:v>290.82499999999999</c:v>
                </c:pt>
                <c:pt idx="31">
                  <c:v>310.28599999999926</c:v>
                </c:pt>
                <c:pt idx="32">
                  <c:v>313.7339999999989</c:v>
                </c:pt>
                <c:pt idx="33">
                  <c:v>314.565</c:v>
                </c:pt>
                <c:pt idx="34">
                  <c:v>313.14100000000002</c:v>
                </c:pt>
                <c:pt idx="35">
                  <c:v>323.68200000000002</c:v>
                </c:pt>
                <c:pt idx="36">
                  <c:v>323.94499999999999</c:v>
                </c:pt>
                <c:pt idx="37">
                  <c:v>275.38900000000001</c:v>
                </c:pt>
                <c:pt idx="38">
                  <c:v>275.81900000000002</c:v>
                </c:pt>
                <c:pt idx="39">
                  <c:v>239.57599999999999</c:v>
                </c:pt>
                <c:pt idx="40">
                  <c:v>238.19399999999999</c:v>
                </c:pt>
                <c:pt idx="41">
                  <c:v>235.67399999999998</c:v>
                </c:pt>
                <c:pt idx="42">
                  <c:v>234.67299999999997</c:v>
                </c:pt>
                <c:pt idx="43">
                  <c:v>225.61899999999997</c:v>
                </c:pt>
                <c:pt idx="44">
                  <c:v>225.89400000000001</c:v>
                </c:pt>
                <c:pt idx="45">
                  <c:v>227.3</c:v>
                </c:pt>
                <c:pt idx="46">
                  <c:v>226.5</c:v>
                </c:pt>
                <c:pt idx="47">
                  <c:v>213.524</c:v>
                </c:pt>
                <c:pt idx="48">
                  <c:v>213.786</c:v>
                </c:pt>
                <c:pt idx="49" formatCode="0">
                  <c:v>207.51715000000002</c:v>
                </c:pt>
              </c:numCache>
            </c:numRef>
          </c:val>
        </c:ser>
        <c:ser>
          <c:idx val="5"/>
          <c:order val="5"/>
          <c:tx>
            <c:strRef>
              <c:f>'Státní rozpočet 5'!$B$36</c:f>
              <c:strCache>
                <c:ptCount val="1"/>
                <c:pt idx="0">
                  <c:v>Loans from EIB</c:v>
                </c:pt>
              </c:strCache>
            </c:strRef>
          </c:tx>
          <c:spPr>
            <a:solidFill>
              <a:srgbClr val="D2E7B6"/>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5'!$C$36:$AZ$36</c:f>
              <c:numCache>
                <c:formatCode>#,##0</c:formatCode>
                <c:ptCount val="50"/>
                <c:pt idx="0">
                  <c:v>20.655000000000001</c:v>
                </c:pt>
                <c:pt idx="1">
                  <c:v>26.164000000000001</c:v>
                </c:pt>
                <c:pt idx="2">
                  <c:v>28.332000000000001</c:v>
                </c:pt>
                <c:pt idx="3">
                  <c:v>29.731999999999999</c:v>
                </c:pt>
                <c:pt idx="4">
                  <c:v>29.901999999999987</c:v>
                </c:pt>
                <c:pt idx="5">
                  <c:v>32.028000000000013</c:v>
                </c:pt>
                <c:pt idx="6">
                  <c:v>34.298000000000087</c:v>
                </c:pt>
                <c:pt idx="7">
                  <c:v>36.704000000000001</c:v>
                </c:pt>
                <c:pt idx="8">
                  <c:v>36.704000000000001</c:v>
                </c:pt>
                <c:pt idx="9">
                  <c:v>38.434000000000005</c:v>
                </c:pt>
                <c:pt idx="10">
                  <c:v>38.743000000000002</c:v>
                </c:pt>
                <c:pt idx="11">
                  <c:v>38.743000000000002</c:v>
                </c:pt>
                <c:pt idx="12">
                  <c:v>35.907000000000004</c:v>
                </c:pt>
                <c:pt idx="13">
                  <c:v>38.913999999999994</c:v>
                </c:pt>
                <c:pt idx="14">
                  <c:v>45.838000000000001</c:v>
                </c:pt>
                <c:pt idx="15">
                  <c:v>46.811999999999998</c:v>
                </c:pt>
                <c:pt idx="16">
                  <c:v>47.237000000000002</c:v>
                </c:pt>
                <c:pt idx="17">
                  <c:v>51.226000000000013</c:v>
                </c:pt>
                <c:pt idx="18">
                  <c:v>53.134</c:v>
                </c:pt>
                <c:pt idx="19">
                  <c:v>57.911999999999999</c:v>
                </c:pt>
                <c:pt idx="20">
                  <c:v>60.056999999999995</c:v>
                </c:pt>
                <c:pt idx="21">
                  <c:v>60.694000000000003</c:v>
                </c:pt>
                <c:pt idx="22">
                  <c:v>62.394000000000005</c:v>
                </c:pt>
                <c:pt idx="23">
                  <c:v>67.184999999999988</c:v>
                </c:pt>
                <c:pt idx="24">
                  <c:v>66.826999999999998</c:v>
                </c:pt>
                <c:pt idx="25">
                  <c:v>67.218000000000004</c:v>
                </c:pt>
                <c:pt idx="26">
                  <c:v>69.516000000000005</c:v>
                </c:pt>
                <c:pt idx="27">
                  <c:v>71.322999999999979</c:v>
                </c:pt>
                <c:pt idx="28">
                  <c:v>70.965000000000003</c:v>
                </c:pt>
                <c:pt idx="29">
                  <c:v>69.756</c:v>
                </c:pt>
                <c:pt idx="30">
                  <c:v>68.459000000000003</c:v>
                </c:pt>
                <c:pt idx="31">
                  <c:v>70.003</c:v>
                </c:pt>
                <c:pt idx="32">
                  <c:v>69.644999999999996</c:v>
                </c:pt>
                <c:pt idx="33">
                  <c:v>67.778999999999982</c:v>
                </c:pt>
                <c:pt idx="34">
                  <c:v>67.870999999999981</c:v>
                </c:pt>
                <c:pt idx="35">
                  <c:v>71.512</c:v>
                </c:pt>
                <c:pt idx="36">
                  <c:v>70.260999999999996</c:v>
                </c:pt>
                <c:pt idx="37">
                  <c:v>66.956999999999994</c:v>
                </c:pt>
                <c:pt idx="38">
                  <c:v>64.012</c:v>
                </c:pt>
                <c:pt idx="39">
                  <c:v>60.432000000000002</c:v>
                </c:pt>
                <c:pt idx="40">
                  <c:v>59.674000000000007</c:v>
                </c:pt>
                <c:pt idx="41">
                  <c:v>59.491</c:v>
                </c:pt>
                <c:pt idx="42">
                  <c:v>58.134</c:v>
                </c:pt>
                <c:pt idx="43">
                  <c:v>57.950999999999993</c:v>
                </c:pt>
                <c:pt idx="44">
                  <c:v>57.593000000000011</c:v>
                </c:pt>
                <c:pt idx="45">
                  <c:v>57.4</c:v>
                </c:pt>
                <c:pt idx="46">
                  <c:v>56.5</c:v>
                </c:pt>
                <c:pt idx="47">
                  <c:v>56.3</c:v>
                </c:pt>
                <c:pt idx="48">
                  <c:v>55.911999999999999</c:v>
                </c:pt>
                <c:pt idx="49">
                  <c:v>55.2</c:v>
                </c:pt>
              </c:numCache>
            </c:numRef>
          </c:val>
        </c:ser>
        <c:gapWidth val="53"/>
        <c:overlap val="100"/>
        <c:axId val="89302912"/>
        <c:axId val="89304448"/>
      </c:barChart>
      <c:lineChart>
        <c:grouping val="standard"/>
        <c:ser>
          <c:idx val="6"/>
          <c:order val="6"/>
          <c:tx>
            <c:strRef>
              <c:f>'Státní rozpočet 5'!$B$37</c:f>
              <c:strCache>
                <c:ptCount val="1"/>
                <c:pt idx="0">
                  <c:v>% of bonds held by non-residents</c:v>
                </c:pt>
              </c:strCache>
            </c:strRef>
          </c:tx>
          <c:spPr>
            <a:ln w="19050">
              <a:solidFill>
                <a:schemeClr val="tx1"/>
              </a:solidFill>
            </a:ln>
          </c:spPr>
          <c:marker>
            <c:symbol val="none"/>
          </c:marke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5'!$C$37:$AZ$37</c:f>
              <c:numCache>
                <c:formatCode>0.0</c:formatCode>
                <c:ptCount val="50"/>
                <c:pt idx="0">
                  <c:v>10.265992704390317</c:v>
                </c:pt>
                <c:pt idx="1">
                  <c:v>10.923088048331014</c:v>
                </c:pt>
                <c:pt idx="2">
                  <c:v>13.145252386172801</c:v>
                </c:pt>
                <c:pt idx="3">
                  <c:v>13.001503685169766</c:v>
                </c:pt>
                <c:pt idx="4">
                  <c:v>13.304825460196517</c:v>
                </c:pt>
                <c:pt idx="5">
                  <c:v>13.130686728399851</c:v>
                </c:pt>
                <c:pt idx="6">
                  <c:v>12.754669045605075</c:v>
                </c:pt>
                <c:pt idx="7">
                  <c:v>14.023012638423257</c:v>
                </c:pt>
                <c:pt idx="8">
                  <c:v>14.540668674784499</c:v>
                </c:pt>
                <c:pt idx="9">
                  <c:v>16.017485639628564</c:v>
                </c:pt>
                <c:pt idx="10">
                  <c:v>14.915904603224822</c:v>
                </c:pt>
                <c:pt idx="11">
                  <c:v>15.636328283334812</c:v>
                </c:pt>
                <c:pt idx="12">
                  <c:v>18.071642557457089</c:v>
                </c:pt>
                <c:pt idx="13">
                  <c:v>17.908165316315252</c:v>
                </c:pt>
                <c:pt idx="14">
                  <c:v>16.786365018341076</c:v>
                </c:pt>
                <c:pt idx="15">
                  <c:v>11.3672591269615</c:v>
                </c:pt>
                <c:pt idx="16">
                  <c:v>9.6178712100545489</c:v>
                </c:pt>
                <c:pt idx="17">
                  <c:v>9.4410888328706157</c:v>
                </c:pt>
                <c:pt idx="18">
                  <c:v>10.794621127623019</c:v>
                </c:pt>
                <c:pt idx="19">
                  <c:v>10.410776619638707</c:v>
                </c:pt>
                <c:pt idx="20">
                  <c:v>11.225493284964054</c:v>
                </c:pt>
                <c:pt idx="21">
                  <c:v>11.79232663254435</c:v>
                </c:pt>
                <c:pt idx="22">
                  <c:v>12.641224199198572</c:v>
                </c:pt>
                <c:pt idx="23">
                  <c:v>12.83741347982785</c:v>
                </c:pt>
                <c:pt idx="24">
                  <c:v>13.318501834003582</c:v>
                </c:pt>
                <c:pt idx="25">
                  <c:v>14.830507060003551</c:v>
                </c:pt>
                <c:pt idx="26">
                  <c:v>14.66050980041847</c:v>
                </c:pt>
                <c:pt idx="27">
                  <c:v>14.171926415445183</c:v>
                </c:pt>
                <c:pt idx="28">
                  <c:v>12.926745930684422</c:v>
                </c:pt>
                <c:pt idx="29">
                  <c:v>12.792771834252662</c:v>
                </c:pt>
                <c:pt idx="30">
                  <c:v>12.77686883709845</c:v>
                </c:pt>
                <c:pt idx="31">
                  <c:v>12.215676084031044</c:v>
                </c:pt>
                <c:pt idx="32">
                  <c:v>13.255297631418403</c:v>
                </c:pt>
                <c:pt idx="33">
                  <c:v>13.350273439240414</c:v>
                </c:pt>
                <c:pt idx="34">
                  <c:v>13.057915258672836</c:v>
                </c:pt>
                <c:pt idx="35">
                  <c:v>14.997789266625258</c:v>
                </c:pt>
                <c:pt idx="36">
                  <c:v>14.974431008283176</c:v>
                </c:pt>
                <c:pt idx="37">
                  <c:v>14.162303131717232</c:v>
                </c:pt>
                <c:pt idx="38">
                  <c:v>14.499025313524347</c:v>
                </c:pt>
                <c:pt idx="39">
                  <c:v>14.49378333679272</c:v>
                </c:pt>
                <c:pt idx="40">
                  <c:v>17.111328570972969</c:v>
                </c:pt>
                <c:pt idx="41">
                  <c:v>17.385520699212726</c:v>
                </c:pt>
                <c:pt idx="42">
                  <c:v>18.843809422995431</c:v>
                </c:pt>
                <c:pt idx="43">
                  <c:v>21.274294138798233</c:v>
                </c:pt>
                <c:pt idx="44">
                  <c:v>24.684449907953077</c:v>
                </c:pt>
                <c:pt idx="45">
                  <c:v>26.121406197883733</c:v>
                </c:pt>
                <c:pt idx="46">
                  <c:v>28.36</c:v>
                </c:pt>
                <c:pt idx="47">
                  <c:v>31.557426806363587</c:v>
                </c:pt>
                <c:pt idx="48">
                  <c:v>47.262759844202371</c:v>
                </c:pt>
                <c:pt idx="49">
                  <c:v>47.618125585631624</c:v>
                </c:pt>
              </c:numCache>
            </c:numRef>
          </c:val>
        </c:ser>
        <c:marker val="1"/>
        <c:axId val="162073216"/>
        <c:axId val="162071680"/>
      </c:lineChart>
      <c:catAx>
        <c:axId val="89302912"/>
        <c:scaling>
          <c:orientation val="minMax"/>
        </c:scaling>
        <c:axPos val="b"/>
        <c:tickLblPos val="nextTo"/>
        <c:spPr>
          <a:ln>
            <a:solidFill>
              <a:schemeClr val="tx1"/>
            </a:solidFill>
          </a:ln>
        </c:spPr>
        <c:crossAx val="89304448"/>
        <c:crosses val="autoZero"/>
        <c:auto val="1"/>
        <c:lblAlgn val="ctr"/>
        <c:lblOffset val="10"/>
      </c:catAx>
      <c:valAx>
        <c:axId val="89304448"/>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89302912"/>
        <c:crosses val="autoZero"/>
        <c:crossBetween val="between"/>
      </c:valAx>
      <c:valAx>
        <c:axId val="162071680"/>
        <c:scaling>
          <c:orientation val="minMax"/>
          <c:max val="60"/>
        </c:scaling>
        <c:axPos val="r"/>
        <c:numFmt formatCode="0" sourceLinked="0"/>
        <c:tickLblPos val="nextTo"/>
        <c:spPr>
          <a:ln>
            <a:solidFill>
              <a:schemeClr val="tx1"/>
            </a:solidFill>
          </a:ln>
        </c:spPr>
        <c:crossAx val="162073216"/>
        <c:crosses val="max"/>
        <c:crossBetween val="between"/>
        <c:majorUnit val="5"/>
      </c:valAx>
      <c:catAx>
        <c:axId val="162073216"/>
        <c:scaling>
          <c:orientation val="minMax"/>
        </c:scaling>
        <c:delete val="1"/>
        <c:axPos val="b"/>
        <c:tickLblPos val="none"/>
        <c:crossAx val="162071680"/>
        <c:crosses val="autoZero"/>
        <c:auto val="1"/>
        <c:lblAlgn val="ctr"/>
        <c:lblOffset val="100"/>
      </c:catAx>
      <c:spPr>
        <a:ln w="9525">
          <a:solidFill>
            <a:schemeClr val="tx1"/>
          </a:solidFill>
        </a:ln>
      </c:spPr>
    </c:plotArea>
    <c:legend>
      <c:legendPos val="b"/>
      <c:layout>
        <c:manualLayout>
          <c:xMode val="edge"/>
          <c:yMode val="edge"/>
          <c:x val="7.1917809656383364E-2"/>
          <c:y val="0.85316553287982044"/>
          <c:w val="0.88530576599326327"/>
          <c:h val="0.12993917070585131"/>
        </c:manualLayout>
      </c:layout>
      <c:spPr>
        <a:ln w="6350">
          <a:solidFill>
            <a:schemeClr val="tx1"/>
          </a:solidFill>
        </a:ln>
      </c:spPr>
      <c:txPr>
        <a:bodyPr/>
        <a:lstStyle/>
        <a:p>
          <a:pPr>
            <a:defRPr sz="80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9D13-33F5-497F-B97A-60CB72D6180E}">
  <ds:schemaRefs>
    <ds:schemaRef ds:uri="http://schemas.openxmlformats.org/officeDocument/2006/bibliography"/>
  </ds:schemaRefs>
</ds:datastoreItem>
</file>

<file path=customXml/itemProps2.xml><?xml version="1.0" encoding="utf-8"?>
<ds:datastoreItem xmlns:ds="http://schemas.openxmlformats.org/officeDocument/2006/customXml" ds:itemID="{C4084831-8B4A-4669-A4A7-5927D90C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6</Pages>
  <Words>2248</Words>
  <Characters>13264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15482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2017-10-18T06:36:00Z</cp:lastPrinted>
  <dcterms:created xsi:type="dcterms:W3CDTF">2017-10-23T14:32:00Z</dcterms:created>
  <dcterms:modified xsi:type="dcterms:W3CDTF">2017-10-23T14:35:00Z</dcterms:modified>
</cp:coreProperties>
</file>