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0C" w:rsidRPr="0036710C" w:rsidRDefault="0036710C" w:rsidP="00D94859">
      <w:pPr>
        <w:rPr>
          <w:sz w:val="2"/>
          <w:szCs w:val="2"/>
          <w:lang w:eastAsia="ar-SA"/>
        </w:rPr>
      </w:pPr>
    </w:p>
    <w:p w:rsidR="00DD0726" w:rsidRPr="00251AE8" w:rsidRDefault="00DD0726" w:rsidP="001630DB">
      <w:pPr>
        <w:pStyle w:val="Nadpis1"/>
        <w:numPr>
          <w:ilvl w:val="0"/>
          <w:numId w:val="24"/>
        </w:numPr>
        <w:jc w:val="both"/>
        <w:rPr>
          <w:lang w:val="en-GB"/>
        </w:rPr>
      </w:pPr>
      <w:bookmarkStart w:id="0" w:name="_Toc469299935"/>
      <w:bookmarkStart w:id="1" w:name="_Toc493683639"/>
      <w:r w:rsidRPr="00251AE8">
        <w:rPr>
          <w:lang w:val="en-GB"/>
        </w:rPr>
        <w:t>M</w:t>
      </w:r>
      <w:r w:rsidR="00251AE8" w:rsidRPr="00251AE8">
        <w:rPr>
          <w:lang w:val="en-GB"/>
        </w:rPr>
        <w:t>onetary Conditions</w:t>
      </w:r>
      <w:bookmarkEnd w:id="0"/>
      <w:bookmarkEnd w:id="1"/>
    </w:p>
    <w:tbl>
      <w:tblPr>
        <w:tblW w:w="4995" w:type="pct"/>
        <w:tblInd w:w="108" w:type="dxa"/>
        <w:tblLayout w:type="fixed"/>
        <w:tblLook w:val="00A0"/>
      </w:tblPr>
      <w:tblGrid>
        <w:gridCol w:w="2000"/>
        <w:gridCol w:w="284"/>
        <w:gridCol w:w="1118"/>
        <w:gridCol w:w="6442"/>
      </w:tblGrid>
      <w:tr w:rsidR="00DD0726" w:rsidRPr="00A74192" w:rsidTr="00260FBE">
        <w:trPr>
          <w:trHeight w:val="145"/>
        </w:trPr>
        <w:tc>
          <w:tcPr>
            <w:tcW w:w="1016" w:type="pct"/>
          </w:tcPr>
          <w:p w:rsidR="00DD0726" w:rsidRPr="006D5608" w:rsidRDefault="002E3766" w:rsidP="00260FBE">
            <w:pPr>
              <w:spacing w:line="240" w:lineRule="auto"/>
              <w:rPr>
                <w:color w:val="000000" w:themeColor="text1"/>
                <w:sz w:val="16"/>
                <w:szCs w:val="16"/>
                <w:highlight w:val="yellow"/>
              </w:rPr>
            </w:pPr>
            <w:r>
              <w:rPr>
                <w:color w:val="000000" w:themeColor="text1"/>
                <w:sz w:val="16"/>
                <w:szCs w:val="16"/>
              </w:rPr>
              <w:t>T</w:t>
            </w:r>
            <w:r>
              <w:rPr>
                <w:color w:val="000000" w:themeColor="text1"/>
                <w:sz w:val="16"/>
                <w:szCs w:val="16"/>
                <w:lang w:val="en-GB"/>
              </w:rPr>
              <w:t xml:space="preserve">he most important change was the </w:t>
            </w:r>
            <w:r w:rsidR="003122D9">
              <w:rPr>
                <w:color w:val="000000" w:themeColor="text1"/>
                <w:sz w:val="16"/>
                <w:szCs w:val="16"/>
                <w:lang w:val="en-GB"/>
              </w:rPr>
              <w:t xml:space="preserve">ending of the exchange rate commitment </w:t>
            </w:r>
            <w:r>
              <w:rPr>
                <w:color w:val="000000" w:themeColor="text1"/>
                <w:sz w:val="16"/>
                <w:szCs w:val="16"/>
                <w:lang w:val="en-GB"/>
              </w:rPr>
              <w:t>in the area of the monetary policy in Q2.</w:t>
            </w:r>
          </w:p>
        </w:tc>
        <w:tc>
          <w:tcPr>
            <w:tcW w:w="144" w:type="pct"/>
          </w:tcPr>
          <w:p w:rsidR="00DD0726" w:rsidRPr="003E6E0D" w:rsidRDefault="00DD0726" w:rsidP="00260FBE">
            <w:pPr>
              <w:pStyle w:val="Textpoznpodarou"/>
              <w:jc w:val="both"/>
            </w:pPr>
          </w:p>
        </w:tc>
        <w:tc>
          <w:tcPr>
            <w:tcW w:w="3840" w:type="pct"/>
            <w:gridSpan w:val="2"/>
          </w:tcPr>
          <w:p w:rsidR="00E662D1" w:rsidRDefault="00E662D1" w:rsidP="00E662D1">
            <w:pPr>
              <w:pStyle w:val="Textpoznpodarou"/>
              <w:jc w:val="both"/>
              <w:rPr>
                <w:sz w:val="16"/>
                <w:szCs w:val="16"/>
                <w:lang w:val="en-GB"/>
              </w:rPr>
            </w:pPr>
            <w:r>
              <w:rPr>
                <w:lang w:val="en-GB"/>
              </w:rPr>
              <w:t xml:space="preserve">The </w:t>
            </w:r>
            <w:r w:rsidR="003122D9">
              <w:rPr>
                <w:lang w:val="en-GB"/>
              </w:rPr>
              <w:t xml:space="preserve">ending of the regime of </w:t>
            </w:r>
            <w:proofErr w:type="spellStart"/>
            <w:r w:rsidR="003122D9">
              <w:rPr>
                <w:lang w:val="en-GB"/>
              </w:rPr>
              <w:t>forex</w:t>
            </w:r>
            <w:proofErr w:type="spellEnd"/>
            <w:r w:rsidR="003122D9">
              <w:rPr>
                <w:lang w:val="en-GB"/>
              </w:rPr>
              <w:t xml:space="preserve"> interventions of the CNB </w:t>
            </w:r>
            <w:r>
              <w:rPr>
                <w:lang w:val="en-GB"/>
              </w:rPr>
              <w:t xml:space="preserve">was the most important event in relation to the monetary policy in Q2 2017, it occurred on 6th of April. After the period of pressure on the </w:t>
            </w:r>
            <w:r w:rsidR="003122D9">
              <w:rPr>
                <w:lang w:val="en-GB"/>
              </w:rPr>
              <w:t xml:space="preserve">break of the commitment </w:t>
            </w:r>
            <w:r>
              <w:rPr>
                <w:lang w:val="en-GB"/>
              </w:rPr>
              <w:t>(the value of the foreign exchange rate stayed at 27.02</w:t>
            </w:r>
            <w:r>
              <w:rPr>
                <w:rStyle w:val="Znakapoznpodarou"/>
                <w:lang w:val="en-GB"/>
              </w:rPr>
              <w:footnoteReference w:id="1"/>
            </w:r>
            <w:r>
              <w:rPr>
                <w:lang w:val="en-GB"/>
              </w:rPr>
              <w:t xml:space="preserve"> </w:t>
            </w:r>
            <w:r w:rsidR="003122D9">
              <w:rPr>
                <w:lang w:val="en-GB"/>
              </w:rPr>
              <w:t>per</w:t>
            </w:r>
            <w:r>
              <w:rPr>
                <w:lang w:val="en-GB"/>
              </w:rPr>
              <w:t xml:space="preserve"> euro for every day since 1. 1. 2017) the crown mildly depreciated in the first April days. Following the </w:t>
            </w:r>
            <w:r w:rsidR="001D55F5">
              <w:rPr>
                <w:lang w:val="en-GB"/>
              </w:rPr>
              <w:t xml:space="preserve">exit from </w:t>
            </w:r>
            <w:r w:rsidR="003122D9">
              <w:rPr>
                <w:lang w:val="en-GB"/>
              </w:rPr>
              <w:t>the commitment</w:t>
            </w:r>
            <w:r>
              <w:rPr>
                <w:lang w:val="en-GB"/>
              </w:rPr>
              <w:t xml:space="preserve">, it immediately appreciated and the foreign exchange rate against euro fell to 26.53 within 10th April. However, the koruna did not maintain this value and it fluctuated around an average value 26.86 </w:t>
            </w:r>
            <w:r w:rsidR="003122D9">
              <w:rPr>
                <w:lang w:val="en-GB"/>
              </w:rPr>
              <w:t>crowns</w:t>
            </w:r>
            <w:r>
              <w:rPr>
                <w:lang w:val="en-GB"/>
              </w:rPr>
              <w:t xml:space="preserve"> per euro in the second half of April. Consequently, it started consistently appreciate. With the exception of a short depreciation on 18th May, the rate was strengthening throughout the whole May and the first half of June. It reached the minimum for Q2 on 13</w:t>
            </w:r>
            <w:r>
              <w:rPr>
                <w:vertAlign w:val="superscript"/>
                <w:lang w:val="en-GB"/>
              </w:rPr>
              <w:t>th</w:t>
            </w:r>
            <w:r>
              <w:rPr>
                <w:lang w:val="en-GB"/>
              </w:rPr>
              <w:t xml:space="preserve"> June (26.15). Until the end of the quarter, it already only oscillated in a narrow range between 26.20 and 26.30.</w:t>
            </w:r>
          </w:p>
          <w:p w:rsidR="00DD0726" w:rsidRPr="003C20C4" w:rsidRDefault="00DD0726" w:rsidP="00260FBE">
            <w:pPr>
              <w:pStyle w:val="Textpoznpodarou"/>
              <w:jc w:val="both"/>
            </w:pPr>
            <w:r>
              <w:t xml:space="preserve">    </w:t>
            </w:r>
          </w:p>
        </w:tc>
      </w:tr>
      <w:tr w:rsidR="00DD0726" w:rsidRPr="00A74192" w:rsidTr="00260FBE">
        <w:trPr>
          <w:trHeight w:val="145"/>
        </w:trPr>
        <w:tc>
          <w:tcPr>
            <w:tcW w:w="1016" w:type="pct"/>
            <w:shd w:val="clear" w:color="auto" w:fill="auto"/>
          </w:tcPr>
          <w:p w:rsidR="00DD0726" w:rsidRPr="002C0219" w:rsidRDefault="002C0219" w:rsidP="00260FBE">
            <w:pPr>
              <w:spacing w:line="240" w:lineRule="auto"/>
              <w:rPr>
                <w:color w:val="000000" w:themeColor="text1"/>
                <w:sz w:val="16"/>
                <w:szCs w:val="16"/>
                <w:highlight w:val="yellow"/>
                <w:lang w:val="en-GB"/>
              </w:rPr>
            </w:pPr>
            <w:r w:rsidRPr="002C0219">
              <w:rPr>
                <w:color w:val="000000" w:themeColor="text1"/>
                <w:sz w:val="16"/>
                <w:szCs w:val="16"/>
                <w:lang w:val="en-GB"/>
              </w:rPr>
              <w:t>E</w:t>
            </w:r>
            <w:r w:rsidR="004806A8">
              <w:rPr>
                <w:color w:val="000000" w:themeColor="text1"/>
                <w:sz w:val="16"/>
                <w:szCs w:val="16"/>
                <w:lang w:val="en-GB"/>
              </w:rPr>
              <w:t xml:space="preserve">xit from </w:t>
            </w:r>
            <w:r w:rsidRPr="002C0219">
              <w:rPr>
                <w:color w:val="000000" w:themeColor="text1"/>
                <w:sz w:val="16"/>
                <w:szCs w:val="16"/>
                <w:lang w:val="en-GB"/>
              </w:rPr>
              <w:t xml:space="preserve">the exchange rate </w:t>
            </w:r>
            <w:r w:rsidR="004806A8" w:rsidRPr="002C0219">
              <w:rPr>
                <w:color w:val="000000" w:themeColor="text1"/>
                <w:sz w:val="16"/>
                <w:szCs w:val="16"/>
                <w:lang w:val="en-GB"/>
              </w:rPr>
              <w:t>commitment</w:t>
            </w:r>
            <w:r w:rsidR="00E662D1" w:rsidRPr="002C0219">
              <w:rPr>
                <w:color w:val="000000" w:themeColor="text1"/>
                <w:sz w:val="16"/>
                <w:szCs w:val="16"/>
                <w:lang w:val="en-GB"/>
              </w:rPr>
              <w:t xml:space="preserve"> also meant the halting of purchases of foreign currencies. </w:t>
            </w:r>
          </w:p>
        </w:tc>
        <w:tc>
          <w:tcPr>
            <w:tcW w:w="144" w:type="pct"/>
          </w:tcPr>
          <w:p w:rsidR="00DD0726" w:rsidRPr="002C0219" w:rsidRDefault="00DD0726" w:rsidP="00260FBE">
            <w:pPr>
              <w:pStyle w:val="Textpoznpodarou"/>
              <w:jc w:val="both"/>
              <w:rPr>
                <w:lang w:val="en-GB"/>
              </w:rPr>
            </w:pPr>
          </w:p>
        </w:tc>
        <w:tc>
          <w:tcPr>
            <w:tcW w:w="3840" w:type="pct"/>
            <w:gridSpan w:val="2"/>
          </w:tcPr>
          <w:p w:rsidR="00E42070" w:rsidRPr="002C0219" w:rsidRDefault="004806A8" w:rsidP="00E42070">
            <w:pPr>
              <w:pStyle w:val="Textpoznpodarou"/>
              <w:jc w:val="both"/>
              <w:rPr>
                <w:sz w:val="16"/>
                <w:szCs w:val="16"/>
                <w:lang w:val="en-GB"/>
              </w:rPr>
            </w:pPr>
            <w:r>
              <w:rPr>
                <w:lang w:val="en-GB"/>
              </w:rPr>
              <w:t xml:space="preserve">The exchange rate commitment </w:t>
            </w:r>
            <w:r w:rsidR="00E42070" w:rsidRPr="002C0219">
              <w:rPr>
                <w:lang w:val="en-GB"/>
              </w:rPr>
              <w:t>requiring the purchase of foreign currencies lasted still till the 5</w:t>
            </w:r>
            <w:r w:rsidR="00E42070" w:rsidRPr="002C0219">
              <w:rPr>
                <w:vertAlign w:val="superscript"/>
                <w:lang w:val="en-GB"/>
              </w:rPr>
              <w:t>th</w:t>
            </w:r>
            <w:r w:rsidR="00E42070" w:rsidRPr="002C0219">
              <w:rPr>
                <w:lang w:val="en-GB"/>
              </w:rPr>
              <w:t xml:space="preserve"> April. The CNB purchased </w:t>
            </w:r>
            <w:proofErr w:type="spellStart"/>
            <w:r>
              <w:rPr>
                <w:lang w:val="en-GB"/>
              </w:rPr>
              <w:t>forex</w:t>
            </w:r>
            <w:proofErr w:type="spellEnd"/>
            <w:r w:rsidR="00E42070" w:rsidRPr="002C0219">
              <w:rPr>
                <w:lang w:val="en-GB"/>
              </w:rPr>
              <w:t xml:space="preserve"> valued 0.7 </w:t>
            </w:r>
            <w:proofErr w:type="spellStart"/>
            <w:r w:rsidR="00E42070" w:rsidRPr="002C0219">
              <w:rPr>
                <w:lang w:val="en-GB"/>
              </w:rPr>
              <w:t>bn</w:t>
            </w:r>
            <w:proofErr w:type="spellEnd"/>
            <w:r w:rsidR="00E42070" w:rsidRPr="002C0219">
              <w:rPr>
                <w:lang w:val="en-GB"/>
              </w:rPr>
              <w:t xml:space="preserve"> </w:t>
            </w:r>
            <w:r w:rsidRPr="002C0219">
              <w:rPr>
                <w:lang w:val="en-GB"/>
              </w:rPr>
              <w:t>euro</w:t>
            </w:r>
            <w:r>
              <w:rPr>
                <w:lang w:val="en-GB"/>
              </w:rPr>
              <w:t>.</w:t>
            </w:r>
            <w:r w:rsidR="00E42070" w:rsidRPr="002C0219">
              <w:rPr>
                <w:lang w:val="en-GB"/>
              </w:rPr>
              <w:t xml:space="preserve"> This is only a tiny </w:t>
            </w:r>
            <w:r>
              <w:rPr>
                <w:lang w:val="en-GB"/>
              </w:rPr>
              <w:t>fraction</w:t>
            </w:r>
            <w:r w:rsidR="00E42070" w:rsidRPr="002C0219">
              <w:rPr>
                <w:lang w:val="en-GB"/>
              </w:rPr>
              <w:t xml:space="preserve"> in comparison to the previous month, when the purchases of foreign currency attained 19.3 </w:t>
            </w:r>
            <w:proofErr w:type="spellStart"/>
            <w:r w:rsidR="00E42070" w:rsidRPr="002C0219">
              <w:rPr>
                <w:lang w:val="en-GB"/>
              </w:rPr>
              <w:t>bn</w:t>
            </w:r>
            <w:proofErr w:type="spellEnd"/>
            <w:r w:rsidR="00E42070" w:rsidRPr="002C0219">
              <w:rPr>
                <w:lang w:val="en-GB"/>
              </w:rPr>
              <w:t xml:space="preserve"> </w:t>
            </w:r>
            <w:proofErr w:type="gramStart"/>
            <w:r w:rsidR="00E42070" w:rsidRPr="002C0219">
              <w:rPr>
                <w:lang w:val="en-GB"/>
              </w:rPr>
              <w:t>eur</w:t>
            </w:r>
            <w:r>
              <w:rPr>
                <w:lang w:val="en-GB"/>
              </w:rPr>
              <w:t>o</w:t>
            </w:r>
            <w:proofErr w:type="gramEnd"/>
            <w:r w:rsidR="00E42070" w:rsidRPr="002C0219">
              <w:rPr>
                <w:lang w:val="en-GB"/>
              </w:rPr>
              <w:t>. Monetary</w:t>
            </w:r>
            <w:r w:rsidR="007502A6">
              <w:rPr>
                <w:lang w:val="en-GB"/>
              </w:rPr>
              <w:t xml:space="preserve"> policy</w:t>
            </w:r>
            <w:r w:rsidR="00E42070" w:rsidRPr="002C0219">
              <w:rPr>
                <w:lang w:val="en-GB"/>
              </w:rPr>
              <w:t xml:space="preserve"> rates, which represent the main instrument of the execution of the monetary policy did not change in Q2 and remained at the so called </w:t>
            </w:r>
            <w:r>
              <w:rPr>
                <w:lang w:val="en-GB"/>
              </w:rPr>
              <w:t>technical zero</w:t>
            </w:r>
            <w:r w:rsidR="00E42070" w:rsidRPr="002C0219">
              <w:rPr>
                <w:lang w:val="en-GB"/>
              </w:rPr>
              <w:t>.</w:t>
            </w:r>
          </w:p>
          <w:p w:rsidR="00DD0726" w:rsidRPr="002C0219" w:rsidRDefault="00DD0726" w:rsidP="00260FBE">
            <w:pPr>
              <w:pStyle w:val="Textpoznpodarou"/>
              <w:jc w:val="both"/>
              <w:rPr>
                <w:sz w:val="16"/>
                <w:szCs w:val="16"/>
                <w:lang w:val="en-GB"/>
              </w:rPr>
            </w:pPr>
          </w:p>
        </w:tc>
      </w:tr>
      <w:tr w:rsidR="00FF5899" w:rsidRPr="00A74192" w:rsidTr="00FF5899">
        <w:trPr>
          <w:trHeight w:val="1115"/>
        </w:trPr>
        <w:tc>
          <w:tcPr>
            <w:tcW w:w="1016" w:type="pct"/>
            <w:shd w:val="clear" w:color="auto" w:fill="auto"/>
          </w:tcPr>
          <w:p w:rsidR="00FF5899" w:rsidRPr="006D5608" w:rsidRDefault="00FF5899" w:rsidP="00260FBE">
            <w:pPr>
              <w:spacing w:line="240" w:lineRule="auto"/>
              <w:rPr>
                <w:color w:val="000000" w:themeColor="text1"/>
                <w:sz w:val="16"/>
                <w:szCs w:val="16"/>
                <w:highlight w:val="yellow"/>
              </w:rPr>
            </w:pPr>
            <w:r>
              <w:rPr>
                <w:color w:val="000000" w:themeColor="text1"/>
                <w:sz w:val="16"/>
                <w:szCs w:val="16"/>
                <w:lang w:val="en-GB"/>
              </w:rPr>
              <w:t xml:space="preserve">The interbank rates ceased falling further. </w:t>
            </w:r>
          </w:p>
        </w:tc>
        <w:tc>
          <w:tcPr>
            <w:tcW w:w="144" w:type="pct"/>
          </w:tcPr>
          <w:p w:rsidR="00FF5899" w:rsidRPr="003E6E0D" w:rsidRDefault="00FF5899" w:rsidP="00260FBE">
            <w:pPr>
              <w:pStyle w:val="Textpoznpodarou"/>
              <w:jc w:val="both"/>
              <w:rPr>
                <w:highlight w:val="yellow"/>
              </w:rPr>
            </w:pPr>
          </w:p>
        </w:tc>
        <w:tc>
          <w:tcPr>
            <w:tcW w:w="3840" w:type="pct"/>
            <w:gridSpan w:val="2"/>
          </w:tcPr>
          <w:p w:rsidR="00FF5899" w:rsidRDefault="00FF5899" w:rsidP="00E42070">
            <w:pPr>
              <w:pStyle w:val="Textpoznpodarou"/>
              <w:jc w:val="both"/>
              <w:rPr>
                <w:sz w:val="16"/>
                <w:szCs w:val="16"/>
              </w:rPr>
            </w:pPr>
            <w:r>
              <w:rPr>
                <w:spacing w:val="-2"/>
                <w:lang w:val="en-GB"/>
              </w:rPr>
              <w:t xml:space="preserve">Despite the constant monetary policy rates (both Czech and European), the trend shifted for the interbank interest rates, which started to slightly grow after more than four-year period of fall. The three-month rate PRIBOR increased by 0.01 p.p. to 0.29% in April and subsequently to value 0.30% in May, where it remained. The annual PRIBOR increased from the March 0.44% to 0.45% and then to 0.46%. The yields of government bonds, which grew mildly during Q1 still slightly increased in April, then they however kept falling (medium term and short-term bonds) or stayed nearly the same (short term bonds). The yield on two-year bonds still remains negative, the interest rate for the medium-term bonds again moved narrowly below zero in June. </w:t>
            </w:r>
          </w:p>
          <w:p w:rsidR="00FF5899" w:rsidRPr="00B07108" w:rsidRDefault="00FF5899" w:rsidP="00E42070">
            <w:pPr>
              <w:pStyle w:val="Textpoznpodarou"/>
              <w:jc w:val="both"/>
              <w:rPr>
                <w:sz w:val="16"/>
                <w:szCs w:val="16"/>
              </w:rPr>
            </w:pPr>
          </w:p>
        </w:tc>
      </w:tr>
      <w:tr w:rsidR="00FF5899" w:rsidRPr="00A74192" w:rsidTr="00260FBE">
        <w:trPr>
          <w:trHeight w:val="1114"/>
        </w:trPr>
        <w:tc>
          <w:tcPr>
            <w:tcW w:w="1016" w:type="pct"/>
            <w:shd w:val="clear" w:color="auto" w:fill="auto"/>
          </w:tcPr>
          <w:p w:rsidR="00FF5899" w:rsidRDefault="00FF5899" w:rsidP="00260FBE">
            <w:pPr>
              <w:spacing w:line="240" w:lineRule="auto"/>
              <w:rPr>
                <w:color w:val="000000" w:themeColor="text1"/>
                <w:sz w:val="16"/>
                <w:szCs w:val="16"/>
                <w:lang w:val="en-GB"/>
              </w:rPr>
            </w:pPr>
            <w:r>
              <w:rPr>
                <w:color w:val="000000" w:themeColor="text1"/>
                <w:sz w:val="16"/>
                <w:szCs w:val="16"/>
                <w:lang w:val="en-GB"/>
              </w:rPr>
              <w:t>The growth of the amount of money in the economy accelerated</w:t>
            </w:r>
            <w:r w:rsidRPr="005D2208">
              <w:rPr>
                <w:color w:val="000000" w:themeColor="text1"/>
                <w:sz w:val="16"/>
                <w:szCs w:val="16"/>
              </w:rPr>
              <w:t>.</w:t>
            </w:r>
          </w:p>
        </w:tc>
        <w:tc>
          <w:tcPr>
            <w:tcW w:w="144" w:type="pct"/>
          </w:tcPr>
          <w:p w:rsidR="00FF5899" w:rsidRPr="003E6E0D" w:rsidRDefault="00FF5899" w:rsidP="00260FBE">
            <w:pPr>
              <w:pStyle w:val="Textpoznpodarou"/>
              <w:jc w:val="both"/>
              <w:rPr>
                <w:highlight w:val="yellow"/>
              </w:rPr>
            </w:pPr>
          </w:p>
        </w:tc>
        <w:tc>
          <w:tcPr>
            <w:tcW w:w="3840" w:type="pct"/>
            <w:gridSpan w:val="2"/>
          </w:tcPr>
          <w:p w:rsidR="00FF5899" w:rsidRPr="00985B15" w:rsidRDefault="00FF5899" w:rsidP="00486640">
            <w:pPr>
              <w:pStyle w:val="Textpoznpodarou"/>
              <w:jc w:val="both"/>
              <w:rPr>
                <w:sz w:val="16"/>
                <w:szCs w:val="16"/>
                <w:lang w:val="en-GB"/>
              </w:rPr>
            </w:pPr>
            <w:r w:rsidRPr="00985B15">
              <w:rPr>
                <w:lang w:val="en-GB"/>
              </w:rPr>
              <w:t>Year-on-year growth of the amount of money in the economy accelerated during the first half of the year and crossed 10.0</w:t>
            </w:r>
            <w:r>
              <w:rPr>
                <w:lang w:val="en-GB"/>
              </w:rPr>
              <w:t>%</w:t>
            </w:r>
            <w:r w:rsidRPr="00985B15">
              <w:rPr>
                <w:lang w:val="en-GB"/>
              </w:rPr>
              <w:t>. In Q2, the money stock increased by 12.5</w:t>
            </w:r>
            <w:r>
              <w:rPr>
                <w:lang w:val="en-GB"/>
              </w:rPr>
              <w:t>%</w:t>
            </w:r>
            <w:r w:rsidRPr="00985B15">
              <w:rPr>
                <w:lang w:val="en-GB"/>
              </w:rPr>
              <w:t xml:space="preserve"> year-on-year. One</w:t>
            </w:r>
            <w:r>
              <w:rPr>
                <w:lang w:val="en-GB"/>
              </w:rPr>
              <w:t xml:space="preserve">-day deposits, which grew by </w:t>
            </w:r>
            <w:proofErr w:type="gramStart"/>
            <w:r>
              <w:rPr>
                <w:lang w:val="en-GB"/>
              </w:rPr>
              <w:t>14.</w:t>
            </w:r>
            <w:r w:rsidRPr="00985B15">
              <w:rPr>
                <w:lang w:val="en-GB"/>
              </w:rPr>
              <w:t>7</w:t>
            </w:r>
            <w:r>
              <w:rPr>
                <w:lang w:val="en-GB"/>
              </w:rPr>
              <w:t>%</w:t>
            </w:r>
            <w:proofErr w:type="gramEnd"/>
            <w:r w:rsidRPr="00985B15">
              <w:rPr>
                <w:lang w:val="en-GB"/>
              </w:rPr>
              <w:t xml:space="preserve"> were the main factor behind the growth. The volume of repo operations and </w:t>
            </w:r>
            <w:r>
              <w:rPr>
                <w:lang w:val="en-GB"/>
              </w:rPr>
              <w:t xml:space="preserve">participation certificates </w:t>
            </w:r>
            <w:r w:rsidRPr="00985B15">
              <w:rPr>
                <w:lang w:val="en-GB"/>
              </w:rPr>
              <w:t xml:space="preserve">grew </w:t>
            </w:r>
            <w:proofErr w:type="gramStart"/>
            <w:r w:rsidRPr="00985B15">
              <w:rPr>
                <w:lang w:val="en-GB"/>
              </w:rPr>
              <w:t>sharply,</w:t>
            </w:r>
            <w:proofErr w:type="gramEnd"/>
            <w:r w:rsidRPr="00985B15">
              <w:rPr>
                <w:lang w:val="en-GB"/>
              </w:rPr>
              <w:t xml:space="preserve"> they however form only a small </w:t>
            </w:r>
            <w:r>
              <w:rPr>
                <w:lang w:val="en-GB"/>
              </w:rPr>
              <w:t xml:space="preserve">fraction </w:t>
            </w:r>
            <w:r w:rsidRPr="00985B15">
              <w:rPr>
                <w:lang w:val="en-GB"/>
              </w:rPr>
              <w:t xml:space="preserve">of the total volume of money. On the contrary, the fall of the volume of </w:t>
            </w:r>
            <w:r>
              <w:rPr>
                <w:lang w:val="en-GB"/>
              </w:rPr>
              <w:t>deposits with agreed maturity</w:t>
            </w:r>
            <w:r w:rsidRPr="00985B15">
              <w:rPr>
                <w:lang w:val="en-GB"/>
              </w:rPr>
              <w:t xml:space="preserve">, which notably decreased in 2016, mildly weakened. </w:t>
            </w:r>
          </w:p>
          <w:p w:rsidR="00FF5899" w:rsidRDefault="00FF5899" w:rsidP="00E42070">
            <w:pPr>
              <w:pStyle w:val="Textpoznpodarou"/>
              <w:jc w:val="both"/>
              <w:rPr>
                <w:spacing w:val="-2"/>
                <w:lang w:val="en-GB"/>
              </w:rPr>
            </w:pPr>
          </w:p>
          <w:p w:rsidR="00FF5899" w:rsidRDefault="00FF5899" w:rsidP="00E42070">
            <w:pPr>
              <w:pStyle w:val="Textpoznpodarou"/>
              <w:jc w:val="both"/>
              <w:rPr>
                <w:spacing w:val="-2"/>
                <w:lang w:val="en-GB"/>
              </w:rPr>
            </w:pPr>
          </w:p>
          <w:p w:rsidR="00FA4BFF" w:rsidRDefault="00FA4BFF" w:rsidP="00E42070">
            <w:pPr>
              <w:pStyle w:val="Textpoznpodarou"/>
              <w:jc w:val="both"/>
              <w:rPr>
                <w:spacing w:val="-2"/>
                <w:lang w:val="en-GB"/>
              </w:rPr>
            </w:pPr>
          </w:p>
          <w:p w:rsidR="00FF5899" w:rsidRDefault="00FF5899" w:rsidP="00E42070">
            <w:pPr>
              <w:pStyle w:val="Textpoznpodarou"/>
              <w:jc w:val="both"/>
              <w:rPr>
                <w:spacing w:val="-2"/>
                <w:lang w:val="en-GB"/>
              </w:rPr>
            </w:pPr>
          </w:p>
          <w:p w:rsidR="001630DB" w:rsidRDefault="001630DB" w:rsidP="00E42070">
            <w:pPr>
              <w:pStyle w:val="Textpoznpodarou"/>
              <w:jc w:val="both"/>
              <w:rPr>
                <w:spacing w:val="-2"/>
                <w:lang w:val="en-GB"/>
              </w:rPr>
            </w:pPr>
          </w:p>
          <w:p w:rsidR="001630DB" w:rsidRDefault="001630DB" w:rsidP="00E42070">
            <w:pPr>
              <w:pStyle w:val="Textpoznpodarou"/>
              <w:jc w:val="both"/>
              <w:rPr>
                <w:spacing w:val="-2"/>
                <w:lang w:val="en-GB"/>
              </w:rPr>
            </w:pPr>
          </w:p>
          <w:p w:rsidR="001630DB" w:rsidRDefault="001630DB" w:rsidP="00E42070">
            <w:pPr>
              <w:pStyle w:val="Textpoznpodarou"/>
              <w:jc w:val="both"/>
              <w:rPr>
                <w:spacing w:val="-2"/>
                <w:lang w:val="en-GB"/>
              </w:rPr>
            </w:pPr>
          </w:p>
          <w:p w:rsidR="001630DB" w:rsidRDefault="001630DB" w:rsidP="00E42070">
            <w:pPr>
              <w:pStyle w:val="Textpoznpodarou"/>
              <w:jc w:val="both"/>
              <w:rPr>
                <w:spacing w:val="-2"/>
                <w:lang w:val="en-GB"/>
              </w:rPr>
            </w:pPr>
          </w:p>
          <w:p w:rsidR="001630DB" w:rsidRDefault="001630DB" w:rsidP="00E42070">
            <w:pPr>
              <w:pStyle w:val="Textpoznpodarou"/>
              <w:jc w:val="both"/>
              <w:rPr>
                <w:spacing w:val="-2"/>
                <w:lang w:val="en-GB"/>
              </w:rPr>
            </w:pPr>
          </w:p>
          <w:p w:rsidR="001630DB" w:rsidRDefault="001630DB" w:rsidP="00E42070">
            <w:pPr>
              <w:pStyle w:val="Textpoznpodarou"/>
              <w:jc w:val="both"/>
              <w:rPr>
                <w:spacing w:val="-2"/>
                <w:lang w:val="en-GB"/>
              </w:rPr>
            </w:pPr>
          </w:p>
          <w:p w:rsidR="001630DB" w:rsidRDefault="001630DB" w:rsidP="00E42070">
            <w:pPr>
              <w:pStyle w:val="Textpoznpodarou"/>
              <w:jc w:val="both"/>
              <w:rPr>
                <w:spacing w:val="-2"/>
                <w:lang w:val="en-GB"/>
              </w:rPr>
            </w:pPr>
          </w:p>
          <w:p w:rsidR="001630DB" w:rsidRDefault="001630DB" w:rsidP="00E42070">
            <w:pPr>
              <w:pStyle w:val="Textpoznpodarou"/>
              <w:jc w:val="both"/>
              <w:rPr>
                <w:spacing w:val="-2"/>
                <w:lang w:val="en-GB"/>
              </w:rPr>
            </w:pPr>
          </w:p>
          <w:p w:rsidR="001630DB" w:rsidRDefault="001630DB" w:rsidP="00E42070">
            <w:pPr>
              <w:pStyle w:val="Textpoznpodarou"/>
              <w:jc w:val="both"/>
              <w:rPr>
                <w:spacing w:val="-2"/>
                <w:lang w:val="en-GB"/>
              </w:rPr>
            </w:pPr>
          </w:p>
          <w:p w:rsidR="001630DB" w:rsidRDefault="001630DB" w:rsidP="00E42070">
            <w:pPr>
              <w:pStyle w:val="Textpoznpodarou"/>
              <w:jc w:val="both"/>
              <w:rPr>
                <w:spacing w:val="-2"/>
                <w:lang w:val="en-GB"/>
              </w:rPr>
            </w:pPr>
          </w:p>
          <w:p w:rsidR="001630DB" w:rsidRDefault="001630DB" w:rsidP="00E42070">
            <w:pPr>
              <w:pStyle w:val="Textpoznpodarou"/>
              <w:jc w:val="both"/>
              <w:rPr>
                <w:spacing w:val="-2"/>
                <w:lang w:val="en-GB"/>
              </w:rPr>
            </w:pPr>
          </w:p>
          <w:p w:rsidR="001630DB" w:rsidRDefault="001630DB" w:rsidP="00E42070">
            <w:pPr>
              <w:pStyle w:val="Textpoznpodarou"/>
              <w:jc w:val="both"/>
              <w:rPr>
                <w:spacing w:val="-2"/>
                <w:lang w:val="en-GB"/>
              </w:rPr>
            </w:pPr>
          </w:p>
          <w:p w:rsidR="001630DB" w:rsidRDefault="001630DB" w:rsidP="00E42070">
            <w:pPr>
              <w:pStyle w:val="Textpoznpodarou"/>
              <w:jc w:val="both"/>
              <w:rPr>
                <w:spacing w:val="-2"/>
                <w:lang w:val="en-GB"/>
              </w:rPr>
            </w:pPr>
          </w:p>
        </w:tc>
      </w:tr>
      <w:tr w:rsidR="00FF5899" w:rsidRPr="00A74192" w:rsidTr="00260FBE">
        <w:trPr>
          <w:trHeight w:val="145"/>
        </w:trPr>
        <w:tc>
          <w:tcPr>
            <w:tcW w:w="1016" w:type="pct"/>
            <w:shd w:val="clear" w:color="auto" w:fill="auto"/>
          </w:tcPr>
          <w:p w:rsidR="00FF5899" w:rsidRPr="005D2208" w:rsidRDefault="00FF5899" w:rsidP="00260FBE">
            <w:pPr>
              <w:spacing w:line="240" w:lineRule="auto"/>
              <w:rPr>
                <w:color w:val="000000" w:themeColor="text1"/>
                <w:sz w:val="16"/>
                <w:szCs w:val="16"/>
              </w:rPr>
            </w:pPr>
          </w:p>
        </w:tc>
        <w:tc>
          <w:tcPr>
            <w:tcW w:w="144" w:type="pct"/>
          </w:tcPr>
          <w:p w:rsidR="00FF5899" w:rsidRPr="003E6E0D" w:rsidRDefault="00FF5899" w:rsidP="00260FBE">
            <w:pPr>
              <w:pStyle w:val="Textpoznpodarou"/>
              <w:jc w:val="both"/>
            </w:pPr>
          </w:p>
        </w:tc>
        <w:tc>
          <w:tcPr>
            <w:tcW w:w="568" w:type="pct"/>
          </w:tcPr>
          <w:p w:rsidR="00FF5899" w:rsidRDefault="00FF5899" w:rsidP="00260FBE">
            <w:pPr>
              <w:pStyle w:val="Textpoznpodarou"/>
              <w:jc w:val="both"/>
            </w:pPr>
            <w:r>
              <w:t>Chart 18</w:t>
            </w:r>
          </w:p>
        </w:tc>
        <w:tc>
          <w:tcPr>
            <w:tcW w:w="3272" w:type="pct"/>
          </w:tcPr>
          <w:p w:rsidR="00FF5899" w:rsidRPr="00173D81" w:rsidRDefault="00FF5899" w:rsidP="00260FBE">
            <w:pPr>
              <w:pStyle w:val="Textpoznpodarou"/>
              <w:jc w:val="both"/>
              <w:rPr>
                <w:lang w:val="en-GB"/>
              </w:rPr>
            </w:pPr>
            <w:r w:rsidRPr="00173D81">
              <w:rPr>
                <w:b/>
                <w:lang w:val="en-GB"/>
              </w:rPr>
              <w:t xml:space="preserve">Market interest rates </w:t>
            </w:r>
            <w:r w:rsidRPr="00173D81">
              <w:rPr>
                <w:lang w:val="en-GB"/>
              </w:rPr>
              <w:t>(</w:t>
            </w:r>
            <w:r>
              <w:rPr>
                <w:lang w:val="en-GB"/>
              </w:rPr>
              <w:t>in %</w:t>
            </w:r>
            <w:r w:rsidRPr="00173D81">
              <w:rPr>
                <w:lang w:val="en-GB"/>
              </w:rPr>
              <w:t>)</w:t>
            </w:r>
          </w:p>
        </w:tc>
      </w:tr>
      <w:tr w:rsidR="00FF5899" w:rsidRPr="00A74192" w:rsidTr="00260FBE">
        <w:trPr>
          <w:trHeight w:val="145"/>
        </w:trPr>
        <w:tc>
          <w:tcPr>
            <w:tcW w:w="1016" w:type="pct"/>
            <w:shd w:val="clear" w:color="auto" w:fill="auto"/>
          </w:tcPr>
          <w:p w:rsidR="00FF5899" w:rsidRPr="005D2208" w:rsidRDefault="00FF5899" w:rsidP="00260FBE">
            <w:pPr>
              <w:spacing w:line="240" w:lineRule="auto"/>
              <w:rPr>
                <w:color w:val="000000" w:themeColor="text1"/>
                <w:sz w:val="16"/>
                <w:szCs w:val="16"/>
              </w:rPr>
            </w:pPr>
          </w:p>
        </w:tc>
        <w:tc>
          <w:tcPr>
            <w:tcW w:w="144" w:type="pct"/>
          </w:tcPr>
          <w:p w:rsidR="00FF5899" w:rsidRPr="003E6E0D" w:rsidRDefault="00FF5899" w:rsidP="00260FBE">
            <w:pPr>
              <w:pStyle w:val="Textpoznpodarou"/>
              <w:jc w:val="both"/>
            </w:pPr>
          </w:p>
        </w:tc>
        <w:tc>
          <w:tcPr>
            <w:tcW w:w="3840" w:type="pct"/>
            <w:gridSpan w:val="2"/>
          </w:tcPr>
          <w:p w:rsidR="00FF5899" w:rsidRPr="00985B15" w:rsidRDefault="00FF5899" w:rsidP="00260FBE">
            <w:pPr>
              <w:pStyle w:val="Textpoznpodarou"/>
              <w:jc w:val="right"/>
              <w:rPr>
                <w:sz w:val="14"/>
                <w:szCs w:val="14"/>
                <w:lang w:val="en-GB"/>
              </w:rPr>
            </w:pPr>
            <w:r w:rsidRPr="007502A6">
              <w:rPr>
                <w:noProof/>
              </w:rPr>
              <w:drawing>
                <wp:inline distT="0" distB="0" distL="0" distR="0">
                  <wp:extent cx="4737600" cy="3553200"/>
                  <wp:effectExtent l="0" t="0" r="0" b="0"/>
                  <wp:docPr id="4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985B15">
              <w:rPr>
                <w:sz w:val="14"/>
                <w:szCs w:val="14"/>
                <w:lang w:val="en-GB"/>
              </w:rPr>
              <w:t xml:space="preserve"> Source: CNB</w:t>
            </w:r>
          </w:p>
          <w:p w:rsidR="00FF5899" w:rsidRPr="00985B15" w:rsidRDefault="00FF5899" w:rsidP="007502A6">
            <w:pPr>
              <w:pStyle w:val="Textpoznpodarou"/>
              <w:rPr>
                <w:sz w:val="14"/>
                <w:szCs w:val="14"/>
                <w:lang w:val="en-GB"/>
              </w:rPr>
            </w:pPr>
          </w:p>
        </w:tc>
      </w:tr>
      <w:tr w:rsidR="00FF5899" w:rsidRPr="00A74192" w:rsidTr="00260FBE">
        <w:trPr>
          <w:trHeight w:val="145"/>
        </w:trPr>
        <w:tc>
          <w:tcPr>
            <w:tcW w:w="1016" w:type="pct"/>
            <w:shd w:val="clear" w:color="auto" w:fill="auto"/>
          </w:tcPr>
          <w:p w:rsidR="00FF5899" w:rsidRPr="009C3D95" w:rsidRDefault="00FF5899" w:rsidP="00260FBE">
            <w:pPr>
              <w:spacing w:line="240" w:lineRule="auto"/>
              <w:rPr>
                <w:color w:val="000000" w:themeColor="text1"/>
                <w:sz w:val="16"/>
                <w:szCs w:val="16"/>
                <w:highlight w:val="yellow"/>
                <w:lang w:val="en-GB"/>
              </w:rPr>
            </w:pPr>
            <w:r w:rsidRPr="009C3D95">
              <w:rPr>
                <w:color w:val="000000" w:themeColor="text1"/>
                <w:sz w:val="16"/>
                <w:szCs w:val="16"/>
                <w:lang w:val="en-GB"/>
              </w:rPr>
              <w:t>Deposit interest rates remain very low.</w:t>
            </w:r>
          </w:p>
        </w:tc>
        <w:tc>
          <w:tcPr>
            <w:tcW w:w="144" w:type="pct"/>
          </w:tcPr>
          <w:p w:rsidR="00FF5899" w:rsidRPr="009C3D95" w:rsidRDefault="00FF5899" w:rsidP="00260FBE">
            <w:pPr>
              <w:pStyle w:val="Textpoznpodarou"/>
              <w:jc w:val="both"/>
              <w:rPr>
                <w:lang w:val="en-GB"/>
              </w:rPr>
            </w:pPr>
          </w:p>
        </w:tc>
        <w:tc>
          <w:tcPr>
            <w:tcW w:w="3840" w:type="pct"/>
            <w:gridSpan w:val="2"/>
          </w:tcPr>
          <w:p w:rsidR="00FF5899" w:rsidRPr="009C3D95" w:rsidRDefault="00FF5899" w:rsidP="00260FBE">
            <w:pPr>
              <w:pStyle w:val="Textpoznpodarou"/>
              <w:jc w:val="both"/>
              <w:rPr>
                <w:sz w:val="16"/>
                <w:szCs w:val="16"/>
                <w:lang w:val="en-GB"/>
              </w:rPr>
            </w:pPr>
            <w:r>
              <w:rPr>
                <w:lang w:val="en-GB"/>
              </w:rPr>
              <w:t>The situation remained practically the same for the deposit interest rates. The current accounts of households held nearly zero interest – the average rate was 0.04% in May and June. The short-term oscillation for deposits with agreed maturity</w:t>
            </w:r>
            <w:r w:rsidRPr="009C3D95">
              <w:rPr>
                <w:lang w:val="en-GB"/>
              </w:rPr>
              <w:t xml:space="preserve"> </w:t>
            </w:r>
            <w:r>
              <w:rPr>
                <w:lang w:val="en-GB"/>
              </w:rPr>
              <w:t xml:space="preserve">in February to April, when the interest grew, returned to the long-term trend – the average rates fell by 0.34 p. p. from April till June and ended on </w:t>
            </w:r>
            <w:r w:rsidRPr="009C3D95">
              <w:rPr>
                <w:lang w:val="en-GB"/>
              </w:rPr>
              <w:t>0</w:t>
            </w:r>
            <w:r>
              <w:rPr>
                <w:lang w:val="en-GB"/>
              </w:rPr>
              <w:t>.</w:t>
            </w:r>
            <w:r w:rsidRPr="009C3D95">
              <w:rPr>
                <w:lang w:val="en-GB"/>
              </w:rPr>
              <w:t>64</w:t>
            </w:r>
            <w:r>
              <w:rPr>
                <w:lang w:val="en-GB"/>
              </w:rPr>
              <w:t>%</w:t>
            </w:r>
            <w:r w:rsidRPr="009C3D95">
              <w:rPr>
                <w:lang w:val="en-GB"/>
              </w:rPr>
              <w:t xml:space="preserve">. </w:t>
            </w:r>
            <w:r>
              <w:rPr>
                <w:lang w:val="en-GB"/>
              </w:rPr>
              <w:t xml:space="preserve">However, in contrast to the previous two years, the low interests were not accompanied by nearly zero price growth. The deposits are thus losing the real value. Entrepreneurs did not have many options, how to keep the value of their money either. The rates on all types of accounts nearly unified and fluctuated between </w:t>
            </w:r>
            <w:r w:rsidRPr="009C3D95">
              <w:rPr>
                <w:lang w:val="en-GB"/>
              </w:rPr>
              <w:t>0</w:t>
            </w:r>
            <w:r>
              <w:rPr>
                <w:lang w:val="en-GB"/>
              </w:rPr>
              <w:t>.</w:t>
            </w:r>
            <w:r w:rsidRPr="009C3D95">
              <w:rPr>
                <w:lang w:val="en-GB"/>
              </w:rPr>
              <w:t>03</w:t>
            </w:r>
            <w:r>
              <w:rPr>
                <w:lang w:val="en-GB"/>
              </w:rPr>
              <w:t>%</w:t>
            </w:r>
            <w:r w:rsidRPr="009C3D95">
              <w:rPr>
                <w:lang w:val="en-GB"/>
              </w:rPr>
              <w:t xml:space="preserve"> a</w:t>
            </w:r>
            <w:r>
              <w:rPr>
                <w:lang w:val="en-GB"/>
              </w:rPr>
              <w:t>nd</w:t>
            </w:r>
            <w:r w:rsidRPr="009C3D95">
              <w:rPr>
                <w:lang w:val="en-GB"/>
              </w:rPr>
              <w:t xml:space="preserve"> 0</w:t>
            </w:r>
            <w:r>
              <w:rPr>
                <w:lang w:val="en-GB"/>
              </w:rPr>
              <w:t>.</w:t>
            </w:r>
            <w:r w:rsidRPr="009C3D95">
              <w:rPr>
                <w:lang w:val="en-GB"/>
              </w:rPr>
              <w:t>05</w:t>
            </w:r>
            <w:r>
              <w:rPr>
                <w:lang w:val="en-GB"/>
              </w:rPr>
              <w:t>%</w:t>
            </w:r>
            <w:r w:rsidRPr="009C3D95">
              <w:rPr>
                <w:lang w:val="en-GB"/>
              </w:rPr>
              <w:t xml:space="preserve">. </w:t>
            </w:r>
          </w:p>
          <w:p w:rsidR="00FF5899" w:rsidRPr="009C3D95" w:rsidRDefault="00FF5899" w:rsidP="00260FBE">
            <w:pPr>
              <w:pStyle w:val="Textpoznpodarou"/>
              <w:jc w:val="both"/>
              <w:rPr>
                <w:sz w:val="16"/>
                <w:szCs w:val="16"/>
                <w:lang w:val="en-GB"/>
              </w:rPr>
            </w:pPr>
            <w:r w:rsidRPr="009C3D95">
              <w:rPr>
                <w:lang w:val="en-GB"/>
              </w:rPr>
              <w:t xml:space="preserve"> </w:t>
            </w:r>
          </w:p>
        </w:tc>
      </w:tr>
      <w:tr w:rsidR="00FF5899" w:rsidRPr="00A74192" w:rsidTr="00260FBE">
        <w:trPr>
          <w:trHeight w:val="145"/>
        </w:trPr>
        <w:tc>
          <w:tcPr>
            <w:tcW w:w="1016" w:type="pct"/>
            <w:shd w:val="clear" w:color="auto" w:fill="auto"/>
          </w:tcPr>
          <w:p w:rsidR="00FF5899" w:rsidRPr="006436E8" w:rsidRDefault="00FF5899" w:rsidP="00260FBE">
            <w:pPr>
              <w:spacing w:line="240" w:lineRule="auto"/>
              <w:rPr>
                <w:color w:val="000000" w:themeColor="text1"/>
                <w:sz w:val="16"/>
                <w:szCs w:val="16"/>
                <w:lang w:val="en-GB"/>
              </w:rPr>
            </w:pPr>
            <w:r w:rsidRPr="006436E8">
              <w:rPr>
                <w:color w:val="000000" w:themeColor="text1"/>
                <w:sz w:val="16"/>
                <w:szCs w:val="16"/>
                <w:lang w:val="en-GB"/>
              </w:rPr>
              <w:t>Both households and businesses made use of lasting low rates on credit…</w:t>
            </w:r>
          </w:p>
        </w:tc>
        <w:tc>
          <w:tcPr>
            <w:tcW w:w="144" w:type="pct"/>
          </w:tcPr>
          <w:p w:rsidR="00FF5899" w:rsidRPr="006436E8" w:rsidRDefault="00FF5899" w:rsidP="00260FBE">
            <w:pPr>
              <w:pStyle w:val="Textpoznpodarou"/>
              <w:jc w:val="both"/>
              <w:rPr>
                <w:lang w:val="en-GB"/>
              </w:rPr>
            </w:pPr>
          </w:p>
        </w:tc>
        <w:tc>
          <w:tcPr>
            <w:tcW w:w="3840" w:type="pct"/>
            <w:gridSpan w:val="2"/>
          </w:tcPr>
          <w:p w:rsidR="00FF5899" w:rsidRDefault="00FF5899" w:rsidP="0013249D">
            <w:pPr>
              <w:pStyle w:val="Textpoznpodarou"/>
              <w:jc w:val="both"/>
              <w:rPr>
                <w:lang w:val="en-GB"/>
              </w:rPr>
            </w:pPr>
            <w:r>
              <w:rPr>
                <w:lang w:val="en-GB"/>
              </w:rPr>
              <w:t xml:space="preserve">The rates for credit to households developed in a varied manner depending on the type and term of the fixed rate credit, nonetheless the several years lasting fall halted at the turn of years 2016 and 2017 </w:t>
            </w:r>
            <w:r w:rsidRPr="006436E8">
              <w:rPr>
                <w:lang w:val="en-GB"/>
              </w:rPr>
              <w:t>a</w:t>
            </w:r>
            <w:r>
              <w:rPr>
                <w:lang w:val="en-GB"/>
              </w:rPr>
              <w:t xml:space="preserve">nd the rates were rather stagnating. The mild drop continued for interests on the consumer credit, which fell for the first time on average below 10.0% in the past quarter. Their average interest was 9.32% in June 2017. The rates started to slightly grow for the thoroughly watched mortgages already in December of the last year. Very mild growth continued also this year. The rates on fixed rate credits with terms between </w:t>
            </w:r>
            <w:r w:rsidRPr="006436E8">
              <w:rPr>
                <w:lang w:val="en-GB"/>
              </w:rPr>
              <w:t>1 a</w:t>
            </w:r>
            <w:r>
              <w:rPr>
                <w:lang w:val="en-GB"/>
              </w:rPr>
              <w:t xml:space="preserve">nd 5 years increased from </w:t>
            </w:r>
            <w:r w:rsidRPr="006436E8">
              <w:rPr>
                <w:lang w:val="en-GB"/>
              </w:rPr>
              <w:t>2</w:t>
            </w:r>
            <w:r>
              <w:rPr>
                <w:lang w:val="en-GB"/>
              </w:rPr>
              <w:t>.</w:t>
            </w:r>
            <w:r w:rsidRPr="006436E8">
              <w:rPr>
                <w:lang w:val="en-GB"/>
              </w:rPr>
              <w:t>18</w:t>
            </w:r>
            <w:r>
              <w:rPr>
                <w:lang w:val="en-GB"/>
              </w:rPr>
              <w:t>%</w:t>
            </w:r>
            <w:r w:rsidRPr="006436E8">
              <w:rPr>
                <w:lang w:val="en-GB"/>
              </w:rPr>
              <w:t xml:space="preserve"> </w:t>
            </w:r>
            <w:r>
              <w:rPr>
                <w:lang w:val="en-GB"/>
              </w:rPr>
              <w:t xml:space="preserve">in March to </w:t>
            </w:r>
            <w:r w:rsidRPr="006436E8">
              <w:rPr>
                <w:lang w:val="en-GB"/>
              </w:rPr>
              <w:t>2</w:t>
            </w:r>
            <w:r>
              <w:rPr>
                <w:lang w:val="en-GB"/>
              </w:rPr>
              <w:t>.</w:t>
            </w:r>
            <w:r w:rsidRPr="006436E8">
              <w:rPr>
                <w:lang w:val="en-GB"/>
              </w:rPr>
              <w:t>22</w:t>
            </w:r>
            <w:r>
              <w:rPr>
                <w:lang w:val="en-GB"/>
              </w:rPr>
              <w:t>%</w:t>
            </w:r>
            <w:r w:rsidRPr="006436E8">
              <w:rPr>
                <w:lang w:val="en-GB"/>
              </w:rPr>
              <w:t xml:space="preserve"> </w:t>
            </w:r>
            <w:r>
              <w:rPr>
                <w:lang w:val="en-GB"/>
              </w:rPr>
              <w:t xml:space="preserve">in June </w:t>
            </w:r>
            <w:r w:rsidRPr="006436E8">
              <w:rPr>
                <w:lang w:val="en-GB"/>
              </w:rPr>
              <w:t xml:space="preserve">2017. </w:t>
            </w:r>
            <w:r>
              <w:rPr>
                <w:lang w:val="en-GB"/>
              </w:rPr>
              <w:t xml:space="preserve">They increased for terms of the fixed rate credit between </w:t>
            </w:r>
            <w:r w:rsidRPr="006436E8">
              <w:rPr>
                <w:lang w:val="en-GB"/>
              </w:rPr>
              <w:t>5 a</w:t>
            </w:r>
            <w:r>
              <w:rPr>
                <w:lang w:val="en-GB"/>
              </w:rPr>
              <w:t>nd</w:t>
            </w:r>
            <w:r w:rsidRPr="006436E8">
              <w:rPr>
                <w:lang w:val="en-GB"/>
              </w:rPr>
              <w:t xml:space="preserve"> 10 </w:t>
            </w:r>
            <w:r>
              <w:rPr>
                <w:lang w:val="en-GB"/>
              </w:rPr>
              <w:t>years</w:t>
            </w:r>
            <w:r w:rsidRPr="006436E8">
              <w:rPr>
                <w:lang w:val="en-GB"/>
              </w:rPr>
              <w:t xml:space="preserve"> </w:t>
            </w:r>
            <w:r>
              <w:rPr>
                <w:lang w:val="en-GB"/>
              </w:rPr>
              <w:t xml:space="preserve">from 2.11% to 2.18% for the same time period. The interest rates on credit to non-financial business also ceased falling, but they were mildly fluctuating above the level from the end of year 2016. </w:t>
            </w:r>
          </w:p>
          <w:p w:rsidR="00FF5899" w:rsidRPr="006436E8" w:rsidRDefault="00FF5899" w:rsidP="0013249D">
            <w:pPr>
              <w:pStyle w:val="Textpoznpodarou"/>
              <w:jc w:val="both"/>
              <w:rPr>
                <w:sz w:val="16"/>
                <w:szCs w:val="16"/>
                <w:lang w:val="en-GB"/>
              </w:rPr>
            </w:pPr>
          </w:p>
        </w:tc>
      </w:tr>
      <w:tr w:rsidR="00FF5899" w:rsidRPr="00A74192" w:rsidTr="00260FBE">
        <w:trPr>
          <w:trHeight w:val="145"/>
        </w:trPr>
        <w:tc>
          <w:tcPr>
            <w:tcW w:w="1016" w:type="pct"/>
            <w:shd w:val="clear" w:color="auto" w:fill="auto"/>
          </w:tcPr>
          <w:p w:rsidR="00FF5899" w:rsidRPr="007A4BC3" w:rsidRDefault="00FF5899" w:rsidP="00260FBE">
            <w:pPr>
              <w:spacing w:line="240" w:lineRule="auto"/>
              <w:rPr>
                <w:color w:val="000000" w:themeColor="text1"/>
                <w:sz w:val="16"/>
                <w:szCs w:val="16"/>
                <w:highlight w:val="yellow"/>
                <w:lang w:val="en-GB"/>
              </w:rPr>
            </w:pPr>
            <w:r w:rsidRPr="007A4BC3">
              <w:rPr>
                <w:color w:val="000000" w:themeColor="text1"/>
                <w:sz w:val="16"/>
                <w:szCs w:val="16"/>
                <w:lang w:val="en-GB"/>
              </w:rPr>
              <w:t xml:space="preserve">…the volume of both the provided mortgages and credit to non-financial businesses increased. </w:t>
            </w:r>
          </w:p>
        </w:tc>
        <w:tc>
          <w:tcPr>
            <w:tcW w:w="144" w:type="pct"/>
          </w:tcPr>
          <w:p w:rsidR="00FF5899" w:rsidRPr="007A4BC3" w:rsidRDefault="00FF5899" w:rsidP="00260FBE">
            <w:pPr>
              <w:pStyle w:val="Textpoznpodarou"/>
              <w:jc w:val="both"/>
              <w:rPr>
                <w:highlight w:val="yellow"/>
                <w:lang w:val="en-GB"/>
              </w:rPr>
            </w:pPr>
          </w:p>
        </w:tc>
        <w:tc>
          <w:tcPr>
            <w:tcW w:w="3840" w:type="pct"/>
            <w:gridSpan w:val="2"/>
          </w:tcPr>
          <w:p w:rsidR="00FF5899" w:rsidRPr="007A4BC3" w:rsidRDefault="00FF5899" w:rsidP="00260FBE">
            <w:pPr>
              <w:pStyle w:val="Textpoznpodarou"/>
              <w:jc w:val="both"/>
              <w:rPr>
                <w:sz w:val="16"/>
                <w:szCs w:val="16"/>
                <w:lang w:val="en-GB"/>
              </w:rPr>
            </w:pPr>
            <w:r>
              <w:rPr>
                <w:lang w:val="en-GB"/>
              </w:rPr>
              <w:t xml:space="preserve">The volume of credit provided to households expanded by 32.4 CZK </w:t>
            </w:r>
            <w:proofErr w:type="spellStart"/>
            <w:r>
              <w:rPr>
                <w:lang w:val="en-GB"/>
              </w:rPr>
              <w:t>bn</w:t>
            </w:r>
            <w:proofErr w:type="spellEnd"/>
            <w:r>
              <w:rPr>
                <w:lang w:val="en-GB"/>
              </w:rPr>
              <w:t xml:space="preserve"> during Q2. The mortgages were forming most of this increase. The volume of the provided mortgages expanded by 25.7 </w:t>
            </w:r>
            <w:proofErr w:type="spellStart"/>
            <w:r>
              <w:rPr>
                <w:lang w:val="en-GB"/>
              </w:rPr>
              <w:t>bn</w:t>
            </w:r>
            <w:proofErr w:type="spellEnd"/>
            <w:r>
              <w:rPr>
                <w:lang w:val="en-GB"/>
              </w:rPr>
              <w:t xml:space="preserve"> and followed thus in the extraordinarily strong increase from the previous quarter. The volume of credit and liabilities of the non-financial businesses expanded by 17.9 </w:t>
            </w:r>
            <w:proofErr w:type="spellStart"/>
            <w:r>
              <w:rPr>
                <w:lang w:val="en-GB"/>
              </w:rPr>
              <w:t>bn</w:t>
            </w:r>
            <w:proofErr w:type="spellEnd"/>
            <w:r>
              <w:rPr>
                <w:lang w:val="en-GB"/>
              </w:rPr>
              <w:t xml:space="preserve"> during Q2. At the same time the growth of the volume of credit provided in foreign currency, which accelerated in the second half of the last year and in Q1 </w:t>
            </w:r>
            <w:r w:rsidRPr="007A4BC3">
              <w:rPr>
                <w:lang w:val="en-GB"/>
              </w:rPr>
              <w:t>2017</w:t>
            </w:r>
            <w:r>
              <w:rPr>
                <w:lang w:val="en-GB"/>
              </w:rPr>
              <w:t>, halted</w:t>
            </w:r>
            <w:r w:rsidRPr="007A4BC3">
              <w:rPr>
                <w:lang w:val="en-GB"/>
              </w:rPr>
              <w:t xml:space="preserve">. </w:t>
            </w:r>
            <w:r>
              <w:rPr>
                <w:lang w:val="en-GB"/>
              </w:rPr>
              <w:t xml:space="preserve">The volume of this credit still increased in April, however it was already falling both in May and June. </w:t>
            </w:r>
          </w:p>
          <w:p w:rsidR="00FF5899" w:rsidRDefault="00FF5899" w:rsidP="00260FBE">
            <w:pPr>
              <w:pStyle w:val="Textpoznpodarou"/>
              <w:jc w:val="both"/>
              <w:rPr>
                <w:sz w:val="16"/>
                <w:szCs w:val="16"/>
                <w:lang w:val="en-GB"/>
              </w:rPr>
            </w:pPr>
          </w:p>
          <w:p w:rsidR="00FF5899" w:rsidRDefault="00FF5899" w:rsidP="00260FBE">
            <w:pPr>
              <w:pStyle w:val="Textpoznpodarou"/>
              <w:jc w:val="both"/>
              <w:rPr>
                <w:sz w:val="16"/>
                <w:szCs w:val="16"/>
                <w:lang w:val="en-GB"/>
              </w:rPr>
            </w:pPr>
          </w:p>
          <w:p w:rsidR="00FF5899" w:rsidRDefault="00FF5899" w:rsidP="00260FBE">
            <w:pPr>
              <w:pStyle w:val="Textpoznpodarou"/>
              <w:jc w:val="both"/>
              <w:rPr>
                <w:sz w:val="16"/>
                <w:szCs w:val="16"/>
                <w:lang w:val="en-GB"/>
              </w:rPr>
            </w:pPr>
          </w:p>
          <w:p w:rsidR="00FF5899" w:rsidRPr="007A4BC3" w:rsidRDefault="00FF5899" w:rsidP="00260FBE">
            <w:pPr>
              <w:pStyle w:val="Textpoznpodarou"/>
              <w:jc w:val="both"/>
              <w:rPr>
                <w:sz w:val="16"/>
                <w:szCs w:val="16"/>
                <w:lang w:val="en-GB"/>
              </w:rPr>
            </w:pPr>
          </w:p>
        </w:tc>
      </w:tr>
      <w:tr w:rsidR="00FF5899" w:rsidRPr="00AA4A76" w:rsidTr="00260FBE">
        <w:trPr>
          <w:trHeight w:val="145"/>
        </w:trPr>
        <w:tc>
          <w:tcPr>
            <w:tcW w:w="1016" w:type="pct"/>
            <w:shd w:val="clear" w:color="auto" w:fill="auto"/>
          </w:tcPr>
          <w:p w:rsidR="00FF5899" w:rsidRPr="00AA4A76" w:rsidRDefault="00FF5899" w:rsidP="00260FBE">
            <w:pPr>
              <w:spacing w:line="240" w:lineRule="auto"/>
              <w:jc w:val="center"/>
              <w:rPr>
                <w:color w:val="000000"/>
                <w:szCs w:val="20"/>
              </w:rPr>
            </w:pPr>
          </w:p>
        </w:tc>
        <w:tc>
          <w:tcPr>
            <w:tcW w:w="144" w:type="pct"/>
          </w:tcPr>
          <w:p w:rsidR="00FF5899" w:rsidRPr="00AA4A76" w:rsidRDefault="00FF5899" w:rsidP="00260FBE">
            <w:pPr>
              <w:pStyle w:val="Textpoznpodarou"/>
              <w:jc w:val="both"/>
              <w:rPr>
                <w:highlight w:val="yellow"/>
              </w:rPr>
            </w:pPr>
          </w:p>
        </w:tc>
        <w:tc>
          <w:tcPr>
            <w:tcW w:w="568" w:type="pct"/>
          </w:tcPr>
          <w:p w:rsidR="00FF5899" w:rsidRPr="00AA4A76" w:rsidRDefault="00FF5899" w:rsidP="00717173">
            <w:pPr>
              <w:pStyle w:val="Textpoznpodarou"/>
              <w:jc w:val="both"/>
              <w:rPr>
                <w:highlight w:val="yellow"/>
              </w:rPr>
            </w:pPr>
            <w:r>
              <w:rPr>
                <w:color w:val="000000"/>
              </w:rPr>
              <w:t xml:space="preserve">Chart </w:t>
            </w:r>
            <w:r w:rsidRPr="00AA4A76">
              <w:rPr>
                <w:color w:val="000000"/>
              </w:rPr>
              <w:t>1</w:t>
            </w:r>
            <w:r>
              <w:rPr>
                <w:color w:val="000000"/>
              </w:rPr>
              <w:t>9</w:t>
            </w:r>
          </w:p>
        </w:tc>
        <w:tc>
          <w:tcPr>
            <w:tcW w:w="3272" w:type="pct"/>
          </w:tcPr>
          <w:p w:rsidR="00FF5899" w:rsidRPr="005F294D" w:rsidRDefault="00FF5899" w:rsidP="00260FBE">
            <w:pPr>
              <w:pStyle w:val="Textpoznpodarou"/>
              <w:jc w:val="both"/>
              <w:rPr>
                <w:highlight w:val="yellow"/>
                <w:lang w:val="en-GB"/>
              </w:rPr>
            </w:pPr>
            <w:r w:rsidRPr="005F294D">
              <w:rPr>
                <w:b/>
                <w:color w:val="000000" w:themeColor="text1"/>
                <w:lang w:val="en-GB"/>
              </w:rPr>
              <w:t xml:space="preserve">Credit provided to households </w:t>
            </w:r>
            <w:r w:rsidRPr="005F294D">
              <w:rPr>
                <w:color w:val="000000" w:themeColor="text1"/>
                <w:lang w:val="en-GB"/>
              </w:rPr>
              <w:t xml:space="preserve">(year-on-year growth, </w:t>
            </w:r>
            <w:r>
              <w:rPr>
                <w:color w:val="000000" w:themeColor="text1"/>
                <w:lang w:val="en-GB"/>
              </w:rPr>
              <w:t>in %</w:t>
            </w:r>
            <w:r w:rsidRPr="005F294D">
              <w:rPr>
                <w:color w:val="000000" w:themeColor="text1"/>
                <w:lang w:val="en-GB"/>
              </w:rPr>
              <w:t>)</w:t>
            </w:r>
          </w:p>
        </w:tc>
      </w:tr>
      <w:tr w:rsidR="00FF5899" w:rsidRPr="00A74192" w:rsidTr="00260FBE">
        <w:trPr>
          <w:trHeight w:val="145"/>
        </w:trPr>
        <w:tc>
          <w:tcPr>
            <w:tcW w:w="1016" w:type="pct"/>
            <w:shd w:val="clear" w:color="auto" w:fill="auto"/>
          </w:tcPr>
          <w:p w:rsidR="00FF5899" w:rsidRPr="006D3F53" w:rsidRDefault="00FF5899" w:rsidP="00260FBE">
            <w:pPr>
              <w:spacing w:line="240" w:lineRule="auto"/>
              <w:rPr>
                <w:color w:val="000000"/>
                <w:sz w:val="16"/>
                <w:szCs w:val="16"/>
                <w:highlight w:val="yellow"/>
              </w:rPr>
            </w:pPr>
          </w:p>
        </w:tc>
        <w:tc>
          <w:tcPr>
            <w:tcW w:w="144" w:type="pct"/>
          </w:tcPr>
          <w:p w:rsidR="00FF5899" w:rsidRPr="00A74192" w:rsidRDefault="00FF5899" w:rsidP="00260FBE">
            <w:pPr>
              <w:pStyle w:val="Textpoznpodarou"/>
              <w:jc w:val="both"/>
            </w:pPr>
          </w:p>
        </w:tc>
        <w:tc>
          <w:tcPr>
            <w:tcW w:w="3840" w:type="pct"/>
            <w:gridSpan w:val="2"/>
          </w:tcPr>
          <w:p w:rsidR="00FF5899" w:rsidRDefault="00FF5899" w:rsidP="00260FBE">
            <w:pPr>
              <w:pStyle w:val="Textpoznpodarou"/>
              <w:ind w:left="-124"/>
              <w:jc w:val="both"/>
              <w:rPr>
                <w:sz w:val="16"/>
                <w:szCs w:val="16"/>
              </w:rPr>
            </w:pPr>
            <w:r w:rsidRPr="007502A6">
              <w:rPr>
                <w:noProof/>
                <w:sz w:val="16"/>
                <w:szCs w:val="16"/>
              </w:rPr>
              <w:drawing>
                <wp:inline distT="0" distB="0" distL="0" distR="0">
                  <wp:extent cx="4737600" cy="3553200"/>
                  <wp:effectExtent l="19050" t="0" r="24900" b="9150"/>
                  <wp:docPr id="4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F5899" w:rsidRDefault="00FF5899" w:rsidP="00260FBE">
            <w:pPr>
              <w:pStyle w:val="Textpoznpodarou"/>
              <w:ind w:left="-124"/>
              <w:jc w:val="right"/>
              <w:rPr>
                <w:sz w:val="14"/>
                <w:szCs w:val="14"/>
              </w:rPr>
            </w:pPr>
            <w:proofErr w:type="spellStart"/>
            <w:r>
              <w:rPr>
                <w:sz w:val="14"/>
                <w:szCs w:val="14"/>
              </w:rPr>
              <w:t>Source</w:t>
            </w:r>
            <w:proofErr w:type="spellEnd"/>
            <w:r w:rsidRPr="00DE1460">
              <w:rPr>
                <w:sz w:val="14"/>
                <w:szCs w:val="14"/>
              </w:rPr>
              <w:t xml:space="preserve">: </w:t>
            </w:r>
            <w:r>
              <w:rPr>
                <w:sz w:val="14"/>
                <w:szCs w:val="14"/>
              </w:rPr>
              <w:t>CNB</w:t>
            </w:r>
          </w:p>
          <w:p w:rsidR="00FF5899" w:rsidRPr="003C20C4" w:rsidRDefault="00FF5899" w:rsidP="007502A6">
            <w:pPr>
              <w:pStyle w:val="Textpoznpodarou"/>
              <w:ind w:left="-124"/>
              <w:jc w:val="right"/>
              <w:rPr>
                <w:sz w:val="14"/>
                <w:szCs w:val="14"/>
              </w:rPr>
            </w:pPr>
          </w:p>
        </w:tc>
      </w:tr>
    </w:tbl>
    <w:p w:rsidR="008A03DE" w:rsidRPr="00CE7158" w:rsidRDefault="008A03DE" w:rsidP="001630DB">
      <w:pPr>
        <w:pStyle w:val="Nadpis1"/>
        <w:jc w:val="both"/>
        <w:rPr>
          <w:rFonts w:cs="Arial"/>
          <w:color w:val="000000"/>
          <w:sz w:val="10"/>
          <w:szCs w:val="10"/>
        </w:rPr>
      </w:pPr>
    </w:p>
    <w:sectPr w:rsidR="008A03DE" w:rsidRPr="00CE7158" w:rsidSect="001630DB">
      <w:headerReference w:type="even" r:id="rId11"/>
      <w:headerReference w:type="default" r:id="rId12"/>
      <w:footerReference w:type="even" r:id="rId13"/>
      <w:footerReference w:type="default" r:id="rId14"/>
      <w:type w:val="continuous"/>
      <w:pgSz w:w="11906" w:h="16838" w:code="9"/>
      <w:pgMar w:top="1134" w:right="1134" w:bottom="1418" w:left="1134" w:header="680" w:footer="680" w:gutter="0"/>
      <w:pgNumType w:start="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0C2" w:rsidRDefault="00CC60C2" w:rsidP="00E71A58">
      <w:r>
        <w:separator/>
      </w:r>
    </w:p>
  </w:endnote>
  <w:endnote w:type="continuationSeparator" w:id="0">
    <w:p w:rsidR="00CC60C2" w:rsidRDefault="00CC60C2"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Default="00486640"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a:ln w="9525">
                    <a:noFill/>
                    <a:miter lim="800000"/>
                    <a:headEnd/>
                    <a:tailEnd/>
                  </a:ln>
                </pic:spPr>
              </pic:pic>
            </a:graphicData>
          </a:graphic>
        </wp:anchor>
      </w:drawing>
    </w:r>
    <w:r w:rsidR="00FF775E" w:rsidRPr="005A21E0">
      <w:rPr>
        <w:rFonts w:ascii="Arial" w:hAnsi="Arial" w:cs="Arial"/>
        <w:sz w:val="16"/>
        <w:szCs w:val="16"/>
      </w:rPr>
      <w:fldChar w:fldCharType="begin"/>
    </w:r>
    <w:r w:rsidRPr="005A21E0">
      <w:rPr>
        <w:rFonts w:ascii="Arial" w:hAnsi="Arial" w:cs="Arial"/>
        <w:sz w:val="16"/>
        <w:szCs w:val="16"/>
      </w:rPr>
      <w:instrText>PAGE   \* MERGEFORMAT</w:instrText>
    </w:r>
    <w:r w:rsidR="00FF775E" w:rsidRPr="005A21E0">
      <w:rPr>
        <w:rFonts w:ascii="Arial" w:hAnsi="Arial" w:cs="Arial"/>
        <w:sz w:val="16"/>
        <w:szCs w:val="16"/>
      </w:rPr>
      <w:fldChar w:fldCharType="separate"/>
    </w:r>
    <w:r w:rsidR="001630DB">
      <w:rPr>
        <w:rFonts w:ascii="Arial" w:hAnsi="Arial" w:cs="Arial"/>
        <w:noProof/>
        <w:sz w:val="16"/>
        <w:szCs w:val="16"/>
      </w:rPr>
      <w:t>26</w:t>
    </w:r>
    <w:r w:rsidR="00FF775E" w:rsidRPr="005A21E0">
      <w:rPr>
        <w:rFonts w:ascii="Arial" w:hAnsi="Arial" w:cs="Arial"/>
        <w:sz w:val="16"/>
        <w:szCs w:val="16"/>
      </w:rPr>
      <w:fldChar w:fldCharType="end"/>
    </w:r>
    <w:r>
      <w:rPr>
        <w:rFonts w:ascii="Arial" w:hAnsi="Arial" w:cs="Arial"/>
        <w:sz w:val="16"/>
        <w:szCs w:val="16"/>
      </w:rPr>
      <w:tab/>
      <w:t>2017</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Default="006C21CE" w:rsidP="00357449">
    <w:pPr>
      <w:pStyle w:val="Zpat"/>
      <w:tabs>
        <w:tab w:val="clear" w:pos="4536"/>
        <w:tab w:val="clear" w:pos="9072"/>
        <w:tab w:val="left" w:pos="1134"/>
        <w:tab w:val="left" w:pos="1920"/>
        <w:tab w:val="center" w:pos="4820"/>
        <w:tab w:val="right" w:pos="9639"/>
      </w:tabs>
    </w:pPr>
    <w:r w:rsidRPr="006C21CE">
      <w:rPr>
        <w:noProof/>
        <w:lang w:eastAsia="cs-CZ"/>
      </w:rPr>
      <w:drawing>
        <wp:anchor distT="0" distB="0" distL="114300" distR="114300" simplePos="0" relativeHeight="251660800" behindDoc="0" locked="0" layoutInCell="1" allowOverlap="1">
          <wp:simplePos x="0" y="0"/>
          <wp:positionH relativeFrom="column">
            <wp:posOffset>35560</wp:posOffset>
          </wp:positionH>
          <wp:positionV relativeFrom="paragraph">
            <wp:posOffset>155575</wp:posOffset>
          </wp:positionV>
          <wp:extent cx="692150" cy="203200"/>
          <wp:effectExtent l="19050" t="0" r="0" b="0"/>
          <wp:wrapNone/>
          <wp:docPr id="9"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92150" cy="203200"/>
                  </a:xfrm>
                  <a:prstGeom prst="rect">
                    <a:avLst/>
                  </a:prstGeom>
                  <a:noFill/>
                  <a:ln w="9525">
                    <a:noFill/>
                    <a:miter lim="800000"/>
                    <a:headEnd/>
                    <a:tailEnd/>
                  </a:ln>
                </pic:spPr>
              </pic:pic>
            </a:graphicData>
          </a:graphic>
        </wp:anchor>
      </w:drawing>
    </w:r>
    <w:r w:rsidR="00486640">
      <w:tab/>
    </w:r>
    <w:r w:rsidR="00486640">
      <w:tab/>
    </w:r>
    <w:r w:rsidR="00486640" w:rsidRPr="00DC5B3B">
      <w:t xml:space="preserve">                              </w:t>
    </w:r>
  </w:p>
  <w:p w:rsidR="00486640" w:rsidRPr="00223E00" w:rsidRDefault="00486640"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Pr>
        <w:rFonts w:ascii="Arial" w:hAnsi="Arial" w:cs="Arial"/>
        <w:sz w:val="16"/>
        <w:szCs w:val="16"/>
      </w:rPr>
      <w:tab/>
    </w:r>
    <w:r w:rsidR="00FF775E"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FF775E" w:rsidRPr="00223E00">
      <w:rPr>
        <w:rFonts w:ascii="Arial" w:hAnsi="Arial" w:cs="Arial"/>
        <w:sz w:val="16"/>
        <w:szCs w:val="16"/>
      </w:rPr>
      <w:fldChar w:fldCharType="separate"/>
    </w:r>
    <w:r w:rsidR="001630DB">
      <w:rPr>
        <w:rFonts w:ascii="Arial" w:hAnsi="Arial" w:cs="Arial"/>
        <w:noProof/>
        <w:sz w:val="16"/>
        <w:szCs w:val="16"/>
      </w:rPr>
      <w:t>25</w:t>
    </w:r>
    <w:r w:rsidR="00FF775E"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0C2" w:rsidRDefault="00CC60C2" w:rsidP="00E71A58">
      <w:r>
        <w:separator/>
      </w:r>
    </w:p>
  </w:footnote>
  <w:footnote w:type="continuationSeparator" w:id="0">
    <w:p w:rsidR="00CC60C2" w:rsidRDefault="00CC60C2" w:rsidP="00E71A58">
      <w:r>
        <w:continuationSeparator/>
      </w:r>
    </w:p>
  </w:footnote>
  <w:footnote w:id="1">
    <w:p w:rsidR="00486640" w:rsidRDefault="00486640" w:rsidP="00E662D1">
      <w:pPr>
        <w:pStyle w:val="Textpoznpodarou"/>
        <w:jc w:val="both"/>
        <w:rPr>
          <w:sz w:val="16"/>
          <w:szCs w:val="16"/>
          <w:lang w:val="en-GB"/>
        </w:rPr>
      </w:pPr>
      <w:r>
        <w:rPr>
          <w:rStyle w:val="Znakapoznpodarou"/>
          <w:sz w:val="16"/>
          <w:szCs w:val="16"/>
          <w:lang w:val="en-GB"/>
        </w:rPr>
        <w:footnoteRef/>
      </w:r>
      <w:r>
        <w:rPr>
          <w:sz w:val="16"/>
          <w:szCs w:val="16"/>
          <w:lang w:val="en-GB"/>
        </w:rPr>
        <w:t xml:space="preserve"> </w:t>
      </w:r>
      <w:bookmarkStart w:id="2" w:name="_Hlk495612159"/>
      <w:proofErr w:type="gramStart"/>
      <w:r>
        <w:rPr>
          <w:sz w:val="16"/>
          <w:szCs w:val="16"/>
          <w:lang w:val="en-GB"/>
        </w:rPr>
        <w:t>The CNB data.</w:t>
      </w:r>
      <w:proofErr w:type="gramEnd"/>
      <w:r>
        <w:rPr>
          <w:sz w:val="16"/>
          <w:szCs w:val="16"/>
          <w:lang w:val="en-GB"/>
        </w:rPr>
        <w:t xml:space="preserve"> Unless stated otherwise, all data in this chapter have been taken over from the ARAD database of the Czech National Bank. </w:t>
      </w:r>
      <w:bookmarkEnd w:id="2"/>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Pr="006C21CE" w:rsidRDefault="006C21CE" w:rsidP="00D766EF">
    <w:pPr>
      <w:pStyle w:val="Zhlav"/>
      <w:tabs>
        <w:tab w:val="clear" w:pos="4536"/>
        <w:tab w:val="clear" w:pos="9072"/>
        <w:tab w:val="left" w:pos="-6379"/>
        <w:tab w:val="center" w:pos="4820"/>
        <w:tab w:val="right" w:pos="9639"/>
      </w:tabs>
      <w:rPr>
        <w:rFonts w:ascii="Arial" w:hAnsi="Arial" w:cs="Arial"/>
        <w:sz w:val="16"/>
        <w:szCs w:val="16"/>
        <w:lang w:val="en-GB"/>
      </w:rPr>
    </w:pPr>
    <w:r w:rsidRPr="00311204">
      <w:rPr>
        <w:rFonts w:ascii="Arial" w:hAnsi="Arial" w:cs="Arial"/>
        <w:sz w:val="16"/>
        <w:szCs w:val="16"/>
        <w:lang w:val="en-GB"/>
      </w:rPr>
      <w:t>The Czech Economy Development in the First Half of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Pr="00311204" w:rsidRDefault="00486640" w:rsidP="0030768C">
    <w:pPr>
      <w:pStyle w:val="Zhlav"/>
      <w:tabs>
        <w:tab w:val="clear" w:pos="4536"/>
        <w:tab w:val="clear" w:pos="9072"/>
        <w:tab w:val="left" w:pos="-6379"/>
        <w:tab w:val="center" w:pos="4820"/>
        <w:tab w:val="right" w:pos="9639"/>
      </w:tabs>
      <w:rPr>
        <w:rFonts w:ascii="Arial" w:hAnsi="Arial" w:cs="Arial"/>
        <w:sz w:val="16"/>
        <w:szCs w:val="16"/>
        <w:lang w:val="en-GB"/>
      </w:rPr>
    </w:pPr>
    <w:r w:rsidRPr="00311204">
      <w:rPr>
        <w:rFonts w:ascii="Arial" w:hAnsi="Arial" w:cs="Arial"/>
        <w:sz w:val="16"/>
        <w:szCs w:val="16"/>
        <w:lang w:val="en-GB"/>
      </w:rPr>
      <w:t>The Czech Economy Development in the First Half of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6FB457C"/>
    <w:multiLevelType w:val="hybridMultilevel"/>
    <w:tmpl w:val="5A2A4F0E"/>
    <w:lvl w:ilvl="0" w:tplc="AFDC3104">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86057FE"/>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nsid w:val="23A7708B"/>
    <w:multiLevelType w:val="hybridMultilevel"/>
    <w:tmpl w:val="9CF6FB5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2B6E5171"/>
    <w:multiLevelType w:val="hybridMultilevel"/>
    <w:tmpl w:val="461AE2C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2E20C48"/>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760513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F94006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3690D45"/>
    <w:multiLevelType w:val="hybridMultilevel"/>
    <w:tmpl w:val="7810A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ABC47DB"/>
    <w:multiLevelType w:val="hybridMultilevel"/>
    <w:tmpl w:val="AA5065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17"/>
  </w:num>
  <w:num w:numId="2">
    <w:abstractNumId w:val="23"/>
  </w:num>
  <w:num w:numId="3">
    <w:abstractNumId w:val="13"/>
  </w:num>
  <w:num w:numId="4">
    <w:abstractNumId w:val="21"/>
  </w:num>
  <w:num w:numId="5">
    <w:abstractNumId w:val="15"/>
  </w:num>
  <w:num w:numId="6">
    <w:abstractNumId w:val="18"/>
  </w:num>
  <w:num w:numId="7">
    <w:abstractNumId w:val="5"/>
  </w:num>
  <w:num w:numId="8">
    <w:abstractNumId w:val="11"/>
  </w:num>
  <w:num w:numId="9">
    <w:abstractNumId w:val="20"/>
  </w:num>
  <w:num w:numId="10">
    <w:abstractNumId w:val="4"/>
  </w:num>
  <w:num w:numId="11">
    <w:abstractNumId w:val="9"/>
  </w:num>
  <w:num w:numId="12">
    <w:abstractNumId w:val="2"/>
  </w:num>
  <w:num w:numId="13">
    <w:abstractNumId w:val="8"/>
  </w:num>
  <w:num w:numId="14">
    <w:abstractNumId w:val="0"/>
  </w:num>
  <w:num w:numId="15">
    <w:abstractNumId w:val="19"/>
  </w:num>
  <w:num w:numId="16">
    <w:abstractNumId w:val="16"/>
  </w:num>
  <w:num w:numId="17">
    <w:abstractNumId w:val="6"/>
  </w:num>
  <w:num w:numId="18">
    <w:abstractNumId w:val="22"/>
  </w:num>
  <w:num w:numId="19">
    <w:abstractNumId w:val="10"/>
  </w:num>
  <w:num w:numId="20">
    <w:abstractNumId w:val="1"/>
  </w:num>
  <w:num w:numId="21">
    <w:abstractNumId w:val="12"/>
  </w:num>
  <w:num w:numId="22">
    <w:abstractNumId w:val="14"/>
  </w:num>
  <w:num w:numId="23">
    <w:abstractNumId w:val="3"/>
  </w:num>
  <w:num w:numId="24">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9B70BD"/>
    <w:rsid w:val="00000FA7"/>
    <w:rsid w:val="00001EFF"/>
    <w:rsid w:val="000029FF"/>
    <w:rsid w:val="00003687"/>
    <w:rsid w:val="00003721"/>
    <w:rsid w:val="00003C43"/>
    <w:rsid w:val="00003DAF"/>
    <w:rsid w:val="00004BF2"/>
    <w:rsid w:val="00004C5D"/>
    <w:rsid w:val="00004EB0"/>
    <w:rsid w:val="000056A1"/>
    <w:rsid w:val="00007498"/>
    <w:rsid w:val="0000767A"/>
    <w:rsid w:val="00007D8A"/>
    <w:rsid w:val="000101F5"/>
    <w:rsid w:val="000104B9"/>
    <w:rsid w:val="00010702"/>
    <w:rsid w:val="00010770"/>
    <w:rsid w:val="00010982"/>
    <w:rsid w:val="00010C2C"/>
    <w:rsid w:val="00011191"/>
    <w:rsid w:val="000112ED"/>
    <w:rsid w:val="0001159B"/>
    <w:rsid w:val="000117CA"/>
    <w:rsid w:val="00012986"/>
    <w:rsid w:val="0001361A"/>
    <w:rsid w:val="00014028"/>
    <w:rsid w:val="00015195"/>
    <w:rsid w:val="0001519F"/>
    <w:rsid w:val="0001572B"/>
    <w:rsid w:val="0001573E"/>
    <w:rsid w:val="000157DA"/>
    <w:rsid w:val="0001589D"/>
    <w:rsid w:val="00016033"/>
    <w:rsid w:val="000162DB"/>
    <w:rsid w:val="00017F05"/>
    <w:rsid w:val="000202C6"/>
    <w:rsid w:val="00020315"/>
    <w:rsid w:val="000208B1"/>
    <w:rsid w:val="00020946"/>
    <w:rsid w:val="00020AD0"/>
    <w:rsid w:val="00022081"/>
    <w:rsid w:val="0002292C"/>
    <w:rsid w:val="00022B41"/>
    <w:rsid w:val="00023255"/>
    <w:rsid w:val="00023FB5"/>
    <w:rsid w:val="0002434F"/>
    <w:rsid w:val="00024887"/>
    <w:rsid w:val="00024CBA"/>
    <w:rsid w:val="00025501"/>
    <w:rsid w:val="00026998"/>
    <w:rsid w:val="00026B06"/>
    <w:rsid w:val="00026B47"/>
    <w:rsid w:val="00027D04"/>
    <w:rsid w:val="000304C4"/>
    <w:rsid w:val="0003066A"/>
    <w:rsid w:val="00030F14"/>
    <w:rsid w:val="000311C5"/>
    <w:rsid w:val="00031DAB"/>
    <w:rsid w:val="00032838"/>
    <w:rsid w:val="00032C12"/>
    <w:rsid w:val="00032E0C"/>
    <w:rsid w:val="000352E7"/>
    <w:rsid w:val="00035CCF"/>
    <w:rsid w:val="00035ED8"/>
    <w:rsid w:val="00035FC6"/>
    <w:rsid w:val="0003705E"/>
    <w:rsid w:val="00037667"/>
    <w:rsid w:val="0003780E"/>
    <w:rsid w:val="0004075D"/>
    <w:rsid w:val="000411E1"/>
    <w:rsid w:val="0004146D"/>
    <w:rsid w:val="00041E9C"/>
    <w:rsid w:val="00042EC6"/>
    <w:rsid w:val="00043C68"/>
    <w:rsid w:val="00043E05"/>
    <w:rsid w:val="000446A3"/>
    <w:rsid w:val="00045681"/>
    <w:rsid w:val="0004694F"/>
    <w:rsid w:val="00046E43"/>
    <w:rsid w:val="000500DC"/>
    <w:rsid w:val="000509FD"/>
    <w:rsid w:val="00051ADE"/>
    <w:rsid w:val="00052052"/>
    <w:rsid w:val="00052172"/>
    <w:rsid w:val="000534FD"/>
    <w:rsid w:val="00053CBA"/>
    <w:rsid w:val="00054E43"/>
    <w:rsid w:val="00055059"/>
    <w:rsid w:val="000553E4"/>
    <w:rsid w:val="0005619C"/>
    <w:rsid w:val="000567FA"/>
    <w:rsid w:val="00056B26"/>
    <w:rsid w:val="00057C16"/>
    <w:rsid w:val="00060F26"/>
    <w:rsid w:val="00062D43"/>
    <w:rsid w:val="00062EC5"/>
    <w:rsid w:val="00063C6C"/>
    <w:rsid w:val="00064256"/>
    <w:rsid w:val="0006667B"/>
    <w:rsid w:val="000678DE"/>
    <w:rsid w:val="000706A4"/>
    <w:rsid w:val="00070A0C"/>
    <w:rsid w:val="00071F80"/>
    <w:rsid w:val="00072118"/>
    <w:rsid w:val="00073173"/>
    <w:rsid w:val="0007324C"/>
    <w:rsid w:val="0007413C"/>
    <w:rsid w:val="00074485"/>
    <w:rsid w:val="000747C6"/>
    <w:rsid w:val="00075C2C"/>
    <w:rsid w:val="000779AC"/>
    <w:rsid w:val="00080A41"/>
    <w:rsid w:val="00080AA8"/>
    <w:rsid w:val="00081851"/>
    <w:rsid w:val="00081CBD"/>
    <w:rsid w:val="00083803"/>
    <w:rsid w:val="00083D7F"/>
    <w:rsid w:val="00084393"/>
    <w:rsid w:val="0008716A"/>
    <w:rsid w:val="00087634"/>
    <w:rsid w:val="00091237"/>
    <w:rsid w:val="000916B1"/>
    <w:rsid w:val="0009191B"/>
    <w:rsid w:val="000920EC"/>
    <w:rsid w:val="000921B6"/>
    <w:rsid w:val="00092208"/>
    <w:rsid w:val="00092505"/>
    <w:rsid w:val="000927EB"/>
    <w:rsid w:val="00092C9A"/>
    <w:rsid w:val="00093F4B"/>
    <w:rsid w:val="00096091"/>
    <w:rsid w:val="000973B6"/>
    <w:rsid w:val="0009742B"/>
    <w:rsid w:val="00097BFC"/>
    <w:rsid w:val="00097D02"/>
    <w:rsid w:val="000A015C"/>
    <w:rsid w:val="000A1183"/>
    <w:rsid w:val="000A2121"/>
    <w:rsid w:val="000A2484"/>
    <w:rsid w:val="000A2929"/>
    <w:rsid w:val="000A36CE"/>
    <w:rsid w:val="000A4AC8"/>
    <w:rsid w:val="000A59BF"/>
    <w:rsid w:val="000A62FA"/>
    <w:rsid w:val="000A64DE"/>
    <w:rsid w:val="000A66C2"/>
    <w:rsid w:val="000A68A7"/>
    <w:rsid w:val="000B1CFE"/>
    <w:rsid w:val="000B210A"/>
    <w:rsid w:val="000B249B"/>
    <w:rsid w:val="000B2ADE"/>
    <w:rsid w:val="000B3B01"/>
    <w:rsid w:val="000B3DB9"/>
    <w:rsid w:val="000B3F02"/>
    <w:rsid w:val="000B48A2"/>
    <w:rsid w:val="000B48E7"/>
    <w:rsid w:val="000B4F41"/>
    <w:rsid w:val="000B6158"/>
    <w:rsid w:val="000B6268"/>
    <w:rsid w:val="000B7663"/>
    <w:rsid w:val="000B7906"/>
    <w:rsid w:val="000C1106"/>
    <w:rsid w:val="000C11D3"/>
    <w:rsid w:val="000C12F5"/>
    <w:rsid w:val="000C2529"/>
    <w:rsid w:val="000C3408"/>
    <w:rsid w:val="000C54AF"/>
    <w:rsid w:val="000C57C5"/>
    <w:rsid w:val="000C5C0F"/>
    <w:rsid w:val="000C5D56"/>
    <w:rsid w:val="000C60D8"/>
    <w:rsid w:val="000C6498"/>
    <w:rsid w:val="000C6FCF"/>
    <w:rsid w:val="000C7398"/>
    <w:rsid w:val="000C7E1A"/>
    <w:rsid w:val="000D0B22"/>
    <w:rsid w:val="000D0D51"/>
    <w:rsid w:val="000D14B3"/>
    <w:rsid w:val="000D1668"/>
    <w:rsid w:val="000D1BFB"/>
    <w:rsid w:val="000D1F52"/>
    <w:rsid w:val="000D208B"/>
    <w:rsid w:val="000D263E"/>
    <w:rsid w:val="000D2B8D"/>
    <w:rsid w:val="000D2E41"/>
    <w:rsid w:val="000D342A"/>
    <w:rsid w:val="000D43CB"/>
    <w:rsid w:val="000D5E7A"/>
    <w:rsid w:val="000D5FAA"/>
    <w:rsid w:val="000D622A"/>
    <w:rsid w:val="000D65A4"/>
    <w:rsid w:val="000D6AEF"/>
    <w:rsid w:val="000D7414"/>
    <w:rsid w:val="000E025B"/>
    <w:rsid w:val="000E0ECB"/>
    <w:rsid w:val="000E153A"/>
    <w:rsid w:val="000E19A8"/>
    <w:rsid w:val="000E1CD8"/>
    <w:rsid w:val="000E1EEA"/>
    <w:rsid w:val="000E4241"/>
    <w:rsid w:val="000E4A42"/>
    <w:rsid w:val="000E5225"/>
    <w:rsid w:val="000E53BD"/>
    <w:rsid w:val="000E6184"/>
    <w:rsid w:val="000E6476"/>
    <w:rsid w:val="000E78D2"/>
    <w:rsid w:val="000F3332"/>
    <w:rsid w:val="000F33EE"/>
    <w:rsid w:val="000F401E"/>
    <w:rsid w:val="000F5445"/>
    <w:rsid w:val="000F5598"/>
    <w:rsid w:val="000F5673"/>
    <w:rsid w:val="000F67B2"/>
    <w:rsid w:val="000F6CFB"/>
    <w:rsid w:val="000F74B6"/>
    <w:rsid w:val="000F790F"/>
    <w:rsid w:val="000F7E1B"/>
    <w:rsid w:val="00100014"/>
    <w:rsid w:val="0010039A"/>
    <w:rsid w:val="00101E94"/>
    <w:rsid w:val="00101FB2"/>
    <w:rsid w:val="001023AA"/>
    <w:rsid w:val="001028CF"/>
    <w:rsid w:val="00102CB8"/>
    <w:rsid w:val="00102F02"/>
    <w:rsid w:val="0010385D"/>
    <w:rsid w:val="00103E41"/>
    <w:rsid w:val="001041B6"/>
    <w:rsid w:val="001062F1"/>
    <w:rsid w:val="00106ECE"/>
    <w:rsid w:val="001070EA"/>
    <w:rsid w:val="001077AE"/>
    <w:rsid w:val="0011002A"/>
    <w:rsid w:val="001107CE"/>
    <w:rsid w:val="001109F0"/>
    <w:rsid w:val="0011110A"/>
    <w:rsid w:val="001118AF"/>
    <w:rsid w:val="00111CA5"/>
    <w:rsid w:val="0011256E"/>
    <w:rsid w:val="001129B6"/>
    <w:rsid w:val="0011352E"/>
    <w:rsid w:val="0011365A"/>
    <w:rsid w:val="00113CAF"/>
    <w:rsid w:val="0011458D"/>
    <w:rsid w:val="00114FC0"/>
    <w:rsid w:val="00115496"/>
    <w:rsid w:val="00116DB9"/>
    <w:rsid w:val="00116F28"/>
    <w:rsid w:val="00117CE8"/>
    <w:rsid w:val="00121387"/>
    <w:rsid w:val="00121A1C"/>
    <w:rsid w:val="00121C39"/>
    <w:rsid w:val="00123255"/>
    <w:rsid w:val="00124D2D"/>
    <w:rsid w:val="00124DA1"/>
    <w:rsid w:val="00125326"/>
    <w:rsid w:val="00125CB5"/>
    <w:rsid w:val="00125F07"/>
    <w:rsid w:val="00127535"/>
    <w:rsid w:val="001307BE"/>
    <w:rsid w:val="00130C8F"/>
    <w:rsid w:val="00130E89"/>
    <w:rsid w:val="001314F2"/>
    <w:rsid w:val="001317DA"/>
    <w:rsid w:val="001323BA"/>
    <w:rsid w:val="0013249D"/>
    <w:rsid w:val="0013254D"/>
    <w:rsid w:val="00133AAC"/>
    <w:rsid w:val="00133C5B"/>
    <w:rsid w:val="00133FBD"/>
    <w:rsid w:val="00134DFD"/>
    <w:rsid w:val="00134F9F"/>
    <w:rsid w:val="001354EE"/>
    <w:rsid w:val="00135C47"/>
    <w:rsid w:val="00136561"/>
    <w:rsid w:val="00136AE8"/>
    <w:rsid w:val="001400E1"/>
    <w:rsid w:val="001405FA"/>
    <w:rsid w:val="001406BC"/>
    <w:rsid w:val="001413B3"/>
    <w:rsid w:val="00141E8A"/>
    <w:rsid w:val="001425C3"/>
    <w:rsid w:val="00142F16"/>
    <w:rsid w:val="001434CE"/>
    <w:rsid w:val="00143594"/>
    <w:rsid w:val="00143E03"/>
    <w:rsid w:val="00143E93"/>
    <w:rsid w:val="00143FA3"/>
    <w:rsid w:val="0014428D"/>
    <w:rsid w:val="0014731B"/>
    <w:rsid w:val="00147E55"/>
    <w:rsid w:val="001500FC"/>
    <w:rsid w:val="00151AC0"/>
    <w:rsid w:val="00151B18"/>
    <w:rsid w:val="00151B1E"/>
    <w:rsid w:val="00151B27"/>
    <w:rsid w:val="00152046"/>
    <w:rsid w:val="00152488"/>
    <w:rsid w:val="00152E53"/>
    <w:rsid w:val="00154147"/>
    <w:rsid w:val="001550F3"/>
    <w:rsid w:val="00155746"/>
    <w:rsid w:val="00156318"/>
    <w:rsid w:val="0015639A"/>
    <w:rsid w:val="00157307"/>
    <w:rsid w:val="00157FDA"/>
    <w:rsid w:val="0016081D"/>
    <w:rsid w:val="00160CF3"/>
    <w:rsid w:val="00160E61"/>
    <w:rsid w:val="00161300"/>
    <w:rsid w:val="001620FA"/>
    <w:rsid w:val="00162714"/>
    <w:rsid w:val="00162853"/>
    <w:rsid w:val="001630DB"/>
    <w:rsid w:val="0016342C"/>
    <w:rsid w:val="00163793"/>
    <w:rsid w:val="0016448A"/>
    <w:rsid w:val="00166306"/>
    <w:rsid w:val="0016737F"/>
    <w:rsid w:val="00167FB2"/>
    <w:rsid w:val="00170591"/>
    <w:rsid w:val="001707DE"/>
    <w:rsid w:val="00170B04"/>
    <w:rsid w:val="00170F47"/>
    <w:rsid w:val="001711F2"/>
    <w:rsid w:val="001714F2"/>
    <w:rsid w:val="001718C2"/>
    <w:rsid w:val="00173642"/>
    <w:rsid w:val="00173AAA"/>
    <w:rsid w:val="00173AF4"/>
    <w:rsid w:val="00173CB0"/>
    <w:rsid w:val="00173D81"/>
    <w:rsid w:val="00174CE8"/>
    <w:rsid w:val="00174E7D"/>
    <w:rsid w:val="001752CB"/>
    <w:rsid w:val="00175351"/>
    <w:rsid w:val="00175F60"/>
    <w:rsid w:val="00176050"/>
    <w:rsid w:val="001764D8"/>
    <w:rsid w:val="00176A8F"/>
    <w:rsid w:val="00177267"/>
    <w:rsid w:val="00180A6D"/>
    <w:rsid w:val="00180D58"/>
    <w:rsid w:val="00181938"/>
    <w:rsid w:val="00182981"/>
    <w:rsid w:val="00184CF9"/>
    <w:rsid w:val="00185010"/>
    <w:rsid w:val="001852EC"/>
    <w:rsid w:val="00186447"/>
    <w:rsid w:val="001874CF"/>
    <w:rsid w:val="00190214"/>
    <w:rsid w:val="00190D9B"/>
    <w:rsid w:val="00191136"/>
    <w:rsid w:val="0019160F"/>
    <w:rsid w:val="00191BAE"/>
    <w:rsid w:val="00193432"/>
    <w:rsid w:val="0019346C"/>
    <w:rsid w:val="00194AE3"/>
    <w:rsid w:val="00195335"/>
    <w:rsid w:val="00195444"/>
    <w:rsid w:val="0019579E"/>
    <w:rsid w:val="0019642B"/>
    <w:rsid w:val="00196656"/>
    <w:rsid w:val="00197806"/>
    <w:rsid w:val="001A199D"/>
    <w:rsid w:val="001A2077"/>
    <w:rsid w:val="001A2855"/>
    <w:rsid w:val="001A2BDB"/>
    <w:rsid w:val="001A30F4"/>
    <w:rsid w:val="001A47AB"/>
    <w:rsid w:val="001A4C0D"/>
    <w:rsid w:val="001A552F"/>
    <w:rsid w:val="001A56F3"/>
    <w:rsid w:val="001A5F8C"/>
    <w:rsid w:val="001A6D52"/>
    <w:rsid w:val="001A737B"/>
    <w:rsid w:val="001A750C"/>
    <w:rsid w:val="001A7D31"/>
    <w:rsid w:val="001B1D89"/>
    <w:rsid w:val="001B2143"/>
    <w:rsid w:val="001B22AA"/>
    <w:rsid w:val="001B2F7E"/>
    <w:rsid w:val="001B3110"/>
    <w:rsid w:val="001B4198"/>
    <w:rsid w:val="001B44BC"/>
    <w:rsid w:val="001B5215"/>
    <w:rsid w:val="001B5888"/>
    <w:rsid w:val="001B5A75"/>
    <w:rsid w:val="001B618F"/>
    <w:rsid w:val="001B6277"/>
    <w:rsid w:val="001B6545"/>
    <w:rsid w:val="001B681B"/>
    <w:rsid w:val="001B6A49"/>
    <w:rsid w:val="001B7231"/>
    <w:rsid w:val="001B74FB"/>
    <w:rsid w:val="001B77A1"/>
    <w:rsid w:val="001C0422"/>
    <w:rsid w:val="001C0684"/>
    <w:rsid w:val="001C0E0E"/>
    <w:rsid w:val="001C0E66"/>
    <w:rsid w:val="001C0EB9"/>
    <w:rsid w:val="001C0F48"/>
    <w:rsid w:val="001C1219"/>
    <w:rsid w:val="001C357A"/>
    <w:rsid w:val="001C3961"/>
    <w:rsid w:val="001C3A37"/>
    <w:rsid w:val="001C4384"/>
    <w:rsid w:val="001C4D0E"/>
    <w:rsid w:val="001C4F5B"/>
    <w:rsid w:val="001C55F5"/>
    <w:rsid w:val="001C65FF"/>
    <w:rsid w:val="001C6747"/>
    <w:rsid w:val="001D1876"/>
    <w:rsid w:val="001D3787"/>
    <w:rsid w:val="001D3ADA"/>
    <w:rsid w:val="001D3E55"/>
    <w:rsid w:val="001D47E5"/>
    <w:rsid w:val="001D55F5"/>
    <w:rsid w:val="001D584C"/>
    <w:rsid w:val="001D5E1B"/>
    <w:rsid w:val="001D66C1"/>
    <w:rsid w:val="001D6EF6"/>
    <w:rsid w:val="001D7C6F"/>
    <w:rsid w:val="001E0024"/>
    <w:rsid w:val="001E0C65"/>
    <w:rsid w:val="001E163B"/>
    <w:rsid w:val="001E23E3"/>
    <w:rsid w:val="001E29AF"/>
    <w:rsid w:val="001E32A0"/>
    <w:rsid w:val="001E387A"/>
    <w:rsid w:val="001E3DA4"/>
    <w:rsid w:val="001E4854"/>
    <w:rsid w:val="001E5469"/>
    <w:rsid w:val="001E5830"/>
    <w:rsid w:val="001E6004"/>
    <w:rsid w:val="001E67E1"/>
    <w:rsid w:val="001E684C"/>
    <w:rsid w:val="001E701C"/>
    <w:rsid w:val="001E7552"/>
    <w:rsid w:val="001E7C03"/>
    <w:rsid w:val="001F02AF"/>
    <w:rsid w:val="001F0649"/>
    <w:rsid w:val="001F0CFF"/>
    <w:rsid w:val="001F20B9"/>
    <w:rsid w:val="001F28F4"/>
    <w:rsid w:val="001F2902"/>
    <w:rsid w:val="001F2CC6"/>
    <w:rsid w:val="001F3055"/>
    <w:rsid w:val="001F31BC"/>
    <w:rsid w:val="001F378E"/>
    <w:rsid w:val="001F3988"/>
    <w:rsid w:val="001F3C79"/>
    <w:rsid w:val="001F3E68"/>
    <w:rsid w:val="001F4597"/>
    <w:rsid w:val="001F4DAE"/>
    <w:rsid w:val="001F56A9"/>
    <w:rsid w:val="001F5C6A"/>
    <w:rsid w:val="001F63A7"/>
    <w:rsid w:val="001F670A"/>
    <w:rsid w:val="002007DE"/>
    <w:rsid w:val="00200D15"/>
    <w:rsid w:val="00200E9C"/>
    <w:rsid w:val="0020200D"/>
    <w:rsid w:val="0020223B"/>
    <w:rsid w:val="0020294A"/>
    <w:rsid w:val="00203074"/>
    <w:rsid w:val="00203B09"/>
    <w:rsid w:val="00203B46"/>
    <w:rsid w:val="00203FCB"/>
    <w:rsid w:val="002048E1"/>
    <w:rsid w:val="002051C3"/>
    <w:rsid w:val="002070AB"/>
    <w:rsid w:val="002071D8"/>
    <w:rsid w:val="00207DB6"/>
    <w:rsid w:val="00210216"/>
    <w:rsid w:val="00210278"/>
    <w:rsid w:val="0021058E"/>
    <w:rsid w:val="00210CC2"/>
    <w:rsid w:val="00210F5B"/>
    <w:rsid w:val="00210FFA"/>
    <w:rsid w:val="00211262"/>
    <w:rsid w:val="0021139C"/>
    <w:rsid w:val="002115F5"/>
    <w:rsid w:val="00211AC9"/>
    <w:rsid w:val="00212530"/>
    <w:rsid w:val="0021329E"/>
    <w:rsid w:val="0021355B"/>
    <w:rsid w:val="00214DB7"/>
    <w:rsid w:val="00215061"/>
    <w:rsid w:val="0021507A"/>
    <w:rsid w:val="0021552C"/>
    <w:rsid w:val="00215A2C"/>
    <w:rsid w:val="00217980"/>
    <w:rsid w:val="002179F9"/>
    <w:rsid w:val="002205F2"/>
    <w:rsid w:val="0022080E"/>
    <w:rsid w:val="00220895"/>
    <w:rsid w:val="00220B20"/>
    <w:rsid w:val="0022139E"/>
    <w:rsid w:val="0022272B"/>
    <w:rsid w:val="00222A99"/>
    <w:rsid w:val="00222C66"/>
    <w:rsid w:val="00223678"/>
    <w:rsid w:val="002236F7"/>
    <w:rsid w:val="002238E2"/>
    <w:rsid w:val="00223E00"/>
    <w:rsid w:val="002252E0"/>
    <w:rsid w:val="002255F6"/>
    <w:rsid w:val="00225F36"/>
    <w:rsid w:val="0022613C"/>
    <w:rsid w:val="00226466"/>
    <w:rsid w:val="002266D0"/>
    <w:rsid w:val="00226887"/>
    <w:rsid w:val="00226B92"/>
    <w:rsid w:val="00227991"/>
    <w:rsid w:val="00227CF4"/>
    <w:rsid w:val="00230DAD"/>
    <w:rsid w:val="00231499"/>
    <w:rsid w:val="002321D8"/>
    <w:rsid w:val="0023229C"/>
    <w:rsid w:val="0023301B"/>
    <w:rsid w:val="002334DF"/>
    <w:rsid w:val="0023355C"/>
    <w:rsid w:val="00234280"/>
    <w:rsid w:val="002347E7"/>
    <w:rsid w:val="00234DD5"/>
    <w:rsid w:val="00235000"/>
    <w:rsid w:val="002350E3"/>
    <w:rsid w:val="00235330"/>
    <w:rsid w:val="00236443"/>
    <w:rsid w:val="002370B4"/>
    <w:rsid w:val="00237C6E"/>
    <w:rsid w:val="00240773"/>
    <w:rsid w:val="00240815"/>
    <w:rsid w:val="00240A5B"/>
    <w:rsid w:val="00240A79"/>
    <w:rsid w:val="00240C76"/>
    <w:rsid w:val="002411EF"/>
    <w:rsid w:val="00241446"/>
    <w:rsid w:val="00242730"/>
    <w:rsid w:val="002429CF"/>
    <w:rsid w:val="00242B02"/>
    <w:rsid w:val="002436BA"/>
    <w:rsid w:val="00244069"/>
    <w:rsid w:val="002443A7"/>
    <w:rsid w:val="002444ED"/>
    <w:rsid w:val="00244A15"/>
    <w:rsid w:val="00244D40"/>
    <w:rsid w:val="00246AE9"/>
    <w:rsid w:val="0024799E"/>
    <w:rsid w:val="00250C59"/>
    <w:rsid w:val="00250E0D"/>
    <w:rsid w:val="002518F6"/>
    <w:rsid w:val="00251AE8"/>
    <w:rsid w:val="00251B1E"/>
    <w:rsid w:val="00251D59"/>
    <w:rsid w:val="00252602"/>
    <w:rsid w:val="00252609"/>
    <w:rsid w:val="00252FDC"/>
    <w:rsid w:val="002532E2"/>
    <w:rsid w:val="00253E11"/>
    <w:rsid w:val="00254B3B"/>
    <w:rsid w:val="002550D8"/>
    <w:rsid w:val="00255D11"/>
    <w:rsid w:val="00257613"/>
    <w:rsid w:val="00260FBE"/>
    <w:rsid w:val="00261A0F"/>
    <w:rsid w:val="00261E5B"/>
    <w:rsid w:val="002622A2"/>
    <w:rsid w:val="00262F34"/>
    <w:rsid w:val="002633E5"/>
    <w:rsid w:val="00263470"/>
    <w:rsid w:val="00263733"/>
    <w:rsid w:val="00264676"/>
    <w:rsid w:val="00265536"/>
    <w:rsid w:val="00265E54"/>
    <w:rsid w:val="00266F3E"/>
    <w:rsid w:val="00270785"/>
    <w:rsid w:val="0027172E"/>
    <w:rsid w:val="00272464"/>
    <w:rsid w:val="00272B0B"/>
    <w:rsid w:val="00272CC5"/>
    <w:rsid w:val="00273C60"/>
    <w:rsid w:val="00273DCD"/>
    <w:rsid w:val="00274291"/>
    <w:rsid w:val="00276C09"/>
    <w:rsid w:val="00276CFE"/>
    <w:rsid w:val="00277071"/>
    <w:rsid w:val="0027786C"/>
    <w:rsid w:val="00277BF7"/>
    <w:rsid w:val="0028013E"/>
    <w:rsid w:val="00281416"/>
    <w:rsid w:val="00281E7F"/>
    <w:rsid w:val="00282084"/>
    <w:rsid w:val="00283C61"/>
    <w:rsid w:val="002846A5"/>
    <w:rsid w:val="00284C6F"/>
    <w:rsid w:val="00285CD3"/>
    <w:rsid w:val="0028633E"/>
    <w:rsid w:val="0028686A"/>
    <w:rsid w:val="00286E66"/>
    <w:rsid w:val="002870B7"/>
    <w:rsid w:val="00291417"/>
    <w:rsid w:val="002919B5"/>
    <w:rsid w:val="00293441"/>
    <w:rsid w:val="0029358C"/>
    <w:rsid w:val="00294238"/>
    <w:rsid w:val="0029493E"/>
    <w:rsid w:val="00295CF0"/>
    <w:rsid w:val="002962E0"/>
    <w:rsid w:val="00296C2E"/>
    <w:rsid w:val="002A0E4F"/>
    <w:rsid w:val="002A109C"/>
    <w:rsid w:val="002A1B05"/>
    <w:rsid w:val="002A267F"/>
    <w:rsid w:val="002A3354"/>
    <w:rsid w:val="002A35EA"/>
    <w:rsid w:val="002A37B6"/>
    <w:rsid w:val="002A3BD5"/>
    <w:rsid w:val="002A43A2"/>
    <w:rsid w:val="002A44ED"/>
    <w:rsid w:val="002A4612"/>
    <w:rsid w:val="002A4F70"/>
    <w:rsid w:val="002A5263"/>
    <w:rsid w:val="002A63B9"/>
    <w:rsid w:val="002A6821"/>
    <w:rsid w:val="002A74D2"/>
    <w:rsid w:val="002A7C45"/>
    <w:rsid w:val="002A7CDA"/>
    <w:rsid w:val="002A7F47"/>
    <w:rsid w:val="002B1253"/>
    <w:rsid w:val="002B1544"/>
    <w:rsid w:val="002B1DC1"/>
    <w:rsid w:val="002B36C8"/>
    <w:rsid w:val="002B385B"/>
    <w:rsid w:val="002B6557"/>
    <w:rsid w:val="002B6888"/>
    <w:rsid w:val="002B6B7A"/>
    <w:rsid w:val="002B71B4"/>
    <w:rsid w:val="002B7240"/>
    <w:rsid w:val="002B7937"/>
    <w:rsid w:val="002C0219"/>
    <w:rsid w:val="002C0FF4"/>
    <w:rsid w:val="002C125A"/>
    <w:rsid w:val="002C2364"/>
    <w:rsid w:val="002C2668"/>
    <w:rsid w:val="002C43BD"/>
    <w:rsid w:val="002C493D"/>
    <w:rsid w:val="002C5261"/>
    <w:rsid w:val="002C6091"/>
    <w:rsid w:val="002C63C1"/>
    <w:rsid w:val="002C6648"/>
    <w:rsid w:val="002D0562"/>
    <w:rsid w:val="002D0DB0"/>
    <w:rsid w:val="002D1B5A"/>
    <w:rsid w:val="002D2500"/>
    <w:rsid w:val="002D2B94"/>
    <w:rsid w:val="002D338A"/>
    <w:rsid w:val="002D34BF"/>
    <w:rsid w:val="002D3F00"/>
    <w:rsid w:val="002D4062"/>
    <w:rsid w:val="002D4D59"/>
    <w:rsid w:val="002D54BF"/>
    <w:rsid w:val="002D5C3D"/>
    <w:rsid w:val="002D5E94"/>
    <w:rsid w:val="002D632D"/>
    <w:rsid w:val="002D6B01"/>
    <w:rsid w:val="002D6B11"/>
    <w:rsid w:val="002D6FC7"/>
    <w:rsid w:val="002D7EF4"/>
    <w:rsid w:val="002E02A1"/>
    <w:rsid w:val="002E0982"/>
    <w:rsid w:val="002E0DB9"/>
    <w:rsid w:val="002E2CE4"/>
    <w:rsid w:val="002E34F3"/>
    <w:rsid w:val="002E3766"/>
    <w:rsid w:val="002E4217"/>
    <w:rsid w:val="002E435E"/>
    <w:rsid w:val="002E61AD"/>
    <w:rsid w:val="002E73F2"/>
    <w:rsid w:val="002F07AC"/>
    <w:rsid w:val="002F33FB"/>
    <w:rsid w:val="002F57C6"/>
    <w:rsid w:val="002F65E8"/>
    <w:rsid w:val="002F663A"/>
    <w:rsid w:val="002F68A4"/>
    <w:rsid w:val="002F7594"/>
    <w:rsid w:val="002F7902"/>
    <w:rsid w:val="003003E7"/>
    <w:rsid w:val="00300552"/>
    <w:rsid w:val="003008A3"/>
    <w:rsid w:val="00300D6F"/>
    <w:rsid w:val="00301357"/>
    <w:rsid w:val="0030192C"/>
    <w:rsid w:val="00301D04"/>
    <w:rsid w:val="003034C7"/>
    <w:rsid w:val="003035D4"/>
    <w:rsid w:val="00303A3C"/>
    <w:rsid w:val="00303DCB"/>
    <w:rsid w:val="00304771"/>
    <w:rsid w:val="00304E6C"/>
    <w:rsid w:val="00305736"/>
    <w:rsid w:val="00305C33"/>
    <w:rsid w:val="00306934"/>
    <w:rsid w:val="00306C5B"/>
    <w:rsid w:val="00306E3B"/>
    <w:rsid w:val="0030768C"/>
    <w:rsid w:val="00307725"/>
    <w:rsid w:val="00310ADB"/>
    <w:rsid w:val="00310C41"/>
    <w:rsid w:val="00311204"/>
    <w:rsid w:val="003114A6"/>
    <w:rsid w:val="003119B6"/>
    <w:rsid w:val="003122D9"/>
    <w:rsid w:val="00312BF1"/>
    <w:rsid w:val="00312C3D"/>
    <w:rsid w:val="00314331"/>
    <w:rsid w:val="00315E64"/>
    <w:rsid w:val="00316708"/>
    <w:rsid w:val="00317E31"/>
    <w:rsid w:val="00320214"/>
    <w:rsid w:val="003209D6"/>
    <w:rsid w:val="0032109A"/>
    <w:rsid w:val="00321187"/>
    <w:rsid w:val="0032214F"/>
    <w:rsid w:val="00322164"/>
    <w:rsid w:val="0032318D"/>
    <w:rsid w:val="00323CF7"/>
    <w:rsid w:val="00323E61"/>
    <w:rsid w:val="0032513D"/>
    <w:rsid w:val="00326251"/>
    <w:rsid w:val="0032739C"/>
    <w:rsid w:val="003275E3"/>
    <w:rsid w:val="003276D1"/>
    <w:rsid w:val="00327DEE"/>
    <w:rsid w:val="003302DA"/>
    <w:rsid w:val="00330EB0"/>
    <w:rsid w:val="00331574"/>
    <w:rsid w:val="0033229B"/>
    <w:rsid w:val="003329F3"/>
    <w:rsid w:val="0033352E"/>
    <w:rsid w:val="00333690"/>
    <w:rsid w:val="00333D20"/>
    <w:rsid w:val="00333DF8"/>
    <w:rsid w:val="00333E05"/>
    <w:rsid w:val="00333F32"/>
    <w:rsid w:val="00333F53"/>
    <w:rsid w:val="003340EF"/>
    <w:rsid w:val="00334A49"/>
    <w:rsid w:val="00334FE5"/>
    <w:rsid w:val="0033536F"/>
    <w:rsid w:val="00335BB0"/>
    <w:rsid w:val="0033627B"/>
    <w:rsid w:val="00337726"/>
    <w:rsid w:val="003406BD"/>
    <w:rsid w:val="00343474"/>
    <w:rsid w:val="00343F84"/>
    <w:rsid w:val="00344135"/>
    <w:rsid w:val="003450E2"/>
    <w:rsid w:val="00351B63"/>
    <w:rsid w:val="00351ED7"/>
    <w:rsid w:val="00352482"/>
    <w:rsid w:val="00352E57"/>
    <w:rsid w:val="003541B0"/>
    <w:rsid w:val="0035457E"/>
    <w:rsid w:val="00355885"/>
    <w:rsid w:val="00355B2C"/>
    <w:rsid w:val="00355CAA"/>
    <w:rsid w:val="0035605E"/>
    <w:rsid w:val="00356244"/>
    <w:rsid w:val="00357449"/>
    <w:rsid w:val="00357C28"/>
    <w:rsid w:val="0036045E"/>
    <w:rsid w:val="00360FA0"/>
    <w:rsid w:val="00361F76"/>
    <w:rsid w:val="0036238B"/>
    <w:rsid w:val="00362408"/>
    <w:rsid w:val="003630B0"/>
    <w:rsid w:val="00364087"/>
    <w:rsid w:val="003649FC"/>
    <w:rsid w:val="003651A4"/>
    <w:rsid w:val="00365680"/>
    <w:rsid w:val="003657F3"/>
    <w:rsid w:val="00366D4D"/>
    <w:rsid w:val="00366F77"/>
    <w:rsid w:val="00367038"/>
    <w:rsid w:val="003670FE"/>
    <w:rsid w:val="0036710C"/>
    <w:rsid w:val="00370963"/>
    <w:rsid w:val="0037144E"/>
    <w:rsid w:val="00372272"/>
    <w:rsid w:val="0037290D"/>
    <w:rsid w:val="003736B5"/>
    <w:rsid w:val="00373C13"/>
    <w:rsid w:val="00374F1E"/>
    <w:rsid w:val="003750CF"/>
    <w:rsid w:val="003769F0"/>
    <w:rsid w:val="00376DEC"/>
    <w:rsid w:val="00377200"/>
    <w:rsid w:val="00377666"/>
    <w:rsid w:val="003777A0"/>
    <w:rsid w:val="0038034A"/>
    <w:rsid w:val="00380E04"/>
    <w:rsid w:val="00380E6C"/>
    <w:rsid w:val="00383227"/>
    <w:rsid w:val="003839C9"/>
    <w:rsid w:val="0038422D"/>
    <w:rsid w:val="00384D8F"/>
    <w:rsid w:val="003857A2"/>
    <w:rsid w:val="00385D98"/>
    <w:rsid w:val="00385EC5"/>
    <w:rsid w:val="0038658E"/>
    <w:rsid w:val="0038753E"/>
    <w:rsid w:val="003875C2"/>
    <w:rsid w:val="0039066E"/>
    <w:rsid w:val="00391C95"/>
    <w:rsid w:val="00392110"/>
    <w:rsid w:val="00393D74"/>
    <w:rsid w:val="003948D7"/>
    <w:rsid w:val="00394D49"/>
    <w:rsid w:val="003964C8"/>
    <w:rsid w:val="00396DAC"/>
    <w:rsid w:val="003971D0"/>
    <w:rsid w:val="003A0214"/>
    <w:rsid w:val="003A027D"/>
    <w:rsid w:val="003A0B39"/>
    <w:rsid w:val="003A1D74"/>
    <w:rsid w:val="003A2B4D"/>
    <w:rsid w:val="003A2D2B"/>
    <w:rsid w:val="003A2DD4"/>
    <w:rsid w:val="003A33DF"/>
    <w:rsid w:val="003A3982"/>
    <w:rsid w:val="003A3B1C"/>
    <w:rsid w:val="003A4088"/>
    <w:rsid w:val="003A478C"/>
    <w:rsid w:val="003A4F82"/>
    <w:rsid w:val="003A5525"/>
    <w:rsid w:val="003A6B38"/>
    <w:rsid w:val="003A72DF"/>
    <w:rsid w:val="003A7E9C"/>
    <w:rsid w:val="003B2142"/>
    <w:rsid w:val="003B23DC"/>
    <w:rsid w:val="003B2580"/>
    <w:rsid w:val="003B293F"/>
    <w:rsid w:val="003B2E63"/>
    <w:rsid w:val="003B2F75"/>
    <w:rsid w:val="003B3189"/>
    <w:rsid w:val="003B39B9"/>
    <w:rsid w:val="003B3A9D"/>
    <w:rsid w:val="003B3DDD"/>
    <w:rsid w:val="003B5031"/>
    <w:rsid w:val="003B5A32"/>
    <w:rsid w:val="003B6105"/>
    <w:rsid w:val="003C03CC"/>
    <w:rsid w:val="003C04C4"/>
    <w:rsid w:val="003C08E2"/>
    <w:rsid w:val="003C0B96"/>
    <w:rsid w:val="003C26F4"/>
    <w:rsid w:val="003C33F6"/>
    <w:rsid w:val="003C3686"/>
    <w:rsid w:val="003C38EB"/>
    <w:rsid w:val="003C3E2C"/>
    <w:rsid w:val="003C4852"/>
    <w:rsid w:val="003C5BC7"/>
    <w:rsid w:val="003C601E"/>
    <w:rsid w:val="003C66C4"/>
    <w:rsid w:val="003C6DB9"/>
    <w:rsid w:val="003C78D7"/>
    <w:rsid w:val="003D1A24"/>
    <w:rsid w:val="003D2393"/>
    <w:rsid w:val="003D2C4E"/>
    <w:rsid w:val="003D3600"/>
    <w:rsid w:val="003D3825"/>
    <w:rsid w:val="003D3EC4"/>
    <w:rsid w:val="003D42F9"/>
    <w:rsid w:val="003D44E2"/>
    <w:rsid w:val="003D4760"/>
    <w:rsid w:val="003D49DC"/>
    <w:rsid w:val="003D4DD9"/>
    <w:rsid w:val="003D4FB5"/>
    <w:rsid w:val="003D5135"/>
    <w:rsid w:val="003D59BE"/>
    <w:rsid w:val="003D5D7A"/>
    <w:rsid w:val="003D5E4B"/>
    <w:rsid w:val="003D653F"/>
    <w:rsid w:val="003D6B55"/>
    <w:rsid w:val="003D7323"/>
    <w:rsid w:val="003E0663"/>
    <w:rsid w:val="003E133F"/>
    <w:rsid w:val="003E49F6"/>
    <w:rsid w:val="003E699C"/>
    <w:rsid w:val="003E69F3"/>
    <w:rsid w:val="003E73E7"/>
    <w:rsid w:val="003E782E"/>
    <w:rsid w:val="003E7A0B"/>
    <w:rsid w:val="003E7B2B"/>
    <w:rsid w:val="003F0293"/>
    <w:rsid w:val="003F116D"/>
    <w:rsid w:val="003F181F"/>
    <w:rsid w:val="003F1A48"/>
    <w:rsid w:val="003F1E23"/>
    <w:rsid w:val="003F22F6"/>
    <w:rsid w:val="003F244B"/>
    <w:rsid w:val="003F2B0A"/>
    <w:rsid w:val="003F313C"/>
    <w:rsid w:val="003F32AB"/>
    <w:rsid w:val="003F341B"/>
    <w:rsid w:val="003F37FC"/>
    <w:rsid w:val="003F3A26"/>
    <w:rsid w:val="003F49A6"/>
    <w:rsid w:val="003F5047"/>
    <w:rsid w:val="003F5098"/>
    <w:rsid w:val="003F5568"/>
    <w:rsid w:val="003F5A95"/>
    <w:rsid w:val="003F6D19"/>
    <w:rsid w:val="003F77EC"/>
    <w:rsid w:val="003F795D"/>
    <w:rsid w:val="004000D5"/>
    <w:rsid w:val="00400244"/>
    <w:rsid w:val="004005C1"/>
    <w:rsid w:val="004009B7"/>
    <w:rsid w:val="00400BBD"/>
    <w:rsid w:val="004014D5"/>
    <w:rsid w:val="00401716"/>
    <w:rsid w:val="004018F7"/>
    <w:rsid w:val="00401A09"/>
    <w:rsid w:val="0040273A"/>
    <w:rsid w:val="00402C25"/>
    <w:rsid w:val="004036FB"/>
    <w:rsid w:val="004050D7"/>
    <w:rsid w:val="00405801"/>
    <w:rsid w:val="00405D51"/>
    <w:rsid w:val="004078BD"/>
    <w:rsid w:val="00410132"/>
    <w:rsid w:val="004104E4"/>
    <w:rsid w:val="00410A97"/>
    <w:rsid w:val="00410BCD"/>
    <w:rsid w:val="00410DE5"/>
    <w:rsid w:val="0041175D"/>
    <w:rsid w:val="004117CE"/>
    <w:rsid w:val="004123BE"/>
    <w:rsid w:val="00414CE5"/>
    <w:rsid w:val="00416673"/>
    <w:rsid w:val="0041685D"/>
    <w:rsid w:val="0042160D"/>
    <w:rsid w:val="00422502"/>
    <w:rsid w:val="0042376B"/>
    <w:rsid w:val="00423A3C"/>
    <w:rsid w:val="00423C04"/>
    <w:rsid w:val="00424D9B"/>
    <w:rsid w:val="0042681B"/>
    <w:rsid w:val="004269F9"/>
    <w:rsid w:val="00426C1F"/>
    <w:rsid w:val="00426D46"/>
    <w:rsid w:val="00427193"/>
    <w:rsid w:val="0043068A"/>
    <w:rsid w:val="004306E0"/>
    <w:rsid w:val="00431D54"/>
    <w:rsid w:val="00431F98"/>
    <w:rsid w:val="004329BE"/>
    <w:rsid w:val="00432C38"/>
    <w:rsid w:val="004342EC"/>
    <w:rsid w:val="00437376"/>
    <w:rsid w:val="00437C76"/>
    <w:rsid w:val="00437F4A"/>
    <w:rsid w:val="0044105C"/>
    <w:rsid w:val="00441494"/>
    <w:rsid w:val="00442197"/>
    <w:rsid w:val="0044315B"/>
    <w:rsid w:val="004437FC"/>
    <w:rsid w:val="00443E95"/>
    <w:rsid w:val="004441A0"/>
    <w:rsid w:val="00444268"/>
    <w:rsid w:val="00444326"/>
    <w:rsid w:val="004443BF"/>
    <w:rsid w:val="00444C19"/>
    <w:rsid w:val="00445218"/>
    <w:rsid w:val="00445CDD"/>
    <w:rsid w:val="00446367"/>
    <w:rsid w:val="00446892"/>
    <w:rsid w:val="00447267"/>
    <w:rsid w:val="00447E36"/>
    <w:rsid w:val="00450700"/>
    <w:rsid w:val="00450C30"/>
    <w:rsid w:val="004529C7"/>
    <w:rsid w:val="004540FF"/>
    <w:rsid w:val="004541F1"/>
    <w:rsid w:val="00455843"/>
    <w:rsid w:val="00455ECA"/>
    <w:rsid w:val="00455FE6"/>
    <w:rsid w:val="00457296"/>
    <w:rsid w:val="00457320"/>
    <w:rsid w:val="00460164"/>
    <w:rsid w:val="0046039A"/>
    <w:rsid w:val="00460A6B"/>
    <w:rsid w:val="00461977"/>
    <w:rsid w:val="00461A3F"/>
    <w:rsid w:val="004620C7"/>
    <w:rsid w:val="004629FD"/>
    <w:rsid w:val="00462AD2"/>
    <w:rsid w:val="004634F3"/>
    <w:rsid w:val="00463B4B"/>
    <w:rsid w:val="00463F4D"/>
    <w:rsid w:val="00464658"/>
    <w:rsid w:val="0046471F"/>
    <w:rsid w:val="00464BE8"/>
    <w:rsid w:val="00465019"/>
    <w:rsid w:val="00465FA4"/>
    <w:rsid w:val="0046613F"/>
    <w:rsid w:val="0046655D"/>
    <w:rsid w:val="00466808"/>
    <w:rsid w:val="00466AAE"/>
    <w:rsid w:val="0046765E"/>
    <w:rsid w:val="004676E2"/>
    <w:rsid w:val="00467B4F"/>
    <w:rsid w:val="00471EDD"/>
    <w:rsid w:val="00472F04"/>
    <w:rsid w:val="00473A27"/>
    <w:rsid w:val="00473E0B"/>
    <w:rsid w:val="00473E94"/>
    <w:rsid w:val="0047400C"/>
    <w:rsid w:val="00474471"/>
    <w:rsid w:val="004745D9"/>
    <w:rsid w:val="00474B94"/>
    <w:rsid w:val="00475FE2"/>
    <w:rsid w:val="004761D2"/>
    <w:rsid w:val="004762D8"/>
    <w:rsid w:val="004765B3"/>
    <w:rsid w:val="00476D29"/>
    <w:rsid w:val="00477241"/>
    <w:rsid w:val="0047728F"/>
    <w:rsid w:val="004774F5"/>
    <w:rsid w:val="00477EAF"/>
    <w:rsid w:val="00477EE0"/>
    <w:rsid w:val="004806A8"/>
    <w:rsid w:val="00480AB8"/>
    <w:rsid w:val="0048139F"/>
    <w:rsid w:val="00481C00"/>
    <w:rsid w:val="00482185"/>
    <w:rsid w:val="00482227"/>
    <w:rsid w:val="00483053"/>
    <w:rsid w:val="00484874"/>
    <w:rsid w:val="00484EA9"/>
    <w:rsid w:val="00485230"/>
    <w:rsid w:val="00486640"/>
    <w:rsid w:val="00486700"/>
    <w:rsid w:val="00487127"/>
    <w:rsid w:val="004879E9"/>
    <w:rsid w:val="00487F81"/>
    <w:rsid w:val="00490082"/>
    <w:rsid w:val="00490247"/>
    <w:rsid w:val="0049104F"/>
    <w:rsid w:val="00491091"/>
    <w:rsid w:val="00491218"/>
    <w:rsid w:val="00491CFD"/>
    <w:rsid w:val="00492991"/>
    <w:rsid w:val="00493362"/>
    <w:rsid w:val="00494343"/>
    <w:rsid w:val="00494AAB"/>
    <w:rsid w:val="0049540A"/>
    <w:rsid w:val="004954E3"/>
    <w:rsid w:val="00496C2F"/>
    <w:rsid w:val="0049740D"/>
    <w:rsid w:val="0049757F"/>
    <w:rsid w:val="004978D3"/>
    <w:rsid w:val="004A06A6"/>
    <w:rsid w:val="004A11F8"/>
    <w:rsid w:val="004A22BD"/>
    <w:rsid w:val="004A22FA"/>
    <w:rsid w:val="004A269A"/>
    <w:rsid w:val="004A26AF"/>
    <w:rsid w:val="004A26DB"/>
    <w:rsid w:val="004A30FB"/>
    <w:rsid w:val="004A35DD"/>
    <w:rsid w:val="004A37D3"/>
    <w:rsid w:val="004A3AD6"/>
    <w:rsid w:val="004A3BCE"/>
    <w:rsid w:val="004A434A"/>
    <w:rsid w:val="004A5865"/>
    <w:rsid w:val="004A59E4"/>
    <w:rsid w:val="004A6D7A"/>
    <w:rsid w:val="004A7670"/>
    <w:rsid w:val="004A7695"/>
    <w:rsid w:val="004A77DF"/>
    <w:rsid w:val="004B0295"/>
    <w:rsid w:val="004B0803"/>
    <w:rsid w:val="004B10A8"/>
    <w:rsid w:val="004B1F58"/>
    <w:rsid w:val="004B1F9D"/>
    <w:rsid w:val="004B22DA"/>
    <w:rsid w:val="004B3CB7"/>
    <w:rsid w:val="004B3D55"/>
    <w:rsid w:val="004B3DA2"/>
    <w:rsid w:val="004B55B7"/>
    <w:rsid w:val="004B5836"/>
    <w:rsid w:val="004B5F05"/>
    <w:rsid w:val="004B6195"/>
    <w:rsid w:val="004C00A6"/>
    <w:rsid w:val="004C0243"/>
    <w:rsid w:val="004C0BBB"/>
    <w:rsid w:val="004C0ECD"/>
    <w:rsid w:val="004C1AD6"/>
    <w:rsid w:val="004C1B86"/>
    <w:rsid w:val="004C1DEE"/>
    <w:rsid w:val="004C3382"/>
    <w:rsid w:val="004C3867"/>
    <w:rsid w:val="004C4AB7"/>
    <w:rsid w:val="004C4B88"/>
    <w:rsid w:val="004C4CD0"/>
    <w:rsid w:val="004C57B5"/>
    <w:rsid w:val="004C5C25"/>
    <w:rsid w:val="004C65FD"/>
    <w:rsid w:val="004C6717"/>
    <w:rsid w:val="004C6CFF"/>
    <w:rsid w:val="004C70A3"/>
    <w:rsid w:val="004C70DC"/>
    <w:rsid w:val="004C7268"/>
    <w:rsid w:val="004C7C50"/>
    <w:rsid w:val="004D0211"/>
    <w:rsid w:val="004D16B2"/>
    <w:rsid w:val="004D1C9C"/>
    <w:rsid w:val="004D2174"/>
    <w:rsid w:val="004D2A0E"/>
    <w:rsid w:val="004D2BE3"/>
    <w:rsid w:val="004D2BFB"/>
    <w:rsid w:val="004D458D"/>
    <w:rsid w:val="004D4F13"/>
    <w:rsid w:val="004D504B"/>
    <w:rsid w:val="004D536E"/>
    <w:rsid w:val="004D58CE"/>
    <w:rsid w:val="004D70B1"/>
    <w:rsid w:val="004D76CC"/>
    <w:rsid w:val="004E09D4"/>
    <w:rsid w:val="004E1415"/>
    <w:rsid w:val="004E1839"/>
    <w:rsid w:val="004E4A75"/>
    <w:rsid w:val="004E4A7B"/>
    <w:rsid w:val="004E541A"/>
    <w:rsid w:val="004E5A5C"/>
    <w:rsid w:val="004E633A"/>
    <w:rsid w:val="004E7007"/>
    <w:rsid w:val="004E76D6"/>
    <w:rsid w:val="004E7E53"/>
    <w:rsid w:val="004E7F57"/>
    <w:rsid w:val="004F06F5"/>
    <w:rsid w:val="004F11A2"/>
    <w:rsid w:val="004F14F3"/>
    <w:rsid w:val="004F191F"/>
    <w:rsid w:val="004F267A"/>
    <w:rsid w:val="004F2A4D"/>
    <w:rsid w:val="004F2A73"/>
    <w:rsid w:val="004F2BD2"/>
    <w:rsid w:val="004F33A0"/>
    <w:rsid w:val="004F353A"/>
    <w:rsid w:val="004F4004"/>
    <w:rsid w:val="004F4353"/>
    <w:rsid w:val="004F447D"/>
    <w:rsid w:val="004F4C28"/>
    <w:rsid w:val="004F4CEE"/>
    <w:rsid w:val="004F4E82"/>
    <w:rsid w:val="004F5470"/>
    <w:rsid w:val="004F5CC5"/>
    <w:rsid w:val="004F6350"/>
    <w:rsid w:val="004F7170"/>
    <w:rsid w:val="004F74B6"/>
    <w:rsid w:val="004F7990"/>
    <w:rsid w:val="00500DCA"/>
    <w:rsid w:val="005028E1"/>
    <w:rsid w:val="00503EC3"/>
    <w:rsid w:val="00505989"/>
    <w:rsid w:val="00506309"/>
    <w:rsid w:val="0050692E"/>
    <w:rsid w:val="00507040"/>
    <w:rsid w:val="005079F8"/>
    <w:rsid w:val="00510189"/>
    <w:rsid w:val="005108C0"/>
    <w:rsid w:val="00511873"/>
    <w:rsid w:val="00512603"/>
    <w:rsid w:val="00512CAA"/>
    <w:rsid w:val="00512CC5"/>
    <w:rsid w:val="0051367B"/>
    <w:rsid w:val="00513A89"/>
    <w:rsid w:val="00513B7E"/>
    <w:rsid w:val="005140DE"/>
    <w:rsid w:val="00514474"/>
    <w:rsid w:val="005147E9"/>
    <w:rsid w:val="0051507D"/>
    <w:rsid w:val="0051593C"/>
    <w:rsid w:val="00517567"/>
    <w:rsid w:val="0051778E"/>
    <w:rsid w:val="005215EF"/>
    <w:rsid w:val="00521973"/>
    <w:rsid w:val="00523550"/>
    <w:rsid w:val="0052439A"/>
    <w:rsid w:val="00524637"/>
    <w:rsid w:val="00524FDD"/>
    <w:rsid w:val="00525137"/>
    <w:rsid w:val="005251DD"/>
    <w:rsid w:val="00526DB6"/>
    <w:rsid w:val="0053017A"/>
    <w:rsid w:val="00530492"/>
    <w:rsid w:val="005308E4"/>
    <w:rsid w:val="005325A8"/>
    <w:rsid w:val="00532854"/>
    <w:rsid w:val="00532AD5"/>
    <w:rsid w:val="00534CDA"/>
    <w:rsid w:val="005350F2"/>
    <w:rsid w:val="00535152"/>
    <w:rsid w:val="00535359"/>
    <w:rsid w:val="005357A2"/>
    <w:rsid w:val="005359E3"/>
    <w:rsid w:val="00535D87"/>
    <w:rsid w:val="00535EF0"/>
    <w:rsid w:val="00535F78"/>
    <w:rsid w:val="005363DF"/>
    <w:rsid w:val="0053734B"/>
    <w:rsid w:val="005375B1"/>
    <w:rsid w:val="00537AFD"/>
    <w:rsid w:val="00537CB4"/>
    <w:rsid w:val="00537FA2"/>
    <w:rsid w:val="00540CB3"/>
    <w:rsid w:val="00540D25"/>
    <w:rsid w:val="00541822"/>
    <w:rsid w:val="00541BDA"/>
    <w:rsid w:val="00542D19"/>
    <w:rsid w:val="0054516B"/>
    <w:rsid w:val="0054559E"/>
    <w:rsid w:val="005459BD"/>
    <w:rsid w:val="00546833"/>
    <w:rsid w:val="0054787A"/>
    <w:rsid w:val="005513D5"/>
    <w:rsid w:val="005523B9"/>
    <w:rsid w:val="00553C88"/>
    <w:rsid w:val="005545E0"/>
    <w:rsid w:val="00554865"/>
    <w:rsid w:val="00554E57"/>
    <w:rsid w:val="00555B84"/>
    <w:rsid w:val="005562DC"/>
    <w:rsid w:val="00556A44"/>
    <w:rsid w:val="00557E6A"/>
    <w:rsid w:val="0056260F"/>
    <w:rsid w:val="00562749"/>
    <w:rsid w:val="00562DE9"/>
    <w:rsid w:val="005638A5"/>
    <w:rsid w:val="00564137"/>
    <w:rsid w:val="005659C0"/>
    <w:rsid w:val="00566381"/>
    <w:rsid w:val="00566A03"/>
    <w:rsid w:val="00566DD6"/>
    <w:rsid w:val="00571932"/>
    <w:rsid w:val="00572045"/>
    <w:rsid w:val="00573C97"/>
    <w:rsid w:val="00574240"/>
    <w:rsid w:val="005742F9"/>
    <w:rsid w:val="0057454C"/>
    <w:rsid w:val="005746C8"/>
    <w:rsid w:val="005752EB"/>
    <w:rsid w:val="005755FE"/>
    <w:rsid w:val="005759C3"/>
    <w:rsid w:val="00575CDC"/>
    <w:rsid w:val="005765D5"/>
    <w:rsid w:val="00576A3E"/>
    <w:rsid w:val="0057703D"/>
    <w:rsid w:val="005809ED"/>
    <w:rsid w:val="00581892"/>
    <w:rsid w:val="005832AD"/>
    <w:rsid w:val="0058366F"/>
    <w:rsid w:val="00583D5B"/>
    <w:rsid w:val="00583FFD"/>
    <w:rsid w:val="00585AD5"/>
    <w:rsid w:val="00587CCD"/>
    <w:rsid w:val="00587FDB"/>
    <w:rsid w:val="005908AE"/>
    <w:rsid w:val="0059176E"/>
    <w:rsid w:val="00592854"/>
    <w:rsid w:val="00593152"/>
    <w:rsid w:val="005934CE"/>
    <w:rsid w:val="00593CA3"/>
    <w:rsid w:val="00594161"/>
    <w:rsid w:val="00594969"/>
    <w:rsid w:val="00594B91"/>
    <w:rsid w:val="00595035"/>
    <w:rsid w:val="00596C5E"/>
    <w:rsid w:val="005A2194"/>
    <w:rsid w:val="005A21E0"/>
    <w:rsid w:val="005A3210"/>
    <w:rsid w:val="005A33A1"/>
    <w:rsid w:val="005A3687"/>
    <w:rsid w:val="005A3B35"/>
    <w:rsid w:val="005A3F2D"/>
    <w:rsid w:val="005A54EE"/>
    <w:rsid w:val="005A563B"/>
    <w:rsid w:val="005A5F82"/>
    <w:rsid w:val="005A5FAD"/>
    <w:rsid w:val="005A6131"/>
    <w:rsid w:val="005A61D1"/>
    <w:rsid w:val="005A6E85"/>
    <w:rsid w:val="005A7500"/>
    <w:rsid w:val="005A77E4"/>
    <w:rsid w:val="005A77F6"/>
    <w:rsid w:val="005B0262"/>
    <w:rsid w:val="005B0B8F"/>
    <w:rsid w:val="005B0E5D"/>
    <w:rsid w:val="005B1BDB"/>
    <w:rsid w:val="005B216E"/>
    <w:rsid w:val="005B22A7"/>
    <w:rsid w:val="005B2BAA"/>
    <w:rsid w:val="005B2D53"/>
    <w:rsid w:val="005B3247"/>
    <w:rsid w:val="005B3409"/>
    <w:rsid w:val="005B498A"/>
    <w:rsid w:val="005B4B28"/>
    <w:rsid w:val="005B52D0"/>
    <w:rsid w:val="005B59B6"/>
    <w:rsid w:val="005B7B12"/>
    <w:rsid w:val="005C16CB"/>
    <w:rsid w:val="005C21D6"/>
    <w:rsid w:val="005C2E13"/>
    <w:rsid w:val="005C3F9F"/>
    <w:rsid w:val="005C406F"/>
    <w:rsid w:val="005C40BA"/>
    <w:rsid w:val="005C4A23"/>
    <w:rsid w:val="005C562C"/>
    <w:rsid w:val="005C5812"/>
    <w:rsid w:val="005C5F12"/>
    <w:rsid w:val="005C6400"/>
    <w:rsid w:val="005C7F1E"/>
    <w:rsid w:val="005D073B"/>
    <w:rsid w:val="005D25B4"/>
    <w:rsid w:val="005D374F"/>
    <w:rsid w:val="005D4B67"/>
    <w:rsid w:val="005D5802"/>
    <w:rsid w:val="005D5DAE"/>
    <w:rsid w:val="005D69C7"/>
    <w:rsid w:val="005D6CFC"/>
    <w:rsid w:val="005D73E2"/>
    <w:rsid w:val="005D757A"/>
    <w:rsid w:val="005D7C4B"/>
    <w:rsid w:val="005E1871"/>
    <w:rsid w:val="005E1E4B"/>
    <w:rsid w:val="005E362D"/>
    <w:rsid w:val="005E3A0C"/>
    <w:rsid w:val="005E3FAC"/>
    <w:rsid w:val="005E4483"/>
    <w:rsid w:val="005E4728"/>
    <w:rsid w:val="005E492C"/>
    <w:rsid w:val="005E49A3"/>
    <w:rsid w:val="005E4BAA"/>
    <w:rsid w:val="005E52EF"/>
    <w:rsid w:val="005E5B56"/>
    <w:rsid w:val="005E5F0B"/>
    <w:rsid w:val="005E6088"/>
    <w:rsid w:val="005E61DF"/>
    <w:rsid w:val="005E697F"/>
    <w:rsid w:val="005E6AB8"/>
    <w:rsid w:val="005E6B65"/>
    <w:rsid w:val="005E6B78"/>
    <w:rsid w:val="005E75B8"/>
    <w:rsid w:val="005F0867"/>
    <w:rsid w:val="005F0976"/>
    <w:rsid w:val="005F23BB"/>
    <w:rsid w:val="005F26CE"/>
    <w:rsid w:val="005F294D"/>
    <w:rsid w:val="005F38D3"/>
    <w:rsid w:val="005F3F04"/>
    <w:rsid w:val="005F4057"/>
    <w:rsid w:val="005F4088"/>
    <w:rsid w:val="005F42F4"/>
    <w:rsid w:val="005F4982"/>
    <w:rsid w:val="005F4C83"/>
    <w:rsid w:val="005F5628"/>
    <w:rsid w:val="005F5916"/>
    <w:rsid w:val="005F601D"/>
    <w:rsid w:val="005F6119"/>
    <w:rsid w:val="005F7940"/>
    <w:rsid w:val="00600712"/>
    <w:rsid w:val="0060107A"/>
    <w:rsid w:val="00601AFF"/>
    <w:rsid w:val="00601F2E"/>
    <w:rsid w:val="00602D1D"/>
    <w:rsid w:val="0060318F"/>
    <w:rsid w:val="00604307"/>
    <w:rsid w:val="0060487F"/>
    <w:rsid w:val="00604D90"/>
    <w:rsid w:val="00605814"/>
    <w:rsid w:val="00605C22"/>
    <w:rsid w:val="00606B93"/>
    <w:rsid w:val="00607727"/>
    <w:rsid w:val="00607934"/>
    <w:rsid w:val="00610BD5"/>
    <w:rsid w:val="00610F00"/>
    <w:rsid w:val="00611363"/>
    <w:rsid w:val="00611531"/>
    <w:rsid w:val="006118AA"/>
    <w:rsid w:val="00611A08"/>
    <w:rsid w:val="00611C28"/>
    <w:rsid w:val="00611E4E"/>
    <w:rsid w:val="00612E84"/>
    <w:rsid w:val="006139C7"/>
    <w:rsid w:val="00614A9F"/>
    <w:rsid w:val="006150EA"/>
    <w:rsid w:val="006153E3"/>
    <w:rsid w:val="00615696"/>
    <w:rsid w:val="006162F6"/>
    <w:rsid w:val="006167AB"/>
    <w:rsid w:val="0061718A"/>
    <w:rsid w:val="00617D2D"/>
    <w:rsid w:val="00617D83"/>
    <w:rsid w:val="00620430"/>
    <w:rsid w:val="00620AC5"/>
    <w:rsid w:val="00620E7D"/>
    <w:rsid w:val="0062130B"/>
    <w:rsid w:val="00621575"/>
    <w:rsid w:val="006215FC"/>
    <w:rsid w:val="00622931"/>
    <w:rsid w:val="00624093"/>
    <w:rsid w:val="0062588B"/>
    <w:rsid w:val="006260B8"/>
    <w:rsid w:val="00630F66"/>
    <w:rsid w:val="00631FC2"/>
    <w:rsid w:val="00632171"/>
    <w:rsid w:val="006321EB"/>
    <w:rsid w:val="00632886"/>
    <w:rsid w:val="0063332A"/>
    <w:rsid w:val="006347F9"/>
    <w:rsid w:val="0063494E"/>
    <w:rsid w:val="00634C90"/>
    <w:rsid w:val="00635818"/>
    <w:rsid w:val="00635E79"/>
    <w:rsid w:val="00636E5E"/>
    <w:rsid w:val="006374C3"/>
    <w:rsid w:val="006379E0"/>
    <w:rsid w:val="00637D0E"/>
    <w:rsid w:val="006404A7"/>
    <w:rsid w:val="006407F3"/>
    <w:rsid w:val="006408EC"/>
    <w:rsid w:val="0064129B"/>
    <w:rsid w:val="00641DF7"/>
    <w:rsid w:val="0064229B"/>
    <w:rsid w:val="00643497"/>
    <w:rsid w:val="006436E8"/>
    <w:rsid w:val="00643735"/>
    <w:rsid w:val="00643A80"/>
    <w:rsid w:val="00644DFC"/>
    <w:rsid w:val="006451E4"/>
    <w:rsid w:val="006454B4"/>
    <w:rsid w:val="00645A9C"/>
    <w:rsid w:val="006460B8"/>
    <w:rsid w:val="00646448"/>
    <w:rsid w:val="006467D0"/>
    <w:rsid w:val="006504A0"/>
    <w:rsid w:val="00650784"/>
    <w:rsid w:val="006520C7"/>
    <w:rsid w:val="006520D5"/>
    <w:rsid w:val="00652179"/>
    <w:rsid w:val="00652CBB"/>
    <w:rsid w:val="006530B8"/>
    <w:rsid w:val="006535D6"/>
    <w:rsid w:val="00654093"/>
    <w:rsid w:val="00656716"/>
    <w:rsid w:val="006572ED"/>
    <w:rsid w:val="00657E87"/>
    <w:rsid w:val="0066026B"/>
    <w:rsid w:val="00660457"/>
    <w:rsid w:val="00660CB4"/>
    <w:rsid w:val="00660E1E"/>
    <w:rsid w:val="006632EB"/>
    <w:rsid w:val="006637B1"/>
    <w:rsid w:val="00663CFD"/>
    <w:rsid w:val="006647AD"/>
    <w:rsid w:val="00664B64"/>
    <w:rsid w:val="00665691"/>
    <w:rsid w:val="00665D67"/>
    <w:rsid w:val="00665D77"/>
    <w:rsid w:val="006660CD"/>
    <w:rsid w:val="00666883"/>
    <w:rsid w:val="00666B1D"/>
    <w:rsid w:val="00666EC8"/>
    <w:rsid w:val="00666F4B"/>
    <w:rsid w:val="0066759E"/>
    <w:rsid w:val="006676D0"/>
    <w:rsid w:val="0066796E"/>
    <w:rsid w:val="00670FAC"/>
    <w:rsid w:val="006710C9"/>
    <w:rsid w:val="006716A5"/>
    <w:rsid w:val="006717CC"/>
    <w:rsid w:val="006743E8"/>
    <w:rsid w:val="00675E37"/>
    <w:rsid w:val="00675F0F"/>
    <w:rsid w:val="006764ED"/>
    <w:rsid w:val="00676AFC"/>
    <w:rsid w:val="00676F11"/>
    <w:rsid w:val="00677CA8"/>
    <w:rsid w:val="00680079"/>
    <w:rsid w:val="00680ECC"/>
    <w:rsid w:val="00680F68"/>
    <w:rsid w:val="0068260E"/>
    <w:rsid w:val="0068331B"/>
    <w:rsid w:val="0068373D"/>
    <w:rsid w:val="00683BFE"/>
    <w:rsid w:val="0068437D"/>
    <w:rsid w:val="00684678"/>
    <w:rsid w:val="006846B0"/>
    <w:rsid w:val="00684C41"/>
    <w:rsid w:val="006857DF"/>
    <w:rsid w:val="00685C9E"/>
    <w:rsid w:val="00685E66"/>
    <w:rsid w:val="00686B72"/>
    <w:rsid w:val="00686BF1"/>
    <w:rsid w:val="0068748C"/>
    <w:rsid w:val="00687AE5"/>
    <w:rsid w:val="00690A09"/>
    <w:rsid w:val="00690A25"/>
    <w:rsid w:val="006919B7"/>
    <w:rsid w:val="006936AD"/>
    <w:rsid w:val="00693EA1"/>
    <w:rsid w:val="00693FEA"/>
    <w:rsid w:val="00694930"/>
    <w:rsid w:val="00694FFD"/>
    <w:rsid w:val="00695170"/>
    <w:rsid w:val="006954D8"/>
    <w:rsid w:val="00695BEF"/>
    <w:rsid w:val="006960D6"/>
    <w:rsid w:val="006963FB"/>
    <w:rsid w:val="00696AA5"/>
    <w:rsid w:val="006977F6"/>
    <w:rsid w:val="0069789D"/>
    <w:rsid w:val="00697A13"/>
    <w:rsid w:val="006A109C"/>
    <w:rsid w:val="006A150D"/>
    <w:rsid w:val="006A18AE"/>
    <w:rsid w:val="006A23E1"/>
    <w:rsid w:val="006A2EE8"/>
    <w:rsid w:val="006A3CF3"/>
    <w:rsid w:val="006A568F"/>
    <w:rsid w:val="006A65EF"/>
    <w:rsid w:val="006A672B"/>
    <w:rsid w:val="006A70FC"/>
    <w:rsid w:val="006A7596"/>
    <w:rsid w:val="006B1684"/>
    <w:rsid w:val="006B1781"/>
    <w:rsid w:val="006B23A9"/>
    <w:rsid w:val="006B23D8"/>
    <w:rsid w:val="006B281D"/>
    <w:rsid w:val="006B2D5B"/>
    <w:rsid w:val="006B3F8A"/>
    <w:rsid w:val="006B59D7"/>
    <w:rsid w:val="006B5CA3"/>
    <w:rsid w:val="006B6B3B"/>
    <w:rsid w:val="006B7248"/>
    <w:rsid w:val="006B7714"/>
    <w:rsid w:val="006B78D8"/>
    <w:rsid w:val="006B7CCE"/>
    <w:rsid w:val="006C0032"/>
    <w:rsid w:val="006C090F"/>
    <w:rsid w:val="006C0935"/>
    <w:rsid w:val="006C0BCE"/>
    <w:rsid w:val="006C113F"/>
    <w:rsid w:val="006C21CE"/>
    <w:rsid w:val="006C26C2"/>
    <w:rsid w:val="006C2AED"/>
    <w:rsid w:val="006C36F4"/>
    <w:rsid w:val="006C38DD"/>
    <w:rsid w:val="006C457F"/>
    <w:rsid w:val="006C53C7"/>
    <w:rsid w:val="006C5577"/>
    <w:rsid w:val="006C559A"/>
    <w:rsid w:val="006C58FA"/>
    <w:rsid w:val="006C6197"/>
    <w:rsid w:val="006D004F"/>
    <w:rsid w:val="006D042D"/>
    <w:rsid w:val="006D06EF"/>
    <w:rsid w:val="006D142E"/>
    <w:rsid w:val="006D381F"/>
    <w:rsid w:val="006D3B87"/>
    <w:rsid w:val="006D4497"/>
    <w:rsid w:val="006D4E6F"/>
    <w:rsid w:val="006D61F6"/>
    <w:rsid w:val="006D710C"/>
    <w:rsid w:val="006E0EB0"/>
    <w:rsid w:val="006E182C"/>
    <w:rsid w:val="006E1F4C"/>
    <w:rsid w:val="006E22C8"/>
    <w:rsid w:val="006E279A"/>
    <w:rsid w:val="006E2C28"/>
    <w:rsid w:val="006E2F3F"/>
    <w:rsid w:val="006E313B"/>
    <w:rsid w:val="006E442A"/>
    <w:rsid w:val="006E4434"/>
    <w:rsid w:val="006E44A3"/>
    <w:rsid w:val="006E4A1B"/>
    <w:rsid w:val="006E59FC"/>
    <w:rsid w:val="006E5CFD"/>
    <w:rsid w:val="006E7E2C"/>
    <w:rsid w:val="006E7E7D"/>
    <w:rsid w:val="006F1326"/>
    <w:rsid w:val="006F2280"/>
    <w:rsid w:val="006F2BAE"/>
    <w:rsid w:val="006F2BEE"/>
    <w:rsid w:val="006F2D35"/>
    <w:rsid w:val="006F3708"/>
    <w:rsid w:val="006F376C"/>
    <w:rsid w:val="006F3A90"/>
    <w:rsid w:val="006F3E6B"/>
    <w:rsid w:val="006F4619"/>
    <w:rsid w:val="006F4A59"/>
    <w:rsid w:val="006F6968"/>
    <w:rsid w:val="00700232"/>
    <w:rsid w:val="00701382"/>
    <w:rsid w:val="007014C7"/>
    <w:rsid w:val="0070189B"/>
    <w:rsid w:val="00702100"/>
    <w:rsid w:val="007024BF"/>
    <w:rsid w:val="00702D6F"/>
    <w:rsid w:val="007031C6"/>
    <w:rsid w:val="00703B6C"/>
    <w:rsid w:val="00703C6B"/>
    <w:rsid w:val="007047D5"/>
    <w:rsid w:val="00705D98"/>
    <w:rsid w:val="00707891"/>
    <w:rsid w:val="00707D43"/>
    <w:rsid w:val="00710F7C"/>
    <w:rsid w:val="0071156F"/>
    <w:rsid w:val="00711EF1"/>
    <w:rsid w:val="0071201A"/>
    <w:rsid w:val="0071229A"/>
    <w:rsid w:val="007122C8"/>
    <w:rsid w:val="00712572"/>
    <w:rsid w:val="00713495"/>
    <w:rsid w:val="00713EEB"/>
    <w:rsid w:val="007142C1"/>
    <w:rsid w:val="00715487"/>
    <w:rsid w:val="007159D2"/>
    <w:rsid w:val="00716DCC"/>
    <w:rsid w:val="00717173"/>
    <w:rsid w:val="00717726"/>
    <w:rsid w:val="0072050E"/>
    <w:rsid w:val="00720958"/>
    <w:rsid w:val="00720FA2"/>
    <w:rsid w:val="007211F5"/>
    <w:rsid w:val="007240C5"/>
    <w:rsid w:val="00724666"/>
    <w:rsid w:val="00724E80"/>
    <w:rsid w:val="00725492"/>
    <w:rsid w:val="007256B7"/>
    <w:rsid w:val="00726043"/>
    <w:rsid w:val="0072704A"/>
    <w:rsid w:val="007275D2"/>
    <w:rsid w:val="007279B9"/>
    <w:rsid w:val="007303CA"/>
    <w:rsid w:val="00730AE8"/>
    <w:rsid w:val="007315DA"/>
    <w:rsid w:val="00731963"/>
    <w:rsid w:val="0073249D"/>
    <w:rsid w:val="00732706"/>
    <w:rsid w:val="0073325D"/>
    <w:rsid w:val="00734321"/>
    <w:rsid w:val="00734597"/>
    <w:rsid w:val="00734EE6"/>
    <w:rsid w:val="00735044"/>
    <w:rsid w:val="0073532E"/>
    <w:rsid w:val="00735B01"/>
    <w:rsid w:val="00735B5A"/>
    <w:rsid w:val="007367BE"/>
    <w:rsid w:val="007367F6"/>
    <w:rsid w:val="00740310"/>
    <w:rsid w:val="00740652"/>
    <w:rsid w:val="00740F02"/>
    <w:rsid w:val="00740FEC"/>
    <w:rsid w:val="0074132E"/>
    <w:rsid w:val="00741493"/>
    <w:rsid w:val="007426B3"/>
    <w:rsid w:val="007426FD"/>
    <w:rsid w:val="007430AB"/>
    <w:rsid w:val="0074329D"/>
    <w:rsid w:val="00744376"/>
    <w:rsid w:val="007449EA"/>
    <w:rsid w:val="00744D00"/>
    <w:rsid w:val="00744D2B"/>
    <w:rsid w:val="00745273"/>
    <w:rsid w:val="00745DD4"/>
    <w:rsid w:val="00745F3C"/>
    <w:rsid w:val="00746DD9"/>
    <w:rsid w:val="00746F90"/>
    <w:rsid w:val="00747A35"/>
    <w:rsid w:val="007502A6"/>
    <w:rsid w:val="0075057A"/>
    <w:rsid w:val="00751771"/>
    <w:rsid w:val="00751C1C"/>
    <w:rsid w:val="00752180"/>
    <w:rsid w:val="007521A1"/>
    <w:rsid w:val="0075258D"/>
    <w:rsid w:val="00752BC3"/>
    <w:rsid w:val="0075315D"/>
    <w:rsid w:val="007538F9"/>
    <w:rsid w:val="00753D29"/>
    <w:rsid w:val="00754253"/>
    <w:rsid w:val="007552BB"/>
    <w:rsid w:val="007558D3"/>
    <w:rsid w:val="007559D7"/>
    <w:rsid w:val="00755D3A"/>
    <w:rsid w:val="00760141"/>
    <w:rsid w:val="007609C6"/>
    <w:rsid w:val="007610A0"/>
    <w:rsid w:val="007610C3"/>
    <w:rsid w:val="00761605"/>
    <w:rsid w:val="00762036"/>
    <w:rsid w:val="007620F2"/>
    <w:rsid w:val="0076231A"/>
    <w:rsid w:val="00762EBA"/>
    <w:rsid w:val="00763498"/>
    <w:rsid w:val="0076359D"/>
    <w:rsid w:val="00763A13"/>
    <w:rsid w:val="00763D86"/>
    <w:rsid w:val="007661BD"/>
    <w:rsid w:val="0077058D"/>
    <w:rsid w:val="00770931"/>
    <w:rsid w:val="00770FBA"/>
    <w:rsid w:val="00772536"/>
    <w:rsid w:val="00773079"/>
    <w:rsid w:val="00773613"/>
    <w:rsid w:val="0077430F"/>
    <w:rsid w:val="00774782"/>
    <w:rsid w:val="00775512"/>
    <w:rsid w:val="00776476"/>
    <w:rsid w:val="00776527"/>
    <w:rsid w:val="00777DB1"/>
    <w:rsid w:val="007805E1"/>
    <w:rsid w:val="00780DDF"/>
    <w:rsid w:val="00781061"/>
    <w:rsid w:val="0078113E"/>
    <w:rsid w:val="00781834"/>
    <w:rsid w:val="007821DB"/>
    <w:rsid w:val="00782818"/>
    <w:rsid w:val="007838F1"/>
    <w:rsid w:val="007841BB"/>
    <w:rsid w:val="00784C4A"/>
    <w:rsid w:val="00787267"/>
    <w:rsid w:val="00787432"/>
    <w:rsid w:val="00787507"/>
    <w:rsid w:val="0078778C"/>
    <w:rsid w:val="007879F2"/>
    <w:rsid w:val="00790393"/>
    <w:rsid w:val="00791804"/>
    <w:rsid w:val="0079197F"/>
    <w:rsid w:val="00791CF8"/>
    <w:rsid w:val="00791DB3"/>
    <w:rsid w:val="00791EF9"/>
    <w:rsid w:val="00792262"/>
    <w:rsid w:val="00793387"/>
    <w:rsid w:val="00793BAE"/>
    <w:rsid w:val="007941C3"/>
    <w:rsid w:val="00794870"/>
    <w:rsid w:val="00794E0A"/>
    <w:rsid w:val="00794E50"/>
    <w:rsid w:val="00795B04"/>
    <w:rsid w:val="00796642"/>
    <w:rsid w:val="00796889"/>
    <w:rsid w:val="007A098D"/>
    <w:rsid w:val="007A11D9"/>
    <w:rsid w:val="007A327B"/>
    <w:rsid w:val="007A4048"/>
    <w:rsid w:val="007A45B1"/>
    <w:rsid w:val="007A4606"/>
    <w:rsid w:val="007A4BC3"/>
    <w:rsid w:val="007A4D58"/>
    <w:rsid w:val="007A5039"/>
    <w:rsid w:val="007B0353"/>
    <w:rsid w:val="007B04E8"/>
    <w:rsid w:val="007B0D67"/>
    <w:rsid w:val="007B0F90"/>
    <w:rsid w:val="007B1966"/>
    <w:rsid w:val="007B2257"/>
    <w:rsid w:val="007B2779"/>
    <w:rsid w:val="007B2AF7"/>
    <w:rsid w:val="007B3048"/>
    <w:rsid w:val="007B3DCC"/>
    <w:rsid w:val="007B4518"/>
    <w:rsid w:val="007B5031"/>
    <w:rsid w:val="007B573F"/>
    <w:rsid w:val="007B6176"/>
    <w:rsid w:val="007B72AC"/>
    <w:rsid w:val="007B78F8"/>
    <w:rsid w:val="007C004C"/>
    <w:rsid w:val="007C0065"/>
    <w:rsid w:val="007C010B"/>
    <w:rsid w:val="007C1D28"/>
    <w:rsid w:val="007C32B6"/>
    <w:rsid w:val="007C3AE3"/>
    <w:rsid w:val="007C605B"/>
    <w:rsid w:val="007C6EBA"/>
    <w:rsid w:val="007C7BAC"/>
    <w:rsid w:val="007C7CC5"/>
    <w:rsid w:val="007C7E1C"/>
    <w:rsid w:val="007D1996"/>
    <w:rsid w:val="007D232E"/>
    <w:rsid w:val="007D2A5A"/>
    <w:rsid w:val="007D2A86"/>
    <w:rsid w:val="007D2AD8"/>
    <w:rsid w:val="007D2C47"/>
    <w:rsid w:val="007D2C61"/>
    <w:rsid w:val="007D2DA3"/>
    <w:rsid w:val="007D2F81"/>
    <w:rsid w:val="007D3167"/>
    <w:rsid w:val="007D3524"/>
    <w:rsid w:val="007D368A"/>
    <w:rsid w:val="007D3CF7"/>
    <w:rsid w:val="007D4128"/>
    <w:rsid w:val="007D4215"/>
    <w:rsid w:val="007D4281"/>
    <w:rsid w:val="007D42F5"/>
    <w:rsid w:val="007D44C3"/>
    <w:rsid w:val="007D5055"/>
    <w:rsid w:val="007D5947"/>
    <w:rsid w:val="007D65C1"/>
    <w:rsid w:val="007D7131"/>
    <w:rsid w:val="007E030F"/>
    <w:rsid w:val="007E0D49"/>
    <w:rsid w:val="007E0E59"/>
    <w:rsid w:val="007E0F4B"/>
    <w:rsid w:val="007E12C1"/>
    <w:rsid w:val="007E1EF7"/>
    <w:rsid w:val="007E28DB"/>
    <w:rsid w:val="007E3715"/>
    <w:rsid w:val="007E5880"/>
    <w:rsid w:val="007E5A02"/>
    <w:rsid w:val="007E5F3D"/>
    <w:rsid w:val="007E6588"/>
    <w:rsid w:val="007E6C28"/>
    <w:rsid w:val="007E7063"/>
    <w:rsid w:val="007E7E61"/>
    <w:rsid w:val="007F0316"/>
    <w:rsid w:val="007F0845"/>
    <w:rsid w:val="007F0DF6"/>
    <w:rsid w:val="007F1092"/>
    <w:rsid w:val="007F16F9"/>
    <w:rsid w:val="007F2801"/>
    <w:rsid w:val="007F2F76"/>
    <w:rsid w:val="007F3E3E"/>
    <w:rsid w:val="007F3FFE"/>
    <w:rsid w:val="007F42E0"/>
    <w:rsid w:val="007F500D"/>
    <w:rsid w:val="007F5F14"/>
    <w:rsid w:val="007F7B54"/>
    <w:rsid w:val="007F7C60"/>
    <w:rsid w:val="00800073"/>
    <w:rsid w:val="008005D7"/>
    <w:rsid w:val="00800C6A"/>
    <w:rsid w:val="00801FDD"/>
    <w:rsid w:val="008020C2"/>
    <w:rsid w:val="0080255C"/>
    <w:rsid w:val="00804137"/>
    <w:rsid w:val="00805287"/>
    <w:rsid w:val="008054FB"/>
    <w:rsid w:val="00806088"/>
    <w:rsid w:val="00806D07"/>
    <w:rsid w:val="00806D73"/>
    <w:rsid w:val="008075CD"/>
    <w:rsid w:val="0081019B"/>
    <w:rsid w:val="00811107"/>
    <w:rsid w:val="0081187C"/>
    <w:rsid w:val="00811E24"/>
    <w:rsid w:val="008120C5"/>
    <w:rsid w:val="00812129"/>
    <w:rsid w:val="00812386"/>
    <w:rsid w:val="00812E2B"/>
    <w:rsid w:val="00813A70"/>
    <w:rsid w:val="00813CB4"/>
    <w:rsid w:val="00813DB0"/>
    <w:rsid w:val="00813FE6"/>
    <w:rsid w:val="00815B82"/>
    <w:rsid w:val="00815C6E"/>
    <w:rsid w:val="00815DD0"/>
    <w:rsid w:val="00815F10"/>
    <w:rsid w:val="0081645F"/>
    <w:rsid w:val="00816475"/>
    <w:rsid w:val="008167A9"/>
    <w:rsid w:val="00816A28"/>
    <w:rsid w:val="008174A3"/>
    <w:rsid w:val="00817755"/>
    <w:rsid w:val="008178C2"/>
    <w:rsid w:val="008178CF"/>
    <w:rsid w:val="00817C98"/>
    <w:rsid w:val="00820C9F"/>
    <w:rsid w:val="008215A1"/>
    <w:rsid w:val="00821AAE"/>
    <w:rsid w:val="00821FF6"/>
    <w:rsid w:val="00823AAF"/>
    <w:rsid w:val="00824081"/>
    <w:rsid w:val="0082409A"/>
    <w:rsid w:val="008252D7"/>
    <w:rsid w:val="00825C0F"/>
    <w:rsid w:val="00826376"/>
    <w:rsid w:val="00826ED1"/>
    <w:rsid w:val="00826EE3"/>
    <w:rsid w:val="00827181"/>
    <w:rsid w:val="0082733C"/>
    <w:rsid w:val="008276AB"/>
    <w:rsid w:val="00827746"/>
    <w:rsid w:val="008277A3"/>
    <w:rsid w:val="0083102D"/>
    <w:rsid w:val="0083143E"/>
    <w:rsid w:val="0083159D"/>
    <w:rsid w:val="008318FF"/>
    <w:rsid w:val="00832187"/>
    <w:rsid w:val="00832493"/>
    <w:rsid w:val="008329BD"/>
    <w:rsid w:val="00832E47"/>
    <w:rsid w:val="008334C3"/>
    <w:rsid w:val="008336D8"/>
    <w:rsid w:val="008339C4"/>
    <w:rsid w:val="00833B90"/>
    <w:rsid w:val="00834F0A"/>
    <w:rsid w:val="00834FAA"/>
    <w:rsid w:val="00835181"/>
    <w:rsid w:val="0083570E"/>
    <w:rsid w:val="00835991"/>
    <w:rsid w:val="00835B51"/>
    <w:rsid w:val="00836086"/>
    <w:rsid w:val="00836BAD"/>
    <w:rsid w:val="00840699"/>
    <w:rsid w:val="00841D9F"/>
    <w:rsid w:val="00842078"/>
    <w:rsid w:val="00842604"/>
    <w:rsid w:val="00843CEC"/>
    <w:rsid w:val="00843ECF"/>
    <w:rsid w:val="00845AB1"/>
    <w:rsid w:val="00846673"/>
    <w:rsid w:val="008508A9"/>
    <w:rsid w:val="0085188D"/>
    <w:rsid w:val="008518D8"/>
    <w:rsid w:val="008525F9"/>
    <w:rsid w:val="0085281A"/>
    <w:rsid w:val="00853C0F"/>
    <w:rsid w:val="00853F33"/>
    <w:rsid w:val="00854116"/>
    <w:rsid w:val="008548EA"/>
    <w:rsid w:val="008550EA"/>
    <w:rsid w:val="00855458"/>
    <w:rsid w:val="008559FE"/>
    <w:rsid w:val="00855C69"/>
    <w:rsid w:val="0085686D"/>
    <w:rsid w:val="00857339"/>
    <w:rsid w:val="00860706"/>
    <w:rsid w:val="00861ABA"/>
    <w:rsid w:val="00862A7A"/>
    <w:rsid w:val="00862FBD"/>
    <w:rsid w:val="00863104"/>
    <w:rsid w:val="008636CD"/>
    <w:rsid w:val="00863702"/>
    <w:rsid w:val="00863D9E"/>
    <w:rsid w:val="00863FDC"/>
    <w:rsid w:val="008642AF"/>
    <w:rsid w:val="00865286"/>
    <w:rsid w:val="00865729"/>
    <w:rsid w:val="00865EA8"/>
    <w:rsid w:val="00865ED4"/>
    <w:rsid w:val="008669A7"/>
    <w:rsid w:val="00867464"/>
    <w:rsid w:val="00867D15"/>
    <w:rsid w:val="00867E29"/>
    <w:rsid w:val="0087023F"/>
    <w:rsid w:val="00870F2B"/>
    <w:rsid w:val="00872922"/>
    <w:rsid w:val="00873B2E"/>
    <w:rsid w:val="00874097"/>
    <w:rsid w:val="008746E6"/>
    <w:rsid w:val="0087515D"/>
    <w:rsid w:val="00875740"/>
    <w:rsid w:val="0087594C"/>
    <w:rsid w:val="00876086"/>
    <w:rsid w:val="008765FA"/>
    <w:rsid w:val="008768D6"/>
    <w:rsid w:val="0087703B"/>
    <w:rsid w:val="008775D1"/>
    <w:rsid w:val="008777BB"/>
    <w:rsid w:val="00877D68"/>
    <w:rsid w:val="00877E5D"/>
    <w:rsid w:val="00880150"/>
    <w:rsid w:val="00880ABA"/>
    <w:rsid w:val="00880F23"/>
    <w:rsid w:val="00883797"/>
    <w:rsid w:val="00883A67"/>
    <w:rsid w:val="00883D45"/>
    <w:rsid w:val="00884D69"/>
    <w:rsid w:val="0088503D"/>
    <w:rsid w:val="00885EC6"/>
    <w:rsid w:val="008869D2"/>
    <w:rsid w:val="00886A8F"/>
    <w:rsid w:val="0088733A"/>
    <w:rsid w:val="008875A1"/>
    <w:rsid w:val="008901CC"/>
    <w:rsid w:val="0089169B"/>
    <w:rsid w:val="00891BE0"/>
    <w:rsid w:val="00893302"/>
    <w:rsid w:val="00893648"/>
    <w:rsid w:val="00893800"/>
    <w:rsid w:val="00893D83"/>
    <w:rsid w:val="00893F0C"/>
    <w:rsid w:val="00893F33"/>
    <w:rsid w:val="00893F3C"/>
    <w:rsid w:val="008945A1"/>
    <w:rsid w:val="00894A63"/>
    <w:rsid w:val="00894F71"/>
    <w:rsid w:val="00895A54"/>
    <w:rsid w:val="00896776"/>
    <w:rsid w:val="00896916"/>
    <w:rsid w:val="00896BDE"/>
    <w:rsid w:val="00896FC5"/>
    <w:rsid w:val="0089763E"/>
    <w:rsid w:val="008A03DE"/>
    <w:rsid w:val="008A0861"/>
    <w:rsid w:val="008A0BB2"/>
    <w:rsid w:val="008A1AB3"/>
    <w:rsid w:val="008A1D5C"/>
    <w:rsid w:val="008A243E"/>
    <w:rsid w:val="008A3292"/>
    <w:rsid w:val="008A3A85"/>
    <w:rsid w:val="008A43E9"/>
    <w:rsid w:val="008A4CB1"/>
    <w:rsid w:val="008A615E"/>
    <w:rsid w:val="008A632B"/>
    <w:rsid w:val="008A6BFE"/>
    <w:rsid w:val="008A6F21"/>
    <w:rsid w:val="008A73DA"/>
    <w:rsid w:val="008B00C2"/>
    <w:rsid w:val="008B04A0"/>
    <w:rsid w:val="008B05E8"/>
    <w:rsid w:val="008B069F"/>
    <w:rsid w:val="008B07EF"/>
    <w:rsid w:val="008B16DE"/>
    <w:rsid w:val="008B190E"/>
    <w:rsid w:val="008B1A8A"/>
    <w:rsid w:val="008B1FC9"/>
    <w:rsid w:val="008B531F"/>
    <w:rsid w:val="008B54A3"/>
    <w:rsid w:val="008B634C"/>
    <w:rsid w:val="008B6B67"/>
    <w:rsid w:val="008B7306"/>
    <w:rsid w:val="008B775F"/>
    <w:rsid w:val="008B7C02"/>
    <w:rsid w:val="008B7D13"/>
    <w:rsid w:val="008B7F9E"/>
    <w:rsid w:val="008C034E"/>
    <w:rsid w:val="008C05F3"/>
    <w:rsid w:val="008C0E88"/>
    <w:rsid w:val="008C1399"/>
    <w:rsid w:val="008C18A5"/>
    <w:rsid w:val="008C1AA8"/>
    <w:rsid w:val="008C22A8"/>
    <w:rsid w:val="008C25FD"/>
    <w:rsid w:val="008C3460"/>
    <w:rsid w:val="008C4BB5"/>
    <w:rsid w:val="008C5B43"/>
    <w:rsid w:val="008C63FD"/>
    <w:rsid w:val="008C6CB8"/>
    <w:rsid w:val="008C6D92"/>
    <w:rsid w:val="008C777A"/>
    <w:rsid w:val="008C7815"/>
    <w:rsid w:val="008C79DA"/>
    <w:rsid w:val="008C7A07"/>
    <w:rsid w:val="008C7E90"/>
    <w:rsid w:val="008C7EB3"/>
    <w:rsid w:val="008D009F"/>
    <w:rsid w:val="008D0171"/>
    <w:rsid w:val="008D04F8"/>
    <w:rsid w:val="008D0632"/>
    <w:rsid w:val="008D0E3B"/>
    <w:rsid w:val="008D13EA"/>
    <w:rsid w:val="008D2671"/>
    <w:rsid w:val="008D2A16"/>
    <w:rsid w:val="008D2C16"/>
    <w:rsid w:val="008D2ECF"/>
    <w:rsid w:val="008D347D"/>
    <w:rsid w:val="008D3594"/>
    <w:rsid w:val="008D3F3D"/>
    <w:rsid w:val="008D4376"/>
    <w:rsid w:val="008D4FB0"/>
    <w:rsid w:val="008E0367"/>
    <w:rsid w:val="008E2525"/>
    <w:rsid w:val="008E2B96"/>
    <w:rsid w:val="008E2DCD"/>
    <w:rsid w:val="008E308D"/>
    <w:rsid w:val="008E31FF"/>
    <w:rsid w:val="008E46A3"/>
    <w:rsid w:val="008E4CD7"/>
    <w:rsid w:val="008E5DE6"/>
    <w:rsid w:val="008E6113"/>
    <w:rsid w:val="008E6AB3"/>
    <w:rsid w:val="008E6AD3"/>
    <w:rsid w:val="008E6EBD"/>
    <w:rsid w:val="008E71A6"/>
    <w:rsid w:val="008E77B6"/>
    <w:rsid w:val="008E7C55"/>
    <w:rsid w:val="008F032E"/>
    <w:rsid w:val="008F0F14"/>
    <w:rsid w:val="008F1394"/>
    <w:rsid w:val="008F1638"/>
    <w:rsid w:val="008F2097"/>
    <w:rsid w:val="008F2F44"/>
    <w:rsid w:val="008F4108"/>
    <w:rsid w:val="008F4FCE"/>
    <w:rsid w:val="008F5301"/>
    <w:rsid w:val="008F650D"/>
    <w:rsid w:val="008F6967"/>
    <w:rsid w:val="008F6A0C"/>
    <w:rsid w:val="008F6F38"/>
    <w:rsid w:val="008F7721"/>
    <w:rsid w:val="008F7D28"/>
    <w:rsid w:val="009003A8"/>
    <w:rsid w:val="009010A7"/>
    <w:rsid w:val="009010E3"/>
    <w:rsid w:val="00901703"/>
    <w:rsid w:val="00901AF3"/>
    <w:rsid w:val="00901D64"/>
    <w:rsid w:val="00901DFB"/>
    <w:rsid w:val="009025B0"/>
    <w:rsid w:val="00902CBE"/>
    <w:rsid w:val="00902D74"/>
    <w:rsid w:val="00902EFF"/>
    <w:rsid w:val="00902FAC"/>
    <w:rsid w:val="00903E06"/>
    <w:rsid w:val="009045D1"/>
    <w:rsid w:val="00904B9D"/>
    <w:rsid w:val="00905A11"/>
    <w:rsid w:val="00905FE8"/>
    <w:rsid w:val="009066E1"/>
    <w:rsid w:val="00906DC3"/>
    <w:rsid w:val="00906F67"/>
    <w:rsid w:val="00907A41"/>
    <w:rsid w:val="00907F4B"/>
    <w:rsid w:val="009102BD"/>
    <w:rsid w:val="00910AB7"/>
    <w:rsid w:val="00910F93"/>
    <w:rsid w:val="00910FBC"/>
    <w:rsid w:val="00911C6A"/>
    <w:rsid w:val="00911EB2"/>
    <w:rsid w:val="0091255A"/>
    <w:rsid w:val="009135C7"/>
    <w:rsid w:val="00914426"/>
    <w:rsid w:val="0091675F"/>
    <w:rsid w:val="00916C6C"/>
    <w:rsid w:val="00917709"/>
    <w:rsid w:val="00917918"/>
    <w:rsid w:val="00920874"/>
    <w:rsid w:val="00921F14"/>
    <w:rsid w:val="009227C6"/>
    <w:rsid w:val="00923750"/>
    <w:rsid w:val="009243A5"/>
    <w:rsid w:val="00924DC8"/>
    <w:rsid w:val="0092500F"/>
    <w:rsid w:val="009250D2"/>
    <w:rsid w:val="0092519D"/>
    <w:rsid w:val="0092540B"/>
    <w:rsid w:val="0092557A"/>
    <w:rsid w:val="009256C5"/>
    <w:rsid w:val="00925A21"/>
    <w:rsid w:val="00926283"/>
    <w:rsid w:val="009277E9"/>
    <w:rsid w:val="00927E25"/>
    <w:rsid w:val="009306BE"/>
    <w:rsid w:val="0093161F"/>
    <w:rsid w:val="00933F72"/>
    <w:rsid w:val="00934836"/>
    <w:rsid w:val="00934963"/>
    <w:rsid w:val="00936ECA"/>
    <w:rsid w:val="00937B11"/>
    <w:rsid w:val="00940F1F"/>
    <w:rsid w:val="00941250"/>
    <w:rsid w:val="00941339"/>
    <w:rsid w:val="00941631"/>
    <w:rsid w:val="0094396E"/>
    <w:rsid w:val="0094427A"/>
    <w:rsid w:val="00944380"/>
    <w:rsid w:val="009445FD"/>
    <w:rsid w:val="009459C5"/>
    <w:rsid w:val="00945E5E"/>
    <w:rsid w:val="0094626C"/>
    <w:rsid w:val="0095013A"/>
    <w:rsid w:val="00953AEF"/>
    <w:rsid w:val="00954C8E"/>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5B40"/>
    <w:rsid w:val="009663EB"/>
    <w:rsid w:val="0096650F"/>
    <w:rsid w:val="00967801"/>
    <w:rsid w:val="00967AD2"/>
    <w:rsid w:val="009700DB"/>
    <w:rsid w:val="00971A20"/>
    <w:rsid w:val="00971DC6"/>
    <w:rsid w:val="00972263"/>
    <w:rsid w:val="00972502"/>
    <w:rsid w:val="00972D8D"/>
    <w:rsid w:val="009737E6"/>
    <w:rsid w:val="00973AAE"/>
    <w:rsid w:val="009742F7"/>
    <w:rsid w:val="0097476C"/>
    <w:rsid w:val="00974923"/>
    <w:rsid w:val="00974D48"/>
    <w:rsid w:val="00974D5F"/>
    <w:rsid w:val="00975017"/>
    <w:rsid w:val="009751C0"/>
    <w:rsid w:val="00975217"/>
    <w:rsid w:val="009759DF"/>
    <w:rsid w:val="009766E3"/>
    <w:rsid w:val="00977A4D"/>
    <w:rsid w:val="00980373"/>
    <w:rsid w:val="00980621"/>
    <w:rsid w:val="0098095B"/>
    <w:rsid w:val="00982072"/>
    <w:rsid w:val="00983380"/>
    <w:rsid w:val="009833FA"/>
    <w:rsid w:val="0098354B"/>
    <w:rsid w:val="00983DBB"/>
    <w:rsid w:val="00983ECF"/>
    <w:rsid w:val="00985157"/>
    <w:rsid w:val="00985B15"/>
    <w:rsid w:val="0098612D"/>
    <w:rsid w:val="00986745"/>
    <w:rsid w:val="009867BC"/>
    <w:rsid w:val="00987109"/>
    <w:rsid w:val="00987309"/>
    <w:rsid w:val="00987351"/>
    <w:rsid w:val="00990123"/>
    <w:rsid w:val="0099012D"/>
    <w:rsid w:val="00990363"/>
    <w:rsid w:val="00991266"/>
    <w:rsid w:val="009928AE"/>
    <w:rsid w:val="00993BE6"/>
    <w:rsid w:val="00993D9C"/>
    <w:rsid w:val="00993F56"/>
    <w:rsid w:val="009954FF"/>
    <w:rsid w:val="0099571E"/>
    <w:rsid w:val="00995CE4"/>
    <w:rsid w:val="00995E2F"/>
    <w:rsid w:val="009961BC"/>
    <w:rsid w:val="00996355"/>
    <w:rsid w:val="009976A2"/>
    <w:rsid w:val="0099788F"/>
    <w:rsid w:val="009979D1"/>
    <w:rsid w:val="00997ADD"/>
    <w:rsid w:val="009A05A2"/>
    <w:rsid w:val="009A0990"/>
    <w:rsid w:val="009A1374"/>
    <w:rsid w:val="009A13FA"/>
    <w:rsid w:val="009A2014"/>
    <w:rsid w:val="009A2030"/>
    <w:rsid w:val="009A38F8"/>
    <w:rsid w:val="009A3A87"/>
    <w:rsid w:val="009A443B"/>
    <w:rsid w:val="009A4E12"/>
    <w:rsid w:val="009A5C68"/>
    <w:rsid w:val="009A5DE2"/>
    <w:rsid w:val="009A696E"/>
    <w:rsid w:val="009A6EF7"/>
    <w:rsid w:val="009B04D0"/>
    <w:rsid w:val="009B052C"/>
    <w:rsid w:val="009B0975"/>
    <w:rsid w:val="009B0EF2"/>
    <w:rsid w:val="009B1D9A"/>
    <w:rsid w:val="009B23A3"/>
    <w:rsid w:val="009B2C0E"/>
    <w:rsid w:val="009B4764"/>
    <w:rsid w:val="009B4925"/>
    <w:rsid w:val="009B4B4B"/>
    <w:rsid w:val="009B4CE3"/>
    <w:rsid w:val="009B6FD3"/>
    <w:rsid w:val="009B70BD"/>
    <w:rsid w:val="009B7134"/>
    <w:rsid w:val="009B729E"/>
    <w:rsid w:val="009C07A5"/>
    <w:rsid w:val="009C24A3"/>
    <w:rsid w:val="009C3705"/>
    <w:rsid w:val="009C3BE3"/>
    <w:rsid w:val="009C3D95"/>
    <w:rsid w:val="009C560D"/>
    <w:rsid w:val="009C5821"/>
    <w:rsid w:val="009C6215"/>
    <w:rsid w:val="009C6B47"/>
    <w:rsid w:val="009C7388"/>
    <w:rsid w:val="009C74C2"/>
    <w:rsid w:val="009D009C"/>
    <w:rsid w:val="009D0CFF"/>
    <w:rsid w:val="009D1023"/>
    <w:rsid w:val="009D1551"/>
    <w:rsid w:val="009D2859"/>
    <w:rsid w:val="009D36EC"/>
    <w:rsid w:val="009D3CD0"/>
    <w:rsid w:val="009D4173"/>
    <w:rsid w:val="009D48DC"/>
    <w:rsid w:val="009D51CA"/>
    <w:rsid w:val="009D57B9"/>
    <w:rsid w:val="009D6095"/>
    <w:rsid w:val="009D6306"/>
    <w:rsid w:val="009D77CF"/>
    <w:rsid w:val="009E048A"/>
    <w:rsid w:val="009E1124"/>
    <w:rsid w:val="009E1FBA"/>
    <w:rsid w:val="009E2C54"/>
    <w:rsid w:val="009E3710"/>
    <w:rsid w:val="009E6F65"/>
    <w:rsid w:val="009E7340"/>
    <w:rsid w:val="009E7B1F"/>
    <w:rsid w:val="009F346F"/>
    <w:rsid w:val="009F371A"/>
    <w:rsid w:val="009F3F25"/>
    <w:rsid w:val="009F3FC3"/>
    <w:rsid w:val="009F41C4"/>
    <w:rsid w:val="009F512F"/>
    <w:rsid w:val="009F5846"/>
    <w:rsid w:val="009F62C9"/>
    <w:rsid w:val="009F63D2"/>
    <w:rsid w:val="009F777A"/>
    <w:rsid w:val="009F7B52"/>
    <w:rsid w:val="009F7D77"/>
    <w:rsid w:val="00A004D2"/>
    <w:rsid w:val="00A015EA"/>
    <w:rsid w:val="00A0172C"/>
    <w:rsid w:val="00A05B91"/>
    <w:rsid w:val="00A10609"/>
    <w:rsid w:val="00A10D66"/>
    <w:rsid w:val="00A12BA8"/>
    <w:rsid w:val="00A133F2"/>
    <w:rsid w:val="00A13993"/>
    <w:rsid w:val="00A1420C"/>
    <w:rsid w:val="00A1456C"/>
    <w:rsid w:val="00A14821"/>
    <w:rsid w:val="00A14C9D"/>
    <w:rsid w:val="00A17754"/>
    <w:rsid w:val="00A2055B"/>
    <w:rsid w:val="00A20E22"/>
    <w:rsid w:val="00A219FE"/>
    <w:rsid w:val="00A2253C"/>
    <w:rsid w:val="00A23545"/>
    <w:rsid w:val="00A23A55"/>
    <w:rsid w:val="00A23E43"/>
    <w:rsid w:val="00A23EF0"/>
    <w:rsid w:val="00A24C11"/>
    <w:rsid w:val="00A24F8C"/>
    <w:rsid w:val="00A262BF"/>
    <w:rsid w:val="00A271AD"/>
    <w:rsid w:val="00A276D5"/>
    <w:rsid w:val="00A279CF"/>
    <w:rsid w:val="00A30336"/>
    <w:rsid w:val="00A30BB5"/>
    <w:rsid w:val="00A3128F"/>
    <w:rsid w:val="00A326D0"/>
    <w:rsid w:val="00A35287"/>
    <w:rsid w:val="00A355F2"/>
    <w:rsid w:val="00A36CF6"/>
    <w:rsid w:val="00A378F8"/>
    <w:rsid w:val="00A40965"/>
    <w:rsid w:val="00A40B19"/>
    <w:rsid w:val="00A40F56"/>
    <w:rsid w:val="00A41D07"/>
    <w:rsid w:val="00A424F8"/>
    <w:rsid w:val="00A42883"/>
    <w:rsid w:val="00A437B7"/>
    <w:rsid w:val="00A439DB"/>
    <w:rsid w:val="00A43EA2"/>
    <w:rsid w:val="00A46C70"/>
    <w:rsid w:val="00A46D48"/>
    <w:rsid w:val="00A46DE0"/>
    <w:rsid w:val="00A4778A"/>
    <w:rsid w:val="00A479BA"/>
    <w:rsid w:val="00A47C94"/>
    <w:rsid w:val="00A504C0"/>
    <w:rsid w:val="00A5067F"/>
    <w:rsid w:val="00A517C1"/>
    <w:rsid w:val="00A518E0"/>
    <w:rsid w:val="00A5408A"/>
    <w:rsid w:val="00A55301"/>
    <w:rsid w:val="00A56343"/>
    <w:rsid w:val="00A572FB"/>
    <w:rsid w:val="00A57B3C"/>
    <w:rsid w:val="00A57F1B"/>
    <w:rsid w:val="00A600D2"/>
    <w:rsid w:val="00A6128E"/>
    <w:rsid w:val="00A62B9A"/>
    <w:rsid w:val="00A62CE1"/>
    <w:rsid w:val="00A631FA"/>
    <w:rsid w:val="00A64203"/>
    <w:rsid w:val="00A64348"/>
    <w:rsid w:val="00A644E1"/>
    <w:rsid w:val="00A66264"/>
    <w:rsid w:val="00A6666A"/>
    <w:rsid w:val="00A6766C"/>
    <w:rsid w:val="00A67959"/>
    <w:rsid w:val="00A70E97"/>
    <w:rsid w:val="00A711B0"/>
    <w:rsid w:val="00A71279"/>
    <w:rsid w:val="00A721FB"/>
    <w:rsid w:val="00A727BA"/>
    <w:rsid w:val="00A72D4B"/>
    <w:rsid w:val="00A732AE"/>
    <w:rsid w:val="00A74192"/>
    <w:rsid w:val="00A75837"/>
    <w:rsid w:val="00A75E40"/>
    <w:rsid w:val="00A762F6"/>
    <w:rsid w:val="00A76B12"/>
    <w:rsid w:val="00A76EF2"/>
    <w:rsid w:val="00A7727E"/>
    <w:rsid w:val="00A77C13"/>
    <w:rsid w:val="00A77EB2"/>
    <w:rsid w:val="00A80201"/>
    <w:rsid w:val="00A80917"/>
    <w:rsid w:val="00A81094"/>
    <w:rsid w:val="00A81FB6"/>
    <w:rsid w:val="00A82B66"/>
    <w:rsid w:val="00A82C52"/>
    <w:rsid w:val="00A83B58"/>
    <w:rsid w:val="00A84D7D"/>
    <w:rsid w:val="00A84FAF"/>
    <w:rsid w:val="00A851B6"/>
    <w:rsid w:val="00A85729"/>
    <w:rsid w:val="00A8574B"/>
    <w:rsid w:val="00A857C0"/>
    <w:rsid w:val="00A85F18"/>
    <w:rsid w:val="00A85F5E"/>
    <w:rsid w:val="00A8775C"/>
    <w:rsid w:val="00A90343"/>
    <w:rsid w:val="00A91336"/>
    <w:rsid w:val="00A91D49"/>
    <w:rsid w:val="00A9221C"/>
    <w:rsid w:val="00A92277"/>
    <w:rsid w:val="00A92916"/>
    <w:rsid w:val="00A929D1"/>
    <w:rsid w:val="00A94152"/>
    <w:rsid w:val="00A94628"/>
    <w:rsid w:val="00A94954"/>
    <w:rsid w:val="00A9497A"/>
    <w:rsid w:val="00A949A6"/>
    <w:rsid w:val="00A94BF6"/>
    <w:rsid w:val="00A96241"/>
    <w:rsid w:val="00A96463"/>
    <w:rsid w:val="00A97E3F"/>
    <w:rsid w:val="00AA09D3"/>
    <w:rsid w:val="00AA1356"/>
    <w:rsid w:val="00AA220F"/>
    <w:rsid w:val="00AA23FB"/>
    <w:rsid w:val="00AA34FE"/>
    <w:rsid w:val="00AA3BB6"/>
    <w:rsid w:val="00AA42AB"/>
    <w:rsid w:val="00AA4A76"/>
    <w:rsid w:val="00AA559A"/>
    <w:rsid w:val="00AA57A4"/>
    <w:rsid w:val="00AA5F10"/>
    <w:rsid w:val="00AB0BB9"/>
    <w:rsid w:val="00AB104D"/>
    <w:rsid w:val="00AB1441"/>
    <w:rsid w:val="00AB1653"/>
    <w:rsid w:val="00AB2064"/>
    <w:rsid w:val="00AB2AF1"/>
    <w:rsid w:val="00AB440B"/>
    <w:rsid w:val="00AB47E3"/>
    <w:rsid w:val="00AB5D66"/>
    <w:rsid w:val="00AB74C5"/>
    <w:rsid w:val="00AB7BEE"/>
    <w:rsid w:val="00AB7DF2"/>
    <w:rsid w:val="00AC1E3F"/>
    <w:rsid w:val="00AC219A"/>
    <w:rsid w:val="00AC3D02"/>
    <w:rsid w:val="00AC444B"/>
    <w:rsid w:val="00AC4F18"/>
    <w:rsid w:val="00AC69CA"/>
    <w:rsid w:val="00AD0B46"/>
    <w:rsid w:val="00AD1094"/>
    <w:rsid w:val="00AD1299"/>
    <w:rsid w:val="00AD2565"/>
    <w:rsid w:val="00AD2862"/>
    <w:rsid w:val="00AD306C"/>
    <w:rsid w:val="00AD3424"/>
    <w:rsid w:val="00AD3E3F"/>
    <w:rsid w:val="00AD47F5"/>
    <w:rsid w:val="00AD4FEF"/>
    <w:rsid w:val="00AD50D1"/>
    <w:rsid w:val="00AD59BB"/>
    <w:rsid w:val="00AD5D68"/>
    <w:rsid w:val="00AD6C73"/>
    <w:rsid w:val="00AD75F9"/>
    <w:rsid w:val="00AD7D49"/>
    <w:rsid w:val="00AE06D0"/>
    <w:rsid w:val="00AE1B8A"/>
    <w:rsid w:val="00AE39DC"/>
    <w:rsid w:val="00AE3CDA"/>
    <w:rsid w:val="00AE481D"/>
    <w:rsid w:val="00AE608F"/>
    <w:rsid w:val="00AE6195"/>
    <w:rsid w:val="00AE63AB"/>
    <w:rsid w:val="00AE6557"/>
    <w:rsid w:val="00AE6734"/>
    <w:rsid w:val="00AE7921"/>
    <w:rsid w:val="00AE7968"/>
    <w:rsid w:val="00AE7B2B"/>
    <w:rsid w:val="00AE7DFF"/>
    <w:rsid w:val="00AF0522"/>
    <w:rsid w:val="00AF128B"/>
    <w:rsid w:val="00AF1AEA"/>
    <w:rsid w:val="00AF1BA9"/>
    <w:rsid w:val="00AF24FD"/>
    <w:rsid w:val="00AF2536"/>
    <w:rsid w:val="00AF2852"/>
    <w:rsid w:val="00AF3225"/>
    <w:rsid w:val="00AF3900"/>
    <w:rsid w:val="00AF4983"/>
    <w:rsid w:val="00AF4CA7"/>
    <w:rsid w:val="00AF518B"/>
    <w:rsid w:val="00AF5275"/>
    <w:rsid w:val="00AF579A"/>
    <w:rsid w:val="00AF5D62"/>
    <w:rsid w:val="00AF6367"/>
    <w:rsid w:val="00AF6A79"/>
    <w:rsid w:val="00AF6B7C"/>
    <w:rsid w:val="00AF724E"/>
    <w:rsid w:val="00AF73A9"/>
    <w:rsid w:val="00AF7C5D"/>
    <w:rsid w:val="00B008A0"/>
    <w:rsid w:val="00B01436"/>
    <w:rsid w:val="00B014DD"/>
    <w:rsid w:val="00B01AEF"/>
    <w:rsid w:val="00B01C2C"/>
    <w:rsid w:val="00B0231C"/>
    <w:rsid w:val="00B06E35"/>
    <w:rsid w:val="00B07372"/>
    <w:rsid w:val="00B07C2A"/>
    <w:rsid w:val="00B10100"/>
    <w:rsid w:val="00B12809"/>
    <w:rsid w:val="00B128E5"/>
    <w:rsid w:val="00B13681"/>
    <w:rsid w:val="00B13BCE"/>
    <w:rsid w:val="00B15DCD"/>
    <w:rsid w:val="00B15ED5"/>
    <w:rsid w:val="00B16201"/>
    <w:rsid w:val="00B164F6"/>
    <w:rsid w:val="00B17E71"/>
    <w:rsid w:val="00B17FDE"/>
    <w:rsid w:val="00B20597"/>
    <w:rsid w:val="00B208FC"/>
    <w:rsid w:val="00B20C65"/>
    <w:rsid w:val="00B22E17"/>
    <w:rsid w:val="00B25567"/>
    <w:rsid w:val="00B25E31"/>
    <w:rsid w:val="00B262CD"/>
    <w:rsid w:val="00B266C5"/>
    <w:rsid w:val="00B26984"/>
    <w:rsid w:val="00B2702C"/>
    <w:rsid w:val="00B27293"/>
    <w:rsid w:val="00B300E8"/>
    <w:rsid w:val="00B301BB"/>
    <w:rsid w:val="00B310A1"/>
    <w:rsid w:val="00B316B8"/>
    <w:rsid w:val="00B321E3"/>
    <w:rsid w:val="00B3229E"/>
    <w:rsid w:val="00B32DDB"/>
    <w:rsid w:val="00B335ED"/>
    <w:rsid w:val="00B3447A"/>
    <w:rsid w:val="00B3448C"/>
    <w:rsid w:val="00B34931"/>
    <w:rsid w:val="00B35174"/>
    <w:rsid w:val="00B35BEA"/>
    <w:rsid w:val="00B362B5"/>
    <w:rsid w:val="00B365CB"/>
    <w:rsid w:val="00B37915"/>
    <w:rsid w:val="00B3793D"/>
    <w:rsid w:val="00B40FC9"/>
    <w:rsid w:val="00B41BE6"/>
    <w:rsid w:val="00B42831"/>
    <w:rsid w:val="00B428A4"/>
    <w:rsid w:val="00B457E7"/>
    <w:rsid w:val="00B45D1B"/>
    <w:rsid w:val="00B45DE5"/>
    <w:rsid w:val="00B46D25"/>
    <w:rsid w:val="00B47430"/>
    <w:rsid w:val="00B47AC6"/>
    <w:rsid w:val="00B52D2D"/>
    <w:rsid w:val="00B534EF"/>
    <w:rsid w:val="00B548DA"/>
    <w:rsid w:val="00B55BA8"/>
    <w:rsid w:val="00B55F15"/>
    <w:rsid w:val="00B561A6"/>
    <w:rsid w:val="00B56708"/>
    <w:rsid w:val="00B56A48"/>
    <w:rsid w:val="00B57CC4"/>
    <w:rsid w:val="00B60062"/>
    <w:rsid w:val="00B62960"/>
    <w:rsid w:val="00B63A11"/>
    <w:rsid w:val="00B63CB3"/>
    <w:rsid w:val="00B63FD0"/>
    <w:rsid w:val="00B6493D"/>
    <w:rsid w:val="00B6553E"/>
    <w:rsid w:val="00B65C84"/>
    <w:rsid w:val="00B6608F"/>
    <w:rsid w:val="00B70D4C"/>
    <w:rsid w:val="00B73180"/>
    <w:rsid w:val="00B73AA5"/>
    <w:rsid w:val="00B741FD"/>
    <w:rsid w:val="00B74317"/>
    <w:rsid w:val="00B75700"/>
    <w:rsid w:val="00B760C1"/>
    <w:rsid w:val="00B76D1E"/>
    <w:rsid w:val="00B77BC8"/>
    <w:rsid w:val="00B77FB7"/>
    <w:rsid w:val="00B800EB"/>
    <w:rsid w:val="00B817E0"/>
    <w:rsid w:val="00B822D2"/>
    <w:rsid w:val="00B823F1"/>
    <w:rsid w:val="00B8317C"/>
    <w:rsid w:val="00B831B4"/>
    <w:rsid w:val="00B83D46"/>
    <w:rsid w:val="00B848B8"/>
    <w:rsid w:val="00B84A41"/>
    <w:rsid w:val="00B84D57"/>
    <w:rsid w:val="00B8504B"/>
    <w:rsid w:val="00B853C2"/>
    <w:rsid w:val="00B85689"/>
    <w:rsid w:val="00B85FDC"/>
    <w:rsid w:val="00B86748"/>
    <w:rsid w:val="00B907EA"/>
    <w:rsid w:val="00B91EC9"/>
    <w:rsid w:val="00B924CA"/>
    <w:rsid w:val="00B92A4B"/>
    <w:rsid w:val="00B93341"/>
    <w:rsid w:val="00B93384"/>
    <w:rsid w:val="00B93616"/>
    <w:rsid w:val="00B94417"/>
    <w:rsid w:val="00B95566"/>
    <w:rsid w:val="00B95940"/>
    <w:rsid w:val="00B95EF8"/>
    <w:rsid w:val="00B95F50"/>
    <w:rsid w:val="00B96BD9"/>
    <w:rsid w:val="00B979A0"/>
    <w:rsid w:val="00B979AF"/>
    <w:rsid w:val="00BA094F"/>
    <w:rsid w:val="00BA0DED"/>
    <w:rsid w:val="00BA0F99"/>
    <w:rsid w:val="00BA6D2C"/>
    <w:rsid w:val="00BA7002"/>
    <w:rsid w:val="00BB0274"/>
    <w:rsid w:val="00BB0B13"/>
    <w:rsid w:val="00BB1CFD"/>
    <w:rsid w:val="00BB2C53"/>
    <w:rsid w:val="00BB32DA"/>
    <w:rsid w:val="00BB3A54"/>
    <w:rsid w:val="00BB462A"/>
    <w:rsid w:val="00BB4D26"/>
    <w:rsid w:val="00BB4E21"/>
    <w:rsid w:val="00BB7746"/>
    <w:rsid w:val="00BC22EB"/>
    <w:rsid w:val="00BC31F8"/>
    <w:rsid w:val="00BC4795"/>
    <w:rsid w:val="00BC65CE"/>
    <w:rsid w:val="00BC682B"/>
    <w:rsid w:val="00BC68BA"/>
    <w:rsid w:val="00BC6B04"/>
    <w:rsid w:val="00BC6D27"/>
    <w:rsid w:val="00BD059A"/>
    <w:rsid w:val="00BD0CBB"/>
    <w:rsid w:val="00BD186B"/>
    <w:rsid w:val="00BD1EAC"/>
    <w:rsid w:val="00BD254C"/>
    <w:rsid w:val="00BD3428"/>
    <w:rsid w:val="00BD366B"/>
    <w:rsid w:val="00BD5298"/>
    <w:rsid w:val="00BD534C"/>
    <w:rsid w:val="00BD557B"/>
    <w:rsid w:val="00BD55A9"/>
    <w:rsid w:val="00BD56BC"/>
    <w:rsid w:val="00BD5D91"/>
    <w:rsid w:val="00BD6445"/>
    <w:rsid w:val="00BD6615"/>
    <w:rsid w:val="00BD6D50"/>
    <w:rsid w:val="00BD7E55"/>
    <w:rsid w:val="00BE0AB0"/>
    <w:rsid w:val="00BE0D79"/>
    <w:rsid w:val="00BE0DB0"/>
    <w:rsid w:val="00BE15B9"/>
    <w:rsid w:val="00BE2C15"/>
    <w:rsid w:val="00BE3381"/>
    <w:rsid w:val="00BE3F09"/>
    <w:rsid w:val="00BE52E8"/>
    <w:rsid w:val="00BE632F"/>
    <w:rsid w:val="00BE670A"/>
    <w:rsid w:val="00BE6906"/>
    <w:rsid w:val="00BE78D6"/>
    <w:rsid w:val="00BF18F4"/>
    <w:rsid w:val="00BF1A69"/>
    <w:rsid w:val="00BF3BC8"/>
    <w:rsid w:val="00BF3DF1"/>
    <w:rsid w:val="00BF4C31"/>
    <w:rsid w:val="00BF4E57"/>
    <w:rsid w:val="00BF53B8"/>
    <w:rsid w:val="00BF60CA"/>
    <w:rsid w:val="00BF786A"/>
    <w:rsid w:val="00BF7CB8"/>
    <w:rsid w:val="00BF7F08"/>
    <w:rsid w:val="00C00831"/>
    <w:rsid w:val="00C00F20"/>
    <w:rsid w:val="00C01354"/>
    <w:rsid w:val="00C01700"/>
    <w:rsid w:val="00C01A3C"/>
    <w:rsid w:val="00C01B84"/>
    <w:rsid w:val="00C022BC"/>
    <w:rsid w:val="00C034E6"/>
    <w:rsid w:val="00C05715"/>
    <w:rsid w:val="00C05926"/>
    <w:rsid w:val="00C0784A"/>
    <w:rsid w:val="00C10B28"/>
    <w:rsid w:val="00C10D62"/>
    <w:rsid w:val="00C10FAE"/>
    <w:rsid w:val="00C1135D"/>
    <w:rsid w:val="00C11DAF"/>
    <w:rsid w:val="00C123B4"/>
    <w:rsid w:val="00C12A69"/>
    <w:rsid w:val="00C13150"/>
    <w:rsid w:val="00C13737"/>
    <w:rsid w:val="00C150BE"/>
    <w:rsid w:val="00C158B0"/>
    <w:rsid w:val="00C15A0C"/>
    <w:rsid w:val="00C15CEB"/>
    <w:rsid w:val="00C15DCB"/>
    <w:rsid w:val="00C16208"/>
    <w:rsid w:val="00C1654F"/>
    <w:rsid w:val="00C16D5D"/>
    <w:rsid w:val="00C16E16"/>
    <w:rsid w:val="00C1711F"/>
    <w:rsid w:val="00C17E38"/>
    <w:rsid w:val="00C2038A"/>
    <w:rsid w:val="00C205BF"/>
    <w:rsid w:val="00C20744"/>
    <w:rsid w:val="00C20B1C"/>
    <w:rsid w:val="00C20C4D"/>
    <w:rsid w:val="00C21D46"/>
    <w:rsid w:val="00C21F94"/>
    <w:rsid w:val="00C222A1"/>
    <w:rsid w:val="00C22C59"/>
    <w:rsid w:val="00C23371"/>
    <w:rsid w:val="00C235D4"/>
    <w:rsid w:val="00C23CBD"/>
    <w:rsid w:val="00C23D22"/>
    <w:rsid w:val="00C2463B"/>
    <w:rsid w:val="00C24E77"/>
    <w:rsid w:val="00C26214"/>
    <w:rsid w:val="00C2732D"/>
    <w:rsid w:val="00C273C6"/>
    <w:rsid w:val="00C27913"/>
    <w:rsid w:val="00C3004E"/>
    <w:rsid w:val="00C300C6"/>
    <w:rsid w:val="00C30828"/>
    <w:rsid w:val="00C30924"/>
    <w:rsid w:val="00C30EB6"/>
    <w:rsid w:val="00C310E2"/>
    <w:rsid w:val="00C31DD8"/>
    <w:rsid w:val="00C3271C"/>
    <w:rsid w:val="00C32A35"/>
    <w:rsid w:val="00C34FDE"/>
    <w:rsid w:val="00C35C16"/>
    <w:rsid w:val="00C362A5"/>
    <w:rsid w:val="00C36EC3"/>
    <w:rsid w:val="00C40E09"/>
    <w:rsid w:val="00C40F81"/>
    <w:rsid w:val="00C41463"/>
    <w:rsid w:val="00C418F0"/>
    <w:rsid w:val="00C41A06"/>
    <w:rsid w:val="00C41A72"/>
    <w:rsid w:val="00C42D45"/>
    <w:rsid w:val="00C4335D"/>
    <w:rsid w:val="00C43CB1"/>
    <w:rsid w:val="00C4422D"/>
    <w:rsid w:val="00C44B63"/>
    <w:rsid w:val="00C466D1"/>
    <w:rsid w:val="00C468A2"/>
    <w:rsid w:val="00C475DF"/>
    <w:rsid w:val="00C476C5"/>
    <w:rsid w:val="00C503B0"/>
    <w:rsid w:val="00C51199"/>
    <w:rsid w:val="00C511C2"/>
    <w:rsid w:val="00C527C6"/>
    <w:rsid w:val="00C531C7"/>
    <w:rsid w:val="00C538FC"/>
    <w:rsid w:val="00C53CDB"/>
    <w:rsid w:val="00C53D82"/>
    <w:rsid w:val="00C54748"/>
    <w:rsid w:val="00C54D19"/>
    <w:rsid w:val="00C559F1"/>
    <w:rsid w:val="00C574CF"/>
    <w:rsid w:val="00C575FB"/>
    <w:rsid w:val="00C60696"/>
    <w:rsid w:val="00C60943"/>
    <w:rsid w:val="00C60EEF"/>
    <w:rsid w:val="00C610C5"/>
    <w:rsid w:val="00C6121D"/>
    <w:rsid w:val="00C615F1"/>
    <w:rsid w:val="00C61627"/>
    <w:rsid w:val="00C63B1A"/>
    <w:rsid w:val="00C63CB3"/>
    <w:rsid w:val="00C63E8F"/>
    <w:rsid w:val="00C64620"/>
    <w:rsid w:val="00C64E60"/>
    <w:rsid w:val="00C657A4"/>
    <w:rsid w:val="00C66589"/>
    <w:rsid w:val="00C6736C"/>
    <w:rsid w:val="00C7121E"/>
    <w:rsid w:val="00C7179C"/>
    <w:rsid w:val="00C71A1D"/>
    <w:rsid w:val="00C71EC4"/>
    <w:rsid w:val="00C735EA"/>
    <w:rsid w:val="00C7410A"/>
    <w:rsid w:val="00C74791"/>
    <w:rsid w:val="00C7591E"/>
    <w:rsid w:val="00C75C7E"/>
    <w:rsid w:val="00C75C9B"/>
    <w:rsid w:val="00C76D8E"/>
    <w:rsid w:val="00C77833"/>
    <w:rsid w:val="00C80953"/>
    <w:rsid w:val="00C80C9B"/>
    <w:rsid w:val="00C8180B"/>
    <w:rsid w:val="00C8335E"/>
    <w:rsid w:val="00C83CF4"/>
    <w:rsid w:val="00C83F9C"/>
    <w:rsid w:val="00C84154"/>
    <w:rsid w:val="00C84CE3"/>
    <w:rsid w:val="00C85614"/>
    <w:rsid w:val="00C86127"/>
    <w:rsid w:val="00C8711E"/>
    <w:rsid w:val="00C9003C"/>
    <w:rsid w:val="00C90284"/>
    <w:rsid w:val="00C90CF4"/>
    <w:rsid w:val="00C91C19"/>
    <w:rsid w:val="00C929A0"/>
    <w:rsid w:val="00C92E80"/>
    <w:rsid w:val="00C92FCB"/>
    <w:rsid w:val="00C930FB"/>
    <w:rsid w:val="00C93389"/>
    <w:rsid w:val="00C937DB"/>
    <w:rsid w:val="00C94519"/>
    <w:rsid w:val="00C94E11"/>
    <w:rsid w:val="00C94E83"/>
    <w:rsid w:val="00C9567E"/>
    <w:rsid w:val="00C960EC"/>
    <w:rsid w:val="00C965DE"/>
    <w:rsid w:val="00C97038"/>
    <w:rsid w:val="00C97D46"/>
    <w:rsid w:val="00CA02B2"/>
    <w:rsid w:val="00CA0883"/>
    <w:rsid w:val="00CA1085"/>
    <w:rsid w:val="00CA140F"/>
    <w:rsid w:val="00CA25C2"/>
    <w:rsid w:val="00CA37BB"/>
    <w:rsid w:val="00CA37CA"/>
    <w:rsid w:val="00CA39E1"/>
    <w:rsid w:val="00CA5016"/>
    <w:rsid w:val="00CA542C"/>
    <w:rsid w:val="00CA5724"/>
    <w:rsid w:val="00CA64FD"/>
    <w:rsid w:val="00CA6508"/>
    <w:rsid w:val="00CA6BA1"/>
    <w:rsid w:val="00CA6CD5"/>
    <w:rsid w:val="00CA6D0B"/>
    <w:rsid w:val="00CB1910"/>
    <w:rsid w:val="00CB2150"/>
    <w:rsid w:val="00CB28EE"/>
    <w:rsid w:val="00CB2B15"/>
    <w:rsid w:val="00CB2EEA"/>
    <w:rsid w:val="00CB39FE"/>
    <w:rsid w:val="00CB43A7"/>
    <w:rsid w:val="00CB4DF1"/>
    <w:rsid w:val="00CB5996"/>
    <w:rsid w:val="00CB6809"/>
    <w:rsid w:val="00CB7452"/>
    <w:rsid w:val="00CC0E10"/>
    <w:rsid w:val="00CC1DAF"/>
    <w:rsid w:val="00CC2642"/>
    <w:rsid w:val="00CC2967"/>
    <w:rsid w:val="00CC2A1E"/>
    <w:rsid w:val="00CC2A36"/>
    <w:rsid w:val="00CC2E15"/>
    <w:rsid w:val="00CC3440"/>
    <w:rsid w:val="00CC351B"/>
    <w:rsid w:val="00CC3908"/>
    <w:rsid w:val="00CC3FAB"/>
    <w:rsid w:val="00CC47D7"/>
    <w:rsid w:val="00CC4F3D"/>
    <w:rsid w:val="00CC51B3"/>
    <w:rsid w:val="00CC60C2"/>
    <w:rsid w:val="00CC62AD"/>
    <w:rsid w:val="00CC6CA2"/>
    <w:rsid w:val="00CC7086"/>
    <w:rsid w:val="00CC7B80"/>
    <w:rsid w:val="00CD0080"/>
    <w:rsid w:val="00CD0779"/>
    <w:rsid w:val="00CD2B3C"/>
    <w:rsid w:val="00CD2F7F"/>
    <w:rsid w:val="00CD30F6"/>
    <w:rsid w:val="00CD4B29"/>
    <w:rsid w:val="00CD5493"/>
    <w:rsid w:val="00CD67CA"/>
    <w:rsid w:val="00CD6954"/>
    <w:rsid w:val="00CD6DA3"/>
    <w:rsid w:val="00CD6EF1"/>
    <w:rsid w:val="00CD78B7"/>
    <w:rsid w:val="00CD7E35"/>
    <w:rsid w:val="00CD7E3B"/>
    <w:rsid w:val="00CE118D"/>
    <w:rsid w:val="00CE1385"/>
    <w:rsid w:val="00CE1CFC"/>
    <w:rsid w:val="00CE21C7"/>
    <w:rsid w:val="00CE2682"/>
    <w:rsid w:val="00CE2756"/>
    <w:rsid w:val="00CE3D1C"/>
    <w:rsid w:val="00CE442A"/>
    <w:rsid w:val="00CE4DEB"/>
    <w:rsid w:val="00CE57D8"/>
    <w:rsid w:val="00CE5F03"/>
    <w:rsid w:val="00CE617A"/>
    <w:rsid w:val="00CE6E3C"/>
    <w:rsid w:val="00CE7158"/>
    <w:rsid w:val="00CE7815"/>
    <w:rsid w:val="00CE797F"/>
    <w:rsid w:val="00CF0E7B"/>
    <w:rsid w:val="00CF0FEF"/>
    <w:rsid w:val="00CF1016"/>
    <w:rsid w:val="00CF107E"/>
    <w:rsid w:val="00CF15BF"/>
    <w:rsid w:val="00CF17DE"/>
    <w:rsid w:val="00CF2090"/>
    <w:rsid w:val="00CF25D2"/>
    <w:rsid w:val="00CF28C2"/>
    <w:rsid w:val="00CF3D3A"/>
    <w:rsid w:val="00CF42BD"/>
    <w:rsid w:val="00CF51EC"/>
    <w:rsid w:val="00CF5576"/>
    <w:rsid w:val="00CF6A9D"/>
    <w:rsid w:val="00CF6CD7"/>
    <w:rsid w:val="00CF7276"/>
    <w:rsid w:val="00CF75EC"/>
    <w:rsid w:val="00D002DF"/>
    <w:rsid w:val="00D0037A"/>
    <w:rsid w:val="00D0061E"/>
    <w:rsid w:val="00D00DAF"/>
    <w:rsid w:val="00D017EC"/>
    <w:rsid w:val="00D01CDA"/>
    <w:rsid w:val="00D020FC"/>
    <w:rsid w:val="00D03866"/>
    <w:rsid w:val="00D040DD"/>
    <w:rsid w:val="00D04E1B"/>
    <w:rsid w:val="00D0547B"/>
    <w:rsid w:val="00D076DB"/>
    <w:rsid w:val="00D07D71"/>
    <w:rsid w:val="00D07EFF"/>
    <w:rsid w:val="00D1067C"/>
    <w:rsid w:val="00D11CBB"/>
    <w:rsid w:val="00D1221D"/>
    <w:rsid w:val="00D136D4"/>
    <w:rsid w:val="00D13830"/>
    <w:rsid w:val="00D13ECF"/>
    <w:rsid w:val="00D142E5"/>
    <w:rsid w:val="00D148CD"/>
    <w:rsid w:val="00D14A40"/>
    <w:rsid w:val="00D1611E"/>
    <w:rsid w:val="00D163CC"/>
    <w:rsid w:val="00D16E69"/>
    <w:rsid w:val="00D17F4A"/>
    <w:rsid w:val="00D205A9"/>
    <w:rsid w:val="00D217EE"/>
    <w:rsid w:val="00D2210A"/>
    <w:rsid w:val="00D237C7"/>
    <w:rsid w:val="00D24299"/>
    <w:rsid w:val="00D245BA"/>
    <w:rsid w:val="00D25C8A"/>
    <w:rsid w:val="00D26923"/>
    <w:rsid w:val="00D27856"/>
    <w:rsid w:val="00D27D34"/>
    <w:rsid w:val="00D3006B"/>
    <w:rsid w:val="00D301CA"/>
    <w:rsid w:val="00D30740"/>
    <w:rsid w:val="00D31075"/>
    <w:rsid w:val="00D31445"/>
    <w:rsid w:val="00D31932"/>
    <w:rsid w:val="00D31EA5"/>
    <w:rsid w:val="00D32AE0"/>
    <w:rsid w:val="00D360DA"/>
    <w:rsid w:val="00D374B3"/>
    <w:rsid w:val="00D37689"/>
    <w:rsid w:val="00D378CC"/>
    <w:rsid w:val="00D37AB3"/>
    <w:rsid w:val="00D4042C"/>
    <w:rsid w:val="00D40698"/>
    <w:rsid w:val="00D40B9E"/>
    <w:rsid w:val="00D41281"/>
    <w:rsid w:val="00D42312"/>
    <w:rsid w:val="00D433F5"/>
    <w:rsid w:val="00D43998"/>
    <w:rsid w:val="00D439C2"/>
    <w:rsid w:val="00D43A2B"/>
    <w:rsid w:val="00D44477"/>
    <w:rsid w:val="00D451E0"/>
    <w:rsid w:val="00D45A1D"/>
    <w:rsid w:val="00D4615E"/>
    <w:rsid w:val="00D4651F"/>
    <w:rsid w:val="00D478E2"/>
    <w:rsid w:val="00D50980"/>
    <w:rsid w:val="00D51CD6"/>
    <w:rsid w:val="00D5264C"/>
    <w:rsid w:val="00D543F9"/>
    <w:rsid w:val="00D547BA"/>
    <w:rsid w:val="00D55626"/>
    <w:rsid w:val="00D556BC"/>
    <w:rsid w:val="00D5626D"/>
    <w:rsid w:val="00D56631"/>
    <w:rsid w:val="00D577A4"/>
    <w:rsid w:val="00D57808"/>
    <w:rsid w:val="00D57E4B"/>
    <w:rsid w:val="00D60277"/>
    <w:rsid w:val="00D60336"/>
    <w:rsid w:val="00D61B06"/>
    <w:rsid w:val="00D61F88"/>
    <w:rsid w:val="00D62688"/>
    <w:rsid w:val="00D627C7"/>
    <w:rsid w:val="00D62901"/>
    <w:rsid w:val="00D6345E"/>
    <w:rsid w:val="00D637A2"/>
    <w:rsid w:val="00D64644"/>
    <w:rsid w:val="00D6470C"/>
    <w:rsid w:val="00D64853"/>
    <w:rsid w:val="00D64CB5"/>
    <w:rsid w:val="00D6562C"/>
    <w:rsid w:val="00D65800"/>
    <w:rsid w:val="00D66368"/>
    <w:rsid w:val="00D66D48"/>
    <w:rsid w:val="00D67B47"/>
    <w:rsid w:val="00D7162F"/>
    <w:rsid w:val="00D72897"/>
    <w:rsid w:val="00D73256"/>
    <w:rsid w:val="00D73A30"/>
    <w:rsid w:val="00D73E6F"/>
    <w:rsid w:val="00D74ABF"/>
    <w:rsid w:val="00D74C65"/>
    <w:rsid w:val="00D74E97"/>
    <w:rsid w:val="00D74F21"/>
    <w:rsid w:val="00D758D0"/>
    <w:rsid w:val="00D75DC2"/>
    <w:rsid w:val="00D75DC3"/>
    <w:rsid w:val="00D75F45"/>
    <w:rsid w:val="00D766EF"/>
    <w:rsid w:val="00D76C03"/>
    <w:rsid w:val="00D7722D"/>
    <w:rsid w:val="00D77F8D"/>
    <w:rsid w:val="00D80E07"/>
    <w:rsid w:val="00D80F8E"/>
    <w:rsid w:val="00D8119B"/>
    <w:rsid w:val="00D81B44"/>
    <w:rsid w:val="00D82462"/>
    <w:rsid w:val="00D831C6"/>
    <w:rsid w:val="00D83294"/>
    <w:rsid w:val="00D83EF3"/>
    <w:rsid w:val="00D84BD1"/>
    <w:rsid w:val="00D85773"/>
    <w:rsid w:val="00D85886"/>
    <w:rsid w:val="00D868CE"/>
    <w:rsid w:val="00D86DAE"/>
    <w:rsid w:val="00D90116"/>
    <w:rsid w:val="00D90C1E"/>
    <w:rsid w:val="00D91BDF"/>
    <w:rsid w:val="00D91F2C"/>
    <w:rsid w:val="00D9266B"/>
    <w:rsid w:val="00D93794"/>
    <w:rsid w:val="00D93F09"/>
    <w:rsid w:val="00D944E7"/>
    <w:rsid w:val="00D94859"/>
    <w:rsid w:val="00D954C2"/>
    <w:rsid w:val="00D9640A"/>
    <w:rsid w:val="00D97BB8"/>
    <w:rsid w:val="00DA0299"/>
    <w:rsid w:val="00DA06FE"/>
    <w:rsid w:val="00DA07D3"/>
    <w:rsid w:val="00DA1318"/>
    <w:rsid w:val="00DA1382"/>
    <w:rsid w:val="00DA28B7"/>
    <w:rsid w:val="00DA2FE8"/>
    <w:rsid w:val="00DA42CF"/>
    <w:rsid w:val="00DA4AF6"/>
    <w:rsid w:val="00DA5374"/>
    <w:rsid w:val="00DA7AB2"/>
    <w:rsid w:val="00DA7B54"/>
    <w:rsid w:val="00DB016E"/>
    <w:rsid w:val="00DB06E9"/>
    <w:rsid w:val="00DB0BF3"/>
    <w:rsid w:val="00DB19BD"/>
    <w:rsid w:val="00DB1D55"/>
    <w:rsid w:val="00DB378E"/>
    <w:rsid w:val="00DB3C0D"/>
    <w:rsid w:val="00DB3E9D"/>
    <w:rsid w:val="00DB47B9"/>
    <w:rsid w:val="00DB4FB8"/>
    <w:rsid w:val="00DB53CE"/>
    <w:rsid w:val="00DB549D"/>
    <w:rsid w:val="00DB5792"/>
    <w:rsid w:val="00DB5798"/>
    <w:rsid w:val="00DB6A88"/>
    <w:rsid w:val="00DB7BA4"/>
    <w:rsid w:val="00DB7D77"/>
    <w:rsid w:val="00DC08D7"/>
    <w:rsid w:val="00DC0CBA"/>
    <w:rsid w:val="00DC226A"/>
    <w:rsid w:val="00DC257F"/>
    <w:rsid w:val="00DC2A9F"/>
    <w:rsid w:val="00DC2FA9"/>
    <w:rsid w:val="00DC350B"/>
    <w:rsid w:val="00DC3790"/>
    <w:rsid w:val="00DC408A"/>
    <w:rsid w:val="00DC436D"/>
    <w:rsid w:val="00DC519B"/>
    <w:rsid w:val="00DC5B3B"/>
    <w:rsid w:val="00DC6796"/>
    <w:rsid w:val="00DC6CC6"/>
    <w:rsid w:val="00DC78DF"/>
    <w:rsid w:val="00DC7D4C"/>
    <w:rsid w:val="00DC7F3C"/>
    <w:rsid w:val="00DD0726"/>
    <w:rsid w:val="00DD0821"/>
    <w:rsid w:val="00DD0ABE"/>
    <w:rsid w:val="00DD0E32"/>
    <w:rsid w:val="00DD1878"/>
    <w:rsid w:val="00DD1DC1"/>
    <w:rsid w:val="00DD2872"/>
    <w:rsid w:val="00DD2A62"/>
    <w:rsid w:val="00DD2BD0"/>
    <w:rsid w:val="00DD2BFE"/>
    <w:rsid w:val="00DD373E"/>
    <w:rsid w:val="00DD3867"/>
    <w:rsid w:val="00DD3F47"/>
    <w:rsid w:val="00DD428A"/>
    <w:rsid w:val="00DD57AD"/>
    <w:rsid w:val="00DD7435"/>
    <w:rsid w:val="00DD7C6D"/>
    <w:rsid w:val="00DE009B"/>
    <w:rsid w:val="00DE08F8"/>
    <w:rsid w:val="00DE0C31"/>
    <w:rsid w:val="00DE0E40"/>
    <w:rsid w:val="00DE1460"/>
    <w:rsid w:val="00DE2AED"/>
    <w:rsid w:val="00DE2B74"/>
    <w:rsid w:val="00DE2ED9"/>
    <w:rsid w:val="00DE319A"/>
    <w:rsid w:val="00DF0615"/>
    <w:rsid w:val="00DF0DC3"/>
    <w:rsid w:val="00DF11BC"/>
    <w:rsid w:val="00DF21FD"/>
    <w:rsid w:val="00DF22BA"/>
    <w:rsid w:val="00DF286B"/>
    <w:rsid w:val="00DF2873"/>
    <w:rsid w:val="00DF293C"/>
    <w:rsid w:val="00DF34B2"/>
    <w:rsid w:val="00DF4C74"/>
    <w:rsid w:val="00DF5578"/>
    <w:rsid w:val="00DF629B"/>
    <w:rsid w:val="00DF69DD"/>
    <w:rsid w:val="00DF6CF8"/>
    <w:rsid w:val="00DF78DD"/>
    <w:rsid w:val="00DF7FEC"/>
    <w:rsid w:val="00E01319"/>
    <w:rsid w:val="00E01B16"/>
    <w:rsid w:val="00E01C0E"/>
    <w:rsid w:val="00E02086"/>
    <w:rsid w:val="00E023BE"/>
    <w:rsid w:val="00E02740"/>
    <w:rsid w:val="00E03B27"/>
    <w:rsid w:val="00E03B58"/>
    <w:rsid w:val="00E04694"/>
    <w:rsid w:val="00E049F6"/>
    <w:rsid w:val="00E04CA9"/>
    <w:rsid w:val="00E04E8F"/>
    <w:rsid w:val="00E05B2B"/>
    <w:rsid w:val="00E05EAD"/>
    <w:rsid w:val="00E06A2A"/>
    <w:rsid w:val="00E07F05"/>
    <w:rsid w:val="00E106A2"/>
    <w:rsid w:val="00E10B1C"/>
    <w:rsid w:val="00E11ED5"/>
    <w:rsid w:val="00E127E1"/>
    <w:rsid w:val="00E12BCE"/>
    <w:rsid w:val="00E13155"/>
    <w:rsid w:val="00E144D2"/>
    <w:rsid w:val="00E144D6"/>
    <w:rsid w:val="00E15346"/>
    <w:rsid w:val="00E15B7D"/>
    <w:rsid w:val="00E163F9"/>
    <w:rsid w:val="00E17C5F"/>
    <w:rsid w:val="00E2097E"/>
    <w:rsid w:val="00E215EA"/>
    <w:rsid w:val="00E21CAB"/>
    <w:rsid w:val="00E220FC"/>
    <w:rsid w:val="00E221FC"/>
    <w:rsid w:val="00E22561"/>
    <w:rsid w:val="00E22E78"/>
    <w:rsid w:val="00E24619"/>
    <w:rsid w:val="00E25223"/>
    <w:rsid w:val="00E25999"/>
    <w:rsid w:val="00E263A8"/>
    <w:rsid w:val="00E308C8"/>
    <w:rsid w:val="00E30BEA"/>
    <w:rsid w:val="00E30C7B"/>
    <w:rsid w:val="00E31764"/>
    <w:rsid w:val="00E3288A"/>
    <w:rsid w:val="00E32A58"/>
    <w:rsid w:val="00E32BC2"/>
    <w:rsid w:val="00E33313"/>
    <w:rsid w:val="00E34985"/>
    <w:rsid w:val="00E34E4A"/>
    <w:rsid w:val="00E365B3"/>
    <w:rsid w:val="00E366BB"/>
    <w:rsid w:val="00E372FD"/>
    <w:rsid w:val="00E379F9"/>
    <w:rsid w:val="00E37C45"/>
    <w:rsid w:val="00E40AAA"/>
    <w:rsid w:val="00E41A59"/>
    <w:rsid w:val="00E42070"/>
    <w:rsid w:val="00E42444"/>
    <w:rsid w:val="00E438CF"/>
    <w:rsid w:val="00E43B06"/>
    <w:rsid w:val="00E43C41"/>
    <w:rsid w:val="00E4500E"/>
    <w:rsid w:val="00E450CE"/>
    <w:rsid w:val="00E45703"/>
    <w:rsid w:val="00E45A00"/>
    <w:rsid w:val="00E45CE7"/>
    <w:rsid w:val="00E4631F"/>
    <w:rsid w:val="00E46A4A"/>
    <w:rsid w:val="00E4793B"/>
    <w:rsid w:val="00E47CB8"/>
    <w:rsid w:val="00E522BB"/>
    <w:rsid w:val="00E52A3D"/>
    <w:rsid w:val="00E533B7"/>
    <w:rsid w:val="00E539E4"/>
    <w:rsid w:val="00E53C14"/>
    <w:rsid w:val="00E549AC"/>
    <w:rsid w:val="00E569C7"/>
    <w:rsid w:val="00E571F2"/>
    <w:rsid w:val="00E57429"/>
    <w:rsid w:val="00E60FCE"/>
    <w:rsid w:val="00E61EA8"/>
    <w:rsid w:val="00E62A33"/>
    <w:rsid w:val="00E63221"/>
    <w:rsid w:val="00E63EC6"/>
    <w:rsid w:val="00E64AE4"/>
    <w:rsid w:val="00E64CFF"/>
    <w:rsid w:val="00E64EA1"/>
    <w:rsid w:val="00E6582D"/>
    <w:rsid w:val="00E662D1"/>
    <w:rsid w:val="00E663A1"/>
    <w:rsid w:val="00E669C7"/>
    <w:rsid w:val="00E6737F"/>
    <w:rsid w:val="00E67611"/>
    <w:rsid w:val="00E70400"/>
    <w:rsid w:val="00E70510"/>
    <w:rsid w:val="00E710C7"/>
    <w:rsid w:val="00E71262"/>
    <w:rsid w:val="00E71A58"/>
    <w:rsid w:val="00E72FBF"/>
    <w:rsid w:val="00E737F6"/>
    <w:rsid w:val="00E7568F"/>
    <w:rsid w:val="00E764AE"/>
    <w:rsid w:val="00E7724B"/>
    <w:rsid w:val="00E80E31"/>
    <w:rsid w:val="00E81130"/>
    <w:rsid w:val="00E813C1"/>
    <w:rsid w:val="00E81A9E"/>
    <w:rsid w:val="00E81E1E"/>
    <w:rsid w:val="00E83DAB"/>
    <w:rsid w:val="00E840CA"/>
    <w:rsid w:val="00E84119"/>
    <w:rsid w:val="00E84A6B"/>
    <w:rsid w:val="00E84AAD"/>
    <w:rsid w:val="00E84CAB"/>
    <w:rsid w:val="00E84F21"/>
    <w:rsid w:val="00E8618A"/>
    <w:rsid w:val="00E868D4"/>
    <w:rsid w:val="00E90A4B"/>
    <w:rsid w:val="00E90D67"/>
    <w:rsid w:val="00E90F73"/>
    <w:rsid w:val="00E910A7"/>
    <w:rsid w:val="00E910C5"/>
    <w:rsid w:val="00E91607"/>
    <w:rsid w:val="00E921C7"/>
    <w:rsid w:val="00E92995"/>
    <w:rsid w:val="00E930C0"/>
    <w:rsid w:val="00E9446C"/>
    <w:rsid w:val="00E94612"/>
    <w:rsid w:val="00E95797"/>
    <w:rsid w:val="00E9682F"/>
    <w:rsid w:val="00E96A8D"/>
    <w:rsid w:val="00E972BA"/>
    <w:rsid w:val="00E97FA2"/>
    <w:rsid w:val="00EA06CB"/>
    <w:rsid w:val="00EA0AF3"/>
    <w:rsid w:val="00EA0C68"/>
    <w:rsid w:val="00EA19E2"/>
    <w:rsid w:val="00EA1CFB"/>
    <w:rsid w:val="00EA2169"/>
    <w:rsid w:val="00EA2BC9"/>
    <w:rsid w:val="00EA3CD4"/>
    <w:rsid w:val="00EA3EBE"/>
    <w:rsid w:val="00EA3FAC"/>
    <w:rsid w:val="00EA4153"/>
    <w:rsid w:val="00EA421A"/>
    <w:rsid w:val="00EA5CD6"/>
    <w:rsid w:val="00EA76FD"/>
    <w:rsid w:val="00EA77CA"/>
    <w:rsid w:val="00EA78FE"/>
    <w:rsid w:val="00EB03D4"/>
    <w:rsid w:val="00EB0555"/>
    <w:rsid w:val="00EB0F82"/>
    <w:rsid w:val="00EB20A0"/>
    <w:rsid w:val="00EB2CE9"/>
    <w:rsid w:val="00EB30B6"/>
    <w:rsid w:val="00EB4FA4"/>
    <w:rsid w:val="00EB5146"/>
    <w:rsid w:val="00EB522B"/>
    <w:rsid w:val="00EB55E9"/>
    <w:rsid w:val="00EB5641"/>
    <w:rsid w:val="00EB5CA9"/>
    <w:rsid w:val="00EB5ED4"/>
    <w:rsid w:val="00EB6537"/>
    <w:rsid w:val="00EB70E1"/>
    <w:rsid w:val="00EB78D5"/>
    <w:rsid w:val="00EB7EB5"/>
    <w:rsid w:val="00EC0860"/>
    <w:rsid w:val="00EC0EC1"/>
    <w:rsid w:val="00EC3608"/>
    <w:rsid w:val="00EC398B"/>
    <w:rsid w:val="00EC424C"/>
    <w:rsid w:val="00EC439A"/>
    <w:rsid w:val="00EC454B"/>
    <w:rsid w:val="00EC4941"/>
    <w:rsid w:val="00EC53DE"/>
    <w:rsid w:val="00EC6153"/>
    <w:rsid w:val="00EC7360"/>
    <w:rsid w:val="00EC7918"/>
    <w:rsid w:val="00EC7F92"/>
    <w:rsid w:val="00ED00A8"/>
    <w:rsid w:val="00ED04FA"/>
    <w:rsid w:val="00ED0A79"/>
    <w:rsid w:val="00ED2670"/>
    <w:rsid w:val="00ED2989"/>
    <w:rsid w:val="00ED2B0B"/>
    <w:rsid w:val="00ED2CA5"/>
    <w:rsid w:val="00ED336F"/>
    <w:rsid w:val="00ED3A94"/>
    <w:rsid w:val="00ED40F0"/>
    <w:rsid w:val="00ED4AC0"/>
    <w:rsid w:val="00ED4C05"/>
    <w:rsid w:val="00ED54D6"/>
    <w:rsid w:val="00ED5726"/>
    <w:rsid w:val="00ED7C3C"/>
    <w:rsid w:val="00EE0113"/>
    <w:rsid w:val="00EE0298"/>
    <w:rsid w:val="00EE0384"/>
    <w:rsid w:val="00EE043A"/>
    <w:rsid w:val="00EE0473"/>
    <w:rsid w:val="00EE1057"/>
    <w:rsid w:val="00EE10AA"/>
    <w:rsid w:val="00EE1637"/>
    <w:rsid w:val="00EE3547"/>
    <w:rsid w:val="00EE3B7A"/>
    <w:rsid w:val="00EE3E78"/>
    <w:rsid w:val="00EE4534"/>
    <w:rsid w:val="00EE495A"/>
    <w:rsid w:val="00EE5E02"/>
    <w:rsid w:val="00EE617D"/>
    <w:rsid w:val="00EE61BF"/>
    <w:rsid w:val="00EE6538"/>
    <w:rsid w:val="00EE6748"/>
    <w:rsid w:val="00EE6C6B"/>
    <w:rsid w:val="00EF0916"/>
    <w:rsid w:val="00EF0E75"/>
    <w:rsid w:val="00EF1D92"/>
    <w:rsid w:val="00EF1F5A"/>
    <w:rsid w:val="00EF28C5"/>
    <w:rsid w:val="00EF3486"/>
    <w:rsid w:val="00EF3CF0"/>
    <w:rsid w:val="00EF416C"/>
    <w:rsid w:val="00EF4685"/>
    <w:rsid w:val="00EF5397"/>
    <w:rsid w:val="00EF67A9"/>
    <w:rsid w:val="00EF6BE3"/>
    <w:rsid w:val="00EF74D3"/>
    <w:rsid w:val="00F00D0E"/>
    <w:rsid w:val="00F00D3C"/>
    <w:rsid w:val="00F020EA"/>
    <w:rsid w:val="00F02A72"/>
    <w:rsid w:val="00F04811"/>
    <w:rsid w:val="00F0488C"/>
    <w:rsid w:val="00F0496E"/>
    <w:rsid w:val="00F04D10"/>
    <w:rsid w:val="00F053EA"/>
    <w:rsid w:val="00F0625B"/>
    <w:rsid w:val="00F068A8"/>
    <w:rsid w:val="00F06944"/>
    <w:rsid w:val="00F06C6F"/>
    <w:rsid w:val="00F0732D"/>
    <w:rsid w:val="00F101FF"/>
    <w:rsid w:val="00F104DF"/>
    <w:rsid w:val="00F10A33"/>
    <w:rsid w:val="00F10B64"/>
    <w:rsid w:val="00F1186C"/>
    <w:rsid w:val="00F11AD5"/>
    <w:rsid w:val="00F126D0"/>
    <w:rsid w:val="00F12A83"/>
    <w:rsid w:val="00F13E89"/>
    <w:rsid w:val="00F14ACD"/>
    <w:rsid w:val="00F15309"/>
    <w:rsid w:val="00F15BEF"/>
    <w:rsid w:val="00F160EC"/>
    <w:rsid w:val="00F172BE"/>
    <w:rsid w:val="00F1776C"/>
    <w:rsid w:val="00F17A82"/>
    <w:rsid w:val="00F2037E"/>
    <w:rsid w:val="00F20D17"/>
    <w:rsid w:val="00F2103E"/>
    <w:rsid w:val="00F214FC"/>
    <w:rsid w:val="00F21C31"/>
    <w:rsid w:val="00F21F9E"/>
    <w:rsid w:val="00F23825"/>
    <w:rsid w:val="00F2389A"/>
    <w:rsid w:val="00F23F6C"/>
    <w:rsid w:val="00F23FFF"/>
    <w:rsid w:val="00F2441D"/>
    <w:rsid w:val="00F2490D"/>
    <w:rsid w:val="00F24FAA"/>
    <w:rsid w:val="00F25226"/>
    <w:rsid w:val="00F253C6"/>
    <w:rsid w:val="00F25860"/>
    <w:rsid w:val="00F26197"/>
    <w:rsid w:val="00F273D4"/>
    <w:rsid w:val="00F307DD"/>
    <w:rsid w:val="00F30C2E"/>
    <w:rsid w:val="00F30CB4"/>
    <w:rsid w:val="00F30EBF"/>
    <w:rsid w:val="00F318FC"/>
    <w:rsid w:val="00F31D53"/>
    <w:rsid w:val="00F31F76"/>
    <w:rsid w:val="00F325A3"/>
    <w:rsid w:val="00F3364D"/>
    <w:rsid w:val="00F339D0"/>
    <w:rsid w:val="00F353AE"/>
    <w:rsid w:val="00F35ACD"/>
    <w:rsid w:val="00F365BF"/>
    <w:rsid w:val="00F36BF8"/>
    <w:rsid w:val="00F375BA"/>
    <w:rsid w:val="00F37760"/>
    <w:rsid w:val="00F403D1"/>
    <w:rsid w:val="00F42FF2"/>
    <w:rsid w:val="00F43432"/>
    <w:rsid w:val="00F43921"/>
    <w:rsid w:val="00F44E1B"/>
    <w:rsid w:val="00F4524F"/>
    <w:rsid w:val="00F45530"/>
    <w:rsid w:val="00F4591F"/>
    <w:rsid w:val="00F47321"/>
    <w:rsid w:val="00F4736B"/>
    <w:rsid w:val="00F47804"/>
    <w:rsid w:val="00F47997"/>
    <w:rsid w:val="00F47D05"/>
    <w:rsid w:val="00F50030"/>
    <w:rsid w:val="00F502F5"/>
    <w:rsid w:val="00F5053A"/>
    <w:rsid w:val="00F50B9D"/>
    <w:rsid w:val="00F51FC9"/>
    <w:rsid w:val="00F529EE"/>
    <w:rsid w:val="00F52AE1"/>
    <w:rsid w:val="00F53243"/>
    <w:rsid w:val="00F541ED"/>
    <w:rsid w:val="00F54B31"/>
    <w:rsid w:val="00F54FD3"/>
    <w:rsid w:val="00F554F9"/>
    <w:rsid w:val="00F55605"/>
    <w:rsid w:val="00F56375"/>
    <w:rsid w:val="00F57CD7"/>
    <w:rsid w:val="00F6080A"/>
    <w:rsid w:val="00F6187C"/>
    <w:rsid w:val="00F61BFE"/>
    <w:rsid w:val="00F62F02"/>
    <w:rsid w:val="00F6339F"/>
    <w:rsid w:val="00F63DDE"/>
    <w:rsid w:val="00F63FB7"/>
    <w:rsid w:val="00F64726"/>
    <w:rsid w:val="00F64F44"/>
    <w:rsid w:val="00F6561A"/>
    <w:rsid w:val="00F65A44"/>
    <w:rsid w:val="00F66243"/>
    <w:rsid w:val="00F67BDA"/>
    <w:rsid w:val="00F67CF0"/>
    <w:rsid w:val="00F70309"/>
    <w:rsid w:val="00F7078A"/>
    <w:rsid w:val="00F70E45"/>
    <w:rsid w:val="00F727D5"/>
    <w:rsid w:val="00F72F44"/>
    <w:rsid w:val="00F73A0C"/>
    <w:rsid w:val="00F73AED"/>
    <w:rsid w:val="00F7593B"/>
    <w:rsid w:val="00F759DC"/>
    <w:rsid w:val="00F76217"/>
    <w:rsid w:val="00F76563"/>
    <w:rsid w:val="00F76870"/>
    <w:rsid w:val="00F7717C"/>
    <w:rsid w:val="00F771A5"/>
    <w:rsid w:val="00F80D1E"/>
    <w:rsid w:val="00F815A8"/>
    <w:rsid w:val="00F817A4"/>
    <w:rsid w:val="00F81C3A"/>
    <w:rsid w:val="00F83573"/>
    <w:rsid w:val="00F835E1"/>
    <w:rsid w:val="00F835FC"/>
    <w:rsid w:val="00F8373A"/>
    <w:rsid w:val="00F83E21"/>
    <w:rsid w:val="00F83FA4"/>
    <w:rsid w:val="00F8410C"/>
    <w:rsid w:val="00F84E18"/>
    <w:rsid w:val="00F852E5"/>
    <w:rsid w:val="00F853A5"/>
    <w:rsid w:val="00F863B7"/>
    <w:rsid w:val="00F8752F"/>
    <w:rsid w:val="00F90350"/>
    <w:rsid w:val="00F91E9E"/>
    <w:rsid w:val="00F91EAF"/>
    <w:rsid w:val="00F925B7"/>
    <w:rsid w:val="00F92FE6"/>
    <w:rsid w:val="00F9310A"/>
    <w:rsid w:val="00F94231"/>
    <w:rsid w:val="00F94681"/>
    <w:rsid w:val="00F95117"/>
    <w:rsid w:val="00F96648"/>
    <w:rsid w:val="00F97ED2"/>
    <w:rsid w:val="00FA05D7"/>
    <w:rsid w:val="00FA16BD"/>
    <w:rsid w:val="00FA1992"/>
    <w:rsid w:val="00FA1C6C"/>
    <w:rsid w:val="00FA2447"/>
    <w:rsid w:val="00FA2A4A"/>
    <w:rsid w:val="00FA2BDE"/>
    <w:rsid w:val="00FA2C2A"/>
    <w:rsid w:val="00FA309A"/>
    <w:rsid w:val="00FA3844"/>
    <w:rsid w:val="00FA3A11"/>
    <w:rsid w:val="00FA3AB1"/>
    <w:rsid w:val="00FA4730"/>
    <w:rsid w:val="00FA4BFF"/>
    <w:rsid w:val="00FA5A3E"/>
    <w:rsid w:val="00FA6B3F"/>
    <w:rsid w:val="00FA7644"/>
    <w:rsid w:val="00FB0A9A"/>
    <w:rsid w:val="00FB16AD"/>
    <w:rsid w:val="00FB1F21"/>
    <w:rsid w:val="00FB2A9D"/>
    <w:rsid w:val="00FB332E"/>
    <w:rsid w:val="00FB36E3"/>
    <w:rsid w:val="00FB3763"/>
    <w:rsid w:val="00FB4708"/>
    <w:rsid w:val="00FB483B"/>
    <w:rsid w:val="00FB56F1"/>
    <w:rsid w:val="00FB5FD4"/>
    <w:rsid w:val="00FB6398"/>
    <w:rsid w:val="00FB67F3"/>
    <w:rsid w:val="00FB6AF4"/>
    <w:rsid w:val="00FC0894"/>
    <w:rsid w:val="00FC0D8A"/>
    <w:rsid w:val="00FC0E5F"/>
    <w:rsid w:val="00FC135D"/>
    <w:rsid w:val="00FC18ED"/>
    <w:rsid w:val="00FC26FB"/>
    <w:rsid w:val="00FC2CF4"/>
    <w:rsid w:val="00FC3C84"/>
    <w:rsid w:val="00FC4660"/>
    <w:rsid w:val="00FC540C"/>
    <w:rsid w:val="00FC56DE"/>
    <w:rsid w:val="00FC5E01"/>
    <w:rsid w:val="00FC605E"/>
    <w:rsid w:val="00FC6140"/>
    <w:rsid w:val="00FC6DB5"/>
    <w:rsid w:val="00FD10BC"/>
    <w:rsid w:val="00FD1261"/>
    <w:rsid w:val="00FD1627"/>
    <w:rsid w:val="00FD1B51"/>
    <w:rsid w:val="00FD1BBD"/>
    <w:rsid w:val="00FD300F"/>
    <w:rsid w:val="00FD38B2"/>
    <w:rsid w:val="00FD43A0"/>
    <w:rsid w:val="00FD473D"/>
    <w:rsid w:val="00FD55BA"/>
    <w:rsid w:val="00FD61C8"/>
    <w:rsid w:val="00FD63CE"/>
    <w:rsid w:val="00FD7D49"/>
    <w:rsid w:val="00FE058B"/>
    <w:rsid w:val="00FE1251"/>
    <w:rsid w:val="00FE16E6"/>
    <w:rsid w:val="00FE2889"/>
    <w:rsid w:val="00FE2F78"/>
    <w:rsid w:val="00FE3510"/>
    <w:rsid w:val="00FE371D"/>
    <w:rsid w:val="00FE375F"/>
    <w:rsid w:val="00FE3D8B"/>
    <w:rsid w:val="00FE4FCB"/>
    <w:rsid w:val="00FE53F0"/>
    <w:rsid w:val="00FE688F"/>
    <w:rsid w:val="00FE6E67"/>
    <w:rsid w:val="00FE705E"/>
    <w:rsid w:val="00FF02EB"/>
    <w:rsid w:val="00FF288B"/>
    <w:rsid w:val="00FF28E0"/>
    <w:rsid w:val="00FF2FB4"/>
    <w:rsid w:val="00FF30B3"/>
    <w:rsid w:val="00FF3DF3"/>
    <w:rsid w:val="00FF4027"/>
    <w:rsid w:val="00FF45A2"/>
    <w:rsid w:val="00FF55B1"/>
    <w:rsid w:val="00FF5899"/>
    <w:rsid w:val="00FF6014"/>
    <w:rsid w:val="00FF65DF"/>
    <w:rsid w:val="00FF775E"/>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 w:type="paragraph" w:customStyle="1" w:styleId="Default">
    <w:name w:val="Default"/>
    <w:rsid w:val="00424D9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locked/>
    <w:rsid w:val="005A61D1"/>
    <w:rPr>
      <w:sz w:val="16"/>
      <w:szCs w:val="16"/>
    </w:rPr>
  </w:style>
  <w:style w:type="paragraph" w:styleId="Textkomente">
    <w:name w:val="annotation text"/>
    <w:basedOn w:val="Normln"/>
    <w:link w:val="TextkomenteChar"/>
    <w:uiPriority w:val="99"/>
    <w:semiHidden/>
    <w:unhideWhenUsed/>
    <w:locked/>
    <w:rsid w:val="005A61D1"/>
    <w:pPr>
      <w:spacing w:line="240" w:lineRule="auto"/>
    </w:pPr>
    <w:rPr>
      <w:szCs w:val="20"/>
    </w:rPr>
  </w:style>
  <w:style w:type="character" w:customStyle="1" w:styleId="TextkomenteChar">
    <w:name w:val="Text komentáře Char"/>
    <w:basedOn w:val="Standardnpsmoodstavce"/>
    <w:link w:val="Textkomente"/>
    <w:uiPriority w:val="99"/>
    <w:semiHidden/>
    <w:rsid w:val="005A61D1"/>
    <w:rPr>
      <w:rFonts w:ascii="Arial" w:hAnsi="Arial"/>
    </w:rPr>
  </w:style>
  <w:style w:type="character" w:customStyle="1" w:styleId="tabulka">
    <w:name w:val="tabulka"/>
    <w:basedOn w:val="Standardnpsmoodstavce"/>
    <w:rsid w:val="001C3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 w:type="paragraph" w:customStyle="1" w:styleId="Default">
    <w:name w:val="Default"/>
    <w:rsid w:val="00424D9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locked/>
    <w:rsid w:val="005A61D1"/>
    <w:rPr>
      <w:sz w:val="16"/>
      <w:szCs w:val="16"/>
    </w:rPr>
  </w:style>
  <w:style w:type="paragraph" w:styleId="Textkomente">
    <w:name w:val="annotation text"/>
    <w:basedOn w:val="Normln"/>
    <w:link w:val="TextkomenteChar"/>
    <w:uiPriority w:val="99"/>
    <w:semiHidden/>
    <w:unhideWhenUsed/>
    <w:locked/>
    <w:rsid w:val="005A61D1"/>
    <w:pPr>
      <w:spacing w:line="240" w:lineRule="auto"/>
    </w:pPr>
    <w:rPr>
      <w:szCs w:val="20"/>
    </w:rPr>
  </w:style>
  <w:style w:type="character" w:customStyle="1" w:styleId="TextkomenteChar">
    <w:name w:val="Text komentáře Char"/>
    <w:basedOn w:val="Standardnpsmoodstavce"/>
    <w:link w:val="Textkomente"/>
    <w:uiPriority w:val="99"/>
    <w:semiHidden/>
    <w:rsid w:val="005A61D1"/>
    <w:rPr>
      <w:rFonts w:ascii="Arial" w:hAnsi="Arial"/>
    </w:rPr>
  </w:style>
  <w:style w:type="character" w:customStyle="1" w:styleId="tabulka">
    <w:name w:val="tabulka"/>
    <w:basedOn w:val="Standardnpsmoodstavce"/>
    <w:rsid w:val="001C3961"/>
  </w:style>
</w:styles>
</file>

<file path=word/webSettings.xml><?xml version="1.0" encoding="utf-8"?>
<w:webSettings xmlns:r="http://schemas.openxmlformats.org/officeDocument/2006/relationships" xmlns:w="http://schemas.openxmlformats.org/wordprocessingml/2006/main">
  <w:divs>
    <w:div w:id="181818228">
      <w:bodyDiv w:val="1"/>
      <w:marLeft w:val="0"/>
      <w:marRight w:val="0"/>
      <w:marTop w:val="0"/>
      <w:marBottom w:val="0"/>
      <w:divBdr>
        <w:top w:val="none" w:sz="0" w:space="0" w:color="auto"/>
        <w:left w:val="none" w:sz="0" w:space="0" w:color="auto"/>
        <w:bottom w:val="none" w:sz="0" w:space="0" w:color="auto"/>
        <w:right w:val="none" w:sz="0" w:space="0" w:color="auto"/>
      </w:divBdr>
    </w:div>
    <w:div w:id="196507420">
      <w:bodyDiv w:val="1"/>
      <w:marLeft w:val="0"/>
      <w:marRight w:val="0"/>
      <w:marTop w:val="0"/>
      <w:marBottom w:val="0"/>
      <w:divBdr>
        <w:top w:val="none" w:sz="0" w:space="0" w:color="auto"/>
        <w:left w:val="none" w:sz="0" w:space="0" w:color="auto"/>
        <w:bottom w:val="none" w:sz="0" w:space="0" w:color="auto"/>
        <w:right w:val="none" w:sz="0" w:space="0" w:color="auto"/>
      </w:divBdr>
    </w:div>
    <w:div w:id="380591470">
      <w:bodyDiv w:val="1"/>
      <w:marLeft w:val="0"/>
      <w:marRight w:val="0"/>
      <w:marTop w:val="0"/>
      <w:marBottom w:val="0"/>
      <w:divBdr>
        <w:top w:val="none" w:sz="0" w:space="0" w:color="auto"/>
        <w:left w:val="none" w:sz="0" w:space="0" w:color="auto"/>
        <w:bottom w:val="none" w:sz="0" w:space="0" w:color="auto"/>
        <w:right w:val="none" w:sz="0" w:space="0" w:color="auto"/>
      </w:divBdr>
    </w:div>
    <w:div w:id="718675857">
      <w:bodyDiv w:val="1"/>
      <w:marLeft w:val="0"/>
      <w:marRight w:val="0"/>
      <w:marTop w:val="0"/>
      <w:marBottom w:val="0"/>
      <w:divBdr>
        <w:top w:val="none" w:sz="0" w:space="0" w:color="auto"/>
        <w:left w:val="none" w:sz="0" w:space="0" w:color="auto"/>
        <w:bottom w:val="none" w:sz="0" w:space="0" w:color="auto"/>
        <w:right w:val="none" w:sz="0" w:space="0" w:color="auto"/>
      </w:divBdr>
    </w:div>
    <w:div w:id="836965494">
      <w:bodyDiv w:val="1"/>
      <w:marLeft w:val="0"/>
      <w:marRight w:val="0"/>
      <w:marTop w:val="0"/>
      <w:marBottom w:val="0"/>
      <w:divBdr>
        <w:top w:val="none" w:sz="0" w:space="0" w:color="auto"/>
        <w:left w:val="none" w:sz="0" w:space="0" w:color="auto"/>
        <w:bottom w:val="none" w:sz="0" w:space="0" w:color="auto"/>
        <w:right w:val="none" w:sz="0" w:space="0" w:color="auto"/>
      </w:divBdr>
    </w:div>
    <w:div w:id="842355999">
      <w:bodyDiv w:val="1"/>
      <w:marLeft w:val="0"/>
      <w:marRight w:val="0"/>
      <w:marTop w:val="0"/>
      <w:marBottom w:val="0"/>
      <w:divBdr>
        <w:top w:val="none" w:sz="0" w:space="0" w:color="auto"/>
        <w:left w:val="none" w:sz="0" w:space="0" w:color="auto"/>
        <w:bottom w:val="none" w:sz="0" w:space="0" w:color="auto"/>
        <w:right w:val="none" w:sz="0" w:space="0" w:color="auto"/>
      </w:divBdr>
    </w:div>
    <w:div w:id="858011097">
      <w:bodyDiv w:val="1"/>
      <w:marLeft w:val="50"/>
      <w:marRight w:val="50"/>
      <w:marTop w:val="50"/>
      <w:marBottom w:val="13"/>
      <w:divBdr>
        <w:top w:val="none" w:sz="0" w:space="0" w:color="auto"/>
        <w:left w:val="none" w:sz="0" w:space="0" w:color="auto"/>
        <w:bottom w:val="none" w:sz="0" w:space="0" w:color="auto"/>
        <w:right w:val="none" w:sz="0" w:space="0" w:color="auto"/>
      </w:divBdr>
      <w:divsChild>
        <w:div w:id="727414442">
          <w:marLeft w:val="0"/>
          <w:marRight w:val="0"/>
          <w:marTop w:val="0"/>
          <w:marBottom w:val="0"/>
          <w:divBdr>
            <w:top w:val="none" w:sz="0" w:space="0" w:color="auto"/>
            <w:left w:val="none" w:sz="0" w:space="0" w:color="auto"/>
            <w:bottom w:val="none" w:sz="0" w:space="0" w:color="auto"/>
            <w:right w:val="none" w:sz="0" w:space="0" w:color="auto"/>
          </w:divBdr>
        </w:div>
        <w:div w:id="1946301921">
          <w:marLeft w:val="0"/>
          <w:marRight w:val="0"/>
          <w:marTop w:val="0"/>
          <w:marBottom w:val="0"/>
          <w:divBdr>
            <w:top w:val="none" w:sz="0" w:space="0" w:color="auto"/>
            <w:left w:val="none" w:sz="0" w:space="0" w:color="auto"/>
            <w:bottom w:val="none" w:sz="0" w:space="0" w:color="auto"/>
            <w:right w:val="none" w:sz="0" w:space="0" w:color="auto"/>
          </w:divBdr>
        </w:div>
        <w:div w:id="1820540680">
          <w:marLeft w:val="0"/>
          <w:marRight w:val="0"/>
          <w:marTop w:val="0"/>
          <w:marBottom w:val="0"/>
          <w:divBdr>
            <w:top w:val="none" w:sz="0" w:space="0" w:color="auto"/>
            <w:left w:val="none" w:sz="0" w:space="0" w:color="auto"/>
            <w:bottom w:val="none" w:sz="0" w:space="0" w:color="auto"/>
            <w:right w:val="none" w:sz="0" w:space="0" w:color="auto"/>
          </w:divBdr>
          <w:divsChild>
            <w:div w:id="2134322281">
              <w:marLeft w:val="0"/>
              <w:marRight w:val="0"/>
              <w:marTop w:val="0"/>
              <w:marBottom w:val="0"/>
              <w:divBdr>
                <w:top w:val="none" w:sz="0" w:space="0" w:color="auto"/>
                <w:left w:val="none" w:sz="0" w:space="0" w:color="auto"/>
                <w:bottom w:val="none" w:sz="0" w:space="0" w:color="auto"/>
                <w:right w:val="none" w:sz="0" w:space="0" w:color="auto"/>
              </w:divBdr>
            </w:div>
            <w:div w:id="523054529">
              <w:marLeft w:val="0"/>
              <w:marRight w:val="0"/>
              <w:marTop w:val="0"/>
              <w:marBottom w:val="0"/>
              <w:divBdr>
                <w:top w:val="none" w:sz="0" w:space="0" w:color="auto"/>
                <w:left w:val="none" w:sz="0" w:space="0" w:color="auto"/>
                <w:bottom w:val="none" w:sz="0" w:space="0" w:color="auto"/>
                <w:right w:val="none" w:sz="0" w:space="0" w:color="auto"/>
              </w:divBdr>
              <w:divsChild>
                <w:div w:id="1558934058">
                  <w:marLeft w:val="0"/>
                  <w:marRight w:val="0"/>
                  <w:marTop w:val="0"/>
                  <w:marBottom w:val="0"/>
                  <w:divBdr>
                    <w:top w:val="none" w:sz="0" w:space="0" w:color="auto"/>
                    <w:left w:val="none" w:sz="0" w:space="0" w:color="auto"/>
                    <w:bottom w:val="none" w:sz="0" w:space="0" w:color="auto"/>
                    <w:right w:val="none" w:sz="0" w:space="0" w:color="auto"/>
                  </w:divBdr>
                </w:div>
                <w:div w:id="1850876401">
                  <w:marLeft w:val="0"/>
                  <w:marRight w:val="0"/>
                  <w:marTop w:val="0"/>
                  <w:marBottom w:val="0"/>
                  <w:divBdr>
                    <w:top w:val="none" w:sz="0" w:space="0" w:color="auto"/>
                    <w:left w:val="none" w:sz="0" w:space="0" w:color="auto"/>
                    <w:bottom w:val="none" w:sz="0" w:space="0" w:color="auto"/>
                    <w:right w:val="none" w:sz="0" w:space="0" w:color="auto"/>
                  </w:divBdr>
                </w:div>
                <w:div w:id="797725160">
                  <w:marLeft w:val="0"/>
                  <w:marRight w:val="0"/>
                  <w:marTop w:val="0"/>
                  <w:marBottom w:val="0"/>
                  <w:divBdr>
                    <w:top w:val="none" w:sz="0" w:space="0" w:color="auto"/>
                    <w:left w:val="none" w:sz="0" w:space="0" w:color="auto"/>
                    <w:bottom w:val="none" w:sz="0" w:space="0" w:color="auto"/>
                    <w:right w:val="none" w:sz="0" w:space="0" w:color="auto"/>
                  </w:divBdr>
                </w:div>
                <w:div w:id="14808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8847">
          <w:marLeft w:val="0"/>
          <w:marRight w:val="0"/>
          <w:marTop w:val="0"/>
          <w:marBottom w:val="0"/>
          <w:divBdr>
            <w:top w:val="none" w:sz="0" w:space="0" w:color="auto"/>
            <w:left w:val="none" w:sz="0" w:space="0" w:color="auto"/>
            <w:bottom w:val="none" w:sz="0" w:space="0" w:color="auto"/>
            <w:right w:val="none" w:sz="0" w:space="0" w:color="auto"/>
          </w:divBdr>
        </w:div>
      </w:divsChild>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1019697639">
      <w:bodyDiv w:val="1"/>
      <w:marLeft w:val="0"/>
      <w:marRight w:val="0"/>
      <w:marTop w:val="0"/>
      <w:marBottom w:val="0"/>
      <w:divBdr>
        <w:top w:val="none" w:sz="0" w:space="0" w:color="auto"/>
        <w:left w:val="none" w:sz="0" w:space="0" w:color="auto"/>
        <w:bottom w:val="none" w:sz="0" w:space="0" w:color="auto"/>
        <w:right w:val="none" w:sz="0" w:space="0" w:color="auto"/>
      </w:divBdr>
    </w:div>
    <w:div w:id="1188449491">
      <w:bodyDiv w:val="1"/>
      <w:marLeft w:val="0"/>
      <w:marRight w:val="0"/>
      <w:marTop w:val="0"/>
      <w:marBottom w:val="0"/>
      <w:divBdr>
        <w:top w:val="none" w:sz="0" w:space="0" w:color="auto"/>
        <w:left w:val="none" w:sz="0" w:space="0" w:color="auto"/>
        <w:bottom w:val="none" w:sz="0" w:space="0" w:color="auto"/>
        <w:right w:val="none" w:sz="0" w:space="0" w:color="auto"/>
      </w:divBdr>
    </w:div>
    <w:div w:id="1531840409">
      <w:bodyDiv w:val="1"/>
      <w:marLeft w:val="0"/>
      <w:marRight w:val="0"/>
      <w:marTop w:val="0"/>
      <w:marBottom w:val="0"/>
      <w:divBdr>
        <w:top w:val="none" w:sz="0" w:space="0" w:color="auto"/>
        <w:left w:val="none" w:sz="0" w:space="0" w:color="auto"/>
        <w:bottom w:val="none" w:sz="0" w:space="0" w:color="auto"/>
        <w:right w:val="none" w:sz="0" w:space="0" w:color="auto"/>
      </w:divBdr>
    </w:div>
    <w:div w:id="1644196240">
      <w:bodyDiv w:val="1"/>
      <w:marLeft w:val="40"/>
      <w:marRight w:val="40"/>
      <w:marTop w:val="40"/>
      <w:marBottom w:val="10"/>
      <w:divBdr>
        <w:top w:val="none" w:sz="0" w:space="0" w:color="auto"/>
        <w:left w:val="none" w:sz="0" w:space="0" w:color="auto"/>
        <w:bottom w:val="none" w:sz="0" w:space="0" w:color="auto"/>
        <w:right w:val="none" w:sz="0" w:space="0" w:color="auto"/>
      </w:divBdr>
      <w:divsChild>
        <w:div w:id="808862537">
          <w:marLeft w:val="0"/>
          <w:marRight w:val="0"/>
          <w:marTop w:val="0"/>
          <w:marBottom w:val="0"/>
          <w:divBdr>
            <w:top w:val="none" w:sz="0" w:space="0" w:color="auto"/>
            <w:left w:val="none" w:sz="0" w:space="0" w:color="auto"/>
            <w:bottom w:val="none" w:sz="0" w:space="0" w:color="auto"/>
            <w:right w:val="none" w:sz="0" w:space="0" w:color="auto"/>
          </w:divBdr>
        </w:div>
      </w:divsChild>
    </w:div>
    <w:div w:id="1896620124">
      <w:bodyDiv w:val="1"/>
      <w:marLeft w:val="0"/>
      <w:marRight w:val="0"/>
      <w:marTop w:val="0"/>
      <w:marBottom w:val="0"/>
      <w:divBdr>
        <w:top w:val="none" w:sz="0" w:space="0" w:color="auto"/>
        <w:left w:val="none" w:sz="0" w:space="0" w:color="auto"/>
        <w:bottom w:val="none" w:sz="0" w:space="0" w:color="auto"/>
        <w:right w:val="none" w:sz="0" w:space="0" w:color="auto"/>
      </w:divBdr>
    </w:div>
    <w:div w:id="1938098484">
      <w:bodyDiv w:val="1"/>
      <w:marLeft w:val="0"/>
      <w:marRight w:val="0"/>
      <w:marTop w:val="0"/>
      <w:marBottom w:val="0"/>
      <w:divBdr>
        <w:top w:val="none" w:sz="0" w:space="0" w:color="auto"/>
        <w:left w:val="none" w:sz="0" w:space="0" w:color="auto"/>
        <w:bottom w:val="none" w:sz="0" w:space="0" w:color="auto"/>
        <w:right w:val="none" w:sz="0" w:space="0" w:color="auto"/>
      </w:divBdr>
    </w:div>
    <w:div w:id="2081900207">
      <w:bodyDiv w:val="1"/>
      <w:marLeft w:val="0"/>
      <w:marRight w:val="0"/>
      <w:marTop w:val="0"/>
      <w:marBottom w:val="0"/>
      <w:divBdr>
        <w:top w:val="none" w:sz="0" w:space="0" w:color="auto"/>
        <w:left w:val="none" w:sz="0" w:space="0" w:color="auto"/>
        <w:bottom w:val="none" w:sz="0" w:space="0" w:color="auto"/>
        <w:right w:val="none" w:sz="0" w:space="0" w:color="auto"/>
      </w:divBdr>
    </w:div>
    <w:div w:id="209068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55"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Desktop\Anal&#253;za\2017Q2\Makroanal&#253;za%20grafy_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Desktop\Anal&#253;za\2017Q2\Makroanal&#253;za%20grafy_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4557159743329959E-2"/>
          <c:y val="2.1711264016309892E-2"/>
          <c:w val="0.93757303275920301"/>
          <c:h val="0.73130361364404506"/>
        </c:manualLayout>
      </c:layout>
      <c:barChart>
        <c:barDir val="col"/>
        <c:grouping val="clustered"/>
        <c:ser>
          <c:idx val="0"/>
          <c:order val="0"/>
          <c:tx>
            <c:strRef>
              <c:f>'Měnové podmínky 1'!$C$5</c:f>
              <c:strCache>
                <c:ptCount val="1"/>
                <c:pt idx="0">
                  <c:v>2W repo rate</c:v>
                </c:pt>
              </c:strCache>
            </c:strRef>
          </c:tx>
          <c:spPr>
            <a:solidFill>
              <a:schemeClr val="bg1">
                <a:lumMod val="65000"/>
              </a:schemeClr>
            </a:solidFill>
          </c:spPr>
          <c:cat>
            <c:multiLvlStrRef>
              <c:f>'Měnové podmínky 1'!$A$18:$B$71</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'Měnové podmínky 1'!$C$18:$C$71</c:f>
              <c:numCache>
                <c:formatCode>0.00</c:formatCode>
                <c:ptCount val="54"/>
                <c:pt idx="0">
                  <c:v>0.05</c:v>
                </c:pt>
                <c:pt idx="1">
                  <c:v>0.05</c:v>
                </c:pt>
                <c:pt idx="2">
                  <c:v>0.05</c:v>
                </c:pt>
                <c:pt idx="3">
                  <c:v>0.05</c:v>
                </c:pt>
                <c:pt idx="4">
                  <c:v>0.05</c:v>
                </c:pt>
                <c:pt idx="5">
                  <c:v>0.05</c:v>
                </c:pt>
                <c:pt idx="6">
                  <c:v>0.05</c:v>
                </c:pt>
                <c:pt idx="7">
                  <c:v>0.05</c:v>
                </c:pt>
                <c:pt idx="8">
                  <c:v>0.05</c:v>
                </c:pt>
                <c:pt idx="9">
                  <c:v>0.05</c:v>
                </c:pt>
                <c:pt idx="10">
                  <c:v>0.05</c:v>
                </c:pt>
                <c:pt idx="11">
                  <c:v>0.05</c:v>
                </c:pt>
                <c:pt idx="12">
                  <c:v>0.05</c:v>
                </c:pt>
                <c:pt idx="13">
                  <c:v>0.05</c:v>
                </c:pt>
                <c:pt idx="14">
                  <c:v>0.05</c:v>
                </c:pt>
                <c:pt idx="15">
                  <c:v>0.05</c:v>
                </c:pt>
                <c:pt idx="16">
                  <c:v>0.05</c:v>
                </c:pt>
                <c:pt idx="17">
                  <c:v>0.05</c:v>
                </c:pt>
                <c:pt idx="18">
                  <c:v>0.05</c:v>
                </c:pt>
                <c:pt idx="19">
                  <c:v>0.05</c:v>
                </c:pt>
                <c:pt idx="20">
                  <c:v>0.05</c:v>
                </c:pt>
                <c:pt idx="21">
                  <c:v>0.05</c:v>
                </c:pt>
                <c:pt idx="22">
                  <c:v>0.05</c:v>
                </c:pt>
                <c:pt idx="23">
                  <c:v>0.05</c:v>
                </c:pt>
                <c:pt idx="24">
                  <c:v>0.05</c:v>
                </c:pt>
                <c:pt idx="25">
                  <c:v>0.05</c:v>
                </c:pt>
                <c:pt idx="26">
                  <c:v>0.05</c:v>
                </c:pt>
                <c:pt idx="27">
                  <c:v>0.05</c:v>
                </c:pt>
                <c:pt idx="28">
                  <c:v>0.05</c:v>
                </c:pt>
                <c:pt idx="29">
                  <c:v>0.05</c:v>
                </c:pt>
                <c:pt idx="30">
                  <c:v>0.05</c:v>
                </c:pt>
                <c:pt idx="31">
                  <c:v>0.05</c:v>
                </c:pt>
                <c:pt idx="32">
                  <c:v>0.05</c:v>
                </c:pt>
                <c:pt idx="33">
                  <c:v>0.05</c:v>
                </c:pt>
                <c:pt idx="34">
                  <c:v>0.05</c:v>
                </c:pt>
                <c:pt idx="35">
                  <c:v>0.05</c:v>
                </c:pt>
                <c:pt idx="36">
                  <c:v>0.05</c:v>
                </c:pt>
                <c:pt idx="37">
                  <c:v>0.05</c:v>
                </c:pt>
                <c:pt idx="38">
                  <c:v>0.05</c:v>
                </c:pt>
                <c:pt idx="39">
                  <c:v>0.05</c:v>
                </c:pt>
                <c:pt idx="40">
                  <c:v>0.05</c:v>
                </c:pt>
                <c:pt idx="41">
                  <c:v>0.05</c:v>
                </c:pt>
                <c:pt idx="42">
                  <c:v>0.05</c:v>
                </c:pt>
                <c:pt idx="43">
                  <c:v>0.05</c:v>
                </c:pt>
                <c:pt idx="44">
                  <c:v>0.05</c:v>
                </c:pt>
                <c:pt idx="45">
                  <c:v>0.05</c:v>
                </c:pt>
                <c:pt idx="46">
                  <c:v>0.05</c:v>
                </c:pt>
                <c:pt idx="47">
                  <c:v>0.05</c:v>
                </c:pt>
                <c:pt idx="48" formatCode="General">
                  <c:v>0.05</c:v>
                </c:pt>
                <c:pt idx="49" formatCode="General">
                  <c:v>0.05</c:v>
                </c:pt>
                <c:pt idx="50" formatCode="General">
                  <c:v>0.05</c:v>
                </c:pt>
                <c:pt idx="51" formatCode="General">
                  <c:v>0.05</c:v>
                </c:pt>
                <c:pt idx="52" formatCode="General">
                  <c:v>0.05</c:v>
                </c:pt>
                <c:pt idx="53" formatCode="General">
                  <c:v>0.05</c:v>
                </c:pt>
              </c:numCache>
            </c:numRef>
          </c:val>
        </c:ser>
        <c:gapWidth val="31"/>
        <c:axId val="101185792"/>
        <c:axId val="101253120"/>
      </c:barChart>
      <c:lineChart>
        <c:grouping val="standard"/>
        <c:ser>
          <c:idx val="3"/>
          <c:order val="1"/>
          <c:tx>
            <c:strRef>
              <c:f>'Měnové podmínky 1'!$F$5</c:f>
              <c:strCache>
                <c:ptCount val="1"/>
                <c:pt idx="0">
                  <c:v>Average yield of government bonds (2Y)</c:v>
                </c:pt>
              </c:strCache>
            </c:strRef>
          </c:tx>
          <c:spPr>
            <a:ln w="19050">
              <a:solidFill>
                <a:srgbClr val="7DBB2D"/>
              </a:solidFill>
            </a:ln>
          </c:spPr>
          <c:marker>
            <c:symbol val="none"/>
          </c:marker>
          <c:cat>
            <c:multiLvlStrRef>
              <c:f>'Měnové podmínky 1'!$A$18:$B$71</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'Měnové podmínky 1'!$F$18:$F$71</c:f>
              <c:numCache>
                <c:formatCode>0.00</c:formatCode>
                <c:ptCount val="54"/>
                <c:pt idx="0">
                  <c:v>0.30000000000000032</c:v>
                </c:pt>
                <c:pt idx="1">
                  <c:v>0.36000000000000032</c:v>
                </c:pt>
                <c:pt idx="2">
                  <c:v>0.31000000000000105</c:v>
                </c:pt>
                <c:pt idx="3">
                  <c:v>0.30000000000000032</c:v>
                </c:pt>
                <c:pt idx="4">
                  <c:v>0.29000000000000031</c:v>
                </c:pt>
                <c:pt idx="5">
                  <c:v>0.43000000000000038</c:v>
                </c:pt>
                <c:pt idx="6">
                  <c:v>0.41000000000000031</c:v>
                </c:pt>
                <c:pt idx="7">
                  <c:v>0.4</c:v>
                </c:pt>
                <c:pt idx="8">
                  <c:v>0.37000000000000038</c:v>
                </c:pt>
                <c:pt idx="9">
                  <c:v>0.3300000000000014</c:v>
                </c:pt>
                <c:pt idx="10">
                  <c:v>0.2</c:v>
                </c:pt>
                <c:pt idx="11">
                  <c:v>0.19</c:v>
                </c:pt>
                <c:pt idx="12">
                  <c:v>0.23</c:v>
                </c:pt>
                <c:pt idx="13">
                  <c:v>0.28000000000000008</c:v>
                </c:pt>
                <c:pt idx="14">
                  <c:v>0.26</c:v>
                </c:pt>
                <c:pt idx="15">
                  <c:v>0.23</c:v>
                </c:pt>
                <c:pt idx="16">
                  <c:v>0.21000000000000021</c:v>
                </c:pt>
                <c:pt idx="17">
                  <c:v>0.24000000000000021</c:v>
                </c:pt>
                <c:pt idx="18">
                  <c:v>0.23</c:v>
                </c:pt>
                <c:pt idx="19">
                  <c:v>0.18000000000000024</c:v>
                </c:pt>
                <c:pt idx="20">
                  <c:v>0.14000000000000001</c:v>
                </c:pt>
                <c:pt idx="21">
                  <c:v>0.1</c:v>
                </c:pt>
                <c:pt idx="22">
                  <c:v>0.12000000000000002</c:v>
                </c:pt>
                <c:pt idx="23">
                  <c:v>0.13</c:v>
                </c:pt>
                <c:pt idx="24">
                  <c:v>9.0000000000000024E-2</c:v>
                </c:pt>
                <c:pt idx="25">
                  <c:v>6.0000000000000032E-2</c:v>
                </c:pt>
                <c:pt idx="26">
                  <c:v>4.0000000000000022E-2</c:v>
                </c:pt>
                <c:pt idx="27">
                  <c:v>-3.0000000000000002E-2</c:v>
                </c:pt>
                <c:pt idx="28">
                  <c:v>4.0000000000000022E-2</c:v>
                </c:pt>
                <c:pt idx="29">
                  <c:v>0.11</c:v>
                </c:pt>
                <c:pt idx="30">
                  <c:v>2.0000000000000011E-2</c:v>
                </c:pt>
                <c:pt idx="31">
                  <c:v>-7.0000000000000021E-2</c:v>
                </c:pt>
                <c:pt idx="32">
                  <c:v>-0.30000000000000032</c:v>
                </c:pt>
                <c:pt idx="33">
                  <c:v>-0.28000000000000008</c:v>
                </c:pt>
                <c:pt idx="34">
                  <c:v>-0.3300000000000014</c:v>
                </c:pt>
                <c:pt idx="35">
                  <c:v>-0.38000000000000117</c:v>
                </c:pt>
                <c:pt idx="36" formatCode="General">
                  <c:v>-0.21000000000000021</c:v>
                </c:pt>
                <c:pt idx="37" formatCode="General">
                  <c:v>-0.18000000000000024</c:v>
                </c:pt>
                <c:pt idx="38" formatCode="General">
                  <c:v>-0.17</c:v>
                </c:pt>
                <c:pt idx="39" formatCode="General">
                  <c:v>-8.0000000000000043E-2</c:v>
                </c:pt>
                <c:pt idx="40" formatCode="General">
                  <c:v>-4.0000000000000022E-2</c:v>
                </c:pt>
                <c:pt idx="41" formatCode="General">
                  <c:v>-0.05</c:v>
                </c:pt>
                <c:pt idx="42" formatCode="General">
                  <c:v>-0.13</c:v>
                </c:pt>
                <c:pt idx="43" formatCode="General">
                  <c:v>-0.22</c:v>
                </c:pt>
                <c:pt idx="44" formatCode="General">
                  <c:v>-0.5</c:v>
                </c:pt>
                <c:pt idx="45" formatCode="General">
                  <c:v>-0.7400000000000021</c:v>
                </c:pt>
                <c:pt idx="46" formatCode="General">
                  <c:v>-0.73000000000000065</c:v>
                </c:pt>
                <c:pt idx="47" formatCode="General">
                  <c:v>-0.81</c:v>
                </c:pt>
                <c:pt idx="48" formatCode="General">
                  <c:v>-0.88</c:v>
                </c:pt>
                <c:pt idx="49" formatCode="General">
                  <c:v>-0.53</c:v>
                </c:pt>
                <c:pt idx="50" formatCode="General">
                  <c:v>-0.44</c:v>
                </c:pt>
                <c:pt idx="51" formatCode="General">
                  <c:v>-0.23</c:v>
                </c:pt>
                <c:pt idx="52" formatCode="General">
                  <c:v>-0.24000000000000021</c:v>
                </c:pt>
                <c:pt idx="53" formatCode="General">
                  <c:v>-0.25</c:v>
                </c:pt>
              </c:numCache>
            </c:numRef>
          </c:val>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1'!$A$18:$B$71</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'Měnové podmínky 1'!$D$18:$D$71</c:f>
              <c:numCache>
                <c:formatCode>0.00</c:formatCode>
                <c:ptCount val="54"/>
                <c:pt idx="0">
                  <c:v>0.5</c:v>
                </c:pt>
                <c:pt idx="1">
                  <c:v>0.5</c:v>
                </c:pt>
                <c:pt idx="2">
                  <c:v>0.49000000000000032</c:v>
                </c:pt>
                <c:pt idx="3">
                  <c:v>0.47000000000000008</c:v>
                </c:pt>
                <c:pt idx="4">
                  <c:v>0.46</c:v>
                </c:pt>
                <c:pt idx="5">
                  <c:v>0.46</c:v>
                </c:pt>
                <c:pt idx="6">
                  <c:v>0.46</c:v>
                </c:pt>
                <c:pt idx="7">
                  <c:v>0.46</c:v>
                </c:pt>
                <c:pt idx="8">
                  <c:v>0.45</c:v>
                </c:pt>
                <c:pt idx="9">
                  <c:v>0.45</c:v>
                </c:pt>
                <c:pt idx="10">
                  <c:v>0.4</c:v>
                </c:pt>
                <c:pt idx="11">
                  <c:v>0.38000000000000117</c:v>
                </c:pt>
                <c:pt idx="12">
                  <c:v>0.37000000000000038</c:v>
                </c:pt>
                <c:pt idx="13">
                  <c:v>0.37000000000000038</c:v>
                </c:pt>
                <c:pt idx="14">
                  <c:v>0.37000000000000038</c:v>
                </c:pt>
                <c:pt idx="15">
                  <c:v>0.37000000000000038</c:v>
                </c:pt>
                <c:pt idx="16">
                  <c:v>0.37000000000000038</c:v>
                </c:pt>
                <c:pt idx="17">
                  <c:v>0.35000000000000031</c:v>
                </c:pt>
                <c:pt idx="18">
                  <c:v>0.35000000000000031</c:v>
                </c:pt>
                <c:pt idx="19">
                  <c:v>0.35000000000000031</c:v>
                </c:pt>
                <c:pt idx="20">
                  <c:v>0.35000000000000031</c:v>
                </c:pt>
                <c:pt idx="21">
                  <c:v>0.35000000000000031</c:v>
                </c:pt>
                <c:pt idx="22">
                  <c:v>0.34</c:v>
                </c:pt>
                <c:pt idx="23">
                  <c:v>0.34</c:v>
                </c:pt>
                <c:pt idx="24">
                  <c:v>0.3300000000000014</c:v>
                </c:pt>
                <c:pt idx="25">
                  <c:v>0.3300000000000014</c:v>
                </c:pt>
                <c:pt idx="26">
                  <c:v>0.32000000000000117</c:v>
                </c:pt>
                <c:pt idx="27">
                  <c:v>0.31000000000000105</c:v>
                </c:pt>
                <c:pt idx="28">
                  <c:v>0.31000000000000105</c:v>
                </c:pt>
                <c:pt idx="29">
                  <c:v>0.31000000000000105</c:v>
                </c:pt>
                <c:pt idx="30">
                  <c:v>0.31000000000000105</c:v>
                </c:pt>
                <c:pt idx="31">
                  <c:v>0.31000000000000105</c:v>
                </c:pt>
                <c:pt idx="32">
                  <c:v>0.30000000000000032</c:v>
                </c:pt>
                <c:pt idx="33">
                  <c:v>0.29000000000000031</c:v>
                </c:pt>
                <c:pt idx="34">
                  <c:v>0.29000000000000031</c:v>
                </c:pt>
                <c:pt idx="35">
                  <c:v>0.29000000000000031</c:v>
                </c:pt>
                <c:pt idx="36">
                  <c:v>0.29000000000000031</c:v>
                </c:pt>
                <c:pt idx="37">
                  <c:v>0.28000000000000008</c:v>
                </c:pt>
                <c:pt idx="38">
                  <c:v>0.29000000000000031</c:v>
                </c:pt>
                <c:pt idx="39">
                  <c:v>0.29000000000000031</c:v>
                </c:pt>
                <c:pt idx="40">
                  <c:v>0.29000000000000031</c:v>
                </c:pt>
                <c:pt idx="41">
                  <c:v>0.29000000000000031</c:v>
                </c:pt>
                <c:pt idx="42">
                  <c:v>0.29000000000000031</c:v>
                </c:pt>
                <c:pt idx="43">
                  <c:v>0.29000000000000031</c:v>
                </c:pt>
                <c:pt idx="44">
                  <c:v>0.29000000000000031</c:v>
                </c:pt>
                <c:pt idx="45">
                  <c:v>0.29000000000000031</c:v>
                </c:pt>
                <c:pt idx="46">
                  <c:v>0.29000000000000031</c:v>
                </c:pt>
                <c:pt idx="47">
                  <c:v>0.29000000000000031</c:v>
                </c:pt>
                <c:pt idx="48" formatCode="General">
                  <c:v>0.28000000000000008</c:v>
                </c:pt>
                <c:pt idx="49" formatCode="General">
                  <c:v>0.28000000000000008</c:v>
                </c:pt>
                <c:pt idx="50" formatCode="General">
                  <c:v>0.28000000000000008</c:v>
                </c:pt>
                <c:pt idx="51" formatCode="General">
                  <c:v>0.29000000000000031</c:v>
                </c:pt>
                <c:pt idx="52" formatCode="General">
                  <c:v>0.30000000000000032</c:v>
                </c:pt>
                <c:pt idx="53" formatCode="General">
                  <c:v>0.30000000000000032</c:v>
                </c:pt>
              </c:numCache>
            </c:numRef>
          </c:val>
        </c:ser>
        <c:ser>
          <c:idx val="4"/>
          <c:order val="3"/>
          <c:tx>
            <c:strRef>
              <c:f>'Měnové podmínky 1'!$G$5</c:f>
              <c:strCache>
                <c:ptCount val="1"/>
                <c:pt idx="0">
                  <c:v>Average yield of government bonds (5Y)</c:v>
                </c:pt>
              </c:strCache>
            </c:strRef>
          </c:tx>
          <c:spPr>
            <a:ln w="19050">
              <a:solidFill>
                <a:srgbClr val="F8A124"/>
              </a:solidFill>
            </a:ln>
          </c:spPr>
          <c:marker>
            <c:symbol val="none"/>
          </c:marker>
          <c:cat>
            <c:multiLvlStrRef>
              <c:f>'Měnové podmínky 1'!$A$18:$B$71</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'Měnové podmínky 1'!$G$18:$G$71</c:f>
              <c:numCache>
                <c:formatCode>0.00</c:formatCode>
                <c:ptCount val="54"/>
                <c:pt idx="0">
                  <c:v>0.98</c:v>
                </c:pt>
                <c:pt idx="1">
                  <c:v>0.99</c:v>
                </c:pt>
                <c:pt idx="2">
                  <c:v>1.08</c:v>
                </c:pt>
                <c:pt idx="3">
                  <c:v>0.98</c:v>
                </c:pt>
                <c:pt idx="4">
                  <c:v>0.9</c:v>
                </c:pt>
                <c:pt idx="5">
                  <c:v>1.23</c:v>
                </c:pt>
                <c:pt idx="6">
                  <c:v>1.3900000000000001</c:v>
                </c:pt>
                <c:pt idx="7">
                  <c:v>1.3900000000000001</c:v>
                </c:pt>
                <c:pt idx="8">
                  <c:v>1.23</c:v>
                </c:pt>
                <c:pt idx="9">
                  <c:v>1.25</c:v>
                </c:pt>
                <c:pt idx="10">
                  <c:v>1.03</c:v>
                </c:pt>
                <c:pt idx="11">
                  <c:v>0.97000000000000064</c:v>
                </c:pt>
                <c:pt idx="12">
                  <c:v>1.0900000000000001</c:v>
                </c:pt>
                <c:pt idx="13">
                  <c:v>1.2</c:v>
                </c:pt>
                <c:pt idx="14">
                  <c:v>1.1399999999999952</c:v>
                </c:pt>
                <c:pt idx="15">
                  <c:v>0.99</c:v>
                </c:pt>
                <c:pt idx="16">
                  <c:v>0.8</c:v>
                </c:pt>
                <c:pt idx="17">
                  <c:v>0.68</c:v>
                </c:pt>
                <c:pt idx="18">
                  <c:v>0.65000000000000246</c:v>
                </c:pt>
                <c:pt idx="19">
                  <c:v>0.6200000000000021</c:v>
                </c:pt>
                <c:pt idx="20">
                  <c:v>0.51</c:v>
                </c:pt>
                <c:pt idx="21">
                  <c:v>0.37000000000000038</c:v>
                </c:pt>
                <c:pt idx="22">
                  <c:v>0.24000000000000021</c:v>
                </c:pt>
                <c:pt idx="23">
                  <c:v>0.22</c:v>
                </c:pt>
                <c:pt idx="24">
                  <c:v>0.13</c:v>
                </c:pt>
                <c:pt idx="25">
                  <c:v>0.17</c:v>
                </c:pt>
                <c:pt idx="26">
                  <c:v>0.14000000000000001</c:v>
                </c:pt>
                <c:pt idx="27">
                  <c:v>0.05</c:v>
                </c:pt>
                <c:pt idx="28">
                  <c:v>0.22</c:v>
                </c:pt>
                <c:pt idx="29">
                  <c:v>0.43000000000000038</c:v>
                </c:pt>
                <c:pt idx="30">
                  <c:v>0.35000000000000031</c:v>
                </c:pt>
                <c:pt idx="31">
                  <c:v>0.2</c:v>
                </c:pt>
                <c:pt idx="32">
                  <c:v>6.0000000000000032E-2</c:v>
                </c:pt>
                <c:pt idx="33">
                  <c:v>-0.05</c:v>
                </c:pt>
                <c:pt idx="34">
                  <c:v>-0.05</c:v>
                </c:pt>
                <c:pt idx="35">
                  <c:v>-0.11</c:v>
                </c:pt>
                <c:pt idx="36" formatCode="General">
                  <c:v>4.0000000000000022E-2</c:v>
                </c:pt>
                <c:pt idx="37" formatCode="General">
                  <c:v>-8.0000000000000043E-2</c:v>
                </c:pt>
                <c:pt idx="38" formatCode="General">
                  <c:v>-0.1</c:v>
                </c:pt>
                <c:pt idx="39" formatCode="General">
                  <c:v>4.0000000000000022E-2</c:v>
                </c:pt>
                <c:pt idx="40" formatCode="General">
                  <c:v>7.0000000000000021E-2</c:v>
                </c:pt>
                <c:pt idx="41" formatCode="General">
                  <c:v>0.05</c:v>
                </c:pt>
                <c:pt idx="42" formatCode="General">
                  <c:v>-2.0000000000000011E-2</c:v>
                </c:pt>
                <c:pt idx="43" formatCode="General">
                  <c:v>-9.0000000000000024E-2</c:v>
                </c:pt>
                <c:pt idx="44" formatCode="General">
                  <c:v>-0.19</c:v>
                </c:pt>
                <c:pt idx="45" formatCode="General">
                  <c:v>-0.17</c:v>
                </c:pt>
                <c:pt idx="46" formatCode="General">
                  <c:v>-0.17</c:v>
                </c:pt>
                <c:pt idx="47" formatCode="General">
                  <c:v>-0.21000000000000021</c:v>
                </c:pt>
                <c:pt idx="48" formatCode="General">
                  <c:v>-0.22</c:v>
                </c:pt>
                <c:pt idx="49" formatCode="General">
                  <c:v>9.0000000000000024E-2</c:v>
                </c:pt>
                <c:pt idx="50" formatCode="General">
                  <c:v>0.1</c:v>
                </c:pt>
                <c:pt idx="51" formatCode="General">
                  <c:v>0.16</c:v>
                </c:pt>
                <c:pt idx="52" formatCode="General">
                  <c:v>4.0000000000000022E-2</c:v>
                </c:pt>
                <c:pt idx="53" formatCode="General">
                  <c:v>-3.0000000000000002E-2</c:v>
                </c:pt>
              </c:numCache>
            </c:numRef>
          </c:val>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1'!$A$18:$B$71</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'Měnové podmínky 1'!$E$18:$E$71</c:f>
              <c:numCache>
                <c:formatCode>0.00</c:formatCode>
                <c:ptCount val="54"/>
                <c:pt idx="0">
                  <c:v>0.86000000000000065</c:v>
                </c:pt>
                <c:pt idx="1">
                  <c:v>0.83000000000000063</c:v>
                </c:pt>
                <c:pt idx="2">
                  <c:v>0.78</c:v>
                </c:pt>
                <c:pt idx="3">
                  <c:v>0.76000000000000234</c:v>
                </c:pt>
                <c:pt idx="4">
                  <c:v>0.76000000000000234</c:v>
                </c:pt>
                <c:pt idx="5">
                  <c:v>0.76000000000000234</c:v>
                </c:pt>
                <c:pt idx="6">
                  <c:v>0.75000000000000222</c:v>
                </c:pt>
                <c:pt idx="7">
                  <c:v>0.75000000000000222</c:v>
                </c:pt>
                <c:pt idx="8">
                  <c:v>0.7400000000000021</c:v>
                </c:pt>
                <c:pt idx="9">
                  <c:v>0.73000000000000065</c:v>
                </c:pt>
                <c:pt idx="10">
                  <c:v>0.65000000000000246</c:v>
                </c:pt>
                <c:pt idx="11">
                  <c:v>0.61000000000000065</c:v>
                </c:pt>
                <c:pt idx="12">
                  <c:v>0.58000000000000007</c:v>
                </c:pt>
                <c:pt idx="13">
                  <c:v>0.55000000000000004</c:v>
                </c:pt>
                <c:pt idx="14">
                  <c:v>0.55000000000000004</c:v>
                </c:pt>
                <c:pt idx="15">
                  <c:v>0.55000000000000004</c:v>
                </c:pt>
                <c:pt idx="16">
                  <c:v>0.54</c:v>
                </c:pt>
                <c:pt idx="17">
                  <c:v>0.53</c:v>
                </c:pt>
                <c:pt idx="18">
                  <c:v>0.52</c:v>
                </c:pt>
                <c:pt idx="19">
                  <c:v>0.52</c:v>
                </c:pt>
                <c:pt idx="20">
                  <c:v>0.52</c:v>
                </c:pt>
                <c:pt idx="21">
                  <c:v>0.52</c:v>
                </c:pt>
                <c:pt idx="22">
                  <c:v>0.51</c:v>
                </c:pt>
                <c:pt idx="23">
                  <c:v>0.51</c:v>
                </c:pt>
                <c:pt idx="24">
                  <c:v>0.51</c:v>
                </c:pt>
                <c:pt idx="25">
                  <c:v>0.51</c:v>
                </c:pt>
                <c:pt idx="26">
                  <c:v>0.49000000000000032</c:v>
                </c:pt>
                <c:pt idx="27">
                  <c:v>0.48000000000000032</c:v>
                </c:pt>
                <c:pt idx="28">
                  <c:v>0.48000000000000032</c:v>
                </c:pt>
                <c:pt idx="29">
                  <c:v>0.48000000000000032</c:v>
                </c:pt>
                <c:pt idx="30">
                  <c:v>0.48000000000000032</c:v>
                </c:pt>
                <c:pt idx="31">
                  <c:v>0.48000000000000032</c:v>
                </c:pt>
                <c:pt idx="32">
                  <c:v>0.47000000000000008</c:v>
                </c:pt>
                <c:pt idx="33">
                  <c:v>0.46</c:v>
                </c:pt>
                <c:pt idx="34">
                  <c:v>0.46</c:v>
                </c:pt>
                <c:pt idx="35">
                  <c:v>0.46</c:v>
                </c:pt>
                <c:pt idx="36">
                  <c:v>0.45</c:v>
                </c:pt>
                <c:pt idx="37">
                  <c:v>0.45</c:v>
                </c:pt>
                <c:pt idx="38">
                  <c:v>0.45</c:v>
                </c:pt>
                <c:pt idx="39">
                  <c:v>0.45</c:v>
                </c:pt>
                <c:pt idx="40">
                  <c:v>0.45</c:v>
                </c:pt>
                <c:pt idx="41">
                  <c:v>0.45</c:v>
                </c:pt>
                <c:pt idx="42">
                  <c:v>0.45</c:v>
                </c:pt>
                <c:pt idx="43">
                  <c:v>0.45</c:v>
                </c:pt>
                <c:pt idx="44">
                  <c:v>0.45</c:v>
                </c:pt>
                <c:pt idx="45">
                  <c:v>0.45</c:v>
                </c:pt>
                <c:pt idx="46">
                  <c:v>0.45</c:v>
                </c:pt>
                <c:pt idx="47">
                  <c:v>0.45</c:v>
                </c:pt>
                <c:pt idx="48" formatCode="General">
                  <c:v>0.44</c:v>
                </c:pt>
                <c:pt idx="49" formatCode="General">
                  <c:v>0.44</c:v>
                </c:pt>
                <c:pt idx="50" formatCode="General">
                  <c:v>0.44</c:v>
                </c:pt>
                <c:pt idx="51" formatCode="General">
                  <c:v>0.45</c:v>
                </c:pt>
                <c:pt idx="52" formatCode="General">
                  <c:v>0.46</c:v>
                </c:pt>
                <c:pt idx="53" formatCode="General">
                  <c:v>0.46</c:v>
                </c:pt>
              </c:numCache>
            </c:numRef>
          </c:val>
        </c:ser>
        <c:ser>
          <c:idx val="5"/>
          <c:order val="5"/>
          <c:tx>
            <c:strRef>
              <c:f>'Měnové podmínky 1'!$H$5</c:f>
              <c:strCache>
                <c:ptCount val="1"/>
                <c:pt idx="0">
                  <c:v>Average yield of government bonds (10Y)</c:v>
                </c:pt>
              </c:strCache>
            </c:strRef>
          </c:tx>
          <c:spPr>
            <a:ln w="19050">
              <a:solidFill>
                <a:srgbClr val="48AEE7"/>
              </a:solidFill>
            </a:ln>
          </c:spPr>
          <c:marker>
            <c:symbol val="none"/>
          </c:marker>
          <c:cat>
            <c:multiLvlStrRef>
              <c:f>'Měnové podmínky 1'!$A$18:$B$71</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'Měnové podmínky 1'!$H$18:$H$71</c:f>
              <c:numCache>
                <c:formatCode>0.00</c:formatCode>
                <c:ptCount val="54"/>
                <c:pt idx="0">
                  <c:v>1.9600000000000042</c:v>
                </c:pt>
                <c:pt idx="1">
                  <c:v>2.0099999999999998</c:v>
                </c:pt>
                <c:pt idx="2">
                  <c:v>1.9800000000000046</c:v>
                </c:pt>
                <c:pt idx="3">
                  <c:v>1.82</c:v>
                </c:pt>
                <c:pt idx="4">
                  <c:v>1.6700000000000021</c:v>
                </c:pt>
                <c:pt idx="5">
                  <c:v>2.14</c:v>
                </c:pt>
                <c:pt idx="6">
                  <c:v>2.23</c:v>
                </c:pt>
                <c:pt idx="7">
                  <c:v>2.4</c:v>
                </c:pt>
                <c:pt idx="8">
                  <c:v>2.42</c:v>
                </c:pt>
                <c:pt idx="9">
                  <c:v>2.3299999999999987</c:v>
                </c:pt>
                <c:pt idx="10">
                  <c:v>2.1800000000000002</c:v>
                </c:pt>
                <c:pt idx="11">
                  <c:v>2.2000000000000002</c:v>
                </c:pt>
                <c:pt idx="12">
                  <c:v>2.4299999999999997</c:v>
                </c:pt>
                <c:pt idx="13">
                  <c:v>2.2799999999999998</c:v>
                </c:pt>
                <c:pt idx="14">
                  <c:v>2.2000000000000002</c:v>
                </c:pt>
                <c:pt idx="15">
                  <c:v>2</c:v>
                </c:pt>
                <c:pt idx="16">
                  <c:v>1.73</c:v>
                </c:pt>
                <c:pt idx="17">
                  <c:v>1.55</c:v>
                </c:pt>
                <c:pt idx="18">
                  <c:v>1.49</c:v>
                </c:pt>
                <c:pt idx="19">
                  <c:v>1.3800000000000001</c:v>
                </c:pt>
                <c:pt idx="20">
                  <c:v>1.21</c:v>
                </c:pt>
                <c:pt idx="21">
                  <c:v>1.1000000000000001</c:v>
                </c:pt>
                <c:pt idx="22">
                  <c:v>0.8700000000000021</c:v>
                </c:pt>
                <c:pt idx="23">
                  <c:v>0.67000000000000282</c:v>
                </c:pt>
                <c:pt idx="24">
                  <c:v>0.35000000000000031</c:v>
                </c:pt>
                <c:pt idx="25">
                  <c:v>0.4</c:v>
                </c:pt>
                <c:pt idx="26">
                  <c:v>0.35000000000000031</c:v>
                </c:pt>
                <c:pt idx="27">
                  <c:v>0.26</c:v>
                </c:pt>
                <c:pt idx="28">
                  <c:v>0.60000000000000064</c:v>
                </c:pt>
                <c:pt idx="29">
                  <c:v>1.01</c:v>
                </c:pt>
                <c:pt idx="30">
                  <c:v>0.97000000000000064</c:v>
                </c:pt>
                <c:pt idx="31">
                  <c:v>0.7400000000000021</c:v>
                </c:pt>
                <c:pt idx="32">
                  <c:v>0.68</c:v>
                </c:pt>
                <c:pt idx="33">
                  <c:v>0.56000000000000005</c:v>
                </c:pt>
                <c:pt idx="34">
                  <c:v>0.49000000000000032</c:v>
                </c:pt>
                <c:pt idx="35">
                  <c:v>0.49000000000000032</c:v>
                </c:pt>
                <c:pt idx="36" formatCode="General">
                  <c:v>0.6200000000000021</c:v>
                </c:pt>
                <c:pt idx="37" formatCode="General">
                  <c:v>0.46</c:v>
                </c:pt>
                <c:pt idx="38" formatCode="General">
                  <c:v>0.35000000000000031</c:v>
                </c:pt>
                <c:pt idx="39" formatCode="General">
                  <c:v>0.43000000000000038</c:v>
                </c:pt>
                <c:pt idx="40" formatCode="General">
                  <c:v>0.46</c:v>
                </c:pt>
                <c:pt idx="41" formatCode="General">
                  <c:v>0.45</c:v>
                </c:pt>
                <c:pt idx="42" formatCode="General">
                  <c:v>0.37000000000000038</c:v>
                </c:pt>
                <c:pt idx="43" formatCode="General">
                  <c:v>0.29000000000000031</c:v>
                </c:pt>
                <c:pt idx="44" formatCode="General">
                  <c:v>0.25</c:v>
                </c:pt>
                <c:pt idx="45" formatCode="General">
                  <c:v>0.37000000000000038</c:v>
                </c:pt>
                <c:pt idx="46" formatCode="General">
                  <c:v>0.55000000000000004</c:v>
                </c:pt>
                <c:pt idx="47" formatCode="General">
                  <c:v>0.53</c:v>
                </c:pt>
                <c:pt idx="48" formatCode="General">
                  <c:v>0.47000000000000008</c:v>
                </c:pt>
                <c:pt idx="49" formatCode="General">
                  <c:v>0.63000000000000234</c:v>
                </c:pt>
                <c:pt idx="50" formatCode="General">
                  <c:v>0.8700000000000021</c:v>
                </c:pt>
                <c:pt idx="51" formatCode="General">
                  <c:v>0.96000000000000063</c:v>
                </c:pt>
                <c:pt idx="52" formatCode="General">
                  <c:v>0.7400000000000021</c:v>
                </c:pt>
                <c:pt idx="53" formatCode="General">
                  <c:v>0.77000000000000235</c:v>
                </c:pt>
              </c:numCache>
            </c:numRef>
          </c:val>
        </c:ser>
        <c:marker val="1"/>
        <c:axId val="101185792"/>
        <c:axId val="101253120"/>
      </c:lineChart>
      <c:catAx>
        <c:axId val="101185792"/>
        <c:scaling>
          <c:orientation val="minMax"/>
        </c:scaling>
        <c:axPos val="b"/>
        <c:tickLblPos val="low"/>
        <c:spPr>
          <a:ln>
            <a:solidFill>
              <a:schemeClr val="tx1"/>
            </a:solidFill>
          </a:ln>
        </c:spPr>
        <c:crossAx val="101253120"/>
        <c:crosses val="autoZero"/>
        <c:auto val="1"/>
        <c:lblAlgn val="ctr"/>
        <c:lblOffset val="100"/>
      </c:catAx>
      <c:valAx>
        <c:axId val="101253120"/>
        <c:scaling>
          <c:orientation val="minMax"/>
          <c:min val="-1"/>
        </c:scaling>
        <c:axPos val="l"/>
        <c:majorGridlines>
          <c:spPr>
            <a:ln w="6350">
              <a:solidFill>
                <a:schemeClr val="bg1">
                  <a:lumMod val="75000"/>
                </a:schemeClr>
              </a:solidFill>
            </a:ln>
          </c:spPr>
        </c:majorGridlines>
        <c:numFmt formatCode="0" sourceLinked="0"/>
        <c:tickLblPos val="nextTo"/>
        <c:spPr>
          <a:ln>
            <a:solidFill>
              <a:schemeClr val="tx1"/>
            </a:solidFill>
          </a:ln>
        </c:spPr>
        <c:crossAx val="101185792"/>
        <c:crosses val="autoZero"/>
        <c:crossBetween val="between"/>
        <c:majorUnit val="1"/>
      </c:valAx>
      <c:spPr>
        <a:ln>
          <a:solidFill>
            <a:schemeClr val="tx1"/>
          </a:solidFill>
        </a:ln>
      </c:spPr>
    </c:plotArea>
    <c:legend>
      <c:legendPos val="b"/>
      <c:layout>
        <c:manualLayout>
          <c:xMode val="edge"/>
          <c:yMode val="edge"/>
          <c:x val="4.2139690982776534E-2"/>
          <c:y val="0.87558269120103249"/>
          <c:w val="0.93886651469098281"/>
          <c:h val="0.11015705924459968"/>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6324299223235513E-2"/>
          <c:y val="2.8593943487560718E-2"/>
          <c:w val="0.9397876561972307"/>
          <c:h val="0.69645164921760649"/>
        </c:manualLayout>
      </c:layout>
      <c:lineChart>
        <c:grouping val="standard"/>
        <c:ser>
          <c:idx val="5"/>
          <c:order val="0"/>
          <c:tx>
            <c:strRef>
              <c:f>List1!$G$112</c:f>
              <c:strCache>
                <c:ptCount val="1"/>
                <c:pt idx="0">
                  <c:v>Total credit to households</c:v>
                </c:pt>
              </c:strCache>
            </c:strRef>
          </c:tx>
          <c:spPr>
            <a:ln>
              <a:solidFill>
                <a:schemeClr val="accent2"/>
              </a:solidFill>
            </a:ln>
          </c:spPr>
          <c:marker>
            <c:symbol val="none"/>
          </c:marker>
          <c:cat>
            <c:numRef>
              <c:f>List1!$A$113:$A$166</c:f>
              <c:numCache>
                <c:formatCode>d/m/yyyy</c:formatCode>
                <c:ptCount val="54"/>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numCache>
            </c:numRef>
          </c:cat>
          <c:val>
            <c:numRef>
              <c:f>List1!$G$113:$G$166</c:f>
              <c:numCache>
                <c:formatCode>General</c:formatCode>
                <c:ptCount val="54"/>
                <c:pt idx="0">
                  <c:v>3.0877531589829483</c:v>
                </c:pt>
                <c:pt idx="1">
                  <c:v>2.9278034685920482</c:v>
                </c:pt>
                <c:pt idx="2">
                  <c:v>2.9903796480566442</c:v>
                </c:pt>
                <c:pt idx="3">
                  <c:v>3.0491710862186792</c:v>
                </c:pt>
                <c:pt idx="4">
                  <c:v>3.2681836889522367</c:v>
                </c:pt>
                <c:pt idx="5">
                  <c:v>3.2598708501961191</c:v>
                </c:pt>
                <c:pt idx="6">
                  <c:v>3.344199810319167</c:v>
                </c:pt>
                <c:pt idx="7">
                  <c:v>3.3966244329424837</c:v>
                </c:pt>
                <c:pt idx="8">
                  <c:v>3.6482378321744462</c:v>
                </c:pt>
                <c:pt idx="9">
                  <c:v>3.7730480658831627</c:v>
                </c:pt>
                <c:pt idx="10">
                  <c:v>4.1470926324128712</c:v>
                </c:pt>
                <c:pt idx="11">
                  <c:v>4.2553330267144327</c:v>
                </c:pt>
                <c:pt idx="12">
                  <c:v>4.385947087867895</c:v>
                </c:pt>
                <c:pt idx="13">
                  <c:v>4.523376320619855</c:v>
                </c:pt>
                <c:pt idx="14">
                  <c:v>4.5787788541473873</c:v>
                </c:pt>
                <c:pt idx="15">
                  <c:v>4.6195922264676375</c:v>
                </c:pt>
                <c:pt idx="16">
                  <c:v>4.4666038944024917</c:v>
                </c:pt>
                <c:pt idx="17">
                  <c:v>4.5705616558670474</c:v>
                </c:pt>
                <c:pt idx="18">
                  <c:v>4.639428729321792</c:v>
                </c:pt>
                <c:pt idx="19">
                  <c:v>4.5792909559207198</c:v>
                </c:pt>
                <c:pt idx="20">
                  <c:v>4.6786005512983788</c:v>
                </c:pt>
                <c:pt idx="21">
                  <c:v>4.5573555013270814</c:v>
                </c:pt>
                <c:pt idx="22">
                  <c:v>4.201757946353287</c:v>
                </c:pt>
                <c:pt idx="23">
                  <c:v>4.0257950102231943</c:v>
                </c:pt>
                <c:pt idx="24">
                  <c:v>4.2393015171592854</c:v>
                </c:pt>
                <c:pt idx="25">
                  <c:v>4.2894597932710754</c:v>
                </c:pt>
                <c:pt idx="26">
                  <c:v>4.4648739564675655</c:v>
                </c:pt>
                <c:pt idx="27">
                  <c:v>4.6448907312726915</c:v>
                </c:pt>
                <c:pt idx="28">
                  <c:v>4.8200618655221303</c:v>
                </c:pt>
                <c:pt idx="29">
                  <c:v>6.6747817845361119</c:v>
                </c:pt>
                <c:pt idx="30">
                  <c:v>6.8504415341803977</c:v>
                </c:pt>
                <c:pt idx="31">
                  <c:v>6.9640912326651288</c:v>
                </c:pt>
                <c:pt idx="32">
                  <c:v>7.0196065423020144</c:v>
                </c:pt>
                <c:pt idx="33">
                  <c:v>7.1686339200419296</c:v>
                </c:pt>
                <c:pt idx="34">
                  <c:v>7.341832287265504</c:v>
                </c:pt>
                <c:pt idx="35">
                  <c:v>7.57769138267955</c:v>
                </c:pt>
                <c:pt idx="36">
                  <c:v>7.0678121703309289</c:v>
                </c:pt>
                <c:pt idx="37">
                  <c:v>7.4950875729483855</c:v>
                </c:pt>
                <c:pt idx="38">
                  <c:v>7.3168827874998454</c:v>
                </c:pt>
                <c:pt idx="39">
                  <c:v>7.5495713120857744</c:v>
                </c:pt>
                <c:pt idx="40">
                  <c:v>7.7297908124461694</c:v>
                </c:pt>
                <c:pt idx="41">
                  <c:v>6.2057314743048924</c:v>
                </c:pt>
                <c:pt idx="42">
                  <c:v>6.1984185695713245</c:v>
                </c:pt>
                <c:pt idx="43">
                  <c:v>6.5369772527276995</c:v>
                </c:pt>
                <c:pt idx="44">
                  <c:v>6.7135942644571305</c:v>
                </c:pt>
                <c:pt idx="45">
                  <c:v>7.0064612623712383</c:v>
                </c:pt>
                <c:pt idx="46">
                  <c:v>7.3214465009951715</c:v>
                </c:pt>
                <c:pt idx="47">
                  <c:v>7.0472108710942365</c:v>
                </c:pt>
                <c:pt idx="48">
                  <c:v>7.8299596627663917</c:v>
                </c:pt>
                <c:pt idx="49">
                  <c:v>7.7234451145493033</c:v>
                </c:pt>
                <c:pt idx="50">
                  <c:v>8.151635168774563</c:v>
                </c:pt>
                <c:pt idx="51">
                  <c:v>8.1117916123093003</c:v>
                </c:pt>
                <c:pt idx="52">
                  <c:v>8.2506757293459945</c:v>
                </c:pt>
                <c:pt idx="53">
                  <c:v>8.2739760406758407</c:v>
                </c:pt>
              </c:numCache>
            </c:numRef>
          </c:val>
        </c:ser>
        <c:ser>
          <c:idx val="3"/>
          <c:order val="1"/>
          <c:tx>
            <c:strRef>
              <c:f>List1!$E$112</c:f>
              <c:strCache>
                <c:ptCount val="1"/>
                <c:pt idx="0">
                  <c:v>Mortgages</c:v>
                </c:pt>
              </c:strCache>
            </c:strRef>
          </c:tx>
          <c:spPr>
            <a:ln>
              <a:solidFill>
                <a:schemeClr val="tx2"/>
              </a:solidFill>
            </a:ln>
          </c:spPr>
          <c:marker>
            <c:symbol val="none"/>
          </c:marker>
          <c:cat>
            <c:numRef>
              <c:f>List1!$A$113:$A$166</c:f>
              <c:numCache>
                <c:formatCode>d/m/yyyy</c:formatCode>
                <c:ptCount val="54"/>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numCache>
            </c:numRef>
          </c:cat>
          <c:val>
            <c:numRef>
              <c:f>List1!$E$113:$E$166</c:f>
              <c:numCache>
                <c:formatCode>General</c:formatCode>
                <c:ptCount val="54"/>
                <c:pt idx="0">
                  <c:v>6.2659736689503918</c:v>
                </c:pt>
                <c:pt idx="1">
                  <c:v>6.264714528530984</c:v>
                </c:pt>
                <c:pt idx="2">
                  <c:v>6.2873648583460255</c:v>
                </c:pt>
                <c:pt idx="3">
                  <c:v>6.3598141546146127</c:v>
                </c:pt>
                <c:pt idx="4">
                  <c:v>6.3147119881366365</c:v>
                </c:pt>
                <c:pt idx="5">
                  <c:v>6.0275332348596775</c:v>
                </c:pt>
                <c:pt idx="6">
                  <c:v>6.3073525993761006</c:v>
                </c:pt>
                <c:pt idx="7">
                  <c:v>6.1541788048702655</c:v>
                </c:pt>
                <c:pt idx="8">
                  <c:v>6.4269032318838324</c:v>
                </c:pt>
                <c:pt idx="9">
                  <c:v>6.5725403255923593</c:v>
                </c:pt>
                <c:pt idx="10">
                  <c:v>6.5902633224374334</c:v>
                </c:pt>
                <c:pt idx="11">
                  <c:v>6.5837930483635434</c:v>
                </c:pt>
                <c:pt idx="12">
                  <c:v>6.6657491153861734</c:v>
                </c:pt>
                <c:pt idx="13">
                  <c:v>6.6271385083303107</c:v>
                </c:pt>
                <c:pt idx="14">
                  <c:v>6.6523157014405445</c:v>
                </c:pt>
                <c:pt idx="15">
                  <c:v>6.8469262908674455</c:v>
                </c:pt>
                <c:pt idx="16">
                  <c:v>6.9247409315900263</c:v>
                </c:pt>
                <c:pt idx="17">
                  <c:v>7.0418709000086928</c:v>
                </c:pt>
                <c:pt idx="18">
                  <c:v>7.0931229496983326</c:v>
                </c:pt>
                <c:pt idx="19">
                  <c:v>6.9754005631693854</c:v>
                </c:pt>
                <c:pt idx="20">
                  <c:v>7.0577653257563284</c:v>
                </c:pt>
                <c:pt idx="21">
                  <c:v>6.9749589172601389</c:v>
                </c:pt>
                <c:pt idx="22">
                  <c:v>6.8848210515173935</c:v>
                </c:pt>
                <c:pt idx="23">
                  <c:v>6.7341586671434746</c:v>
                </c:pt>
                <c:pt idx="24">
                  <c:v>6.7538184794027556</c:v>
                </c:pt>
                <c:pt idx="25">
                  <c:v>6.8192119643676969</c:v>
                </c:pt>
                <c:pt idx="26">
                  <c:v>6.9316137078820903</c:v>
                </c:pt>
                <c:pt idx="27">
                  <c:v>6.9929235168259645</c:v>
                </c:pt>
                <c:pt idx="28">
                  <c:v>7.2077782386553055</c:v>
                </c:pt>
                <c:pt idx="29">
                  <c:v>7.5191311706305966</c:v>
                </c:pt>
                <c:pt idx="30">
                  <c:v>7.7787091171226548</c:v>
                </c:pt>
                <c:pt idx="31">
                  <c:v>8.0645924907376525</c:v>
                </c:pt>
                <c:pt idx="32">
                  <c:v>8.1119422991750572</c:v>
                </c:pt>
                <c:pt idx="33">
                  <c:v>8.2444676425619683</c:v>
                </c:pt>
                <c:pt idx="34">
                  <c:v>8.5039301453452705</c:v>
                </c:pt>
                <c:pt idx="35">
                  <c:v>8.8021391300397767</c:v>
                </c:pt>
                <c:pt idx="36">
                  <c:v>8.243320451940706</c:v>
                </c:pt>
                <c:pt idx="37">
                  <c:v>8.5537639741768956</c:v>
                </c:pt>
                <c:pt idx="38">
                  <c:v>8.451278183221536</c:v>
                </c:pt>
                <c:pt idx="39">
                  <c:v>8.5388339561371289</c:v>
                </c:pt>
                <c:pt idx="40">
                  <c:v>8.5177496194520028</c:v>
                </c:pt>
                <c:pt idx="41">
                  <c:v>8.4668106074260567</c:v>
                </c:pt>
                <c:pt idx="42">
                  <c:v>8.2610326083827061</c:v>
                </c:pt>
                <c:pt idx="43">
                  <c:v>8.4220596847293248</c:v>
                </c:pt>
                <c:pt idx="44">
                  <c:v>8.5729843606208025</c:v>
                </c:pt>
                <c:pt idx="45">
                  <c:v>8.7715129103853968</c:v>
                </c:pt>
                <c:pt idx="46">
                  <c:v>9.0166696797667019</c:v>
                </c:pt>
                <c:pt idx="47">
                  <c:v>8.8500296876362547</c:v>
                </c:pt>
                <c:pt idx="48">
                  <c:v>9.6135419108468518</c:v>
                </c:pt>
                <c:pt idx="49">
                  <c:v>9.5803089393486527</c:v>
                </c:pt>
                <c:pt idx="50">
                  <c:v>10.048271879958021</c:v>
                </c:pt>
                <c:pt idx="51">
                  <c:v>10.026850666229175</c:v>
                </c:pt>
                <c:pt idx="52">
                  <c:v>10.24573594995822</c:v>
                </c:pt>
                <c:pt idx="53">
                  <c:v>10.300393885099821</c:v>
                </c:pt>
              </c:numCache>
            </c:numRef>
          </c:val>
        </c:ser>
        <c:ser>
          <c:idx val="4"/>
          <c:order val="2"/>
          <c:tx>
            <c:strRef>
              <c:f>List1!$F$112</c:f>
              <c:strCache>
                <c:ptCount val="1"/>
                <c:pt idx="0">
                  <c:v>Consumer credit</c:v>
                </c:pt>
              </c:strCache>
            </c:strRef>
          </c:tx>
          <c:spPr>
            <a:ln>
              <a:solidFill>
                <a:schemeClr val="accent3"/>
              </a:solidFill>
            </a:ln>
          </c:spPr>
          <c:marker>
            <c:symbol val="none"/>
          </c:marker>
          <c:cat>
            <c:numRef>
              <c:f>List1!$A$113:$A$166</c:f>
              <c:numCache>
                <c:formatCode>d/m/yyyy</c:formatCode>
                <c:ptCount val="54"/>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numCache>
            </c:numRef>
          </c:cat>
          <c:val>
            <c:numRef>
              <c:f>List1!$F$113:$F$166</c:f>
              <c:numCache>
                <c:formatCode>General</c:formatCode>
                <c:ptCount val="54"/>
                <c:pt idx="0">
                  <c:v>-1.6990520590717897</c:v>
                </c:pt>
                <c:pt idx="1">
                  <c:v>-1.8432599648818153</c:v>
                </c:pt>
                <c:pt idx="2">
                  <c:v>-1.7366525799200085</c:v>
                </c:pt>
                <c:pt idx="3">
                  <c:v>-1.1546640615192025</c:v>
                </c:pt>
                <c:pt idx="4">
                  <c:v>-0.92880417177445751</c:v>
                </c:pt>
                <c:pt idx="5">
                  <c:v>-1.1105780686565723</c:v>
                </c:pt>
                <c:pt idx="6">
                  <c:v>-0.3647313341313882</c:v>
                </c:pt>
                <c:pt idx="7">
                  <c:v>-0.12333482057492509</c:v>
                </c:pt>
                <c:pt idx="8">
                  <c:v>0.34049795114385067</c:v>
                </c:pt>
                <c:pt idx="9">
                  <c:v>0.62765881476798013</c:v>
                </c:pt>
                <c:pt idx="10">
                  <c:v>1.275342024704478</c:v>
                </c:pt>
                <c:pt idx="11">
                  <c:v>1.6804009179801986</c:v>
                </c:pt>
                <c:pt idx="12">
                  <c:v>1.9649039512889603</c:v>
                </c:pt>
                <c:pt idx="13">
                  <c:v>2.425614321429038</c:v>
                </c:pt>
                <c:pt idx="14">
                  <c:v>2.5340782816284677</c:v>
                </c:pt>
                <c:pt idx="15">
                  <c:v>1.4152701146683297</c:v>
                </c:pt>
                <c:pt idx="16">
                  <c:v>1.1492101063812799</c:v>
                </c:pt>
                <c:pt idx="17">
                  <c:v>1.6804633048833191</c:v>
                </c:pt>
                <c:pt idx="18">
                  <c:v>1.6263793068151648</c:v>
                </c:pt>
                <c:pt idx="19">
                  <c:v>1.507946890964371</c:v>
                </c:pt>
                <c:pt idx="20">
                  <c:v>1.1772730798033368</c:v>
                </c:pt>
                <c:pt idx="21">
                  <c:v>1.1884334930921678</c:v>
                </c:pt>
                <c:pt idx="22">
                  <c:v>1.3026792855574933</c:v>
                </c:pt>
                <c:pt idx="23">
                  <c:v>0.79115539184119787</c:v>
                </c:pt>
                <c:pt idx="24">
                  <c:v>1.175582651077435</c:v>
                </c:pt>
                <c:pt idx="25">
                  <c:v>-0.48835516693426473</c:v>
                </c:pt>
                <c:pt idx="26">
                  <c:v>-0.46004360232359676</c:v>
                </c:pt>
                <c:pt idx="27">
                  <c:v>0.65656559235211565</c:v>
                </c:pt>
                <c:pt idx="28">
                  <c:v>0.83457354160380004</c:v>
                </c:pt>
                <c:pt idx="29">
                  <c:v>6.6907643211475785</c:v>
                </c:pt>
                <c:pt idx="30">
                  <c:v>6.5743966419183604</c:v>
                </c:pt>
                <c:pt idx="31">
                  <c:v>6.5695582908020516</c:v>
                </c:pt>
                <c:pt idx="32">
                  <c:v>6.8487478645179056</c:v>
                </c:pt>
                <c:pt idx="33">
                  <c:v>6.5554225256861871</c:v>
                </c:pt>
                <c:pt idx="34">
                  <c:v>6.0691780821917884</c:v>
                </c:pt>
                <c:pt idx="35">
                  <c:v>6.7782485893366182</c:v>
                </c:pt>
                <c:pt idx="36">
                  <c:v>6.9299575737301105</c:v>
                </c:pt>
                <c:pt idx="37">
                  <c:v>10.610990094731683</c:v>
                </c:pt>
                <c:pt idx="38">
                  <c:v>9.6909346444927991</c:v>
                </c:pt>
                <c:pt idx="39">
                  <c:v>10.26732989676397</c:v>
                </c:pt>
                <c:pt idx="40">
                  <c:v>10.895937352084688</c:v>
                </c:pt>
                <c:pt idx="41">
                  <c:v>5.4234129861022264</c:v>
                </c:pt>
                <c:pt idx="42">
                  <c:v>5.7879621633562879</c:v>
                </c:pt>
                <c:pt idx="43">
                  <c:v>6.3311129976066294</c:v>
                </c:pt>
                <c:pt idx="44">
                  <c:v>6.7165403457560959</c:v>
                </c:pt>
                <c:pt idx="45">
                  <c:v>7.641791290366549</c:v>
                </c:pt>
                <c:pt idx="46">
                  <c:v>8.4129404022727599</c:v>
                </c:pt>
                <c:pt idx="47">
                  <c:v>8.5540802340946858</c:v>
                </c:pt>
                <c:pt idx="48">
                  <c:v>8.537359830463279</c:v>
                </c:pt>
                <c:pt idx="49">
                  <c:v>7.3542506609432765</c:v>
                </c:pt>
                <c:pt idx="50">
                  <c:v>8.1221782554393709</c:v>
                </c:pt>
                <c:pt idx="51">
                  <c:v>8.0579931280216588</c:v>
                </c:pt>
                <c:pt idx="52">
                  <c:v>8.0074345396605722</c:v>
                </c:pt>
                <c:pt idx="53">
                  <c:v>7.8367070380073418</c:v>
                </c:pt>
              </c:numCache>
            </c:numRef>
          </c:val>
        </c:ser>
        <c:marker val="1"/>
        <c:axId val="101730176"/>
        <c:axId val="101731712"/>
      </c:lineChart>
      <c:dateAx>
        <c:axId val="101730176"/>
        <c:scaling>
          <c:orientation val="minMax"/>
        </c:scaling>
        <c:axPos val="b"/>
        <c:numFmt formatCode="d/m/yyyy" sourceLinked="1"/>
        <c:tickLblPos val="low"/>
        <c:crossAx val="101731712"/>
        <c:crosses val="autoZero"/>
        <c:auto val="1"/>
        <c:lblOffset val="100"/>
      </c:dateAx>
      <c:valAx>
        <c:axId val="101731712"/>
        <c:scaling>
          <c:orientation val="minMax"/>
        </c:scaling>
        <c:axPos val="l"/>
        <c:majorGridlines/>
        <c:numFmt formatCode="General" sourceLinked="1"/>
        <c:tickLblPos val="nextTo"/>
        <c:crossAx val="101730176"/>
        <c:crosses val="autoZero"/>
        <c:crossBetween val="between"/>
      </c:valAx>
      <c:spPr>
        <a:ln>
          <a:solidFill>
            <a:sysClr val="windowText" lastClr="000000"/>
          </a:solidFill>
        </a:ln>
      </c:spPr>
    </c:plotArea>
    <c:legend>
      <c:legendPos val="r"/>
      <c:layout>
        <c:manualLayout>
          <c:xMode val="edge"/>
          <c:yMode val="edge"/>
          <c:x val="4.577085444106721E-2"/>
          <c:y val="0.88026258020938586"/>
          <c:w val="0.93814505234718593"/>
          <c:h val="0.11159011595181829"/>
        </c:manualLayout>
      </c:layout>
      <c:overlay val="1"/>
      <c:spPr>
        <a:ln>
          <a:solidFill>
            <a:schemeClr val="tx1"/>
          </a:solidFill>
        </a:ln>
      </c:spPr>
    </c:legend>
    <c:plotVisOnly val="1"/>
    <c:dispBlanksAs val="gap"/>
  </c:chart>
  <c:txPr>
    <a:bodyPr/>
    <a:lstStyle/>
    <a:p>
      <a:pPr>
        <a:defRPr sz="800" baseline="0">
          <a:latin typeface="Arial" pitchFamily="34" charset="0"/>
        </a:defRPr>
      </a:pPr>
      <a:endParaRPr lang="cs-CZ"/>
    </a:p>
  </c:tx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DF674-CCB7-4B88-BC9A-C1BD36F6180E}">
  <ds:schemaRefs>
    <ds:schemaRef ds:uri="http://schemas.openxmlformats.org/officeDocument/2006/bibliography"/>
  </ds:schemaRefs>
</ds:datastoreItem>
</file>

<file path=customXml/itemProps2.xml><?xml version="1.0" encoding="utf-8"?>
<ds:datastoreItem xmlns:ds="http://schemas.openxmlformats.org/officeDocument/2006/customXml" ds:itemID="{2B63E1AD-3B5B-473A-A279-FFCDECF2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2</TotalTime>
  <Pages>3</Pages>
  <Words>840</Words>
  <Characters>4962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5791</CharactersWithSpaces>
  <SharedDoc>false</SharedDoc>
  <HLinks>
    <vt:vector size="66" baseType="variant">
      <vt:variant>
        <vt:i4>1376311</vt:i4>
      </vt:variant>
      <vt:variant>
        <vt:i4>50</vt:i4>
      </vt:variant>
      <vt:variant>
        <vt:i4>0</vt:i4>
      </vt:variant>
      <vt:variant>
        <vt:i4>5</vt:i4>
      </vt:variant>
      <vt:variant>
        <vt:lpwstr/>
      </vt:variant>
      <vt:variant>
        <vt:lpwstr>_Toc469327805</vt:lpwstr>
      </vt:variant>
      <vt:variant>
        <vt:i4>1376311</vt:i4>
      </vt:variant>
      <vt:variant>
        <vt:i4>44</vt:i4>
      </vt:variant>
      <vt:variant>
        <vt:i4>0</vt:i4>
      </vt:variant>
      <vt:variant>
        <vt:i4>5</vt:i4>
      </vt:variant>
      <vt:variant>
        <vt:lpwstr/>
      </vt:variant>
      <vt:variant>
        <vt:lpwstr>_Toc469327804</vt:lpwstr>
      </vt:variant>
      <vt:variant>
        <vt:i4>1376311</vt:i4>
      </vt:variant>
      <vt:variant>
        <vt:i4>38</vt:i4>
      </vt:variant>
      <vt:variant>
        <vt:i4>0</vt:i4>
      </vt:variant>
      <vt:variant>
        <vt:i4>5</vt:i4>
      </vt:variant>
      <vt:variant>
        <vt:lpwstr/>
      </vt:variant>
      <vt:variant>
        <vt:lpwstr>_Toc469327803</vt:lpwstr>
      </vt:variant>
      <vt:variant>
        <vt:i4>1376311</vt:i4>
      </vt:variant>
      <vt:variant>
        <vt:i4>32</vt:i4>
      </vt:variant>
      <vt:variant>
        <vt:i4>0</vt:i4>
      </vt:variant>
      <vt:variant>
        <vt:i4>5</vt:i4>
      </vt:variant>
      <vt:variant>
        <vt:lpwstr/>
      </vt:variant>
      <vt:variant>
        <vt:lpwstr>_Toc469327802</vt:lpwstr>
      </vt:variant>
      <vt:variant>
        <vt:i4>1376311</vt:i4>
      </vt:variant>
      <vt:variant>
        <vt:i4>26</vt:i4>
      </vt:variant>
      <vt:variant>
        <vt:i4>0</vt:i4>
      </vt:variant>
      <vt:variant>
        <vt:i4>5</vt:i4>
      </vt:variant>
      <vt:variant>
        <vt:lpwstr/>
      </vt:variant>
      <vt:variant>
        <vt:lpwstr>_Toc469327801</vt:lpwstr>
      </vt:variant>
      <vt:variant>
        <vt:i4>1376311</vt:i4>
      </vt:variant>
      <vt:variant>
        <vt:i4>20</vt:i4>
      </vt:variant>
      <vt:variant>
        <vt:i4>0</vt:i4>
      </vt:variant>
      <vt:variant>
        <vt:i4>5</vt:i4>
      </vt:variant>
      <vt:variant>
        <vt:lpwstr/>
      </vt:variant>
      <vt:variant>
        <vt:lpwstr>_Toc469327800</vt:lpwstr>
      </vt:variant>
      <vt:variant>
        <vt:i4>1835064</vt:i4>
      </vt:variant>
      <vt:variant>
        <vt:i4>14</vt:i4>
      </vt:variant>
      <vt:variant>
        <vt:i4>0</vt:i4>
      </vt:variant>
      <vt:variant>
        <vt:i4>5</vt:i4>
      </vt:variant>
      <vt:variant>
        <vt:lpwstr/>
      </vt:variant>
      <vt:variant>
        <vt:lpwstr>_Toc469327799</vt:lpwstr>
      </vt:variant>
      <vt:variant>
        <vt:i4>1835064</vt:i4>
      </vt:variant>
      <vt:variant>
        <vt:i4>8</vt:i4>
      </vt:variant>
      <vt:variant>
        <vt:i4>0</vt:i4>
      </vt:variant>
      <vt:variant>
        <vt:i4>5</vt:i4>
      </vt:variant>
      <vt:variant>
        <vt:lpwstr/>
      </vt:variant>
      <vt:variant>
        <vt:lpwstr>_Toc469327798</vt:lpwstr>
      </vt:variant>
      <vt:variant>
        <vt:i4>1835064</vt:i4>
      </vt:variant>
      <vt:variant>
        <vt:i4>2</vt:i4>
      </vt:variant>
      <vt:variant>
        <vt:i4>0</vt:i4>
      </vt:variant>
      <vt:variant>
        <vt:i4>5</vt:i4>
      </vt:variant>
      <vt:variant>
        <vt:lpwstr/>
      </vt:variant>
      <vt:variant>
        <vt:lpwstr>_Toc469327797</vt:lpwstr>
      </vt:variant>
      <vt:variant>
        <vt:i4>6553606</vt:i4>
      </vt:variant>
      <vt:variant>
        <vt:i4>3</vt:i4>
      </vt:variant>
      <vt:variant>
        <vt:i4>0</vt:i4>
      </vt:variant>
      <vt:variant>
        <vt:i4>5</vt:i4>
      </vt:variant>
      <vt:variant>
        <vt:lpwstr>mailto:jiri.kamenicky@czso.cz</vt:lpwstr>
      </vt:variant>
      <vt:variant>
        <vt:lpwstr/>
      </vt:variant>
      <vt:variant>
        <vt:i4>6553606</vt:i4>
      </vt:variant>
      <vt:variant>
        <vt:i4>0</vt:i4>
      </vt:variant>
      <vt:variant>
        <vt:i4>0</vt:i4>
      </vt:variant>
      <vt:variant>
        <vt:i4>5</vt:i4>
      </vt:variant>
      <vt:variant>
        <vt:lpwstr>mailto:jiri.kamenicky@czso.cz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3</cp:revision>
  <cp:lastPrinted>2017-10-18T06:36:00Z</cp:lastPrinted>
  <dcterms:created xsi:type="dcterms:W3CDTF">2017-10-23T14:30:00Z</dcterms:created>
  <dcterms:modified xsi:type="dcterms:W3CDTF">2017-10-23T14:32:00Z</dcterms:modified>
</cp:coreProperties>
</file>