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D1" w:rsidRPr="004C70A3" w:rsidRDefault="009A696E" w:rsidP="009D2275">
      <w:pPr>
        <w:pStyle w:val="Nadpis1"/>
        <w:numPr>
          <w:ilvl w:val="0"/>
          <w:numId w:val="24"/>
        </w:numPr>
        <w:rPr>
          <w:lang w:val="en-GB"/>
        </w:rPr>
      </w:pPr>
      <w:bookmarkStart w:id="0" w:name="_Toc454185153"/>
      <w:bookmarkStart w:id="1" w:name="_Toc493683638"/>
      <w:r w:rsidRPr="004C70A3">
        <w:rPr>
          <w:lang w:val="en-GB"/>
        </w:rPr>
        <w:t>Labour Market</w:t>
      </w:r>
      <w:bookmarkEnd w:id="0"/>
      <w:bookmarkEnd w:id="1"/>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9A696E" w:rsidRDefault="009A696E" w:rsidP="009A696E">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t xml:space="preserve">Rate of growth of the total employment did not ease up markedly. The highest number of people held a job in Q2 in the history of the independent CR. </w:t>
            </w: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9A696E" w:rsidRDefault="009A696E" w:rsidP="009A696E">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t xml:space="preserve">Swift growth of employment was apparent also in the EU this year, as well as in all the states neighbouring with the CR. </w:t>
            </w:r>
          </w:p>
          <w:p w:rsidR="0036710C" w:rsidRPr="003804E1" w:rsidRDefault="0036710C" w:rsidP="00853C0F">
            <w:pPr>
              <w:spacing w:line="240" w:lineRule="auto"/>
              <w:rPr>
                <w:rFonts w:cs="Arial"/>
                <w:bCs/>
                <w:iCs/>
                <w:color w:val="0D0D0D" w:themeColor="text1" w:themeTint="F2"/>
                <w:spacing w:val="-2"/>
                <w:sz w:val="16"/>
                <w:szCs w:val="16"/>
              </w:rPr>
            </w:pPr>
          </w:p>
          <w:p w:rsidR="0036710C" w:rsidRPr="000C7A77" w:rsidRDefault="0036710C" w:rsidP="00853C0F">
            <w:pPr>
              <w:spacing w:line="240" w:lineRule="auto"/>
              <w:rPr>
                <w:rFonts w:cs="Arial"/>
                <w:color w:val="0D0D0D" w:themeColor="text1" w:themeTint="F2"/>
                <w:spacing w:val="-4"/>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9D2275" w:rsidRDefault="009A696E" w:rsidP="009A696E">
            <w:pPr>
              <w:pStyle w:val="Textpoznpodarou"/>
              <w:jc w:val="both"/>
              <w:rPr>
                <w:rFonts w:cs="Arial"/>
                <w:color w:val="0D0D0D" w:themeColor="text1" w:themeTint="F2"/>
                <w:lang w:val="en-GB"/>
              </w:rPr>
            </w:pPr>
            <w:r w:rsidRPr="009D2275">
              <w:rPr>
                <w:rFonts w:cs="Arial"/>
                <w:color w:val="0D0D0D" w:themeColor="text1" w:themeTint="F2"/>
                <w:lang w:val="en-GB"/>
              </w:rPr>
              <w:t>More than four years lasting economic growth spilled over fully also into the labour market. Rate of growth of the total employment</w:t>
            </w:r>
            <w:r w:rsidRPr="009D2275">
              <w:rPr>
                <w:rStyle w:val="Znakapoznpodarou"/>
                <w:color w:val="0D0D0D" w:themeColor="text1" w:themeTint="F2"/>
                <w:lang w:val="en-GB"/>
              </w:rPr>
              <w:footnoteReference w:id="1"/>
            </w:r>
            <w:r w:rsidRPr="009D2275">
              <w:rPr>
                <w:rFonts w:cs="Arial"/>
                <w:color w:val="0D0D0D" w:themeColor="text1" w:themeTint="F2"/>
                <w:lang w:val="en-GB"/>
              </w:rPr>
              <w:t xml:space="preserve"> </w:t>
            </w:r>
            <w:r w:rsidR="001A5F8C" w:rsidRPr="009D2275">
              <w:rPr>
                <w:rFonts w:cs="Arial"/>
                <w:color w:val="0D0D0D" w:themeColor="text1" w:themeTint="F2"/>
                <w:lang w:val="en-GB"/>
              </w:rPr>
              <w:t xml:space="preserve">did not ease </w:t>
            </w:r>
            <w:proofErr w:type="gramStart"/>
            <w:r w:rsidR="001A5F8C" w:rsidRPr="009D2275">
              <w:rPr>
                <w:rFonts w:cs="Arial"/>
                <w:color w:val="0D0D0D" w:themeColor="text1" w:themeTint="F2"/>
                <w:lang w:val="en-GB"/>
              </w:rPr>
              <w:t>up</w:t>
            </w:r>
            <w:r w:rsidRPr="009D2275">
              <w:rPr>
                <w:rFonts w:cs="Arial"/>
                <w:color w:val="0D0D0D" w:themeColor="text1" w:themeTint="F2"/>
                <w:lang w:val="en-GB"/>
              </w:rPr>
              <w:t>,</w:t>
            </w:r>
            <w:proofErr w:type="gramEnd"/>
            <w:r w:rsidRPr="009D2275">
              <w:rPr>
                <w:rFonts w:cs="Arial"/>
                <w:color w:val="0D0D0D" w:themeColor="text1" w:themeTint="F2"/>
                <w:lang w:val="en-GB"/>
              </w:rPr>
              <w:t xml:space="preserve"> it increased by 1.4</w:t>
            </w:r>
            <w:r w:rsidR="00954C8E" w:rsidRPr="009D2275">
              <w:rPr>
                <w:rFonts w:cs="Arial"/>
                <w:color w:val="0D0D0D" w:themeColor="text1" w:themeTint="F2"/>
                <w:lang w:val="en-GB"/>
              </w:rPr>
              <w:t>%</w:t>
            </w:r>
            <w:r w:rsidRPr="009D2275">
              <w:rPr>
                <w:rFonts w:cs="Arial"/>
                <w:color w:val="0D0D0D" w:themeColor="text1" w:themeTint="F2"/>
                <w:lang w:val="en-GB"/>
              </w:rPr>
              <w:t xml:space="preserve"> year-on-year in H1 (by similar pace as for the whole year 2015 as well as 2016). The number of workers expanded by 0.4</w:t>
            </w:r>
            <w:r w:rsidR="00954C8E" w:rsidRPr="009D2275">
              <w:rPr>
                <w:rFonts w:cs="Arial"/>
                <w:color w:val="0D0D0D" w:themeColor="text1" w:themeTint="F2"/>
                <w:lang w:val="en-GB"/>
              </w:rPr>
              <w:t>%</w:t>
            </w:r>
            <w:r w:rsidRPr="009D2275">
              <w:rPr>
                <w:rFonts w:cs="Arial"/>
                <w:color w:val="0D0D0D" w:themeColor="text1" w:themeTint="F2"/>
                <w:lang w:val="en-GB"/>
              </w:rPr>
              <w:t xml:space="preserve"> q</w:t>
            </w:r>
            <w:r w:rsidR="00F91E9E" w:rsidRPr="009D2275">
              <w:rPr>
                <w:rFonts w:cs="Arial"/>
                <w:color w:val="0D0D0D" w:themeColor="text1" w:themeTint="F2"/>
                <w:lang w:val="en-GB"/>
              </w:rPr>
              <w:t>uarter-on-quarter in Q2 2017. 5.</w:t>
            </w:r>
            <w:r w:rsidRPr="009D2275">
              <w:rPr>
                <w:rFonts w:cs="Arial"/>
                <w:color w:val="0D0D0D" w:themeColor="text1" w:themeTint="F2"/>
                <w:lang w:val="en-GB"/>
              </w:rPr>
              <w:t xml:space="preserve">32 </w:t>
            </w:r>
            <w:r w:rsidR="00F91E9E" w:rsidRPr="009D2275">
              <w:rPr>
                <w:rFonts w:cs="Arial"/>
                <w:color w:val="0D0D0D" w:themeColor="text1" w:themeTint="F2"/>
                <w:lang w:val="en-GB"/>
              </w:rPr>
              <w:t xml:space="preserve">million </w:t>
            </w:r>
            <w:proofErr w:type="gramStart"/>
            <w:r w:rsidRPr="009D2275">
              <w:rPr>
                <w:rFonts w:cs="Arial"/>
                <w:color w:val="0D0D0D" w:themeColor="text1" w:themeTint="F2"/>
                <w:lang w:val="en-GB"/>
              </w:rPr>
              <w:t>people</w:t>
            </w:r>
            <w:proofErr w:type="gramEnd"/>
            <w:r w:rsidRPr="009D2275">
              <w:rPr>
                <w:rFonts w:cs="Arial"/>
                <w:color w:val="0D0D0D" w:themeColor="text1" w:themeTint="F2"/>
                <w:lang w:val="en-GB"/>
              </w:rPr>
              <w:t xml:space="preserve"> thus held a job, the most in the history of the independent CR. </w:t>
            </w:r>
          </w:p>
          <w:p w:rsidR="009D2275" w:rsidRDefault="009D2275" w:rsidP="009A696E">
            <w:pPr>
              <w:pStyle w:val="Textpoznpodarou"/>
              <w:jc w:val="both"/>
              <w:rPr>
                <w:rFonts w:cs="Arial"/>
                <w:color w:val="0D0D0D" w:themeColor="text1" w:themeTint="F2"/>
                <w:lang w:val="en-GB"/>
              </w:rPr>
            </w:pPr>
          </w:p>
          <w:p w:rsidR="009A696E" w:rsidRPr="009D2275" w:rsidRDefault="009A696E" w:rsidP="009A696E">
            <w:pPr>
              <w:pStyle w:val="Textpoznpodarou"/>
              <w:jc w:val="both"/>
              <w:rPr>
                <w:rFonts w:cs="Arial"/>
                <w:color w:val="0D0D0D" w:themeColor="text1" w:themeTint="F2"/>
                <w:lang w:val="en-GB"/>
              </w:rPr>
            </w:pPr>
            <w:r w:rsidRPr="009D2275">
              <w:rPr>
                <w:rFonts w:cs="Arial"/>
                <w:color w:val="0D0D0D" w:themeColor="text1" w:themeTint="F2"/>
                <w:lang w:val="en-GB"/>
              </w:rPr>
              <w:t>Nevertheless, the rate of growth of employment was not at all unique in the European context. The number of workers increased by 1.5</w:t>
            </w:r>
            <w:r w:rsidR="00954C8E" w:rsidRPr="009D2275">
              <w:rPr>
                <w:rFonts w:cs="Arial"/>
                <w:color w:val="0D0D0D" w:themeColor="text1" w:themeTint="F2"/>
                <w:lang w:val="en-GB"/>
              </w:rPr>
              <w:t>%</w:t>
            </w:r>
            <w:r w:rsidRPr="009D2275">
              <w:rPr>
                <w:rFonts w:cs="Arial"/>
                <w:color w:val="0D0D0D" w:themeColor="text1" w:themeTint="F2"/>
                <w:lang w:val="en-GB"/>
              </w:rPr>
              <w:t xml:space="preserve"> year-on-year in the EU in H1. All the other neighbouring states of the CR however also recorded </w:t>
            </w:r>
            <w:r w:rsidR="00B93341" w:rsidRPr="009D2275">
              <w:rPr>
                <w:rFonts w:cs="Arial"/>
                <w:color w:val="0D0D0D" w:themeColor="text1" w:themeTint="F2"/>
                <w:lang w:val="en-GB"/>
              </w:rPr>
              <w:t>slightly higher rates of growth</w:t>
            </w:r>
            <w:r w:rsidRPr="009D2275">
              <w:rPr>
                <w:rFonts w:cs="Arial"/>
                <w:color w:val="0D0D0D" w:themeColor="text1" w:themeTint="F2"/>
                <w:lang w:val="en-GB"/>
              </w:rPr>
              <w:t xml:space="preserve"> (Slovakia the most +2.2</w:t>
            </w:r>
            <w:r w:rsidR="00954C8E" w:rsidRPr="009D2275">
              <w:rPr>
                <w:rFonts w:cs="Arial"/>
                <w:color w:val="0D0D0D" w:themeColor="text1" w:themeTint="F2"/>
                <w:lang w:val="en-GB"/>
              </w:rPr>
              <w:t>%</w:t>
            </w:r>
            <w:r w:rsidRPr="009D2275">
              <w:rPr>
                <w:rFonts w:cs="Arial"/>
                <w:color w:val="0D0D0D" w:themeColor="text1" w:themeTint="F2"/>
                <w:lang w:val="en-GB"/>
              </w:rPr>
              <w:t xml:space="preserve">). The Czech Republic held a much more favourable position in the EU with respect to the high rate of employment. It was mostly thanks to males, whose employment rate reached the highest value among the Union states at the beginning of the year. </w:t>
            </w:r>
            <w:r w:rsidR="00A479BA" w:rsidRPr="009D2275">
              <w:rPr>
                <w:rFonts w:cs="Arial"/>
                <w:color w:val="0D0D0D" w:themeColor="text1" w:themeTint="F2"/>
                <w:lang w:val="en-GB"/>
              </w:rPr>
              <w:t xml:space="preserve">Total employment rate for all persons </w:t>
            </w:r>
            <w:r w:rsidRPr="009D2275">
              <w:rPr>
                <w:rFonts w:cs="Arial"/>
                <w:color w:val="0D0D0D" w:themeColor="text1" w:themeTint="F2"/>
                <w:lang w:val="en-GB"/>
              </w:rPr>
              <w:t>aged 15 –</w:t>
            </w:r>
            <w:r w:rsidR="00FA3AB1" w:rsidRPr="009D2275">
              <w:rPr>
                <w:rFonts w:cs="Arial"/>
                <w:color w:val="0D0D0D" w:themeColor="text1" w:themeTint="F2"/>
                <w:lang w:val="en-GB"/>
              </w:rPr>
              <w:t xml:space="preserve"> </w:t>
            </w:r>
            <w:r w:rsidRPr="009D2275">
              <w:rPr>
                <w:rFonts w:cs="Arial"/>
                <w:color w:val="0D0D0D" w:themeColor="text1" w:themeTint="F2"/>
                <w:lang w:val="en-GB"/>
              </w:rPr>
              <w:t xml:space="preserve">64 years </w:t>
            </w:r>
            <w:r w:rsidR="00A479BA" w:rsidRPr="009D2275">
              <w:rPr>
                <w:rFonts w:cs="Arial"/>
                <w:color w:val="0D0D0D" w:themeColor="text1" w:themeTint="F2"/>
                <w:lang w:val="en-GB"/>
              </w:rPr>
              <w:t xml:space="preserve">was 73.3% </w:t>
            </w:r>
            <w:r w:rsidRPr="009D2275">
              <w:rPr>
                <w:rFonts w:cs="Arial"/>
                <w:color w:val="0D0D0D" w:themeColor="text1" w:themeTint="F2"/>
                <w:lang w:val="en-GB"/>
              </w:rPr>
              <w:t xml:space="preserve">in Q2 </w:t>
            </w:r>
            <w:proofErr w:type="gramStart"/>
            <w:r w:rsidRPr="009D2275">
              <w:rPr>
                <w:rFonts w:cs="Arial"/>
                <w:color w:val="0D0D0D" w:themeColor="text1" w:themeTint="F2"/>
                <w:lang w:val="en-GB"/>
              </w:rPr>
              <w:t>2017,</w:t>
            </w:r>
            <w:proofErr w:type="gramEnd"/>
            <w:r w:rsidRPr="009D2275">
              <w:rPr>
                <w:rFonts w:cs="Arial"/>
                <w:color w:val="0D0D0D" w:themeColor="text1" w:themeTint="F2"/>
                <w:lang w:val="en-GB"/>
              </w:rPr>
              <w:t xml:space="preserve"> </w:t>
            </w:r>
            <w:r w:rsidR="00A479BA" w:rsidRPr="009D2275">
              <w:rPr>
                <w:rFonts w:cs="Arial"/>
                <w:color w:val="0D0D0D" w:themeColor="text1" w:themeTint="F2"/>
                <w:lang w:val="en-GB"/>
              </w:rPr>
              <w:t xml:space="preserve">it was </w:t>
            </w:r>
            <w:r w:rsidRPr="009D2275">
              <w:rPr>
                <w:rFonts w:cs="Arial"/>
                <w:color w:val="0D0D0D" w:themeColor="text1" w:themeTint="F2"/>
                <w:lang w:val="en-GB"/>
              </w:rPr>
              <w:t>by 1.6 p.p. more year-o</w:t>
            </w:r>
            <w:r w:rsidR="00FA3AB1" w:rsidRPr="009D2275">
              <w:rPr>
                <w:rFonts w:cs="Arial"/>
                <w:color w:val="0D0D0D" w:themeColor="text1" w:themeTint="F2"/>
                <w:lang w:val="en-GB"/>
              </w:rPr>
              <w:t>n</w:t>
            </w:r>
            <w:r w:rsidRPr="009D2275">
              <w:rPr>
                <w:rFonts w:cs="Arial"/>
                <w:color w:val="0D0D0D" w:themeColor="text1" w:themeTint="F2"/>
                <w:lang w:val="en-GB"/>
              </w:rPr>
              <w:t xml:space="preserve">-year – without larger difference between genders. However, in the longer term view the employment rate of females grew more dynamically than in case of males – partially due to the effect of a faster shift of the pension age boundary. </w:t>
            </w:r>
          </w:p>
          <w:p w:rsidR="0036710C" w:rsidRPr="009D2275" w:rsidRDefault="0036710C" w:rsidP="00853C0F">
            <w:pPr>
              <w:pStyle w:val="Textpoznpodarou"/>
              <w:jc w:val="both"/>
              <w:rPr>
                <w:rFonts w:cs="Arial"/>
                <w:color w:val="0D0D0D" w:themeColor="text1" w:themeTint="F2"/>
                <w:sz w:val="15"/>
                <w:szCs w:val="15"/>
              </w:rPr>
            </w:pPr>
          </w:p>
        </w:tc>
      </w:tr>
      <w:tr w:rsidR="0036710C" w:rsidRPr="0094422D" w:rsidTr="00853C0F">
        <w:trPr>
          <w:trHeight w:val="145"/>
        </w:trPr>
        <w:tc>
          <w:tcPr>
            <w:tcW w:w="1016" w:type="pct"/>
            <w:shd w:val="clear" w:color="auto" w:fill="auto"/>
          </w:tcPr>
          <w:p w:rsidR="0036710C" w:rsidRPr="000C7A77" w:rsidRDefault="0036710C" w:rsidP="00853C0F">
            <w:pPr>
              <w:spacing w:line="240" w:lineRule="auto"/>
              <w:rPr>
                <w:rFonts w:cs="Arial"/>
                <w:bCs/>
                <w:iCs/>
                <w:color w:val="0D0D0D" w:themeColor="text1" w:themeTint="F2"/>
                <w:spacing w:val="-2"/>
                <w:sz w:val="16"/>
                <w:szCs w:val="16"/>
              </w:rPr>
            </w:pPr>
            <w:r w:rsidRPr="000C7A77">
              <w:rPr>
                <w:rFonts w:cs="Arial"/>
                <w:bCs/>
                <w:iCs/>
                <w:color w:val="0D0D0D" w:themeColor="text1" w:themeTint="F2"/>
                <w:spacing w:val="-2"/>
                <w:sz w:val="16"/>
                <w:szCs w:val="16"/>
              </w:rPr>
              <w:t>T</w:t>
            </w:r>
            <w:r w:rsidR="001A5F8C">
              <w:rPr>
                <w:rFonts w:cs="Arial"/>
                <w:bCs/>
                <w:iCs/>
                <w:color w:val="0D0D0D" w:themeColor="text1" w:themeTint="F2"/>
                <w:spacing w:val="-2"/>
                <w:sz w:val="16"/>
                <w:szCs w:val="16"/>
                <w:lang w:val="en-GB"/>
              </w:rPr>
              <w:t>he core of the creation of new job positions gradually moved from manufacturing into the services sector</w:t>
            </w:r>
            <w:r>
              <w:rPr>
                <w:rFonts w:cs="Arial"/>
                <w:bCs/>
                <w:iCs/>
                <w:color w:val="0D0D0D" w:themeColor="text1" w:themeTint="F2"/>
                <w:spacing w:val="-2"/>
                <w:sz w:val="16"/>
                <w:szCs w:val="16"/>
              </w:rPr>
              <w:t>.</w:t>
            </w: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1A5F8C" w:rsidRDefault="001A5F8C" w:rsidP="00853C0F">
            <w:pPr>
              <w:spacing w:line="240" w:lineRule="auto"/>
              <w:rPr>
                <w:rFonts w:cs="Arial"/>
                <w:color w:val="0D0D0D" w:themeColor="text1" w:themeTint="F2"/>
                <w:spacing w:val="-2"/>
                <w:sz w:val="16"/>
                <w:szCs w:val="16"/>
                <w:lang w:val="en-GB"/>
              </w:rPr>
            </w:pPr>
          </w:p>
          <w:p w:rsidR="009D2275" w:rsidRDefault="009D2275" w:rsidP="00853C0F">
            <w:pPr>
              <w:spacing w:line="240" w:lineRule="auto"/>
              <w:rPr>
                <w:rFonts w:cs="Arial"/>
                <w:color w:val="0D0D0D" w:themeColor="text1" w:themeTint="F2"/>
                <w:spacing w:val="-2"/>
                <w:sz w:val="16"/>
                <w:szCs w:val="16"/>
                <w:lang w:val="en-GB"/>
              </w:rPr>
            </w:pPr>
          </w:p>
          <w:p w:rsidR="001A5F8C" w:rsidRDefault="001A5F8C" w:rsidP="00853C0F">
            <w:pPr>
              <w:spacing w:line="240" w:lineRule="auto"/>
              <w:rPr>
                <w:rFonts w:cs="Arial"/>
                <w:color w:val="0D0D0D" w:themeColor="text1" w:themeTint="F2"/>
                <w:spacing w:val="-2"/>
                <w:sz w:val="16"/>
                <w:szCs w:val="16"/>
                <w:lang w:val="en-GB"/>
              </w:rPr>
            </w:pPr>
          </w:p>
          <w:p w:rsidR="0036710C" w:rsidRPr="001C4DD3" w:rsidRDefault="001A5F8C" w:rsidP="00853C0F">
            <w:pPr>
              <w:spacing w:line="240" w:lineRule="auto"/>
              <w:rPr>
                <w:rFonts w:cs="Arial"/>
                <w:color w:val="0D0D0D" w:themeColor="text1" w:themeTint="F2"/>
                <w:spacing w:val="-2"/>
                <w:sz w:val="16"/>
                <w:szCs w:val="16"/>
              </w:rPr>
            </w:pPr>
            <w:r>
              <w:rPr>
                <w:rFonts w:cs="Arial"/>
                <w:color w:val="0D0D0D" w:themeColor="text1" w:themeTint="F2"/>
                <w:spacing w:val="-2"/>
                <w:sz w:val="16"/>
                <w:szCs w:val="16"/>
                <w:lang w:val="en-GB"/>
              </w:rPr>
              <w:t xml:space="preserve">The self-employed also contributed to higher year-on-year employment for the fifth quarter in a row.  </w:t>
            </w: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9D2275" w:rsidRPr="009D2275" w:rsidRDefault="0011458D" w:rsidP="00853C0F">
            <w:pPr>
              <w:pStyle w:val="Textpoznpodarou"/>
              <w:jc w:val="both"/>
              <w:rPr>
                <w:rFonts w:cs="Arial"/>
                <w:color w:val="000000" w:themeColor="text1"/>
                <w:lang w:val="en-GB"/>
              </w:rPr>
            </w:pPr>
            <w:r w:rsidRPr="009D2275">
              <w:rPr>
                <w:rFonts w:cs="Arial"/>
                <w:color w:val="000000" w:themeColor="text1"/>
                <w:lang w:val="en-GB"/>
              </w:rPr>
              <w:t xml:space="preserve">Not only employees, but also the self-employed, whose numbers were expanding already fifth quarter in a row, contributed to the year-on-year growth of the total employment. From the branches point of view the reality was such, that the core of the growth of employment was more and more located in services. This tendency has been apparent already in year 2016. The weakening growth rates of employment in manufacturing do not signal worsening economic outlook of this branch, but they rather give evidence about growing difficulties to find qualified employees. </w:t>
            </w:r>
          </w:p>
          <w:p w:rsidR="009D2275" w:rsidRPr="009D2275" w:rsidRDefault="009D2275" w:rsidP="00853C0F">
            <w:pPr>
              <w:pStyle w:val="Textpoznpodarou"/>
              <w:jc w:val="both"/>
              <w:rPr>
                <w:rFonts w:cs="Arial"/>
                <w:color w:val="000000" w:themeColor="text1"/>
                <w:lang w:val="en-GB"/>
              </w:rPr>
            </w:pPr>
          </w:p>
          <w:p w:rsidR="0036710C" w:rsidRPr="009D2275" w:rsidRDefault="0011458D" w:rsidP="00853C0F">
            <w:pPr>
              <w:pStyle w:val="Textpoznpodarou"/>
              <w:jc w:val="both"/>
              <w:rPr>
                <w:rFonts w:cs="Arial"/>
                <w:color w:val="000000" w:themeColor="text1"/>
              </w:rPr>
            </w:pPr>
            <w:r w:rsidRPr="009D2275">
              <w:rPr>
                <w:rFonts w:cs="Arial"/>
                <w:color w:val="000000" w:themeColor="text1"/>
                <w:lang w:val="en-GB"/>
              </w:rPr>
              <w:t>Mainly the professional, scientific, technical and administrative activities, where the employment growth quickened to 5.1</w:t>
            </w:r>
            <w:r w:rsidR="00954C8E" w:rsidRPr="009D2275">
              <w:rPr>
                <w:rFonts w:cs="Arial"/>
                <w:color w:val="000000" w:themeColor="text1"/>
                <w:lang w:val="en-GB"/>
              </w:rPr>
              <w:t>%</w:t>
            </w:r>
            <w:r w:rsidRPr="009D2275">
              <w:rPr>
                <w:rFonts w:cs="Arial"/>
                <w:color w:val="000000" w:themeColor="text1"/>
                <w:lang w:val="en-GB"/>
              </w:rPr>
              <w:t xml:space="preserve"> (from last year´s 3.2</w:t>
            </w:r>
            <w:r w:rsidR="00954C8E" w:rsidRPr="009D2275">
              <w:rPr>
                <w:rFonts w:cs="Arial"/>
                <w:color w:val="000000" w:themeColor="text1"/>
                <w:lang w:val="en-GB"/>
              </w:rPr>
              <w:t>%</w:t>
            </w:r>
            <w:r w:rsidRPr="009D2275">
              <w:rPr>
                <w:rFonts w:cs="Arial"/>
                <w:color w:val="000000" w:themeColor="text1"/>
                <w:lang w:val="en-GB"/>
              </w:rPr>
              <w:t>) in H1, created new job positions in the tertiary sector. The weight dominant services activity – trade, transportation, accommodation and restaurants, which employed by 1.9</w:t>
            </w:r>
            <w:r w:rsidR="00954C8E" w:rsidRPr="009D2275">
              <w:rPr>
                <w:rFonts w:cs="Arial"/>
                <w:color w:val="000000" w:themeColor="text1"/>
                <w:lang w:val="en-GB"/>
              </w:rPr>
              <w:t>%</w:t>
            </w:r>
            <w:r w:rsidRPr="009D2275">
              <w:rPr>
                <w:rFonts w:cs="Arial"/>
                <w:color w:val="000000" w:themeColor="text1"/>
                <w:lang w:val="en-GB"/>
              </w:rPr>
              <w:t xml:space="preserve"> persons more, contributed to a similar extent to the higher employment in the whole economy. The long-term demand for workers persisted in information and communication, whose numbers increased by nearly 15</w:t>
            </w:r>
            <w:r w:rsidR="00954C8E" w:rsidRPr="009D2275">
              <w:rPr>
                <w:rFonts w:cs="Arial"/>
                <w:color w:val="000000" w:themeColor="text1"/>
                <w:lang w:val="en-GB"/>
              </w:rPr>
              <w:t>%</w:t>
            </w:r>
            <w:r w:rsidRPr="009D2275">
              <w:rPr>
                <w:rFonts w:cs="Arial"/>
                <w:color w:val="000000" w:themeColor="text1"/>
                <w:lang w:val="en-GB"/>
              </w:rPr>
              <w:t xml:space="preserve"> in the last five years. On the contrary, the employment did not change markedly in </w:t>
            </w:r>
            <w:r w:rsidR="00FA3AB1" w:rsidRPr="009D2275">
              <w:rPr>
                <w:rFonts w:cs="Arial"/>
                <w:color w:val="000000" w:themeColor="text1"/>
                <w:lang w:val="en-GB"/>
              </w:rPr>
              <w:t>financial and insurance activities</w:t>
            </w:r>
            <w:r w:rsidRPr="009D2275">
              <w:rPr>
                <w:rFonts w:cs="Arial"/>
                <w:color w:val="000000" w:themeColor="text1"/>
                <w:lang w:val="en-GB"/>
              </w:rPr>
              <w:t xml:space="preserve"> for the same time period and it even fell by 1.3</w:t>
            </w:r>
            <w:r w:rsidR="00954C8E" w:rsidRPr="009D2275">
              <w:rPr>
                <w:rFonts w:cs="Arial"/>
                <w:color w:val="000000" w:themeColor="text1"/>
                <w:lang w:val="en-GB"/>
              </w:rPr>
              <w:t>%</w:t>
            </w:r>
            <w:r w:rsidRPr="009D2275">
              <w:rPr>
                <w:rFonts w:cs="Arial"/>
                <w:color w:val="000000" w:themeColor="text1"/>
                <w:lang w:val="en-GB"/>
              </w:rPr>
              <w:t xml:space="preserve"> compared to the first half of year 2016 (mainly due to the effect of the reduction in self-employed).</w:t>
            </w:r>
            <w:r w:rsidR="0036710C" w:rsidRPr="009D2275">
              <w:rPr>
                <w:rFonts w:cs="Arial"/>
                <w:color w:val="000000" w:themeColor="text1"/>
              </w:rPr>
              <w:t xml:space="preserve"> </w:t>
            </w:r>
          </w:p>
        </w:tc>
      </w:tr>
    </w:tbl>
    <w:p w:rsidR="0036710C" w:rsidRDefault="0036710C"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Default="009D2275" w:rsidP="0036710C">
      <w:pPr>
        <w:rPr>
          <w:sz w:val="15"/>
          <w:szCs w:val="15"/>
          <w:lang w:eastAsia="ar-SA"/>
        </w:rPr>
      </w:pPr>
    </w:p>
    <w:p w:rsidR="009D2275" w:rsidRPr="0036710C" w:rsidRDefault="009D2275" w:rsidP="0036710C">
      <w:pPr>
        <w:rPr>
          <w:sz w:val="15"/>
          <w:szCs w:val="15"/>
          <w:lang w:eastAsia="ar-SA"/>
        </w:rPr>
      </w:pPr>
    </w:p>
    <w:tbl>
      <w:tblPr>
        <w:tblW w:w="4977" w:type="pct"/>
        <w:tblInd w:w="80" w:type="dxa"/>
        <w:tblLayout w:type="fixed"/>
        <w:tblLook w:val="00A0"/>
      </w:tblPr>
      <w:tblGrid>
        <w:gridCol w:w="27"/>
        <w:gridCol w:w="1997"/>
        <w:gridCol w:w="20"/>
        <w:gridCol w:w="265"/>
        <w:gridCol w:w="10"/>
        <w:gridCol w:w="1108"/>
        <w:gridCol w:w="6266"/>
        <w:gridCol w:w="116"/>
      </w:tblGrid>
      <w:tr w:rsidR="0036710C" w:rsidRPr="00AA4A76" w:rsidTr="00853C0F">
        <w:trPr>
          <w:gridBefore w:val="1"/>
          <w:wBefore w:w="14" w:type="pct"/>
          <w:trHeight w:val="145"/>
        </w:trPr>
        <w:tc>
          <w:tcPr>
            <w:tcW w:w="1018" w:type="pct"/>
            <w:shd w:val="clear" w:color="auto" w:fill="auto"/>
          </w:tcPr>
          <w:p w:rsidR="0036710C" w:rsidRPr="00AA4A76" w:rsidRDefault="0036710C" w:rsidP="00853C0F">
            <w:pPr>
              <w:spacing w:line="240" w:lineRule="auto"/>
              <w:jc w:val="center"/>
              <w:rPr>
                <w:color w:val="000000"/>
                <w:szCs w:val="20"/>
              </w:rPr>
            </w:pPr>
          </w:p>
        </w:tc>
        <w:tc>
          <w:tcPr>
            <w:tcW w:w="145" w:type="pct"/>
            <w:gridSpan w:val="2"/>
          </w:tcPr>
          <w:p w:rsidR="0036710C" w:rsidRPr="00AA4A76" w:rsidRDefault="0036710C" w:rsidP="00853C0F">
            <w:pPr>
              <w:pStyle w:val="Textpoznpodarou"/>
              <w:jc w:val="both"/>
              <w:rPr>
                <w:highlight w:val="yellow"/>
              </w:rPr>
            </w:pPr>
          </w:p>
        </w:tc>
        <w:tc>
          <w:tcPr>
            <w:tcW w:w="570" w:type="pct"/>
            <w:gridSpan w:val="2"/>
          </w:tcPr>
          <w:p w:rsidR="0036710C" w:rsidRPr="00AA4A76" w:rsidRDefault="00EC3608" w:rsidP="00853C0F">
            <w:pPr>
              <w:pStyle w:val="Textpoznpodarou"/>
              <w:jc w:val="both"/>
              <w:rPr>
                <w:highlight w:val="yellow"/>
              </w:rPr>
            </w:pPr>
            <w:r>
              <w:rPr>
                <w:color w:val="000000"/>
              </w:rPr>
              <w:t xml:space="preserve">Chart </w:t>
            </w:r>
            <w:r w:rsidR="0036710C">
              <w:rPr>
                <w:color w:val="000000"/>
              </w:rPr>
              <w:t>15</w:t>
            </w:r>
          </w:p>
        </w:tc>
        <w:tc>
          <w:tcPr>
            <w:tcW w:w="3253" w:type="pct"/>
            <w:gridSpan w:val="2"/>
          </w:tcPr>
          <w:p w:rsidR="0036710C" w:rsidRPr="000117D0" w:rsidRDefault="0075258D" w:rsidP="00853C0F">
            <w:pPr>
              <w:pStyle w:val="Textpoznpodarou"/>
              <w:rPr>
                <w:b/>
                <w:lang w:eastAsia="en-US"/>
              </w:rPr>
            </w:pPr>
            <w:r w:rsidRPr="00AC7965">
              <w:rPr>
                <w:b/>
                <w:lang w:val="en-GB" w:eastAsia="en-US"/>
              </w:rPr>
              <w:t xml:space="preserve">Number of </w:t>
            </w:r>
            <w:r w:rsidR="00A479BA">
              <w:rPr>
                <w:b/>
                <w:lang w:val="en-GB" w:eastAsia="en-US"/>
              </w:rPr>
              <w:t>workers</w:t>
            </w:r>
            <w:r>
              <w:rPr>
                <w:b/>
                <w:lang w:val="en-GB" w:eastAsia="en-US"/>
              </w:rPr>
              <w:t xml:space="preserve"> in selected branches and total employ</w:t>
            </w:r>
            <w:r w:rsidR="00A479BA">
              <w:rPr>
                <w:b/>
                <w:lang w:val="en-GB" w:eastAsia="en-US"/>
              </w:rPr>
              <w:t>ment</w:t>
            </w:r>
            <w:r>
              <w:rPr>
                <w:b/>
                <w:lang w:val="en-GB" w:eastAsia="en-US"/>
              </w:rPr>
              <w:t xml:space="preserve"> </w:t>
            </w:r>
            <w:r w:rsidR="0036710C">
              <w:rPr>
                <w:spacing w:val="-4"/>
                <w:lang w:eastAsia="en-US"/>
              </w:rPr>
              <w:t>(</w:t>
            </w:r>
            <w:r w:rsidR="00EC3608" w:rsidRPr="004E4A7B">
              <w:rPr>
                <w:spacing w:val="-4"/>
                <w:lang w:val="en-GB" w:eastAsia="en-US"/>
              </w:rPr>
              <w:t xml:space="preserve">based on national accounts, seasonally adjusted, year-on-year </w:t>
            </w:r>
            <w:r w:rsidR="00954C8E">
              <w:rPr>
                <w:spacing w:val="-4"/>
                <w:lang w:val="en-GB" w:eastAsia="en-US"/>
              </w:rPr>
              <w:t>in %</w:t>
            </w:r>
            <w:r w:rsidR="0036710C" w:rsidRPr="004E4A7B">
              <w:rPr>
                <w:bCs/>
                <w:spacing w:val="-2"/>
                <w:lang w:val="en-GB"/>
              </w:rPr>
              <w:t>)</w:t>
            </w:r>
          </w:p>
        </w:tc>
      </w:tr>
      <w:tr w:rsidR="0036710C" w:rsidRPr="00AA4A76" w:rsidTr="00853C0F">
        <w:trPr>
          <w:gridBefore w:val="1"/>
          <w:wBefore w:w="14" w:type="pct"/>
          <w:trHeight w:val="145"/>
        </w:trPr>
        <w:tc>
          <w:tcPr>
            <w:tcW w:w="1018" w:type="pct"/>
            <w:shd w:val="clear" w:color="auto" w:fill="auto"/>
          </w:tcPr>
          <w:p w:rsidR="0036710C" w:rsidRPr="006D3F53" w:rsidRDefault="0036710C" w:rsidP="00853C0F">
            <w:pPr>
              <w:spacing w:line="240" w:lineRule="auto"/>
              <w:rPr>
                <w:color w:val="000000"/>
                <w:sz w:val="16"/>
                <w:szCs w:val="16"/>
                <w:highlight w:val="yellow"/>
              </w:rPr>
            </w:pPr>
          </w:p>
        </w:tc>
        <w:tc>
          <w:tcPr>
            <w:tcW w:w="145" w:type="pct"/>
            <w:gridSpan w:val="2"/>
          </w:tcPr>
          <w:p w:rsidR="0036710C" w:rsidRPr="00A74192" w:rsidRDefault="0036710C" w:rsidP="00853C0F">
            <w:pPr>
              <w:pStyle w:val="Textpoznpodarou"/>
              <w:jc w:val="both"/>
            </w:pPr>
          </w:p>
        </w:tc>
        <w:tc>
          <w:tcPr>
            <w:tcW w:w="3823" w:type="pct"/>
            <w:gridSpan w:val="4"/>
          </w:tcPr>
          <w:p w:rsidR="0036710C" w:rsidRDefault="00A479BA" w:rsidP="00853C0F">
            <w:pPr>
              <w:pStyle w:val="Textpoznpodarou"/>
              <w:ind w:left="-124"/>
              <w:jc w:val="both"/>
              <w:rPr>
                <w:sz w:val="16"/>
                <w:szCs w:val="16"/>
              </w:rPr>
            </w:pPr>
            <w:r w:rsidRPr="00A479BA">
              <w:rPr>
                <w:noProof/>
                <w:sz w:val="16"/>
                <w:szCs w:val="16"/>
              </w:rPr>
              <w:drawing>
                <wp:inline distT="0" distB="0" distL="0" distR="0">
                  <wp:extent cx="4754880" cy="329184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0F8E" w:rsidRDefault="004C65FD" w:rsidP="004C65FD">
            <w:pPr>
              <w:pStyle w:val="Textpoznpodarou"/>
              <w:ind w:left="-124"/>
              <w:jc w:val="right"/>
              <w:rPr>
                <w:rFonts w:cs="Arial"/>
                <w:sz w:val="14"/>
                <w:szCs w:val="14"/>
              </w:rPr>
            </w:pPr>
            <w:proofErr w:type="spellStart"/>
            <w:r>
              <w:rPr>
                <w:rFonts w:cs="Arial"/>
                <w:sz w:val="14"/>
                <w:szCs w:val="14"/>
              </w:rPr>
              <w:t>Source</w:t>
            </w:r>
            <w:proofErr w:type="spellEnd"/>
            <w:r w:rsidR="0036710C" w:rsidRPr="00535F78">
              <w:rPr>
                <w:rFonts w:cs="Arial"/>
                <w:sz w:val="14"/>
                <w:szCs w:val="14"/>
              </w:rPr>
              <w:t xml:space="preserve">: </w:t>
            </w:r>
            <w:r>
              <w:rPr>
                <w:rFonts w:cs="Arial"/>
                <w:sz w:val="14"/>
                <w:szCs w:val="14"/>
              </w:rPr>
              <w:t>CZSO</w:t>
            </w:r>
          </w:p>
          <w:p w:rsidR="00486640" w:rsidRDefault="00486640">
            <w:pPr>
              <w:pStyle w:val="Textpoznpodarou"/>
              <w:ind w:left="-124"/>
              <w:jc w:val="right"/>
              <w:rPr>
                <w:sz w:val="14"/>
                <w:szCs w:val="14"/>
              </w:rPr>
            </w:pPr>
          </w:p>
        </w:tc>
      </w:tr>
      <w:tr w:rsidR="0036710C" w:rsidTr="00853C0F">
        <w:tblPrEx>
          <w:tblCellMar>
            <w:left w:w="28" w:type="dxa"/>
            <w:right w:w="28" w:type="dxa"/>
          </w:tblCellMar>
          <w:tblLook w:val="04A0"/>
        </w:tblPrEx>
        <w:trPr>
          <w:gridAfter w:val="1"/>
          <w:wAfter w:w="59" w:type="pct"/>
        </w:trPr>
        <w:tc>
          <w:tcPr>
            <w:tcW w:w="1042" w:type="pct"/>
            <w:gridSpan w:val="3"/>
          </w:tcPr>
          <w:p w:rsidR="0036710C" w:rsidRPr="00C418F0" w:rsidRDefault="00C418F0" w:rsidP="00853C0F">
            <w:pPr>
              <w:spacing w:line="240" w:lineRule="auto"/>
              <w:rPr>
                <w:rFonts w:cs="Arial"/>
                <w:bCs/>
                <w:iCs/>
                <w:color w:val="0D0D0D" w:themeColor="text1" w:themeTint="F2"/>
                <w:spacing w:val="-2"/>
                <w:sz w:val="16"/>
                <w:szCs w:val="16"/>
                <w:lang w:val="en-GB"/>
              </w:rPr>
            </w:pPr>
            <w:r w:rsidRPr="00C418F0">
              <w:rPr>
                <w:rFonts w:cs="Arial"/>
                <w:bCs/>
                <w:iCs/>
                <w:color w:val="0D0D0D" w:themeColor="text1" w:themeTint="F2"/>
                <w:spacing w:val="-2"/>
                <w:sz w:val="16"/>
                <w:szCs w:val="16"/>
                <w:lang w:val="en-GB"/>
              </w:rPr>
              <w:t xml:space="preserve">Higher numbers of self-employed contributed to the stabilisation of the total employment in construction. </w:t>
            </w:r>
            <w:r w:rsidR="0036710C" w:rsidRPr="00C418F0">
              <w:rPr>
                <w:rFonts w:cs="Arial"/>
                <w:bCs/>
                <w:iCs/>
                <w:color w:val="0D0D0D" w:themeColor="text1" w:themeTint="F2"/>
                <w:spacing w:val="-2"/>
                <w:sz w:val="16"/>
                <w:szCs w:val="16"/>
                <w:lang w:val="en-GB"/>
              </w:rPr>
              <w:t xml:space="preserve"> </w:t>
            </w:r>
          </w:p>
        </w:tc>
        <w:tc>
          <w:tcPr>
            <w:tcW w:w="140" w:type="pct"/>
            <w:gridSpan w:val="2"/>
          </w:tcPr>
          <w:p w:rsidR="0036710C" w:rsidRPr="00C418F0" w:rsidRDefault="0036710C" w:rsidP="00853C0F">
            <w:pPr>
              <w:pStyle w:val="Textpoznpodarou"/>
              <w:jc w:val="both"/>
              <w:rPr>
                <w:color w:val="0D0D0D" w:themeColor="text1" w:themeTint="F2"/>
                <w:lang w:val="en-GB"/>
              </w:rPr>
            </w:pPr>
          </w:p>
        </w:tc>
        <w:tc>
          <w:tcPr>
            <w:tcW w:w="3759" w:type="pct"/>
            <w:gridSpan w:val="2"/>
          </w:tcPr>
          <w:p w:rsidR="0036710C" w:rsidRPr="00C418F0" w:rsidRDefault="002846A5"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Employment in branches with the state dominance grew relatively moderately in H1</w:t>
            </w:r>
            <w:r w:rsidR="0036710C" w:rsidRPr="00C418F0">
              <w:rPr>
                <w:rStyle w:val="Znakapoznpodarou"/>
                <w:color w:val="0D0D0D" w:themeColor="text1" w:themeTint="F2"/>
                <w:spacing w:val="-4"/>
                <w:lang w:val="en-GB"/>
              </w:rPr>
              <w:footnoteReference w:id="2"/>
            </w:r>
            <w:r w:rsidR="0036710C" w:rsidRPr="00C418F0">
              <w:rPr>
                <w:rFonts w:cs="Arial"/>
                <w:color w:val="0D0D0D" w:themeColor="text1" w:themeTint="F2"/>
                <w:spacing w:val="-4"/>
                <w:lang w:val="en-GB"/>
              </w:rPr>
              <w:t xml:space="preserve"> (+0</w:t>
            </w:r>
            <w:r>
              <w:rPr>
                <w:rFonts w:cs="Arial"/>
                <w:color w:val="0D0D0D" w:themeColor="text1" w:themeTint="F2"/>
                <w:spacing w:val="-4"/>
                <w:lang w:val="en-GB"/>
              </w:rPr>
              <w:t>.</w:t>
            </w:r>
            <w:r w:rsidR="0036710C" w:rsidRPr="00C418F0">
              <w:rPr>
                <w:rFonts w:cs="Arial"/>
                <w:color w:val="0D0D0D" w:themeColor="text1" w:themeTint="F2"/>
                <w:spacing w:val="-4"/>
                <w:lang w:val="en-GB"/>
              </w:rPr>
              <w:t>8</w:t>
            </w:r>
            <w:r w:rsidR="00954C8E">
              <w:rPr>
                <w:rFonts w:cs="Arial"/>
                <w:color w:val="0D0D0D" w:themeColor="text1" w:themeTint="F2"/>
                <w:spacing w:val="-4"/>
                <w:lang w:val="en-GB"/>
              </w:rPr>
              <w:t>%</w:t>
            </w:r>
            <w:r w:rsidR="0036710C" w:rsidRPr="00C418F0">
              <w:rPr>
                <w:rFonts w:cs="Arial"/>
                <w:color w:val="0D0D0D" w:themeColor="text1" w:themeTint="F2"/>
                <w:spacing w:val="-4"/>
                <w:lang w:val="en-GB"/>
              </w:rPr>
              <w:t xml:space="preserve"> </w:t>
            </w:r>
            <w:r>
              <w:rPr>
                <w:rFonts w:cs="Arial"/>
                <w:color w:val="0D0D0D" w:themeColor="text1" w:themeTint="F2"/>
                <w:spacing w:val="-4"/>
                <w:lang w:val="en-GB"/>
              </w:rPr>
              <w:t>year-on-year</w:t>
            </w:r>
            <w:r w:rsidR="0036710C" w:rsidRPr="00C418F0">
              <w:rPr>
                <w:rFonts w:cs="Arial"/>
                <w:color w:val="0D0D0D" w:themeColor="text1" w:themeTint="F2"/>
                <w:spacing w:val="-4"/>
                <w:lang w:val="en-GB"/>
              </w:rPr>
              <w:t>)</w:t>
            </w:r>
            <w:proofErr w:type="gramStart"/>
            <w:r w:rsidR="0036710C" w:rsidRPr="00C418F0">
              <w:rPr>
                <w:rFonts w:cs="Arial"/>
                <w:color w:val="0D0D0D" w:themeColor="text1" w:themeTint="F2"/>
                <w:spacing w:val="-4"/>
                <w:lang w:val="en-GB"/>
              </w:rPr>
              <w:t>,</w:t>
            </w:r>
            <w:proofErr w:type="gramEnd"/>
            <w:r w:rsidR="0036710C" w:rsidRPr="00C418F0">
              <w:rPr>
                <w:rFonts w:cs="Arial"/>
                <w:color w:val="0D0D0D" w:themeColor="text1" w:themeTint="F2"/>
                <w:spacing w:val="-4"/>
                <w:lang w:val="en-GB"/>
              </w:rPr>
              <w:t xml:space="preserve"> t</w:t>
            </w:r>
            <w:r>
              <w:rPr>
                <w:rFonts w:cs="Arial"/>
                <w:color w:val="0D0D0D" w:themeColor="text1" w:themeTint="F2"/>
                <w:spacing w:val="-4"/>
                <w:lang w:val="en-GB"/>
              </w:rPr>
              <w:t xml:space="preserve">his status persisted already for the fifth year in a row. The number of workers in construction ceased falling since half of year 2016. It was the result of higher number of entrepreneurs. On the contrary, the number of employees in the construction firms was further decreasing </w:t>
            </w:r>
            <w:r w:rsidR="0036710C" w:rsidRPr="00C418F0">
              <w:rPr>
                <w:rFonts w:cs="Arial"/>
                <w:color w:val="0D0D0D" w:themeColor="text1" w:themeTint="F2"/>
                <w:spacing w:val="-4"/>
                <w:lang w:val="en-GB"/>
              </w:rPr>
              <w:t>(</w:t>
            </w:r>
            <w:r w:rsidR="00CE3D1C">
              <w:rPr>
                <w:rFonts w:cs="Arial"/>
                <w:color w:val="0D0D0D" w:themeColor="text1" w:themeTint="F2"/>
                <w:spacing w:val="-4"/>
                <w:lang w:val="en-GB"/>
              </w:rPr>
              <w:t>there were by 18</w:t>
            </w:r>
            <w:r w:rsidR="00954C8E">
              <w:rPr>
                <w:rFonts w:cs="Arial"/>
                <w:color w:val="0D0D0D" w:themeColor="text1" w:themeTint="F2"/>
                <w:spacing w:val="-4"/>
                <w:lang w:val="en-GB"/>
              </w:rPr>
              <w:t>%</w:t>
            </w:r>
            <w:r w:rsidR="00CE3D1C">
              <w:rPr>
                <w:rFonts w:cs="Arial"/>
                <w:color w:val="0D0D0D" w:themeColor="text1" w:themeTint="F2"/>
                <w:spacing w:val="-4"/>
                <w:lang w:val="en-GB"/>
              </w:rPr>
              <w:t xml:space="preserve"> less </w:t>
            </w:r>
            <w:r w:rsidR="00D637A2">
              <w:rPr>
                <w:rFonts w:cs="Arial"/>
                <w:color w:val="0D0D0D" w:themeColor="text1" w:themeTint="F2"/>
                <w:spacing w:val="-4"/>
                <w:lang w:val="en-GB"/>
              </w:rPr>
              <w:t>against H</w:t>
            </w:r>
            <w:r w:rsidR="00CE3D1C">
              <w:rPr>
                <w:rFonts w:cs="Arial"/>
                <w:color w:val="0D0D0D" w:themeColor="text1" w:themeTint="F2"/>
                <w:spacing w:val="-4"/>
                <w:lang w:val="en-GB"/>
              </w:rPr>
              <w:t>1</w:t>
            </w:r>
            <w:r w:rsidR="00D637A2">
              <w:rPr>
                <w:rFonts w:cs="Arial"/>
                <w:color w:val="0D0D0D" w:themeColor="text1" w:themeTint="F2"/>
                <w:spacing w:val="-4"/>
                <w:lang w:val="en-GB"/>
              </w:rPr>
              <w:t xml:space="preserve"> 20</w:t>
            </w:r>
            <w:r w:rsidR="00CE3D1C">
              <w:rPr>
                <w:rFonts w:cs="Arial"/>
                <w:color w:val="0D0D0D" w:themeColor="text1" w:themeTint="F2"/>
                <w:spacing w:val="-4"/>
                <w:lang w:val="en-GB"/>
              </w:rPr>
              <w:t>0</w:t>
            </w:r>
            <w:r w:rsidR="00D637A2">
              <w:rPr>
                <w:rFonts w:cs="Arial"/>
                <w:color w:val="0D0D0D" w:themeColor="text1" w:themeTint="F2"/>
                <w:spacing w:val="-4"/>
                <w:lang w:val="en-GB"/>
              </w:rPr>
              <w:t>9</w:t>
            </w:r>
            <w:r w:rsidR="0036710C" w:rsidRPr="00C418F0">
              <w:rPr>
                <w:rFonts w:cs="Arial"/>
                <w:color w:val="0D0D0D" w:themeColor="text1" w:themeTint="F2"/>
                <w:spacing w:val="-4"/>
                <w:lang w:val="en-GB"/>
              </w:rPr>
              <w:t xml:space="preserve">). </w:t>
            </w:r>
            <w:r w:rsidR="00CE3D1C">
              <w:rPr>
                <w:rFonts w:cs="Arial"/>
                <w:color w:val="0D0D0D" w:themeColor="text1" w:themeTint="F2"/>
                <w:spacing w:val="-4"/>
                <w:lang w:val="en-GB"/>
              </w:rPr>
              <w:t xml:space="preserve">The numbers of self-employed persons grew accompanied simultaneously by the reduction of the levels of employees also in the primary sector. </w:t>
            </w:r>
          </w:p>
        </w:tc>
      </w:tr>
    </w:tbl>
    <w:p w:rsidR="0036710C" w:rsidRPr="00FF5A0D" w:rsidRDefault="0036710C" w:rsidP="0036710C">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4C65FD" w:rsidP="004C65FD">
            <w:pPr>
              <w:pStyle w:val="Textpoznpodarou"/>
              <w:jc w:val="both"/>
              <w:rPr>
                <w:highlight w:val="yellow"/>
              </w:rPr>
            </w:pPr>
            <w:r>
              <w:rPr>
                <w:color w:val="000000"/>
              </w:rPr>
              <w:t xml:space="preserve">Chart </w:t>
            </w:r>
            <w:r w:rsidR="0036710C">
              <w:rPr>
                <w:color w:val="000000"/>
              </w:rPr>
              <w:t>16</w:t>
            </w:r>
          </w:p>
        </w:tc>
        <w:tc>
          <w:tcPr>
            <w:tcW w:w="3262" w:type="pct"/>
          </w:tcPr>
          <w:p w:rsidR="0036710C" w:rsidRPr="00CE3D1C" w:rsidRDefault="00AF579A" w:rsidP="00853C0F">
            <w:pPr>
              <w:spacing w:line="240" w:lineRule="auto"/>
              <w:rPr>
                <w:rFonts w:cs="Arial"/>
                <w:b/>
                <w:bCs/>
                <w:spacing w:val="-2"/>
                <w:lang w:val="en-GB"/>
              </w:rPr>
            </w:pPr>
            <w:r>
              <w:rPr>
                <w:rFonts w:cs="Arial"/>
                <w:b/>
                <w:bCs/>
                <w:spacing w:val="-2"/>
                <w:lang w:val="en-GB"/>
              </w:rPr>
              <w:t>General unemployment rate of males and females</w:t>
            </w:r>
            <w:r w:rsidR="008C3460">
              <w:rPr>
                <w:rFonts w:cs="Arial"/>
                <w:b/>
                <w:bCs/>
                <w:spacing w:val="-2"/>
                <w:lang w:val="en-GB"/>
              </w:rPr>
              <w:t xml:space="preserve"> </w:t>
            </w:r>
            <w:r w:rsidR="0036710C" w:rsidRPr="00CE3D1C">
              <w:rPr>
                <w:rFonts w:cs="Arial"/>
                <w:bCs/>
                <w:spacing w:val="-2"/>
                <w:lang w:val="en-GB"/>
              </w:rPr>
              <w:t>(</w:t>
            </w:r>
            <w:r w:rsidR="00954C8E">
              <w:rPr>
                <w:rFonts w:cs="Arial"/>
                <w:bCs/>
                <w:spacing w:val="-2"/>
                <w:lang w:val="en-GB"/>
              </w:rPr>
              <w:t>in %</w:t>
            </w:r>
            <w:r w:rsidR="0036710C" w:rsidRPr="00CE3D1C">
              <w:rPr>
                <w:rFonts w:cs="Arial"/>
                <w:bCs/>
                <w:spacing w:val="-2"/>
                <w:lang w:val="en-GB"/>
              </w:rPr>
              <w:t>, se</w:t>
            </w:r>
            <w:r w:rsidR="00CE3D1C" w:rsidRPr="00CE3D1C">
              <w:rPr>
                <w:rFonts w:cs="Arial"/>
                <w:bCs/>
                <w:spacing w:val="-2"/>
                <w:lang w:val="en-GB"/>
              </w:rPr>
              <w:t>asonally adjusted</w:t>
            </w:r>
            <w:r w:rsidR="00925A21" w:rsidRPr="00CE3D1C">
              <w:rPr>
                <w:rFonts w:cs="Arial"/>
                <w:bCs/>
                <w:spacing w:val="-2"/>
                <w:lang w:val="en-GB"/>
              </w:rPr>
              <w:t xml:space="preserve">, </w:t>
            </w:r>
            <w:r w:rsidR="00CE3D1C" w:rsidRPr="00CE3D1C">
              <w:rPr>
                <w:rFonts w:cs="Arial"/>
                <w:bCs/>
                <w:spacing w:val="-2"/>
                <w:lang w:val="en-GB"/>
              </w:rPr>
              <w:t>right axis</w:t>
            </w:r>
            <w:r w:rsidR="0036710C" w:rsidRPr="00CE3D1C">
              <w:rPr>
                <w:rFonts w:cs="Arial"/>
                <w:bCs/>
                <w:spacing w:val="-2"/>
                <w:lang w:val="en-GB"/>
              </w:rPr>
              <w:t>)</w:t>
            </w:r>
            <w:r w:rsidR="0036710C" w:rsidRPr="00CE3D1C">
              <w:rPr>
                <w:rFonts w:cs="Arial"/>
                <w:b/>
                <w:bCs/>
                <w:spacing w:val="-2"/>
                <w:lang w:val="en-GB"/>
              </w:rPr>
              <w:t xml:space="preserve"> a</w:t>
            </w:r>
            <w:r>
              <w:rPr>
                <w:rFonts w:cs="Arial"/>
                <w:b/>
                <w:bCs/>
                <w:spacing w:val="-2"/>
                <w:lang w:val="en-GB"/>
              </w:rPr>
              <w:t xml:space="preserve">nd selected groups of unemployed </w:t>
            </w:r>
            <w:r w:rsidR="00925A21" w:rsidRPr="00CE3D1C">
              <w:rPr>
                <w:rFonts w:cs="Arial"/>
                <w:bCs/>
                <w:spacing w:val="-2"/>
                <w:lang w:val="en-GB"/>
              </w:rPr>
              <w:t>(</w:t>
            </w:r>
            <w:r w:rsidR="00CE3D1C" w:rsidRPr="00CE3D1C">
              <w:rPr>
                <w:rFonts w:cs="Arial"/>
                <w:bCs/>
                <w:spacing w:val="-2"/>
                <w:lang w:val="en-GB"/>
              </w:rPr>
              <w:t>year-on-year</w:t>
            </w:r>
            <w:r w:rsidR="0036710C" w:rsidRPr="00CE3D1C">
              <w:rPr>
                <w:rFonts w:cs="Arial"/>
                <w:bCs/>
                <w:spacing w:val="-2"/>
                <w:lang w:val="en-GB"/>
              </w:rPr>
              <w:t xml:space="preserve">, </w:t>
            </w:r>
            <w:r w:rsidR="00954C8E">
              <w:rPr>
                <w:rFonts w:cs="Arial"/>
                <w:bCs/>
                <w:spacing w:val="-2"/>
                <w:lang w:val="en-GB"/>
              </w:rPr>
              <w:t>in %</w:t>
            </w:r>
            <w:r w:rsidR="0036710C" w:rsidRPr="00CE3D1C">
              <w:rPr>
                <w:rFonts w:cs="Arial"/>
                <w:bCs/>
                <w:spacing w:val="-2"/>
                <w:lang w:val="en-GB"/>
              </w:rPr>
              <w:t>)</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3" w:type="pct"/>
            <w:gridSpan w:val="2"/>
          </w:tcPr>
          <w:p w:rsidR="0036710C" w:rsidRPr="007E5880" w:rsidRDefault="00486640" w:rsidP="00853C0F">
            <w:pPr>
              <w:pStyle w:val="Textpoznpodarou"/>
              <w:rPr>
                <w:sz w:val="14"/>
                <w:szCs w:val="14"/>
              </w:rPr>
            </w:pPr>
            <w:r>
              <w:rPr>
                <w:noProof/>
                <w:sz w:val="14"/>
                <w:szCs w:val="14"/>
              </w:rPr>
              <w:drawing>
                <wp:inline distT="0" distB="0" distL="0" distR="0">
                  <wp:extent cx="4727878" cy="3275937"/>
                  <wp:effectExtent l="19050" t="0" r="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6640" w:rsidRDefault="00D44477">
            <w:pPr>
              <w:pStyle w:val="Textpoznpodarou"/>
              <w:jc w:val="right"/>
              <w:rPr>
                <w:sz w:val="14"/>
                <w:szCs w:val="14"/>
              </w:rPr>
            </w:pPr>
            <w:proofErr w:type="spellStart"/>
            <w:r>
              <w:rPr>
                <w:rFonts w:cs="Arial"/>
                <w:sz w:val="14"/>
                <w:szCs w:val="14"/>
              </w:rPr>
              <w:t>Source</w:t>
            </w:r>
            <w:proofErr w:type="spellEnd"/>
            <w:r w:rsidR="0036710C" w:rsidRPr="00535F78">
              <w:rPr>
                <w:rFonts w:cs="Arial"/>
                <w:sz w:val="14"/>
                <w:szCs w:val="14"/>
              </w:rPr>
              <w:t xml:space="preserve">: </w:t>
            </w:r>
            <w:r>
              <w:rPr>
                <w:rFonts w:cs="Arial"/>
                <w:sz w:val="14"/>
                <w:szCs w:val="14"/>
              </w:rPr>
              <w:t>CZSO</w:t>
            </w:r>
          </w:p>
        </w:tc>
      </w:tr>
    </w:tbl>
    <w:p w:rsidR="0036710C" w:rsidRPr="002D3A9D" w:rsidRDefault="0036710C" w:rsidP="0036710C">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36710C" w:rsidRPr="00D44477" w:rsidRDefault="00D44477" w:rsidP="00853C0F">
            <w:pPr>
              <w:spacing w:line="240" w:lineRule="auto"/>
              <w:rPr>
                <w:rFonts w:cs="Arial"/>
                <w:bCs/>
                <w:iCs/>
                <w:color w:val="0D0D0D" w:themeColor="text1" w:themeTint="F2"/>
                <w:spacing w:val="-4"/>
                <w:sz w:val="16"/>
                <w:szCs w:val="16"/>
                <w:lang w:val="en-GB"/>
              </w:rPr>
            </w:pPr>
            <w:r w:rsidRPr="00D44477">
              <w:rPr>
                <w:rFonts w:cs="Arial"/>
                <w:bCs/>
                <w:iCs/>
                <w:color w:val="0D0D0D" w:themeColor="text1" w:themeTint="F2"/>
                <w:spacing w:val="-4"/>
                <w:sz w:val="16"/>
                <w:szCs w:val="16"/>
                <w:lang w:val="en-GB"/>
              </w:rPr>
              <w:t>General unemployment rate kept further falling down to the new absolute minimum, new vacancies increased the most in the history of the CR in H1.</w:t>
            </w: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Default="0036710C" w:rsidP="00853C0F">
            <w:pPr>
              <w:spacing w:line="240" w:lineRule="auto"/>
              <w:rPr>
                <w:rFonts w:cs="Arial"/>
                <w:bCs/>
                <w:iCs/>
                <w:color w:val="0D0D0D" w:themeColor="text1" w:themeTint="F2"/>
                <w:spacing w:val="-4"/>
                <w:sz w:val="16"/>
                <w:szCs w:val="16"/>
                <w:lang w:val="en-GB"/>
              </w:rPr>
            </w:pPr>
          </w:p>
          <w:p w:rsidR="009D2275" w:rsidRDefault="009D2275" w:rsidP="00853C0F">
            <w:pPr>
              <w:spacing w:line="240" w:lineRule="auto"/>
              <w:rPr>
                <w:rFonts w:cs="Arial"/>
                <w:bCs/>
                <w:iCs/>
                <w:color w:val="0D0D0D" w:themeColor="text1" w:themeTint="F2"/>
                <w:spacing w:val="-4"/>
                <w:sz w:val="16"/>
                <w:szCs w:val="16"/>
                <w:lang w:val="en-GB"/>
              </w:rPr>
            </w:pPr>
          </w:p>
          <w:p w:rsidR="009D2275" w:rsidRPr="00D44477" w:rsidRDefault="009D2275"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ED2670"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There was</w:t>
            </w:r>
            <w:r w:rsidR="005F0867">
              <w:rPr>
                <w:rFonts w:cs="Arial"/>
                <w:bCs/>
                <w:iCs/>
                <w:color w:val="0D0D0D" w:themeColor="text1" w:themeTint="F2"/>
                <w:spacing w:val="-4"/>
                <w:sz w:val="16"/>
                <w:szCs w:val="16"/>
                <w:lang w:val="en-GB"/>
              </w:rPr>
              <w:t xml:space="preserve"> the lowest number of job</w:t>
            </w:r>
            <w:r w:rsidR="007D1996">
              <w:rPr>
                <w:rFonts w:cs="Arial"/>
                <w:bCs/>
                <w:iCs/>
                <w:color w:val="0D0D0D" w:themeColor="text1" w:themeTint="F2"/>
                <w:spacing w:val="-4"/>
                <w:sz w:val="16"/>
                <w:szCs w:val="16"/>
                <w:lang w:val="en-GB"/>
              </w:rPr>
              <w:t xml:space="preserve"> applicants </w:t>
            </w:r>
            <w:r w:rsidR="005F0867">
              <w:rPr>
                <w:rFonts w:cs="Arial"/>
                <w:bCs/>
                <w:iCs/>
                <w:color w:val="0D0D0D" w:themeColor="text1" w:themeTint="F2"/>
                <w:spacing w:val="-4"/>
                <w:sz w:val="16"/>
                <w:szCs w:val="16"/>
                <w:lang w:val="en-GB"/>
              </w:rPr>
              <w:t>per</w:t>
            </w:r>
            <w:r w:rsidR="007D1996">
              <w:rPr>
                <w:rFonts w:cs="Arial"/>
                <w:bCs/>
                <w:iCs/>
                <w:color w:val="0D0D0D" w:themeColor="text1" w:themeTint="F2"/>
                <w:spacing w:val="-4"/>
                <w:sz w:val="16"/>
                <w:szCs w:val="16"/>
                <w:lang w:val="en-GB"/>
              </w:rPr>
              <w:t xml:space="preserve"> one vacancy </w:t>
            </w:r>
            <w:r w:rsidR="005F0867">
              <w:rPr>
                <w:rFonts w:cs="Arial"/>
                <w:bCs/>
                <w:iCs/>
                <w:color w:val="0D0D0D" w:themeColor="text1" w:themeTint="F2"/>
                <w:spacing w:val="-4"/>
                <w:sz w:val="16"/>
                <w:szCs w:val="16"/>
                <w:lang w:val="en-GB"/>
              </w:rPr>
              <w:t>since half of 90s.</w:t>
            </w:r>
            <w:r w:rsidR="0036710C" w:rsidRPr="00D44477">
              <w:rPr>
                <w:rFonts w:cs="Arial"/>
                <w:bCs/>
                <w:iCs/>
                <w:color w:val="0D0D0D" w:themeColor="text1" w:themeTint="F2"/>
                <w:spacing w:val="-4"/>
                <w:sz w:val="16"/>
                <w:szCs w:val="16"/>
                <w:lang w:val="en-GB"/>
              </w:rPr>
              <w:t xml:space="preserve"> </w:t>
            </w:r>
            <w:r w:rsidR="005F0867">
              <w:rPr>
                <w:rFonts w:cs="Arial"/>
                <w:bCs/>
                <w:iCs/>
                <w:color w:val="0D0D0D" w:themeColor="text1" w:themeTint="F2"/>
                <w:spacing w:val="-4"/>
                <w:sz w:val="16"/>
                <w:szCs w:val="16"/>
                <w:lang w:val="en-GB"/>
              </w:rPr>
              <w:t xml:space="preserve">The supply of vacancies </w:t>
            </w:r>
            <w:r w:rsidR="006C0032">
              <w:rPr>
                <w:rFonts w:cs="Arial"/>
                <w:bCs/>
                <w:iCs/>
                <w:color w:val="0D0D0D" w:themeColor="text1" w:themeTint="F2"/>
                <w:spacing w:val="-4"/>
                <w:sz w:val="16"/>
                <w:szCs w:val="16"/>
                <w:lang w:val="en-GB"/>
              </w:rPr>
              <w:t xml:space="preserve">even </w:t>
            </w:r>
            <w:r w:rsidR="005F0867">
              <w:rPr>
                <w:rFonts w:cs="Arial"/>
                <w:bCs/>
                <w:iCs/>
                <w:color w:val="0D0D0D" w:themeColor="text1" w:themeTint="F2"/>
                <w:spacing w:val="-4"/>
                <w:sz w:val="16"/>
                <w:szCs w:val="16"/>
                <w:lang w:val="en-GB"/>
              </w:rPr>
              <w:t xml:space="preserve">exceeded the number of job applicants in </w:t>
            </w:r>
            <w:r w:rsidR="002429CF">
              <w:rPr>
                <w:rFonts w:cs="Arial"/>
                <w:bCs/>
                <w:iCs/>
                <w:color w:val="0D0D0D" w:themeColor="text1" w:themeTint="F2"/>
                <w:spacing w:val="-4"/>
                <w:sz w:val="16"/>
                <w:szCs w:val="16"/>
                <w:lang w:val="en-GB"/>
              </w:rPr>
              <w:t xml:space="preserve">more than one quarter </w:t>
            </w:r>
            <w:r w:rsidR="005F0867">
              <w:rPr>
                <w:rFonts w:cs="Arial"/>
                <w:bCs/>
                <w:iCs/>
                <w:color w:val="0D0D0D" w:themeColor="text1" w:themeTint="F2"/>
                <w:spacing w:val="-4"/>
                <w:sz w:val="16"/>
                <w:szCs w:val="16"/>
                <w:lang w:val="en-GB"/>
              </w:rPr>
              <w:t xml:space="preserve">of </w:t>
            </w:r>
            <w:r w:rsidR="006C26C2">
              <w:rPr>
                <w:rFonts w:cs="Arial"/>
                <w:bCs/>
                <w:iCs/>
                <w:color w:val="0D0D0D" w:themeColor="text1" w:themeTint="F2"/>
                <w:spacing w:val="-4"/>
                <w:sz w:val="16"/>
                <w:szCs w:val="16"/>
                <w:lang w:val="en-GB"/>
              </w:rPr>
              <w:t>district</w:t>
            </w:r>
            <w:r w:rsidR="005F0867">
              <w:rPr>
                <w:rFonts w:cs="Arial"/>
                <w:bCs/>
                <w:iCs/>
                <w:color w:val="0D0D0D" w:themeColor="text1" w:themeTint="F2"/>
                <w:spacing w:val="-4"/>
                <w:sz w:val="16"/>
                <w:szCs w:val="16"/>
                <w:lang w:val="en-GB"/>
              </w:rPr>
              <w:t xml:space="preserve">s. </w:t>
            </w: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Default="0036710C" w:rsidP="00853C0F">
            <w:pPr>
              <w:spacing w:line="240" w:lineRule="auto"/>
              <w:rPr>
                <w:rFonts w:cs="Arial"/>
                <w:bCs/>
                <w:iCs/>
                <w:color w:val="0D0D0D" w:themeColor="text1" w:themeTint="F2"/>
                <w:spacing w:val="-4"/>
                <w:sz w:val="16"/>
                <w:szCs w:val="16"/>
                <w:lang w:val="en-GB"/>
              </w:rPr>
            </w:pPr>
          </w:p>
          <w:p w:rsidR="009D2275" w:rsidRPr="00D44477" w:rsidRDefault="009D2275"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36710C" w:rsidRPr="00D44477" w:rsidRDefault="005F0867"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Nearly three quarters from the year-on-year addition of vacancies consisted of positions with very low </w:t>
            </w:r>
            <w:r w:rsidR="008C4BB5">
              <w:rPr>
                <w:rFonts w:cs="Arial"/>
                <w:bCs/>
                <w:iCs/>
                <w:color w:val="0D0D0D" w:themeColor="text1" w:themeTint="F2"/>
                <w:spacing w:val="-4"/>
                <w:sz w:val="16"/>
                <w:szCs w:val="16"/>
                <w:lang w:val="en-GB"/>
              </w:rPr>
              <w:t>demands for qualification.</w:t>
            </w:r>
          </w:p>
          <w:p w:rsidR="0036710C" w:rsidRPr="00D44477" w:rsidRDefault="0036710C" w:rsidP="00853C0F">
            <w:pPr>
              <w:spacing w:line="240" w:lineRule="auto"/>
              <w:rPr>
                <w:rFonts w:cs="Arial"/>
                <w:bCs/>
                <w:iCs/>
                <w:color w:val="0D0D0D" w:themeColor="text1" w:themeTint="F2"/>
                <w:spacing w:val="-2"/>
                <w:sz w:val="16"/>
                <w:szCs w:val="16"/>
                <w:lang w:val="en-GB"/>
              </w:rPr>
            </w:pPr>
          </w:p>
        </w:tc>
        <w:tc>
          <w:tcPr>
            <w:tcW w:w="144" w:type="pct"/>
          </w:tcPr>
          <w:p w:rsidR="0036710C" w:rsidRPr="00D44477" w:rsidRDefault="0036710C" w:rsidP="00853C0F">
            <w:pPr>
              <w:pStyle w:val="Textpoznpodarou"/>
              <w:jc w:val="both"/>
              <w:rPr>
                <w:rFonts w:cs="Arial"/>
                <w:color w:val="0D0D0D" w:themeColor="text1" w:themeTint="F2"/>
                <w:lang w:val="en-GB"/>
              </w:rPr>
            </w:pPr>
          </w:p>
        </w:tc>
        <w:tc>
          <w:tcPr>
            <w:tcW w:w="3840" w:type="pct"/>
          </w:tcPr>
          <w:p w:rsidR="009D2275" w:rsidRDefault="00D44477"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General unemployment rate further fell since the beginning of the year and it reached based on the seasonally adjusted data the so far record value in the history of the CR in June 2017: </w:t>
            </w:r>
            <w:r w:rsidR="0036710C" w:rsidRPr="00D44477">
              <w:rPr>
                <w:rFonts w:cs="Arial"/>
                <w:color w:val="0D0D0D" w:themeColor="text1" w:themeTint="F2"/>
                <w:spacing w:val="-4"/>
                <w:lang w:val="en-GB"/>
              </w:rPr>
              <w:t>2</w:t>
            </w:r>
            <w:r>
              <w:rPr>
                <w:rFonts w:cs="Arial"/>
                <w:color w:val="0D0D0D" w:themeColor="text1" w:themeTint="F2"/>
                <w:spacing w:val="-4"/>
                <w:lang w:val="en-GB"/>
              </w:rPr>
              <w:t>.</w:t>
            </w:r>
            <w:r w:rsidR="0036710C" w:rsidRPr="00D44477">
              <w:rPr>
                <w:rFonts w:cs="Arial"/>
                <w:color w:val="0D0D0D" w:themeColor="text1" w:themeTint="F2"/>
                <w:spacing w:val="-4"/>
                <w:lang w:val="en-GB"/>
              </w:rPr>
              <w:t>4</w:t>
            </w:r>
            <w:r w:rsidR="00954C8E">
              <w:rPr>
                <w:rFonts w:cs="Arial"/>
                <w:color w:val="0D0D0D" w:themeColor="text1" w:themeTint="F2"/>
                <w:spacing w:val="-4"/>
                <w:lang w:val="en-GB"/>
              </w:rPr>
              <w:t>%</w:t>
            </w:r>
            <w:r w:rsidR="0036710C" w:rsidRPr="00D44477">
              <w:rPr>
                <w:rFonts w:cs="Arial"/>
                <w:color w:val="0D0D0D" w:themeColor="text1" w:themeTint="F2"/>
                <w:spacing w:val="-4"/>
                <w:lang w:val="en-GB"/>
              </w:rPr>
              <w:t xml:space="preserve"> (</w:t>
            </w:r>
            <w:r>
              <w:rPr>
                <w:rFonts w:cs="Arial"/>
                <w:color w:val="0D0D0D" w:themeColor="text1" w:themeTint="F2"/>
                <w:spacing w:val="-4"/>
                <w:lang w:val="en-GB"/>
              </w:rPr>
              <w:t>for males</w:t>
            </w:r>
            <w:r w:rsidR="0036710C" w:rsidRPr="00D44477">
              <w:rPr>
                <w:rFonts w:cs="Arial"/>
                <w:color w:val="0D0D0D" w:themeColor="text1" w:themeTint="F2"/>
                <w:spacing w:val="-4"/>
                <w:lang w:val="en-GB"/>
              </w:rPr>
              <w:t>), resp. 3</w:t>
            </w:r>
            <w:r>
              <w:rPr>
                <w:rFonts w:cs="Arial"/>
                <w:color w:val="0D0D0D" w:themeColor="text1" w:themeTint="F2"/>
                <w:spacing w:val="-4"/>
                <w:lang w:val="en-GB"/>
              </w:rPr>
              <w:t>.</w:t>
            </w:r>
            <w:r w:rsidR="0036710C" w:rsidRPr="00D44477">
              <w:rPr>
                <w:rFonts w:cs="Arial"/>
                <w:color w:val="0D0D0D" w:themeColor="text1" w:themeTint="F2"/>
                <w:spacing w:val="-4"/>
                <w:lang w:val="en-GB"/>
              </w:rPr>
              <w:t>5</w:t>
            </w:r>
            <w:r w:rsidR="00954C8E">
              <w:rPr>
                <w:rFonts w:cs="Arial"/>
                <w:color w:val="0D0D0D" w:themeColor="text1" w:themeTint="F2"/>
                <w:spacing w:val="-4"/>
                <w:lang w:val="en-GB"/>
              </w:rPr>
              <w:t>%</w:t>
            </w:r>
            <w:r w:rsidR="0036710C" w:rsidRPr="00D44477">
              <w:rPr>
                <w:rFonts w:cs="Arial"/>
                <w:color w:val="0D0D0D" w:themeColor="text1" w:themeTint="F2"/>
                <w:spacing w:val="-4"/>
                <w:lang w:val="en-GB"/>
              </w:rPr>
              <w:t xml:space="preserve"> (</w:t>
            </w:r>
            <w:r>
              <w:rPr>
                <w:rFonts w:cs="Arial"/>
                <w:color w:val="0D0D0D" w:themeColor="text1" w:themeTint="F2"/>
                <w:spacing w:val="-4"/>
                <w:lang w:val="en-GB"/>
              </w:rPr>
              <w:t>for females</w:t>
            </w:r>
            <w:r w:rsidR="0036710C" w:rsidRPr="00D44477">
              <w:rPr>
                <w:rFonts w:cs="Arial"/>
                <w:color w:val="0D0D0D" w:themeColor="text1" w:themeTint="F2"/>
                <w:spacing w:val="-4"/>
                <w:lang w:val="en-GB"/>
              </w:rPr>
              <w:t xml:space="preserve">). </w:t>
            </w:r>
            <w:r w:rsidR="008D04F8">
              <w:rPr>
                <w:rFonts w:cs="Arial"/>
                <w:color w:val="0D0D0D" w:themeColor="text1" w:themeTint="F2"/>
                <w:spacing w:val="-4"/>
                <w:lang w:val="en-GB"/>
              </w:rPr>
              <w:t>The number of all unemploye</w:t>
            </w:r>
            <w:r w:rsidR="00CD78B7">
              <w:rPr>
                <w:rFonts w:cs="Arial"/>
                <w:color w:val="0D0D0D" w:themeColor="text1" w:themeTint="F2"/>
                <w:spacing w:val="-4"/>
                <w:lang w:val="en-GB"/>
              </w:rPr>
              <w:t>d</w:t>
            </w:r>
            <w:r w:rsidR="008D04F8">
              <w:rPr>
                <w:rFonts w:cs="Arial"/>
                <w:color w:val="0D0D0D" w:themeColor="text1" w:themeTint="F2"/>
                <w:spacing w:val="-4"/>
                <w:lang w:val="en-GB"/>
              </w:rPr>
              <w:t xml:space="preserve"> decreased by nearly one quarter year-on-year and it amounted to 159 thousand persons in Q2. This positive development was associated this year (similarly to last year) with the reduction of the number of unemployed, who were out of job for more than 1 year. Their levels shrank by one third compared to Q2 2016 (by 32 thousand persons in absolute terms). </w:t>
            </w:r>
          </w:p>
          <w:p w:rsidR="009D2275" w:rsidRDefault="009D2275" w:rsidP="00853C0F">
            <w:pPr>
              <w:pStyle w:val="Textpoznpodarou"/>
              <w:jc w:val="both"/>
              <w:rPr>
                <w:rFonts w:cs="Arial"/>
                <w:color w:val="0D0D0D" w:themeColor="text1" w:themeTint="F2"/>
                <w:spacing w:val="-4"/>
                <w:lang w:val="en-GB"/>
              </w:rPr>
            </w:pPr>
          </w:p>
          <w:p w:rsidR="009D2275" w:rsidRDefault="005562DC"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The unemployment rate fell in all main education </w:t>
            </w:r>
            <w:r w:rsidR="008C4BB5">
              <w:rPr>
                <w:rFonts w:cs="Arial"/>
                <w:color w:val="0D0D0D" w:themeColor="text1" w:themeTint="F2"/>
                <w:spacing w:val="-4"/>
                <w:lang w:val="en-GB"/>
              </w:rPr>
              <w:t>groups</w:t>
            </w:r>
            <w:r>
              <w:rPr>
                <w:rFonts w:cs="Arial"/>
                <w:color w:val="0D0D0D" w:themeColor="text1" w:themeTint="F2"/>
                <w:spacing w:val="-4"/>
                <w:lang w:val="en-GB"/>
              </w:rPr>
              <w:t xml:space="preserve">. The situation improved markedly </w:t>
            </w:r>
            <w:r w:rsidR="00A6666A">
              <w:rPr>
                <w:rFonts w:cs="Arial"/>
                <w:color w:val="0D0D0D" w:themeColor="text1" w:themeTint="F2"/>
                <w:spacing w:val="-4"/>
                <w:lang w:val="en-GB"/>
              </w:rPr>
              <w:t>in the</w:t>
            </w:r>
            <w:r w:rsidR="00C83CF4">
              <w:rPr>
                <w:rFonts w:cs="Arial"/>
                <w:color w:val="0D0D0D" w:themeColor="text1" w:themeTint="F2"/>
                <w:spacing w:val="-4"/>
                <w:lang w:val="en-GB"/>
              </w:rPr>
              <w:t xml:space="preserve"> </w:t>
            </w:r>
            <w:r w:rsidR="00A6666A">
              <w:rPr>
                <w:rFonts w:cs="Arial"/>
                <w:color w:val="0D0D0D" w:themeColor="text1" w:themeTint="F2"/>
                <w:spacing w:val="-4"/>
                <w:lang w:val="en-GB"/>
              </w:rPr>
              <w:t xml:space="preserve">small, but generally disadvantaged group of persons with the </w:t>
            </w:r>
            <w:r w:rsidR="00AD75F9">
              <w:rPr>
                <w:rFonts w:cs="Arial"/>
                <w:color w:val="0D0D0D" w:themeColor="text1" w:themeTint="F2"/>
                <w:spacing w:val="-4"/>
                <w:lang w:val="en-GB"/>
              </w:rPr>
              <w:t xml:space="preserve">primary </w:t>
            </w:r>
            <w:r w:rsidR="00A6666A">
              <w:rPr>
                <w:rFonts w:cs="Arial"/>
                <w:color w:val="0D0D0D" w:themeColor="text1" w:themeTint="F2"/>
                <w:spacing w:val="-4"/>
                <w:lang w:val="en-GB"/>
              </w:rPr>
              <w:t>education at most</w:t>
            </w:r>
            <w:r w:rsidR="0036710C" w:rsidRPr="00D44477">
              <w:rPr>
                <w:rStyle w:val="Znakapoznpodarou"/>
                <w:color w:val="0D0D0D" w:themeColor="text1" w:themeTint="F2"/>
                <w:spacing w:val="-4"/>
                <w:lang w:val="en-GB"/>
              </w:rPr>
              <w:footnoteReference w:id="3"/>
            </w:r>
            <w:r w:rsidR="0036710C" w:rsidRPr="00D44477">
              <w:rPr>
                <w:rFonts w:cs="Arial"/>
                <w:color w:val="0D0D0D" w:themeColor="text1" w:themeTint="F2"/>
                <w:spacing w:val="-4"/>
                <w:lang w:val="en-GB"/>
              </w:rPr>
              <w:t xml:space="preserve">. </w:t>
            </w:r>
            <w:r w:rsidR="00C83CF4">
              <w:rPr>
                <w:rFonts w:cs="Arial"/>
                <w:color w:val="0D0D0D" w:themeColor="text1" w:themeTint="F2"/>
                <w:spacing w:val="-4"/>
                <w:lang w:val="en-GB"/>
              </w:rPr>
              <w:t xml:space="preserve">The reduction of the unemployment was accompanied by the constantly expanding supply of job vacancies. Their number in the evidence of the </w:t>
            </w:r>
            <w:r w:rsidR="00125F07">
              <w:rPr>
                <w:rFonts w:cs="Arial"/>
                <w:color w:val="0D0D0D" w:themeColor="text1" w:themeTint="F2"/>
                <w:spacing w:val="-4"/>
                <w:lang w:val="en-GB"/>
              </w:rPr>
              <w:t>labour offices (L</w:t>
            </w:r>
            <w:r w:rsidR="00C83CF4">
              <w:rPr>
                <w:rFonts w:cs="Arial"/>
                <w:color w:val="0D0D0D" w:themeColor="text1" w:themeTint="F2"/>
                <w:spacing w:val="-4"/>
                <w:lang w:val="en-GB"/>
              </w:rPr>
              <w:t>O) markedly accelerated at the beginning of the year. This year´s increase of job vacancies was the highest within the fi</w:t>
            </w:r>
            <w:r w:rsidR="008C4BB5">
              <w:rPr>
                <w:rFonts w:cs="Arial"/>
                <w:color w:val="0D0D0D" w:themeColor="text1" w:themeTint="F2"/>
                <w:spacing w:val="-4"/>
                <w:lang w:val="en-GB"/>
              </w:rPr>
              <w:t>r</w:t>
            </w:r>
            <w:r w:rsidR="00C83CF4">
              <w:rPr>
                <w:rFonts w:cs="Arial"/>
                <w:color w:val="0D0D0D" w:themeColor="text1" w:themeTint="F2"/>
                <w:spacing w:val="-4"/>
                <w:lang w:val="en-GB"/>
              </w:rPr>
              <w:t xml:space="preserve">st half-years since the start of monitoring. The supply contained 183.5 thousand job vacancies at the end of June. Thus, there were 1.6 job applicants per one vacancy, the least since the half of 90s. The chance for employment nearly doubled on average year-on-year. The supply of vacancies even overtook the number of registered job applicants in more than one quarter of </w:t>
            </w:r>
            <w:r w:rsidR="006C26C2">
              <w:rPr>
                <w:rFonts w:cs="Arial"/>
                <w:color w:val="0D0D0D" w:themeColor="text1" w:themeTint="F2"/>
                <w:spacing w:val="-4"/>
                <w:lang w:val="en-GB"/>
              </w:rPr>
              <w:t>district</w:t>
            </w:r>
            <w:r w:rsidR="00C83CF4">
              <w:rPr>
                <w:rFonts w:cs="Arial"/>
                <w:color w:val="0D0D0D" w:themeColor="text1" w:themeTint="F2"/>
                <w:spacing w:val="-4"/>
                <w:lang w:val="en-GB"/>
              </w:rPr>
              <w:t xml:space="preserve">s. On the contrary, more than three job </w:t>
            </w:r>
            <w:r w:rsidR="001354EE">
              <w:rPr>
                <w:rFonts w:cs="Arial"/>
                <w:color w:val="0D0D0D" w:themeColor="text1" w:themeTint="F2"/>
                <w:spacing w:val="-4"/>
                <w:lang w:val="en-GB"/>
              </w:rPr>
              <w:t>a</w:t>
            </w:r>
            <w:r w:rsidR="00C83CF4">
              <w:rPr>
                <w:rFonts w:cs="Arial"/>
                <w:color w:val="0D0D0D" w:themeColor="text1" w:themeTint="F2"/>
                <w:spacing w:val="-4"/>
                <w:lang w:val="en-GB"/>
              </w:rPr>
              <w:t>pp</w:t>
            </w:r>
            <w:r w:rsidR="001354EE">
              <w:rPr>
                <w:rFonts w:cs="Arial"/>
                <w:color w:val="0D0D0D" w:themeColor="text1" w:themeTint="F2"/>
                <w:spacing w:val="-4"/>
                <w:lang w:val="en-GB"/>
              </w:rPr>
              <w:t>licants</w:t>
            </w:r>
            <w:r w:rsidR="00C83CF4">
              <w:rPr>
                <w:rFonts w:cs="Arial"/>
                <w:color w:val="0D0D0D" w:themeColor="text1" w:themeTint="F2"/>
                <w:spacing w:val="-4"/>
                <w:lang w:val="en-GB"/>
              </w:rPr>
              <w:t xml:space="preserve"> pertained to one vacancy only in twelve </w:t>
            </w:r>
            <w:r w:rsidR="006C26C2">
              <w:rPr>
                <w:rFonts w:cs="Arial"/>
                <w:color w:val="0D0D0D" w:themeColor="text1" w:themeTint="F2"/>
                <w:spacing w:val="-4"/>
                <w:lang w:val="en-GB"/>
              </w:rPr>
              <w:t xml:space="preserve">districts (form all 77 districts) – mainly </w:t>
            </w:r>
            <w:r w:rsidR="001354EE">
              <w:rPr>
                <w:rFonts w:cs="Arial"/>
                <w:color w:val="0D0D0D" w:themeColor="text1" w:themeTint="F2"/>
                <w:spacing w:val="-4"/>
                <w:lang w:val="en-GB"/>
              </w:rPr>
              <w:t xml:space="preserve">in </w:t>
            </w:r>
            <w:r w:rsidR="00125F07">
              <w:rPr>
                <w:rFonts w:cs="Arial"/>
                <w:color w:val="0D0D0D" w:themeColor="text1" w:themeTint="F2"/>
                <w:spacing w:val="-4"/>
                <w:lang w:val="en-GB"/>
              </w:rPr>
              <w:t xml:space="preserve">the </w:t>
            </w:r>
            <w:proofErr w:type="spellStart"/>
            <w:r w:rsidR="001354EE">
              <w:rPr>
                <w:rFonts w:cs="Arial"/>
                <w:color w:val="0D0D0D" w:themeColor="text1" w:themeTint="F2"/>
                <w:spacing w:val="-4"/>
                <w:lang w:val="en-GB"/>
              </w:rPr>
              <w:t>Ustecky</w:t>
            </w:r>
            <w:proofErr w:type="spellEnd"/>
            <w:r w:rsidR="001354EE">
              <w:rPr>
                <w:rFonts w:cs="Arial"/>
                <w:color w:val="0D0D0D" w:themeColor="text1" w:themeTint="F2"/>
                <w:spacing w:val="-4"/>
                <w:lang w:val="en-GB"/>
              </w:rPr>
              <w:t xml:space="preserve"> and </w:t>
            </w:r>
            <w:r w:rsidR="008C4BB5">
              <w:rPr>
                <w:rFonts w:cs="Arial"/>
                <w:color w:val="0D0D0D"/>
                <w:spacing w:val="-4"/>
                <w:lang w:val="en-GB"/>
              </w:rPr>
              <w:t xml:space="preserve">Moravian-Silesian </w:t>
            </w:r>
            <w:r w:rsidR="001354EE">
              <w:rPr>
                <w:rFonts w:cs="Arial"/>
                <w:color w:val="0D0D0D" w:themeColor="text1" w:themeTint="F2"/>
                <w:spacing w:val="-4"/>
                <w:lang w:val="en-GB"/>
              </w:rPr>
              <w:t>region</w:t>
            </w:r>
            <w:r w:rsidR="0036710C" w:rsidRPr="00D44477">
              <w:rPr>
                <w:rFonts w:cs="Arial"/>
                <w:color w:val="0D0D0D" w:themeColor="text1" w:themeTint="F2"/>
                <w:spacing w:val="-4"/>
                <w:lang w:val="en-GB"/>
              </w:rPr>
              <w:t xml:space="preserve">. </w:t>
            </w:r>
          </w:p>
          <w:p w:rsidR="009D2275" w:rsidRDefault="009D2275" w:rsidP="00853C0F">
            <w:pPr>
              <w:pStyle w:val="Textpoznpodarou"/>
              <w:jc w:val="both"/>
              <w:rPr>
                <w:rFonts w:cs="Arial"/>
                <w:color w:val="0D0D0D" w:themeColor="text1" w:themeTint="F2"/>
                <w:spacing w:val="-4"/>
                <w:lang w:val="en-GB"/>
              </w:rPr>
            </w:pPr>
          </w:p>
          <w:p w:rsidR="0036710C" w:rsidRDefault="00F96648"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Nearly three quarters of the year-on-year addition to vacancies (50 thousand) included jobs with a minimum qualification (where the </w:t>
            </w:r>
            <w:r w:rsidR="00AD75F9">
              <w:rPr>
                <w:rFonts w:cs="Arial"/>
                <w:color w:val="0D0D0D" w:themeColor="text1" w:themeTint="F2"/>
                <w:spacing w:val="-4"/>
                <w:lang w:val="en-GB"/>
              </w:rPr>
              <w:t>primary</w:t>
            </w:r>
            <w:r>
              <w:rPr>
                <w:rFonts w:cs="Arial"/>
                <w:color w:val="0D0D0D" w:themeColor="text1" w:themeTint="F2"/>
                <w:spacing w:val="-4"/>
                <w:lang w:val="en-GB"/>
              </w:rPr>
              <w:t xml:space="preserve"> education was adequate). They </w:t>
            </w:r>
            <w:r w:rsidR="006162F6">
              <w:rPr>
                <w:rFonts w:cs="Arial"/>
                <w:color w:val="0D0D0D" w:themeColor="text1" w:themeTint="F2"/>
                <w:spacing w:val="-4"/>
                <w:lang w:val="en-GB"/>
              </w:rPr>
              <w:t xml:space="preserve">constituted already slightly more than one half of the total number of job vacancies in June 2017. It remained valid, that the qualified manual works found employment the easiest </w:t>
            </w:r>
            <w:r w:rsidR="00AD75F9">
              <w:rPr>
                <w:rFonts w:cs="Arial"/>
                <w:color w:val="0D0D0D" w:themeColor="text1" w:themeTint="F2"/>
                <w:spacing w:val="-4"/>
                <w:lang w:val="en-GB"/>
              </w:rPr>
              <w:t>–</w:t>
            </w:r>
            <w:r w:rsidR="006162F6">
              <w:rPr>
                <w:rFonts w:cs="Arial"/>
                <w:color w:val="0D0D0D" w:themeColor="text1" w:themeTint="F2"/>
                <w:spacing w:val="-4"/>
                <w:lang w:val="en-GB"/>
              </w:rPr>
              <w:t xml:space="preserve"> </w:t>
            </w:r>
            <w:r w:rsidR="00AD75F9">
              <w:rPr>
                <w:rFonts w:cs="Arial"/>
                <w:color w:val="0D0D0D" w:themeColor="text1" w:themeTint="F2"/>
                <w:spacing w:val="-4"/>
                <w:lang w:val="en-GB"/>
              </w:rPr>
              <w:t xml:space="preserve">craft and repairmen and assemblers and </w:t>
            </w:r>
            <w:r w:rsidR="00AD75F9">
              <w:rPr>
                <w:lang w:val="en-GB"/>
              </w:rPr>
              <w:t>machine and equipment operators</w:t>
            </w:r>
            <w:r w:rsidR="00AD75F9">
              <w:rPr>
                <w:rFonts w:cs="Arial"/>
                <w:color w:val="0D0D0D" w:themeColor="text1" w:themeTint="F2"/>
                <w:spacing w:val="-4"/>
                <w:lang w:val="en-GB"/>
              </w:rPr>
              <w:t xml:space="preserve"> </w:t>
            </w:r>
            <w:r w:rsidR="0036710C" w:rsidRPr="00D44477">
              <w:rPr>
                <w:rFonts w:cs="Arial"/>
                <w:color w:val="0D0D0D" w:themeColor="text1" w:themeTint="F2"/>
                <w:spacing w:val="-4"/>
                <w:lang w:val="en-GB"/>
              </w:rPr>
              <w:t xml:space="preserve">– </w:t>
            </w:r>
            <w:r w:rsidR="00A8775C">
              <w:rPr>
                <w:rFonts w:cs="Arial"/>
                <w:color w:val="0D0D0D" w:themeColor="text1" w:themeTint="F2"/>
                <w:spacing w:val="-4"/>
                <w:lang w:val="en-GB"/>
              </w:rPr>
              <w:t xml:space="preserve">where already the supply of jobs exceeded the demand. On the contrary, for job applicants with the </w:t>
            </w:r>
            <w:r w:rsidR="00EC398B">
              <w:rPr>
                <w:rFonts w:cs="Arial"/>
                <w:color w:val="0D0D0D" w:themeColor="text1" w:themeTint="F2"/>
                <w:spacing w:val="-4"/>
                <w:lang w:val="en-GB"/>
              </w:rPr>
              <w:t>tertiary</w:t>
            </w:r>
            <w:r w:rsidR="00A8775C">
              <w:rPr>
                <w:rFonts w:cs="Arial"/>
                <w:color w:val="0D0D0D" w:themeColor="text1" w:themeTint="F2"/>
                <w:spacing w:val="-4"/>
                <w:lang w:val="en-GB"/>
              </w:rPr>
              <w:t xml:space="preserve"> education only 9.1 thousand vacancies </w:t>
            </w:r>
            <w:r w:rsidR="00AD75F9">
              <w:rPr>
                <w:rFonts w:cs="Arial"/>
                <w:color w:val="0D0D0D" w:themeColor="text1" w:themeTint="F2"/>
                <w:spacing w:val="-4"/>
                <w:lang w:val="en-GB"/>
              </w:rPr>
              <w:t>were</w:t>
            </w:r>
            <w:r w:rsidR="00A8775C">
              <w:rPr>
                <w:rFonts w:cs="Arial"/>
                <w:color w:val="0D0D0D" w:themeColor="text1" w:themeTint="F2"/>
                <w:spacing w:val="-4"/>
                <w:lang w:val="en-GB"/>
              </w:rPr>
              <w:t xml:space="preserve"> available from the supply of </w:t>
            </w:r>
            <w:r w:rsidR="00AD75F9">
              <w:rPr>
                <w:rFonts w:cs="Arial"/>
                <w:color w:val="0D0D0D" w:themeColor="text1" w:themeTint="F2"/>
                <w:spacing w:val="-4"/>
                <w:lang w:val="en-GB"/>
              </w:rPr>
              <w:t>L</w:t>
            </w:r>
            <w:r w:rsidR="00A8775C">
              <w:rPr>
                <w:rFonts w:cs="Arial"/>
                <w:color w:val="0D0D0D" w:themeColor="text1" w:themeTint="F2"/>
                <w:spacing w:val="-4"/>
                <w:lang w:val="en-GB"/>
              </w:rPr>
              <w:t>O. The number of these positions increased only by 2.5 thousand compared to last year´s June.</w:t>
            </w:r>
            <w:r w:rsidR="0036710C" w:rsidRPr="00D44477">
              <w:rPr>
                <w:rFonts w:cs="Arial"/>
                <w:color w:val="0D0D0D" w:themeColor="text1" w:themeTint="F2"/>
                <w:spacing w:val="-4"/>
                <w:lang w:val="en-GB"/>
              </w:rPr>
              <w:t xml:space="preserve"> </w:t>
            </w:r>
          </w:p>
          <w:p w:rsidR="00EC398B" w:rsidRPr="00D44477" w:rsidRDefault="00EC398B" w:rsidP="00853C0F">
            <w:pPr>
              <w:pStyle w:val="Textpoznpodarou"/>
              <w:jc w:val="both"/>
              <w:rPr>
                <w:rFonts w:cs="Arial"/>
                <w:color w:val="0D0D0D" w:themeColor="text1" w:themeTint="F2"/>
                <w:spacing w:val="-4"/>
                <w:lang w:val="en-GB"/>
              </w:rPr>
            </w:pPr>
          </w:p>
        </w:tc>
      </w:tr>
      <w:tr w:rsidR="0036710C" w:rsidRPr="0094422D" w:rsidTr="00853C0F">
        <w:trPr>
          <w:trHeight w:val="145"/>
        </w:trPr>
        <w:tc>
          <w:tcPr>
            <w:tcW w:w="1016" w:type="pct"/>
            <w:shd w:val="clear" w:color="auto" w:fill="auto"/>
          </w:tcPr>
          <w:p w:rsidR="0036710C" w:rsidRPr="00D02B7C" w:rsidRDefault="0036710C" w:rsidP="00853C0F">
            <w:pPr>
              <w:spacing w:line="240" w:lineRule="auto"/>
              <w:rPr>
                <w:rFonts w:cs="Arial"/>
                <w:bCs/>
                <w:iCs/>
                <w:color w:val="0D0D0D" w:themeColor="text1" w:themeTint="F2"/>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4D2BFB" w:rsidRDefault="004D2BFB" w:rsidP="00EC398B">
            <w:pPr>
              <w:pStyle w:val="Textpoznpodarou"/>
              <w:jc w:val="both"/>
              <w:rPr>
                <w:rFonts w:cs="Arial"/>
                <w:color w:val="0D0D0D" w:themeColor="text1" w:themeTint="F2"/>
                <w:spacing w:val="-2"/>
                <w:lang w:val="en-GB"/>
              </w:rPr>
            </w:pPr>
            <w:r w:rsidRPr="004D2BFB">
              <w:rPr>
                <w:rFonts w:cs="Arial"/>
                <w:color w:val="0D0D0D" w:themeColor="text1" w:themeTint="F2"/>
                <w:spacing w:val="-4"/>
                <w:lang w:val="en-GB"/>
              </w:rPr>
              <w:t>Continuing fall of unemployment further reduced the sources of the usable labour force. The number of economically inactive person</w:t>
            </w:r>
            <w:r w:rsidR="00AD75F9">
              <w:rPr>
                <w:rFonts w:cs="Arial"/>
                <w:color w:val="0D0D0D" w:themeColor="text1" w:themeTint="F2"/>
                <w:spacing w:val="-4"/>
                <w:lang w:val="en-GB"/>
              </w:rPr>
              <w:t>s</w:t>
            </w:r>
            <w:r w:rsidR="00EC398B">
              <w:rPr>
                <w:rFonts w:cs="Arial"/>
                <w:color w:val="0D0D0D" w:themeColor="text1" w:themeTint="F2"/>
                <w:spacing w:val="-4"/>
                <w:lang w:val="en-GB"/>
              </w:rPr>
              <w:t>,</w:t>
            </w:r>
            <w:r w:rsidRPr="004D2BFB">
              <w:rPr>
                <w:rFonts w:cs="Arial"/>
                <w:color w:val="0D0D0D" w:themeColor="text1" w:themeTint="F2"/>
                <w:spacing w:val="-4"/>
                <w:lang w:val="en-GB"/>
              </w:rPr>
              <w:t xml:space="preserve"> who</w:t>
            </w:r>
            <w:r w:rsidR="00AD75F9">
              <w:rPr>
                <w:rFonts w:cs="Arial"/>
                <w:color w:val="0D0D0D" w:themeColor="text1" w:themeTint="F2"/>
                <w:spacing w:val="-4"/>
                <w:lang w:val="en-GB"/>
              </w:rPr>
              <w:t xml:space="preserve"> stated that they want to work, however </w:t>
            </w:r>
            <w:proofErr w:type="gramStart"/>
            <w:r w:rsidR="00AD75F9">
              <w:rPr>
                <w:rFonts w:cs="Arial"/>
                <w:color w:val="0D0D0D" w:themeColor="text1" w:themeTint="F2"/>
                <w:spacing w:val="-4"/>
                <w:lang w:val="en-GB"/>
              </w:rPr>
              <w:t>were</w:t>
            </w:r>
            <w:proofErr w:type="gramEnd"/>
            <w:r w:rsidR="00AD75F9">
              <w:rPr>
                <w:rFonts w:cs="Arial"/>
                <w:color w:val="0D0D0D" w:themeColor="text1" w:themeTint="F2"/>
                <w:spacing w:val="-4"/>
                <w:lang w:val="en-GB"/>
              </w:rPr>
              <w:t xml:space="preserve"> not actively seeking a </w:t>
            </w:r>
            <w:r w:rsidR="00C92E80">
              <w:rPr>
                <w:rFonts w:cs="Arial"/>
                <w:color w:val="0D0D0D" w:themeColor="text1" w:themeTint="F2"/>
                <w:spacing w:val="-4"/>
                <w:lang w:val="en-GB"/>
              </w:rPr>
              <w:t>job</w:t>
            </w:r>
            <w:r w:rsidR="00C92E80" w:rsidRPr="004D2BFB">
              <w:rPr>
                <w:rFonts w:cs="Arial"/>
                <w:color w:val="0D0D0D" w:themeColor="text1" w:themeTint="F2"/>
                <w:spacing w:val="-4"/>
                <w:lang w:val="en-GB"/>
              </w:rPr>
              <w:t xml:space="preserve"> </w:t>
            </w:r>
            <w:r w:rsidR="00EC398B">
              <w:rPr>
                <w:rFonts w:cs="Arial"/>
                <w:color w:val="0D0D0D" w:themeColor="text1" w:themeTint="F2"/>
                <w:spacing w:val="-4"/>
                <w:lang w:val="en-GB"/>
              </w:rPr>
              <w:t>also decreased year-on-year</w:t>
            </w:r>
            <w:r w:rsidR="00EC398B" w:rsidRPr="004D2BFB">
              <w:rPr>
                <w:rFonts w:cs="Arial"/>
                <w:color w:val="0D0D0D" w:themeColor="text1" w:themeTint="F2"/>
                <w:spacing w:val="-4"/>
                <w:lang w:val="en-GB"/>
              </w:rPr>
              <w:t xml:space="preserve"> </w:t>
            </w:r>
            <w:r w:rsidR="00C92E80" w:rsidRPr="004D2BFB">
              <w:rPr>
                <w:rFonts w:cs="Arial"/>
                <w:color w:val="0D0D0D" w:themeColor="text1" w:themeTint="F2"/>
                <w:spacing w:val="-4"/>
                <w:lang w:val="en-GB"/>
              </w:rPr>
              <w:t>(</w:t>
            </w:r>
            <w:r w:rsidR="00EF416C">
              <w:rPr>
                <w:rFonts w:cs="Arial"/>
                <w:color w:val="0D0D0D" w:themeColor="text1" w:themeTint="F2"/>
                <w:spacing w:val="-4"/>
                <w:lang w:val="en-GB"/>
              </w:rPr>
              <w:t xml:space="preserve">to </w:t>
            </w:r>
            <w:r w:rsidR="0036710C" w:rsidRPr="004D2BFB">
              <w:rPr>
                <w:rFonts w:cs="Arial"/>
                <w:color w:val="0D0D0D" w:themeColor="text1" w:themeTint="F2"/>
                <w:spacing w:val="-4"/>
                <w:lang w:val="en-GB"/>
              </w:rPr>
              <w:t>120 t</w:t>
            </w:r>
            <w:r w:rsidR="00EF416C">
              <w:rPr>
                <w:rFonts w:cs="Arial"/>
                <w:color w:val="0D0D0D" w:themeColor="text1" w:themeTint="F2"/>
                <w:spacing w:val="-4"/>
                <w:lang w:val="en-GB"/>
              </w:rPr>
              <w:t>housand persons in Q2</w:t>
            </w:r>
            <w:r w:rsidR="0036710C" w:rsidRPr="004D2BFB">
              <w:rPr>
                <w:rFonts w:cs="Arial"/>
                <w:color w:val="0D0D0D" w:themeColor="text1" w:themeTint="F2"/>
                <w:spacing w:val="-4"/>
                <w:lang w:val="en-GB"/>
              </w:rPr>
              <w:t>)</w:t>
            </w:r>
            <w:r w:rsidR="0036710C" w:rsidRPr="004D2BFB">
              <w:rPr>
                <w:rStyle w:val="Znakapoznpodarou"/>
                <w:color w:val="0D0D0D" w:themeColor="text1" w:themeTint="F2"/>
                <w:spacing w:val="-4"/>
                <w:lang w:val="en-GB"/>
              </w:rPr>
              <w:footnoteReference w:id="4"/>
            </w:r>
            <w:r w:rsidR="0036710C" w:rsidRPr="004D2BFB">
              <w:rPr>
                <w:rFonts w:cs="Arial"/>
                <w:color w:val="0D0D0D" w:themeColor="text1" w:themeTint="F2"/>
                <w:spacing w:val="-4"/>
                <w:lang w:val="en-GB"/>
              </w:rPr>
              <w:t xml:space="preserve">. </w:t>
            </w:r>
            <w:r w:rsidR="00C64620">
              <w:rPr>
                <w:rFonts w:cs="Arial"/>
                <w:color w:val="0D0D0D" w:themeColor="text1" w:themeTint="F2"/>
                <w:spacing w:val="-4"/>
                <w:lang w:val="en-GB"/>
              </w:rPr>
              <w:t xml:space="preserve">The businesses thus had to solve their need for further human </w:t>
            </w:r>
            <w:r w:rsidR="00F863B7">
              <w:rPr>
                <w:rFonts w:cs="Arial"/>
                <w:color w:val="0D0D0D" w:themeColor="text1" w:themeTint="F2"/>
                <w:spacing w:val="-4"/>
                <w:lang w:val="en-GB"/>
              </w:rPr>
              <w:t>resources</w:t>
            </w:r>
            <w:r w:rsidR="00C64620">
              <w:rPr>
                <w:rFonts w:cs="Arial"/>
                <w:color w:val="0D0D0D" w:themeColor="text1" w:themeTint="F2"/>
                <w:spacing w:val="-4"/>
                <w:lang w:val="en-GB"/>
              </w:rPr>
              <w:t xml:space="preserve"> by headhunting </w:t>
            </w:r>
            <w:r w:rsidR="00F863B7">
              <w:rPr>
                <w:rFonts w:cs="Arial"/>
                <w:color w:val="0D0D0D" w:themeColor="text1" w:themeTint="F2"/>
                <w:spacing w:val="-4"/>
                <w:lang w:val="en-GB"/>
              </w:rPr>
              <w:t xml:space="preserve">current employees on the labour market </w:t>
            </w:r>
            <w:r w:rsidR="00C64620">
              <w:rPr>
                <w:rFonts w:cs="Arial"/>
                <w:color w:val="0D0D0D" w:themeColor="text1" w:themeTint="F2"/>
                <w:spacing w:val="-4"/>
                <w:lang w:val="en-GB"/>
              </w:rPr>
              <w:t xml:space="preserve">more and more often. </w:t>
            </w:r>
            <w:r w:rsidR="001B22AA">
              <w:rPr>
                <w:rFonts w:cs="Arial"/>
                <w:color w:val="0D0D0D" w:themeColor="text1" w:themeTint="F2"/>
                <w:spacing w:val="-4"/>
                <w:lang w:val="en-GB"/>
              </w:rPr>
              <w:t xml:space="preserve">This had to echo in the more frequent utilisation of the recruiting benefits, but mostly in the growth of the average wages. </w:t>
            </w:r>
          </w:p>
        </w:tc>
      </w:tr>
    </w:tbl>
    <w:p w:rsidR="0036710C" w:rsidRDefault="0036710C"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Default="009D2275" w:rsidP="0036710C">
      <w:pPr>
        <w:pStyle w:val="Textpoznpodarou"/>
        <w:jc w:val="both"/>
        <w:rPr>
          <w:rFonts w:cs="Arial"/>
          <w:color w:val="000000"/>
          <w:spacing w:val="-2"/>
          <w:sz w:val="15"/>
          <w:szCs w:val="15"/>
        </w:rPr>
      </w:pPr>
    </w:p>
    <w:p w:rsidR="009D2275" w:rsidRPr="00814E7D" w:rsidRDefault="009D2275" w:rsidP="0036710C">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1B22AA" w:rsidP="00853C0F">
            <w:pPr>
              <w:pStyle w:val="Textpoznpodarou"/>
              <w:jc w:val="both"/>
              <w:rPr>
                <w:highlight w:val="yellow"/>
              </w:rPr>
            </w:pPr>
            <w:r>
              <w:rPr>
                <w:color w:val="000000"/>
              </w:rPr>
              <w:t>Chart 17</w:t>
            </w:r>
          </w:p>
        </w:tc>
        <w:tc>
          <w:tcPr>
            <w:tcW w:w="3262" w:type="pct"/>
          </w:tcPr>
          <w:p w:rsidR="00D80F8E" w:rsidRDefault="009A38F8" w:rsidP="009A38F8">
            <w:pPr>
              <w:pStyle w:val="Textpoznpodarou"/>
              <w:rPr>
                <w:b/>
                <w:spacing w:val="-2"/>
                <w:lang w:val="en-GB" w:eastAsia="en-US"/>
              </w:rPr>
            </w:pPr>
            <w:r w:rsidRPr="009A38F8">
              <w:rPr>
                <w:b/>
                <w:spacing w:val="-2"/>
                <w:lang w:val="en-GB" w:eastAsia="en-US"/>
              </w:rPr>
              <w:t xml:space="preserve">Average gross monthly wage and wage median </w:t>
            </w:r>
          </w:p>
          <w:p w:rsidR="0036710C" w:rsidRPr="009A38F8" w:rsidRDefault="0036710C" w:rsidP="009A38F8">
            <w:pPr>
              <w:pStyle w:val="Textpoznpodarou"/>
              <w:rPr>
                <w:spacing w:val="-2"/>
                <w:lang w:val="en-GB" w:eastAsia="en-US"/>
              </w:rPr>
            </w:pPr>
            <w:r w:rsidRPr="009A38F8">
              <w:rPr>
                <w:spacing w:val="-6"/>
                <w:lang w:val="en-GB" w:eastAsia="en-US"/>
              </w:rPr>
              <w:t>(</w:t>
            </w:r>
            <w:proofErr w:type="gramStart"/>
            <w:r w:rsidR="009A38F8" w:rsidRPr="009A38F8">
              <w:rPr>
                <w:spacing w:val="-6"/>
                <w:lang w:val="en-GB" w:eastAsia="en-US"/>
              </w:rPr>
              <w:t>employees</w:t>
            </w:r>
            <w:proofErr w:type="gramEnd"/>
            <w:r w:rsidR="00D80F8E">
              <w:rPr>
                <w:spacing w:val="-6"/>
                <w:lang w:val="en-GB" w:eastAsia="en-US"/>
              </w:rPr>
              <w:t xml:space="preserve"> in full- time equivalent</w:t>
            </w:r>
            <w:r w:rsidR="009A38F8" w:rsidRPr="009A38F8">
              <w:rPr>
                <w:spacing w:val="-6"/>
                <w:lang w:val="en-GB" w:eastAsia="en-US"/>
              </w:rPr>
              <w:t xml:space="preserve">, year-on-year </w:t>
            </w:r>
            <w:r w:rsidR="00954C8E">
              <w:rPr>
                <w:spacing w:val="-6"/>
                <w:lang w:val="en-GB" w:eastAsia="en-US"/>
              </w:rPr>
              <w:t>in %</w:t>
            </w:r>
            <w:r w:rsidRPr="009A38F8">
              <w:rPr>
                <w:bCs/>
                <w:spacing w:val="-2"/>
                <w:lang w:val="en-GB"/>
              </w:rPr>
              <w:t>)</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4" w:type="pct"/>
            <w:gridSpan w:val="2"/>
          </w:tcPr>
          <w:p w:rsidR="0036710C" w:rsidRDefault="00486640" w:rsidP="00853C0F">
            <w:pPr>
              <w:pStyle w:val="Textpoznpodarou"/>
              <w:ind w:left="-124"/>
              <w:jc w:val="both"/>
              <w:rPr>
                <w:sz w:val="16"/>
                <w:szCs w:val="16"/>
              </w:rPr>
            </w:pPr>
            <w:r>
              <w:rPr>
                <w:noProof/>
                <w:sz w:val="16"/>
                <w:szCs w:val="16"/>
              </w:rPr>
              <w:drawing>
                <wp:inline distT="0" distB="0" distL="0" distR="0">
                  <wp:extent cx="4737600" cy="3528000"/>
                  <wp:effectExtent l="1905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6640" w:rsidRDefault="0036710C">
            <w:pPr>
              <w:pStyle w:val="Textpoznpodarou"/>
              <w:ind w:left="-124"/>
              <w:jc w:val="right"/>
              <w:rPr>
                <w:sz w:val="14"/>
                <w:szCs w:val="14"/>
              </w:rPr>
            </w:pPr>
            <w:r>
              <w:rPr>
                <w:rFonts w:cs="Arial"/>
                <w:sz w:val="14"/>
                <w:szCs w:val="14"/>
              </w:rPr>
              <w:t xml:space="preserve"> </w:t>
            </w:r>
            <w:proofErr w:type="spellStart"/>
            <w:r w:rsidR="004C65FD">
              <w:rPr>
                <w:rFonts w:cs="Arial"/>
                <w:sz w:val="14"/>
                <w:szCs w:val="14"/>
              </w:rPr>
              <w:t>Source</w:t>
            </w:r>
            <w:proofErr w:type="spellEnd"/>
            <w:r w:rsidRPr="00535F78">
              <w:rPr>
                <w:rFonts w:cs="Arial"/>
                <w:sz w:val="14"/>
                <w:szCs w:val="14"/>
              </w:rPr>
              <w:t xml:space="preserve">: </w:t>
            </w:r>
            <w:r w:rsidR="004C65FD">
              <w:rPr>
                <w:rFonts w:cs="Arial"/>
                <w:sz w:val="14"/>
                <w:szCs w:val="14"/>
              </w:rPr>
              <w:t>CZSO</w:t>
            </w:r>
          </w:p>
        </w:tc>
      </w:tr>
    </w:tbl>
    <w:p w:rsidR="0036710C" w:rsidRPr="0074690B" w:rsidRDefault="0036710C" w:rsidP="0036710C">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36710C" w:rsidRPr="00AD0FC0" w:rsidTr="00853C0F">
        <w:trPr>
          <w:trHeight w:val="145"/>
        </w:trPr>
        <w:tc>
          <w:tcPr>
            <w:tcW w:w="1016" w:type="pct"/>
            <w:shd w:val="clear" w:color="auto" w:fill="auto"/>
          </w:tcPr>
          <w:p w:rsidR="0036710C" w:rsidRPr="0028013E" w:rsidRDefault="0028013E" w:rsidP="00853C0F">
            <w:pPr>
              <w:spacing w:line="240" w:lineRule="auto"/>
              <w:rPr>
                <w:rFonts w:cs="Arial"/>
                <w:bCs/>
                <w:iCs/>
                <w:color w:val="0D0D0D" w:themeColor="text1" w:themeTint="F2"/>
                <w:spacing w:val="-4"/>
                <w:sz w:val="16"/>
                <w:szCs w:val="16"/>
                <w:lang w:val="en-GB"/>
              </w:rPr>
            </w:pPr>
            <w:r w:rsidRPr="0028013E">
              <w:rPr>
                <w:rFonts w:cs="Arial"/>
                <w:bCs/>
                <w:iCs/>
                <w:color w:val="0D0D0D" w:themeColor="text1" w:themeTint="F2"/>
                <w:spacing w:val="-4"/>
                <w:sz w:val="16"/>
                <w:szCs w:val="16"/>
                <w:lang w:val="en-GB"/>
              </w:rPr>
              <w:t xml:space="preserve">Growth of the average nominal wages accelerated year-on-year </w:t>
            </w:r>
            <w:r>
              <w:rPr>
                <w:rFonts w:cs="Arial"/>
                <w:bCs/>
                <w:iCs/>
                <w:color w:val="0D0D0D" w:themeColor="text1" w:themeTint="F2"/>
                <w:spacing w:val="-4"/>
                <w:sz w:val="16"/>
                <w:szCs w:val="16"/>
                <w:lang w:val="en-GB"/>
              </w:rPr>
              <w:t>d</w:t>
            </w:r>
            <w:r w:rsidRPr="0028013E">
              <w:rPr>
                <w:rFonts w:cs="Arial"/>
                <w:bCs/>
                <w:iCs/>
                <w:color w:val="0D0D0D" w:themeColor="text1" w:themeTint="F2"/>
                <w:spacing w:val="-4"/>
                <w:sz w:val="16"/>
                <w:szCs w:val="16"/>
                <w:lang w:val="en-GB"/>
              </w:rPr>
              <w:t xml:space="preserve">uring the first half of </w:t>
            </w:r>
            <w:r w:rsidR="00026B47">
              <w:rPr>
                <w:rFonts w:cs="Arial"/>
                <w:bCs/>
                <w:iCs/>
                <w:color w:val="0D0D0D" w:themeColor="text1" w:themeTint="F2"/>
                <w:spacing w:val="-4"/>
                <w:sz w:val="16"/>
                <w:szCs w:val="16"/>
                <w:lang w:val="en-GB"/>
              </w:rPr>
              <w:t>2017</w:t>
            </w:r>
            <w:r w:rsidRPr="0028013E">
              <w:rPr>
                <w:rFonts w:cs="Arial"/>
                <w:bCs/>
                <w:iCs/>
                <w:color w:val="0D0D0D" w:themeColor="text1" w:themeTint="F2"/>
                <w:spacing w:val="-4"/>
                <w:sz w:val="16"/>
                <w:szCs w:val="16"/>
                <w:lang w:val="en-GB"/>
              </w:rPr>
              <w:t xml:space="preserve"> and approached the pace from years </w:t>
            </w:r>
            <w:r w:rsidR="0036710C" w:rsidRPr="0028013E">
              <w:rPr>
                <w:rFonts w:cs="Arial"/>
                <w:bCs/>
                <w:iCs/>
                <w:color w:val="0D0D0D" w:themeColor="text1" w:themeTint="F2"/>
                <w:spacing w:val="-4"/>
                <w:sz w:val="16"/>
                <w:szCs w:val="16"/>
                <w:lang w:val="en-GB"/>
              </w:rPr>
              <w:t>2007 – 2008.</w:t>
            </w: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28013E"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Inter</w:t>
            </w:r>
            <w:r w:rsidR="00ED2670">
              <w:rPr>
                <w:rFonts w:cs="Arial"/>
                <w:bCs/>
                <w:iCs/>
                <w:color w:val="0D0D0D" w:themeColor="text1" w:themeTint="F2"/>
                <w:spacing w:val="-4"/>
                <w:sz w:val="16"/>
                <w:szCs w:val="16"/>
                <w:lang w:val="en-GB"/>
              </w:rPr>
              <w:t>-</w:t>
            </w:r>
            <w:r>
              <w:rPr>
                <w:rFonts w:cs="Arial"/>
                <w:bCs/>
                <w:iCs/>
                <w:color w:val="0D0D0D" w:themeColor="text1" w:themeTint="F2"/>
                <w:spacing w:val="-4"/>
                <w:sz w:val="16"/>
                <w:szCs w:val="16"/>
                <w:lang w:val="en-GB"/>
              </w:rPr>
              <w:t xml:space="preserve">branch differences in the size of wages slightly shrank. Average earnings rose relatively the fastest in branches with the lowest level of wages in the long-term. </w:t>
            </w:r>
          </w:p>
          <w:p w:rsidR="0036710C" w:rsidRPr="0028013E" w:rsidRDefault="0036710C" w:rsidP="00853C0F">
            <w:pPr>
              <w:spacing w:line="240" w:lineRule="auto"/>
              <w:rPr>
                <w:rFonts w:cs="Arial"/>
                <w:bCs/>
                <w:iCs/>
                <w:color w:val="0D0D0D" w:themeColor="text1" w:themeTint="F2"/>
                <w:spacing w:val="-2"/>
                <w:sz w:val="16"/>
                <w:szCs w:val="16"/>
                <w:lang w:val="en-GB"/>
              </w:rPr>
            </w:pPr>
          </w:p>
          <w:p w:rsidR="0036710C" w:rsidRPr="0028013E" w:rsidRDefault="0036710C" w:rsidP="00853C0F">
            <w:pPr>
              <w:spacing w:line="240" w:lineRule="auto"/>
              <w:rPr>
                <w:rFonts w:cs="Arial"/>
                <w:bCs/>
                <w:iCs/>
                <w:color w:val="0D0D0D" w:themeColor="text1" w:themeTint="F2"/>
                <w:spacing w:val="-2"/>
                <w:sz w:val="16"/>
                <w:szCs w:val="16"/>
                <w:lang w:val="en-GB"/>
              </w:rPr>
            </w:pPr>
          </w:p>
          <w:p w:rsidR="0036710C" w:rsidRPr="0028013E" w:rsidRDefault="00C01A3C" w:rsidP="00853C0F">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t xml:space="preserve">The purchasing power of wages grew in Q2 the most since the beginning of year 2007 despite the strengthening inflation. </w:t>
            </w:r>
          </w:p>
        </w:tc>
        <w:tc>
          <w:tcPr>
            <w:tcW w:w="144" w:type="pct"/>
          </w:tcPr>
          <w:p w:rsidR="0036710C" w:rsidRPr="0028013E" w:rsidRDefault="0036710C" w:rsidP="00853C0F">
            <w:pPr>
              <w:pStyle w:val="Textpoznpodarou"/>
              <w:jc w:val="both"/>
              <w:rPr>
                <w:rFonts w:cs="Arial"/>
                <w:color w:val="0D0D0D" w:themeColor="text1" w:themeTint="F2"/>
                <w:spacing w:val="-4"/>
                <w:lang w:val="en-GB"/>
              </w:rPr>
            </w:pPr>
          </w:p>
        </w:tc>
        <w:tc>
          <w:tcPr>
            <w:tcW w:w="3840" w:type="pct"/>
          </w:tcPr>
          <w:p w:rsidR="00FA4BFF" w:rsidRDefault="00C01A3C"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Year-on-year rate of growth of average nominal wages fluctuated tightly below 4</w:t>
            </w:r>
            <w:r w:rsidR="00954C8E">
              <w:rPr>
                <w:rFonts w:cs="Arial"/>
                <w:color w:val="0D0D0D" w:themeColor="text1" w:themeTint="F2"/>
                <w:spacing w:val="-4"/>
                <w:lang w:val="en-GB"/>
              </w:rPr>
              <w:t>%</w:t>
            </w:r>
            <w:r>
              <w:rPr>
                <w:rFonts w:cs="Arial"/>
                <w:color w:val="0D0D0D" w:themeColor="text1" w:themeTint="F2"/>
                <w:spacing w:val="-4"/>
                <w:lang w:val="en-GB"/>
              </w:rPr>
              <w:t xml:space="preserve"> during the last year. It gradually accelerated in the following two quarters </w:t>
            </w:r>
            <w:r w:rsidR="0036710C" w:rsidRPr="0028013E">
              <w:rPr>
                <w:rFonts w:cs="Arial"/>
                <w:color w:val="0D0D0D" w:themeColor="text1" w:themeTint="F2"/>
                <w:spacing w:val="-4"/>
                <w:lang w:val="en-GB"/>
              </w:rPr>
              <w:t>(</w:t>
            </w:r>
            <w:r>
              <w:rPr>
                <w:rFonts w:cs="Arial"/>
                <w:color w:val="0D0D0D" w:themeColor="text1" w:themeTint="F2"/>
                <w:spacing w:val="-4"/>
                <w:lang w:val="en-GB"/>
              </w:rPr>
              <w:t xml:space="preserve">up to </w:t>
            </w:r>
            <w:r w:rsidR="0036710C" w:rsidRPr="0028013E">
              <w:rPr>
                <w:rFonts w:cs="Arial"/>
                <w:color w:val="0D0D0D" w:themeColor="text1" w:themeTint="F2"/>
                <w:spacing w:val="-4"/>
                <w:lang w:val="en-GB"/>
              </w:rPr>
              <w:t>7</w:t>
            </w:r>
            <w:r>
              <w:rPr>
                <w:rFonts w:cs="Arial"/>
                <w:color w:val="0D0D0D" w:themeColor="text1" w:themeTint="F2"/>
                <w:spacing w:val="-4"/>
                <w:lang w:val="en-GB"/>
              </w:rPr>
              <w:t>.</w:t>
            </w:r>
            <w:r w:rsidR="0036710C" w:rsidRPr="0028013E">
              <w:rPr>
                <w:rFonts w:cs="Arial"/>
                <w:color w:val="0D0D0D" w:themeColor="text1" w:themeTint="F2"/>
                <w:spacing w:val="-4"/>
                <w:lang w:val="en-GB"/>
              </w:rPr>
              <w:t>6</w:t>
            </w:r>
            <w:r w:rsidR="00954C8E">
              <w:rPr>
                <w:rFonts w:cs="Arial"/>
                <w:color w:val="0D0D0D" w:themeColor="text1" w:themeTint="F2"/>
                <w:spacing w:val="-4"/>
                <w:lang w:val="en-GB"/>
              </w:rPr>
              <w:t>%</w:t>
            </w:r>
            <w:r w:rsidR="0036710C" w:rsidRPr="0028013E">
              <w:rPr>
                <w:rStyle w:val="Znakapoznpodarou"/>
                <w:color w:val="0D0D0D" w:themeColor="text1" w:themeTint="F2"/>
                <w:spacing w:val="-4"/>
                <w:lang w:val="en-GB"/>
              </w:rPr>
              <w:footnoteReference w:id="5"/>
            </w:r>
            <w:r>
              <w:rPr>
                <w:rFonts w:cs="Arial"/>
                <w:color w:val="0D0D0D" w:themeColor="text1" w:themeTint="F2"/>
                <w:spacing w:val="-4"/>
                <w:lang w:val="en-GB"/>
              </w:rPr>
              <w:t xml:space="preserve"> in Q</w:t>
            </w:r>
            <w:r w:rsidR="0036710C" w:rsidRPr="0028013E">
              <w:rPr>
                <w:rFonts w:cs="Arial"/>
                <w:color w:val="0D0D0D" w:themeColor="text1" w:themeTint="F2"/>
                <w:spacing w:val="-4"/>
                <w:lang w:val="en-GB"/>
              </w:rPr>
              <w:t>2</w:t>
            </w:r>
            <w:r>
              <w:rPr>
                <w:rFonts w:cs="Arial"/>
                <w:color w:val="0D0D0D" w:themeColor="text1" w:themeTint="F2"/>
                <w:spacing w:val="-4"/>
                <w:lang w:val="en-GB"/>
              </w:rPr>
              <w:t xml:space="preserve"> </w:t>
            </w:r>
            <w:r w:rsidR="0036710C" w:rsidRPr="0028013E">
              <w:rPr>
                <w:rFonts w:cs="Arial"/>
                <w:color w:val="0D0D0D" w:themeColor="text1" w:themeTint="F2"/>
                <w:spacing w:val="-4"/>
                <w:lang w:val="en-GB"/>
              </w:rPr>
              <w:t>2017) a</w:t>
            </w:r>
            <w:r>
              <w:rPr>
                <w:rFonts w:cs="Arial"/>
                <w:color w:val="0D0D0D" w:themeColor="text1" w:themeTint="F2"/>
                <w:spacing w:val="-4"/>
                <w:lang w:val="en-GB"/>
              </w:rPr>
              <w:t xml:space="preserve">nd approached the dynamics common in years </w:t>
            </w:r>
            <w:r w:rsidR="0036710C" w:rsidRPr="0028013E">
              <w:rPr>
                <w:rFonts w:cs="Arial"/>
                <w:color w:val="0D0D0D" w:themeColor="text1" w:themeTint="F2"/>
                <w:spacing w:val="-4"/>
                <w:lang w:val="en-GB"/>
              </w:rPr>
              <w:t>2007 a</w:t>
            </w:r>
            <w:r>
              <w:rPr>
                <w:rFonts w:cs="Arial"/>
                <w:color w:val="0D0D0D" w:themeColor="text1" w:themeTint="F2"/>
                <w:spacing w:val="-4"/>
                <w:lang w:val="en-GB"/>
              </w:rPr>
              <w:t>nd</w:t>
            </w:r>
            <w:r w:rsidR="0036710C" w:rsidRPr="0028013E">
              <w:rPr>
                <w:rFonts w:cs="Arial"/>
                <w:color w:val="0D0D0D" w:themeColor="text1" w:themeTint="F2"/>
                <w:spacing w:val="-4"/>
                <w:lang w:val="en-GB"/>
              </w:rPr>
              <w:t xml:space="preserve"> 2008. </w:t>
            </w:r>
            <w:r>
              <w:rPr>
                <w:rFonts w:cs="Arial"/>
                <w:color w:val="0D0D0D" w:themeColor="text1" w:themeTint="F2"/>
                <w:spacing w:val="-4"/>
                <w:lang w:val="en-GB"/>
              </w:rPr>
              <w:t>The wages rose by 6.5</w:t>
            </w:r>
            <w:r w:rsidR="00954C8E">
              <w:rPr>
                <w:rFonts w:cs="Arial"/>
                <w:color w:val="0D0D0D" w:themeColor="text1" w:themeTint="F2"/>
                <w:spacing w:val="-4"/>
                <w:lang w:val="en-GB"/>
              </w:rPr>
              <w:t>%</w:t>
            </w:r>
            <w:r>
              <w:rPr>
                <w:rFonts w:cs="Arial"/>
                <w:color w:val="0D0D0D" w:themeColor="text1" w:themeTint="F2"/>
                <w:spacing w:val="-4"/>
                <w:lang w:val="en-GB"/>
              </w:rPr>
              <w:t xml:space="preserve"> in total for </w:t>
            </w:r>
            <w:r w:rsidR="00FA4BFF">
              <w:rPr>
                <w:rFonts w:cs="Arial"/>
                <w:color w:val="0D0D0D" w:themeColor="text1" w:themeTint="F2"/>
                <w:spacing w:val="-4"/>
                <w:lang w:val="en-GB"/>
              </w:rPr>
              <w:t>H1 2017</w:t>
            </w:r>
            <w:r>
              <w:rPr>
                <w:rFonts w:cs="Arial"/>
                <w:color w:val="0D0D0D" w:themeColor="text1" w:themeTint="F2"/>
                <w:spacing w:val="-4"/>
                <w:lang w:val="en-GB"/>
              </w:rPr>
              <w:t xml:space="preserve"> and they grew in all sections of activities. </w:t>
            </w:r>
            <w:r w:rsidR="00753D29">
              <w:rPr>
                <w:rFonts w:cs="Arial"/>
                <w:color w:val="0D0D0D" w:themeColor="text1" w:themeTint="F2"/>
                <w:spacing w:val="-4"/>
                <w:lang w:val="en-GB"/>
              </w:rPr>
              <w:t>They increased by 7.1</w:t>
            </w:r>
            <w:r w:rsidR="00954C8E">
              <w:rPr>
                <w:rFonts w:cs="Arial"/>
                <w:color w:val="0D0D0D" w:themeColor="text1" w:themeTint="F2"/>
                <w:spacing w:val="-4"/>
                <w:lang w:val="en-GB"/>
              </w:rPr>
              <w:t>%</w:t>
            </w:r>
            <w:r w:rsidR="00753D29">
              <w:rPr>
                <w:rFonts w:cs="Arial"/>
                <w:color w:val="0D0D0D" w:themeColor="text1" w:themeTint="F2"/>
                <w:spacing w:val="-4"/>
                <w:lang w:val="en-GB"/>
              </w:rPr>
              <w:t xml:space="preserve"> in the weight dominant manufacturing. Still, the size of wages remained only negligibly above the level of the national economy in this activity. The highest growth was attained in the relatively small activities with low wage level – accommodation, food service activities and restaurants</w:t>
            </w:r>
            <w:r w:rsidR="00C63E8F">
              <w:rPr>
                <w:rFonts w:cs="Arial"/>
                <w:color w:val="0D0D0D" w:themeColor="text1" w:themeTint="F2"/>
                <w:spacing w:val="-4"/>
                <w:lang w:val="en-GB"/>
              </w:rPr>
              <w:t xml:space="preserve"> (+13.8</w:t>
            </w:r>
            <w:r w:rsidR="00954C8E">
              <w:rPr>
                <w:rFonts w:cs="Arial"/>
                <w:color w:val="0D0D0D" w:themeColor="text1" w:themeTint="F2"/>
                <w:spacing w:val="-4"/>
                <w:lang w:val="en-GB"/>
              </w:rPr>
              <w:t>%</w:t>
            </w:r>
            <w:r w:rsidR="00C63E8F">
              <w:rPr>
                <w:rFonts w:cs="Arial"/>
                <w:color w:val="0D0D0D" w:themeColor="text1" w:themeTint="F2"/>
                <w:spacing w:val="-4"/>
                <w:lang w:val="en-GB"/>
              </w:rPr>
              <w:t xml:space="preserve">) </w:t>
            </w:r>
            <w:r w:rsidR="0036710C" w:rsidRPr="0028013E">
              <w:rPr>
                <w:rFonts w:cs="Arial"/>
                <w:color w:val="0D0D0D" w:themeColor="text1" w:themeTint="F2"/>
                <w:spacing w:val="-4"/>
                <w:lang w:val="en-GB"/>
              </w:rPr>
              <w:t>a</w:t>
            </w:r>
            <w:r w:rsidR="00610F00">
              <w:rPr>
                <w:rFonts w:cs="Arial"/>
                <w:color w:val="0D0D0D" w:themeColor="text1" w:themeTint="F2"/>
                <w:spacing w:val="-4"/>
                <w:lang w:val="en-GB"/>
              </w:rPr>
              <w:t xml:space="preserve">nd administrative and support services activities </w:t>
            </w:r>
            <w:r w:rsidR="0036710C" w:rsidRPr="0028013E">
              <w:rPr>
                <w:rFonts w:cs="Arial"/>
                <w:color w:val="0D0D0D" w:themeColor="text1" w:themeTint="F2"/>
                <w:spacing w:val="-4"/>
                <w:lang w:val="en-GB"/>
              </w:rPr>
              <w:t>(+8</w:t>
            </w:r>
            <w:r w:rsidR="00C63E8F">
              <w:rPr>
                <w:rFonts w:cs="Arial"/>
                <w:color w:val="0D0D0D" w:themeColor="text1" w:themeTint="F2"/>
                <w:spacing w:val="-4"/>
                <w:lang w:val="en-GB"/>
              </w:rPr>
              <w:t>.</w:t>
            </w:r>
            <w:r w:rsidR="0036710C" w:rsidRPr="0028013E">
              <w:rPr>
                <w:rFonts w:cs="Arial"/>
                <w:color w:val="0D0D0D" w:themeColor="text1" w:themeTint="F2"/>
                <w:spacing w:val="-4"/>
                <w:lang w:val="en-GB"/>
              </w:rPr>
              <w:t>7</w:t>
            </w:r>
            <w:r w:rsidR="00954C8E">
              <w:rPr>
                <w:rFonts w:cs="Arial"/>
                <w:color w:val="0D0D0D" w:themeColor="text1" w:themeTint="F2"/>
                <w:spacing w:val="-4"/>
                <w:lang w:val="en-GB"/>
              </w:rPr>
              <w:t>%</w:t>
            </w:r>
            <w:r w:rsidR="0036710C" w:rsidRPr="0028013E">
              <w:rPr>
                <w:rFonts w:cs="Arial"/>
                <w:color w:val="0D0D0D" w:themeColor="text1" w:themeTint="F2"/>
                <w:spacing w:val="-4"/>
                <w:lang w:val="en-GB"/>
              </w:rPr>
              <w:t xml:space="preserve">). </w:t>
            </w:r>
            <w:r w:rsidR="00C63E8F">
              <w:rPr>
                <w:rFonts w:cs="Arial"/>
                <w:color w:val="0D0D0D" w:themeColor="text1" w:themeTint="F2"/>
                <w:spacing w:val="-4"/>
                <w:lang w:val="en-GB"/>
              </w:rPr>
              <w:t xml:space="preserve">High rates of growth reflected the January increase of the minimum wage in the economy (from </w:t>
            </w:r>
            <w:r w:rsidR="0036710C" w:rsidRPr="0028013E">
              <w:rPr>
                <w:rFonts w:cs="Arial"/>
                <w:color w:val="0D0D0D" w:themeColor="text1" w:themeTint="F2"/>
                <w:spacing w:val="-4"/>
                <w:lang w:val="en-GB"/>
              </w:rPr>
              <w:t xml:space="preserve">9 900 </w:t>
            </w:r>
            <w:r w:rsidR="00C63E8F">
              <w:rPr>
                <w:rFonts w:cs="Arial"/>
                <w:color w:val="0D0D0D" w:themeColor="text1" w:themeTint="F2"/>
                <w:spacing w:val="-4"/>
                <w:lang w:val="en-GB"/>
              </w:rPr>
              <w:t>to</w:t>
            </w:r>
            <w:r w:rsidR="0036710C" w:rsidRPr="0028013E">
              <w:rPr>
                <w:rFonts w:cs="Arial"/>
                <w:color w:val="0D0D0D" w:themeColor="text1" w:themeTint="F2"/>
                <w:spacing w:val="-4"/>
                <w:lang w:val="en-GB"/>
              </w:rPr>
              <w:t xml:space="preserve"> 11</w:t>
            </w:r>
            <w:r w:rsidR="00C63E8F">
              <w:rPr>
                <w:rFonts w:cs="Arial"/>
                <w:color w:val="0D0D0D" w:themeColor="text1" w:themeTint="F2"/>
                <w:spacing w:val="-4"/>
                <w:lang w:val="en-GB"/>
              </w:rPr>
              <w:t> </w:t>
            </w:r>
            <w:r w:rsidR="0036710C" w:rsidRPr="0028013E">
              <w:rPr>
                <w:rFonts w:cs="Arial"/>
                <w:color w:val="0D0D0D" w:themeColor="text1" w:themeTint="F2"/>
                <w:spacing w:val="-4"/>
                <w:lang w:val="en-GB"/>
              </w:rPr>
              <w:t>000</w:t>
            </w:r>
            <w:r w:rsidR="00C63E8F">
              <w:rPr>
                <w:rFonts w:cs="Arial"/>
                <w:color w:val="0D0D0D" w:themeColor="text1" w:themeTint="F2"/>
                <w:spacing w:val="-4"/>
                <w:lang w:val="en-GB"/>
              </w:rPr>
              <w:t xml:space="preserve"> crowns</w:t>
            </w:r>
            <w:r w:rsidR="0036710C" w:rsidRPr="0028013E">
              <w:rPr>
                <w:rFonts w:cs="Arial"/>
                <w:color w:val="0D0D0D" w:themeColor="text1" w:themeTint="F2"/>
                <w:spacing w:val="-4"/>
                <w:lang w:val="en-GB"/>
              </w:rPr>
              <w:t xml:space="preserve">). </w:t>
            </w:r>
            <w:r w:rsidR="00610F00">
              <w:rPr>
                <w:rFonts w:cs="Arial"/>
                <w:color w:val="0D0D0D" w:themeColor="text1" w:themeTint="F2"/>
                <w:spacing w:val="-4"/>
                <w:lang w:val="en-GB"/>
              </w:rPr>
              <w:t xml:space="preserve">Financial and insurance activities </w:t>
            </w:r>
            <w:r w:rsidR="00C63E8F">
              <w:rPr>
                <w:rFonts w:cs="Arial"/>
                <w:color w:val="0D0D0D" w:themeColor="text1" w:themeTint="F2"/>
                <w:spacing w:val="-4"/>
                <w:lang w:val="en-GB"/>
              </w:rPr>
              <w:t xml:space="preserve">maintained the position of activity with the highest level of wages also thanks to the traditional pay out of half-yearly </w:t>
            </w:r>
            <w:proofErr w:type="gramStart"/>
            <w:r w:rsidR="00C63E8F">
              <w:rPr>
                <w:rFonts w:cs="Arial"/>
                <w:color w:val="0D0D0D" w:themeColor="text1" w:themeTint="F2"/>
                <w:spacing w:val="-4"/>
                <w:lang w:val="en-GB"/>
              </w:rPr>
              <w:t>benefits,</w:t>
            </w:r>
            <w:proofErr w:type="gramEnd"/>
            <w:r w:rsidR="00C63E8F">
              <w:rPr>
                <w:rFonts w:cs="Arial"/>
                <w:color w:val="0D0D0D" w:themeColor="text1" w:themeTint="F2"/>
                <w:spacing w:val="-4"/>
                <w:lang w:val="en-GB"/>
              </w:rPr>
              <w:t xml:space="preserve"> the wages however grew only by 3.7</w:t>
            </w:r>
            <w:r w:rsidR="00954C8E">
              <w:rPr>
                <w:rFonts w:cs="Arial"/>
                <w:color w:val="0D0D0D" w:themeColor="text1" w:themeTint="F2"/>
                <w:spacing w:val="-4"/>
                <w:lang w:val="en-GB"/>
              </w:rPr>
              <w:t>%</w:t>
            </w:r>
            <w:r w:rsidR="00C63E8F">
              <w:rPr>
                <w:rFonts w:cs="Arial"/>
                <w:color w:val="0D0D0D" w:themeColor="text1" w:themeTint="F2"/>
                <w:spacing w:val="-4"/>
                <w:lang w:val="en-GB"/>
              </w:rPr>
              <w:t xml:space="preserve"> in this activity compared to last year´s H1</w:t>
            </w:r>
            <w:r w:rsidR="0036710C" w:rsidRPr="0028013E">
              <w:rPr>
                <w:rStyle w:val="Znakapoznpodarou"/>
                <w:color w:val="0D0D0D" w:themeColor="text1" w:themeTint="F2"/>
                <w:spacing w:val="-4"/>
                <w:lang w:val="en-GB"/>
              </w:rPr>
              <w:footnoteReference w:id="6"/>
            </w:r>
            <w:r w:rsidR="0036710C" w:rsidRPr="0028013E">
              <w:rPr>
                <w:rFonts w:cs="Arial"/>
                <w:color w:val="0D0D0D" w:themeColor="text1" w:themeTint="F2"/>
                <w:spacing w:val="-4"/>
                <w:lang w:val="en-GB"/>
              </w:rPr>
              <w:t xml:space="preserve">. </w:t>
            </w:r>
            <w:r w:rsidR="00333E05">
              <w:rPr>
                <w:rFonts w:cs="Arial"/>
                <w:color w:val="0D0D0D" w:themeColor="text1" w:themeTint="F2"/>
                <w:spacing w:val="-4"/>
                <w:lang w:val="en-GB"/>
              </w:rPr>
              <w:t>The employees are better of</w:t>
            </w:r>
            <w:r w:rsidR="00610F00">
              <w:rPr>
                <w:rFonts w:cs="Arial"/>
                <w:color w:val="0D0D0D" w:themeColor="text1" w:themeTint="F2"/>
                <w:spacing w:val="-4"/>
                <w:lang w:val="en-GB"/>
              </w:rPr>
              <w:t>f</w:t>
            </w:r>
            <w:r w:rsidR="00333E05">
              <w:rPr>
                <w:rFonts w:cs="Arial"/>
                <w:color w:val="0D0D0D" w:themeColor="text1" w:themeTint="F2"/>
                <w:spacing w:val="-4"/>
                <w:lang w:val="en-GB"/>
              </w:rPr>
              <w:t xml:space="preserve"> in both absolute and relative terms in </w:t>
            </w:r>
            <w:proofErr w:type="spellStart"/>
            <w:r w:rsidR="00333E05">
              <w:rPr>
                <w:rFonts w:cs="Arial"/>
                <w:color w:val="0D0D0D" w:themeColor="text1" w:themeTint="F2"/>
                <w:spacing w:val="-4"/>
                <w:lang w:val="en-GB"/>
              </w:rPr>
              <w:t>energetics</w:t>
            </w:r>
            <w:proofErr w:type="spellEnd"/>
            <w:r w:rsidR="00333E05">
              <w:rPr>
                <w:rFonts w:cs="Arial"/>
                <w:color w:val="0D0D0D" w:themeColor="text1" w:themeTint="F2"/>
                <w:spacing w:val="-4"/>
                <w:lang w:val="en-GB"/>
              </w:rPr>
              <w:t xml:space="preserve"> an</w:t>
            </w:r>
            <w:r w:rsidR="00610F00">
              <w:rPr>
                <w:rFonts w:cs="Arial"/>
                <w:color w:val="0D0D0D" w:themeColor="text1" w:themeTint="F2"/>
                <w:spacing w:val="-4"/>
                <w:lang w:val="en-GB"/>
              </w:rPr>
              <w:t>d information and communication</w:t>
            </w:r>
            <w:r w:rsidR="00333E05">
              <w:rPr>
                <w:rFonts w:cs="Arial"/>
                <w:color w:val="0D0D0D" w:themeColor="text1" w:themeTint="F2"/>
                <w:spacing w:val="-4"/>
                <w:lang w:val="en-GB"/>
              </w:rPr>
              <w:t xml:space="preserve">. The </w:t>
            </w:r>
            <w:r w:rsidR="00FA4BFF">
              <w:rPr>
                <w:rFonts w:cs="Arial"/>
                <w:color w:val="0D0D0D" w:themeColor="text1" w:themeTint="F2"/>
                <w:spacing w:val="-4"/>
                <w:lang w:val="en-GB"/>
              </w:rPr>
              <w:t xml:space="preserve">growth of </w:t>
            </w:r>
            <w:r w:rsidR="00333E05">
              <w:rPr>
                <w:rFonts w:cs="Arial"/>
                <w:color w:val="0D0D0D" w:themeColor="text1" w:themeTint="F2"/>
                <w:spacing w:val="-4"/>
                <w:lang w:val="en-GB"/>
              </w:rPr>
              <w:t xml:space="preserve">volume of paid out wages was more than double compared to the financial sector (especially thanks to the brisk pace of growth of employment). The </w:t>
            </w:r>
            <w:r w:rsidR="00FA4BFF">
              <w:rPr>
                <w:rFonts w:cs="Arial"/>
                <w:color w:val="0D0D0D" w:themeColor="text1" w:themeTint="F2"/>
                <w:spacing w:val="-4"/>
                <w:lang w:val="en-GB"/>
              </w:rPr>
              <w:t xml:space="preserve">average </w:t>
            </w:r>
            <w:r w:rsidR="00333E05">
              <w:rPr>
                <w:rFonts w:cs="Arial"/>
                <w:color w:val="0D0D0D" w:themeColor="text1" w:themeTint="F2"/>
                <w:spacing w:val="-4"/>
                <w:lang w:val="en-GB"/>
              </w:rPr>
              <w:t>wage rate of growth (+4.0</w:t>
            </w:r>
            <w:r w:rsidR="00954C8E">
              <w:rPr>
                <w:rFonts w:cs="Arial"/>
                <w:color w:val="0D0D0D" w:themeColor="text1" w:themeTint="F2"/>
                <w:spacing w:val="-4"/>
                <w:lang w:val="en-GB"/>
              </w:rPr>
              <w:t>%</w:t>
            </w:r>
            <w:r w:rsidR="00333E05">
              <w:rPr>
                <w:rFonts w:cs="Arial"/>
                <w:color w:val="0D0D0D" w:themeColor="text1" w:themeTint="F2"/>
                <w:spacing w:val="-4"/>
                <w:lang w:val="en-GB"/>
              </w:rPr>
              <w:t>) mildly lagged behind the growth of the registered number of employees also in the professional, scientific and technical activities. The wages increased in the activities with the dominant participation of state</w:t>
            </w:r>
            <w:r w:rsidR="00FA4BFF">
              <w:rPr>
                <w:rFonts w:cs="Arial"/>
                <w:color w:val="0D0D0D" w:themeColor="text1" w:themeTint="F2"/>
                <w:spacing w:val="-4"/>
                <w:lang w:val="en-GB"/>
              </w:rPr>
              <w:t xml:space="preserve"> –</w:t>
            </w:r>
            <w:r w:rsidR="00333E05">
              <w:rPr>
                <w:rFonts w:cs="Arial"/>
                <w:color w:val="0D0D0D" w:themeColor="text1" w:themeTint="F2"/>
                <w:spacing w:val="-4"/>
                <w:lang w:val="en-GB"/>
              </w:rPr>
              <w:t xml:space="preserve"> the most in the health care and social care </w:t>
            </w:r>
            <w:r w:rsidR="0036710C" w:rsidRPr="0028013E">
              <w:rPr>
                <w:rFonts w:cs="Arial"/>
                <w:color w:val="0D0D0D" w:themeColor="text1" w:themeTint="F2"/>
                <w:spacing w:val="-4"/>
                <w:lang w:val="en-GB"/>
              </w:rPr>
              <w:t>(+7</w:t>
            </w:r>
            <w:r w:rsidR="00333E05">
              <w:rPr>
                <w:rFonts w:cs="Arial"/>
                <w:color w:val="0D0D0D" w:themeColor="text1" w:themeTint="F2"/>
                <w:spacing w:val="-4"/>
                <w:lang w:val="en-GB"/>
              </w:rPr>
              <w:t>.</w:t>
            </w:r>
            <w:r w:rsidR="0036710C" w:rsidRPr="0028013E">
              <w:rPr>
                <w:rFonts w:cs="Arial"/>
                <w:color w:val="0D0D0D" w:themeColor="text1" w:themeTint="F2"/>
                <w:spacing w:val="-4"/>
                <w:lang w:val="en-GB"/>
              </w:rPr>
              <w:t>5</w:t>
            </w:r>
            <w:r w:rsidR="00954C8E">
              <w:rPr>
                <w:rFonts w:cs="Arial"/>
                <w:color w:val="0D0D0D" w:themeColor="text1" w:themeTint="F2"/>
                <w:spacing w:val="-4"/>
                <w:lang w:val="en-GB"/>
              </w:rPr>
              <w:t>%</w:t>
            </w:r>
            <w:r w:rsidR="0036710C" w:rsidRPr="0028013E">
              <w:rPr>
                <w:rFonts w:cs="Arial"/>
                <w:color w:val="0D0D0D" w:themeColor="text1" w:themeTint="F2"/>
                <w:spacing w:val="-4"/>
                <w:lang w:val="en-GB"/>
              </w:rPr>
              <w:t xml:space="preserve">). </w:t>
            </w:r>
            <w:r w:rsidR="00D543F9">
              <w:rPr>
                <w:rFonts w:cs="Arial"/>
                <w:color w:val="0D0D0D" w:themeColor="text1" w:themeTint="F2"/>
                <w:spacing w:val="-4"/>
                <w:lang w:val="en-GB"/>
              </w:rPr>
              <w:t xml:space="preserve">Despite a marked quickening of the </w:t>
            </w:r>
            <w:r w:rsidR="007C7E1C">
              <w:rPr>
                <w:rFonts w:cs="Arial"/>
                <w:color w:val="0D0D0D" w:themeColor="text1" w:themeTint="F2"/>
                <w:spacing w:val="-4"/>
                <w:lang w:val="en-GB"/>
              </w:rPr>
              <w:t>rate</w:t>
            </w:r>
            <w:r w:rsidR="00D543F9">
              <w:rPr>
                <w:rFonts w:cs="Arial"/>
                <w:color w:val="0D0D0D" w:themeColor="text1" w:themeTint="F2"/>
                <w:spacing w:val="-4"/>
                <w:lang w:val="en-GB"/>
              </w:rPr>
              <w:t xml:space="preserve"> of growth (from last year´s +2.0% to 5.1</w:t>
            </w:r>
            <w:r w:rsidR="00954C8E">
              <w:rPr>
                <w:rFonts w:cs="Arial"/>
                <w:color w:val="0D0D0D" w:themeColor="text1" w:themeTint="F2"/>
                <w:spacing w:val="-4"/>
                <w:lang w:val="en-GB"/>
              </w:rPr>
              <w:t>%</w:t>
            </w:r>
            <w:r w:rsidR="00D543F9">
              <w:rPr>
                <w:rFonts w:cs="Arial"/>
                <w:color w:val="0D0D0D" w:themeColor="text1" w:themeTint="F2"/>
                <w:spacing w:val="-4"/>
                <w:lang w:val="en-GB"/>
              </w:rPr>
              <w:t xml:space="preserve">), the wage growth remained below the level of the whole economy in education </w:t>
            </w:r>
            <w:r w:rsidR="007C7E1C">
              <w:rPr>
                <w:rFonts w:cs="Arial"/>
                <w:color w:val="0D0D0D" w:themeColor="text1" w:themeTint="F2"/>
                <w:spacing w:val="-4"/>
                <w:lang w:val="en-GB"/>
              </w:rPr>
              <w:t xml:space="preserve">also this year. </w:t>
            </w:r>
          </w:p>
          <w:p w:rsidR="00FA4BFF" w:rsidRDefault="00FA4BFF" w:rsidP="00853C0F">
            <w:pPr>
              <w:pStyle w:val="Textpoznpodarou"/>
              <w:jc w:val="both"/>
              <w:rPr>
                <w:rFonts w:cs="Arial"/>
                <w:color w:val="0D0D0D" w:themeColor="text1" w:themeTint="F2"/>
                <w:spacing w:val="-4"/>
                <w:lang w:val="en-GB"/>
              </w:rPr>
            </w:pPr>
          </w:p>
          <w:p w:rsidR="0036710C" w:rsidRDefault="00FA4BFF"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Despite the strengthening growth of the consumer prices, t</w:t>
            </w:r>
            <w:r w:rsidR="007C7E1C">
              <w:rPr>
                <w:rFonts w:cs="Arial"/>
                <w:color w:val="0D0D0D" w:themeColor="text1" w:themeTint="F2"/>
                <w:spacing w:val="-4"/>
                <w:lang w:val="en-GB"/>
              </w:rPr>
              <w:t>he real wages improved by significant 4.1</w:t>
            </w:r>
            <w:r w:rsidR="00954C8E">
              <w:rPr>
                <w:rFonts w:cs="Arial"/>
                <w:color w:val="0D0D0D" w:themeColor="text1" w:themeTint="F2"/>
                <w:spacing w:val="-4"/>
                <w:lang w:val="en-GB"/>
              </w:rPr>
              <w:t>%</w:t>
            </w:r>
            <w:r w:rsidR="007C7E1C">
              <w:rPr>
                <w:rFonts w:cs="Arial"/>
                <w:color w:val="0D0D0D" w:themeColor="text1" w:themeTint="F2"/>
                <w:spacing w:val="-4"/>
                <w:lang w:val="en-GB"/>
              </w:rPr>
              <w:t xml:space="preserve"> in the whole economy in H1, even by 5.3</w:t>
            </w:r>
            <w:r w:rsidR="00954C8E">
              <w:rPr>
                <w:rFonts w:cs="Arial"/>
                <w:color w:val="0D0D0D" w:themeColor="text1" w:themeTint="F2"/>
                <w:spacing w:val="-4"/>
                <w:lang w:val="en-GB"/>
              </w:rPr>
              <w:t>%</w:t>
            </w:r>
            <w:r w:rsidR="007C7E1C">
              <w:rPr>
                <w:rFonts w:cs="Arial"/>
                <w:color w:val="0D0D0D" w:themeColor="text1" w:themeTint="F2"/>
                <w:spacing w:val="-4"/>
                <w:lang w:val="en-GB"/>
              </w:rPr>
              <w:t xml:space="preserve"> in Q2 (the highest year-on-year rate of growth since Q1 2007).  </w:t>
            </w:r>
          </w:p>
          <w:p w:rsidR="007C7E1C" w:rsidRPr="0028013E" w:rsidRDefault="007C7E1C" w:rsidP="00853C0F">
            <w:pPr>
              <w:pStyle w:val="Textpoznpodarou"/>
              <w:jc w:val="both"/>
              <w:rPr>
                <w:rFonts w:cs="Arial"/>
                <w:color w:val="0D0D0D" w:themeColor="text1" w:themeTint="F2"/>
                <w:spacing w:val="-4"/>
                <w:lang w:val="en-GB"/>
              </w:rPr>
            </w:pPr>
          </w:p>
        </w:tc>
      </w:tr>
    </w:tbl>
    <w:p w:rsidR="0036710C" w:rsidRPr="0036710C" w:rsidRDefault="0036710C" w:rsidP="00D94859">
      <w:pPr>
        <w:rPr>
          <w:sz w:val="2"/>
          <w:szCs w:val="2"/>
          <w:lang w:eastAsia="ar-SA"/>
        </w:rPr>
      </w:pPr>
    </w:p>
    <w:sectPr w:rsidR="0036710C" w:rsidRPr="0036710C" w:rsidSect="009D2275">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85" w:rsidRDefault="00DF6185" w:rsidP="00E71A58">
      <w:r>
        <w:separator/>
      </w:r>
    </w:p>
  </w:endnote>
  <w:endnote w:type="continuationSeparator" w:id="0">
    <w:p w:rsidR="00DF6185" w:rsidRDefault="00DF618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921EB1" w:rsidRPr="005A21E0">
      <w:rPr>
        <w:rFonts w:ascii="Arial" w:hAnsi="Arial" w:cs="Arial"/>
        <w:sz w:val="16"/>
        <w:szCs w:val="16"/>
      </w:rPr>
      <w:fldChar w:fldCharType="begin"/>
    </w:r>
    <w:r w:rsidRPr="005A21E0">
      <w:rPr>
        <w:rFonts w:ascii="Arial" w:hAnsi="Arial" w:cs="Arial"/>
        <w:sz w:val="16"/>
        <w:szCs w:val="16"/>
      </w:rPr>
      <w:instrText>PAGE   \* MERGEFORMAT</w:instrText>
    </w:r>
    <w:r w:rsidR="00921EB1" w:rsidRPr="005A21E0">
      <w:rPr>
        <w:rFonts w:ascii="Arial" w:hAnsi="Arial" w:cs="Arial"/>
        <w:sz w:val="16"/>
        <w:szCs w:val="16"/>
      </w:rPr>
      <w:fldChar w:fldCharType="separate"/>
    </w:r>
    <w:r w:rsidR="009D2275">
      <w:rPr>
        <w:rFonts w:ascii="Arial" w:hAnsi="Arial" w:cs="Arial"/>
        <w:noProof/>
        <w:sz w:val="16"/>
        <w:szCs w:val="16"/>
      </w:rPr>
      <w:t>22</w:t>
    </w:r>
    <w:r w:rsidR="00921EB1"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rPr>
        <w:noProof/>
        <w:lang w:eastAsia="cs-CZ"/>
      </w:rPr>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921EB1"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921EB1" w:rsidRPr="00223E00">
      <w:rPr>
        <w:rFonts w:ascii="Arial" w:hAnsi="Arial" w:cs="Arial"/>
        <w:sz w:val="16"/>
        <w:szCs w:val="16"/>
      </w:rPr>
      <w:fldChar w:fldCharType="separate"/>
    </w:r>
    <w:r w:rsidR="009D2275">
      <w:rPr>
        <w:rFonts w:ascii="Arial" w:hAnsi="Arial" w:cs="Arial"/>
        <w:noProof/>
        <w:sz w:val="16"/>
        <w:szCs w:val="16"/>
      </w:rPr>
      <w:t>21</w:t>
    </w:r>
    <w:r w:rsidR="00921EB1"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85" w:rsidRDefault="00DF6185" w:rsidP="00E71A58">
      <w:r>
        <w:separator/>
      </w:r>
    </w:p>
  </w:footnote>
  <w:footnote w:type="continuationSeparator" w:id="0">
    <w:p w:rsidR="00DF6185" w:rsidRDefault="00DF6185" w:rsidP="00E71A58">
      <w:r>
        <w:continuationSeparator/>
      </w:r>
    </w:p>
  </w:footnote>
  <w:footnote w:id="1">
    <w:p w:rsidR="00486640" w:rsidRPr="004E4A7B" w:rsidRDefault="00486640" w:rsidP="009A696E">
      <w:pPr>
        <w:pStyle w:val="Textpoznpodarou"/>
        <w:jc w:val="both"/>
        <w:rPr>
          <w:sz w:val="16"/>
          <w:szCs w:val="16"/>
          <w:lang w:val="en-GB"/>
        </w:rPr>
      </w:pPr>
      <w:r>
        <w:rPr>
          <w:rStyle w:val="Znakapoznpodarou"/>
          <w:sz w:val="16"/>
          <w:szCs w:val="16"/>
        </w:rPr>
        <w:footnoteRef/>
      </w:r>
      <w:r>
        <w:rPr>
          <w:sz w:val="16"/>
          <w:szCs w:val="16"/>
        </w:rPr>
        <w:t xml:space="preserve"> </w:t>
      </w:r>
      <w:r w:rsidRPr="004E4A7B">
        <w:rPr>
          <w:sz w:val="16"/>
          <w:szCs w:val="16"/>
          <w:lang w:val="en-GB"/>
        </w:rPr>
        <w:t xml:space="preserve">Unless stated otherwise, data regarding employment are in the conception of the national accounts adjusted for seasonal effects in this chapter. </w:t>
      </w:r>
    </w:p>
  </w:footnote>
  <w:footnote w:id="2">
    <w:p w:rsidR="00486640" w:rsidRPr="00D944E7" w:rsidRDefault="00486640" w:rsidP="0036710C">
      <w:pPr>
        <w:pStyle w:val="Textpoznpodarou"/>
        <w:jc w:val="both"/>
        <w:rPr>
          <w:spacing w:val="-4"/>
          <w:sz w:val="16"/>
          <w:szCs w:val="16"/>
          <w:lang w:val="en-GB"/>
        </w:rPr>
      </w:pPr>
      <w:r w:rsidRPr="00352482">
        <w:rPr>
          <w:rStyle w:val="Znakapoznpodarou"/>
          <w:spacing w:val="-4"/>
          <w:sz w:val="16"/>
          <w:szCs w:val="16"/>
        </w:rPr>
        <w:footnoteRef/>
      </w:r>
      <w:r w:rsidRPr="00352482">
        <w:rPr>
          <w:spacing w:val="-4"/>
          <w:sz w:val="16"/>
          <w:szCs w:val="16"/>
        </w:rPr>
        <w:t xml:space="preserve"> </w:t>
      </w:r>
      <w:proofErr w:type="gramStart"/>
      <w:r w:rsidRPr="00D944E7">
        <w:rPr>
          <w:spacing w:val="-4"/>
          <w:sz w:val="16"/>
          <w:szCs w:val="16"/>
          <w:lang w:val="en-GB"/>
        </w:rPr>
        <w:t>Includes branches: Public administration</w:t>
      </w:r>
      <w:r>
        <w:rPr>
          <w:spacing w:val="-4"/>
          <w:sz w:val="16"/>
          <w:szCs w:val="16"/>
          <w:lang w:val="en-GB"/>
        </w:rPr>
        <w:t xml:space="preserve"> and defence</w:t>
      </w:r>
      <w:r w:rsidRPr="00D944E7">
        <w:rPr>
          <w:spacing w:val="-4"/>
          <w:sz w:val="16"/>
          <w:szCs w:val="16"/>
          <w:lang w:val="en-GB"/>
        </w:rPr>
        <w:t>, education, health and social work</w:t>
      </w:r>
      <w:r>
        <w:rPr>
          <w:spacing w:val="-4"/>
          <w:sz w:val="16"/>
          <w:szCs w:val="16"/>
          <w:lang w:val="en-GB"/>
        </w:rPr>
        <w:t>.</w:t>
      </w:r>
      <w:proofErr w:type="gramEnd"/>
    </w:p>
  </w:footnote>
  <w:footnote w:id="3">
    <w:p w:rsidR="00486640" w:rsidRPr="004D2BFB" w:rsidRDefault="00486640" w:rsidP="0036710C">
      <w:pPr>
        <w:pStyle w:val="Textpoznpodarou"/>
        <w:jc w:val="both"/>
        <w:rPr>
          <w:sz w:val="16"/>
          <w:szCs w:val="16"/>
          <w:lang w:val="en-GB"/>
        </w:rPr>
      </w:pPr>
      <w:r w:rsidRPr="00352482">
        <w:rPr>
          <w:rStyle w:val="Znakapoznpodarou"/>
          <w:spacing w:val="-4"/>
          <w:sz w:val="16"/>
          <w:szCs w:val="16"/>
        </w:rPr>
        <w:footnoteRef/>
      </w:r>
      <w:r w:rsidRPr="00352482">
        <w:rPr>
          <w:spacing w:val="-4"/>
          <w:sz w:val="16"/>
          <w:szCs w:val="16"/>
        </w:rPr>
        <w:t xml:space="preserve"> </w:t>
      </w:r>
      <w:r w:rsidRPr="004D2BFB">
        <w:rPr>
          <w:spacing w:val="-4"/>
          <w:sz w:val="16"/>
          <w:szCs w:val="16"/>
          <w:lang w:val="en-GB"/>
        </w:rPr>
        <w:t>The unemployment rate in this group came to 14.4</w:t>
      </w:r>
      <w:r>
        <w:rPr>
          <w:spacing w:val="-4"/>
          <w:sz w:val="16"/>
          <w:szCs w:val="16"/>
          <w:lang w:val="en-GB"/>
        </w:rPr>
        <w:t>%</w:t>
      </w:r>
      <w:r w:rsidRPr="004D2BFB">
        <w:rPr>
          <w:spacing w:val="-4"/>
          <w:sz w:val="16"/>
          <w:szCs w:val="16"/>
          <w:lang w:val="en-GB"/>
        </w:rPr>
        <w:t xml:space="preserve"> in Q2 2017, 21.4</w:t>
      </w:r>
      <w:r>
        <w:rPr>
          <w:spacing w:val="-4"/>
          <w:sz w:val="16"/>
          <w:szCs w:val="16"/>
          <w:lang w:val="en-GB"/>
        </w:rPr>
        <w:t>%</w:t>
      </w:r>
      <w:r w:rsidRPr="004D2BFB">
        <w:rPr>
          <w:spacing w:val="-4"/>
          <w:sz w:val="16"/>
          <w:szCs w:val="16"/>
          <w:lang w:val="en-GB"/>
        </w:rPr>
        <w:t xml:space="preserve"> a year ago. The participation of persons with the </w:t>
      </w:r>
      <w:r>
        <w:rPr>
          <w:spacing w:val="-4"/>
          <w:sz w:val="16"/>
          <w:szCs w:val="16"/>
          <w:lang w:val="en-GB"/>
        </w:rPr>
        <w:t>primary</w:t>
      </w:r>
      <w:r w:rsidRPr="004D2BFB">
        <w:rPr>
          <w:spacing w:val="-4"/>
          <w:sz w:val="16"/>
          <w:szCs w:val="16"/>
          <w:lang w:val="en-GB"/>
        </w:rPr>
        <w:t xml:space="preserve"> education among economically active aged 15 – 64 years ended below 5</w:t>
      </w:r>
      <w:r>
        <w:rPr>
          <w:spacing w:val="-4"/>
          <w:sz w:val="16"/>
          <w:szCs w:val="16"/>
          <w:lang w:val="en-GB"/>
        </w:rPr>
        <w:t>%</w:t>
      </w:r>
      <w:r w:rsidRPr="004D2BFB">
        <w:rPr>
          <w:spacing w:val="-4"/>
          <w:sz w:val="16"/>
          <w:szCs w:val="16"/>
          <w:lang w:val="en-GB"/>
        </w:rPr>
        <w:t xml:space="preserve"> in the CR. It represented the second lowest proportion among the all EU countries.  </w:t>
      </w:r>
    </w:p>
  </w:footnote>
  <w:footnote w:id="4">
    <w:p w:rsidR="00486640" w:rsidRPr="000446A3" w:rsidRDefault="00486640" w:rsidP="000446A3">
      <w:pPr>
        <w:pStyle w:val="Textpoznpodarou"/>
        <w:jc w:val="both"/>
        <w:rPr>
          <w:sz w:val="16"/>
          <w:szCs w:val="16"/>
          <w:lang w:val="en-GB"/>
        </w:rPr>
      </w:pPr>
      <w:r w:rsidRPr="00431E19">
        <w:rPr>
          <w:rStyle w:val="Znakapoznpodarou"/>
          <w:sz w:val="16"/>
          <w:szCs w:val="16"/>
        </w:rPr>
        <w:footnoteRef/>
      </w:r>
      <w:r w:rsidRPr="00431E19">
        <w:rPr>
          <w:sz w:val="16"/>
          <w:szCs w:val="16"/>
        </w:rPr>
        <w:t xml:space="preserve"> </w:t>
      </w:r>
      <w:r w:rsidRPr="000446A3">
        <w:rPr>
          <w:sz w:val="16"/>
          <w:szCs w:val="16"/>
          <w:lang w:val="en-GB"/>
        </w:rPr>
        <w:t xml:space="preserve">However, it was mostly persons, which could not enter the employment immediately for various reasons. Only 35 thousand persons </w:t>
      </w:r>
      <w:r>
        <w:rPr>
          <w:sz w:val="16"/>
          <w:szCs w:val="16"/>
          <w:lang w:val="en-GB"/>
        </w:rPr>
        <w:t>could</w:t>
      </w:r>
      <w:r w:rsidRPr="000446A3">
        <w:rPr>
          <w:sz w:val="16"/>
          <w:szCs w:val="16"/>
          <w:lang w:val="en-GB"/>
        </w:rPr>
        <w:t xml:space="preserve"> start a job within two weeks. Similarly, low numbers were last recorded in the period of the business cycle peak of the last decade. </w:t>
      </w:r>
    </w:p>
  </w:footnote>
  <w:footnote w:id="5">
    <w:p w:rsidR="00486640" w:rsidRPr="000446A3" w:rsidRDefault="00486640" w:rsidP="000446A3">
      <w:pPr>
        <w:pStyle w:val="Textpoznpodarou"/>
        <w:jc w:val="both"/>
        <w:rPr>
          <w:sz w:val="16"/>
          <w:szCs w:val="16"/>
          <w:lang w:val="en-GB"/>
        </w:rPr>
      </w:pPr>
      <w:r w:rsidRPr="000446A3">
        <w:rPr>
          <w:rStyle w:val="Znakapoznpodarou"/>
          <w:sz w:val="16"/>
          <w:szCs w:val="16"/>
          <w:lang w:val="en-GB"/>
        </w:rPr>
        <w:footnoteRef/>
      </w:r>
      <w:r w:rsidRPr="000446A3">
        <w:rPr>
          <w:sz w:val="16"/>
          <w:szCs w:val="16"/>
          <w:lang w:val="en-GB"/>
        </w:rPr>
        <w:t>The effect of the wage acceleration was even magnified by the fact, that there w</w:t>
      </w:r>
      <w:r>
        <w:rPr>
          <w:sz w:val="16"/>
          <w:szCs w:val="16"/>
          <w:lang w:val="en-GB"/>
        </w:rPr>
        <w:t>ere</w:t>
      </w:r>
      <w:r w:rsidRPr="000446A3">
        <w:rPr>
          <w:sz w:val="16"/>
          <w:szCs w:val="16"/>
          <w:lang w:val="en-GB"/>
        </w:rPr>
        <w:t xml:space="preserve"> four working days less in Q2 2017 year-on-year. This was reflected in the lower number of hours worked (for employees, it presented a reduction of 2.8</w:t>
      </w:r>
      <w:r>
        <w:rPr>
          <w:sz w:val="16"/>
          <w:szCs w:val="16"/>
          <w:lang w:val="en-GB"/>
        </w:rPr>
        <w:t>%</w:t>
      </w:r>
      <w:r w:rsidRPr="000446A3">
        <w:rPr>
          <w:sz w:val="16"/>
          <w:szCs w:val="16"/>
          <w:lang w:val="en-GB"/>
        </w:rPr>
        <w:t xml:space="preserve"> based on the national accounts data). </w:t>
      </w:r>
    </w:p>
  </w:footnote>
  <w:footnote w:id="6">
    <w:p w:rsidR="00486640" w:rsidRPr="000446A3" w:rsidRDefault="00486640" w:rsidP="000446A3">
      <w:pPr>
        <w:pStyle w:val="Textpoznpodarou"/>
        <w:jc w:val="both"/>
        <w:rPr>
          <w:sz w:val="15"/>
          <w:szCs w:val="15"/>
          <w:lang w:val="en-GB"/>
        </w:rPr>
      </w:pPr>
      <w:r w:rsidRPr="000446A3">
        <w:rPr>
          <w:rStyle w:val="Znakapoznpodarou"/>
          <w:sz w:val="16"/>
          <w:szCs w:val="16"/>
          <w:lang w:val="en-GB"/>
        </w:rPr>
        <w:footnoteRef/>
      </w:r>
      <w:r w:rsidRPr="000446A3">
        <w:rPr>
          <w:sz w:val="16"/>
          <w:szCs w:val="16"/>
          <w:lang w:val="en-GB"/>
        </w:rPr>
        <w:t xml:space="preserve"> It presented the only case within the all nineteen branch sections of the economy, when this year´s year-on-year growth of the average wages (+3.7</w:t>
      </w:r>
      <w:r>
        <w:rPr>
          <w:sz w:val="16"/>
          <w:szCs w:val="16"/>
          <w:lang w:val="en-GB"/>
        </w:rPr>
        <w:t>%</w:t>
      </w:r>
      <w:r w:rsidRPr="000446A3">
        <w:rPr>
          <w:sz w:val="16"/>
          <w:szCs w:val="16"/>
          <w:lang w:val="en-GB"/>
        </w:rPr>
        <w:t>) lagged behind the similar pace from H1 2016 (+4.0</w:t>
      </w:r>
      <w:r>
        <w:rPr>
          <w:sz w:val="16"/>
          <w:szCs w:val="16"/>
          <w:lang w:val="en-GB"/>
        </w:rPr>
        <w:t>%</w:t>
      </w:r>
      <w:r w:rsidRPr="000446A3">
        <w:rPr>
          <w:sz w:val="16"/>
          <w:szCs w:val="16"/>
          <w:lang w:val="en-GB"/>
        </w:rPr>
        <w:t>).</w:t>
      </w:r>
      <w:r w:rsidRPr="000446A3">
        <w:rPr>
          <w:sz w:val="15"/>
          <w:szCs w:val="15"/>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BE6812"/>
    <w:multiLevelType w:val="hybridMultilevel"/>
    <w:tmpl w:val="86BE92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1"/>
  </w:num>
  <w:num w:numId="9">
    <w:abstractNumId w:val="20"/>
  </w:num>
  <w:num w:numId="10">
    <w:abstractNumId w:val="4"/>
  </w:num>
  <w:num w:numId="11">
    <w:abstractNumId w:val="9"/>
  </w:num>
  <w:num w:numId="12">
    <w:abstractNumId w:val="2"/>
  </w:num>
  <w:num w:numId="13">
    <w:abstractNumId w:val="8"/>
  </w:num>
  <w:num w:numId="14">
    <w:abstractNumId w:val="0"/>
  </w:num>
  <w:num w:numId="15">
    <w:abstractNumId w:val="19"/>
  </w:num>
  <w:num w:numId="16">
    <w:abstractNumId w:val="16"/>
  </w:num>
  <w:num w:numId="17">
    <w:abstractNumId w:val="6"/>
  </w:num>
  <w:num w:numId="18">
    <w:abstractNumId w:val="22"/>
  </w:num>
  <w:num w:numId="19">
    <w:abstractNumId w:val="10"/>
  </w:num>
  <w:num w:numId="20">
    <w:abstractNumId w:val="1"/>
  </w:num>
  <w:num w:numId="21">
    <w:abstractNumId w:val="12"/>
  </w:num>
  <w:num w:numId="22">
    <w:abstractNumId w:val="14"/>
  </w:num>
  <w:num w:numId="23">
    <w:abstractNumId w:val="3"/>
  </w:num>
  <w:num w:numId="24">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EB1"/>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275"/>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A7AD7"/>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185"/>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trh%20pr&#225;ce-2q-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pololet&#237;-aktual\GB%20verze\Engl-Grafy-trh%20pr&#225;ce-2q-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trh%20pr&#225;ce-2q-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1.654988662131527E-2"/>
          <c:w val="0.92698007507126057"/>
          <c:h val="0.7135303287981859"/>
        </c:manualLayout>
      </c:layout>
      <c:barChart>
        <c:barDir val="col"/>
        <c:grouping val="clustered"/>
        <c:ser>
          <c:idx val="0"/>
          <c:order val="0"/>
          <c:tx>
            <c:strRef>
              <c:f>'Trh práce 1'!$C$7</c:f>
              <c:strCache>
                <c:ptCount val="1"/>
                <c:pt idx="0">
                  <c:v>Total employment</c:v>
                </c:pt>
              </c:strCache>
            </c:strRef>
          </c:tx>
          <c:spPr>
            <a:solidFill>
              <a:schemeClr val="bg1">
                <a:lumMod val="50000"/>
              </a:schemeClr>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1'!$C$8:$C$37</c:f>
              <c:numCache>
                <c:formatCode>#,##0.0</c:formatCode>
                <c:ptCount val="30"/>
                <c:pt idx="0" formatCode="0.0">
                  <c:v>-2.7493629357650775</c:v>
                </c:pt>
                <c:pt idx="1">
                  <c:v>-1.231355670101081</c:v>
                </c:pt>
                <c:pt idx="2">
                  <c:v>-0.18766026442571621</c:v>
                </c:pt>
                <c:pt idx="3">
                  <c:v>6.7316120287756714E-2</c:v>
                </c:pt>
                <c:pt idx="4" formatCode="0.0">
                  <c:v>0.10338579028356776</c:v>
                </c:pt>
                <c:pt idx="5">
                  <c:v>2.018958815014571E-3</c:v>
                </c:pt>
                <c:pt idx="6">
                  <c:v>-0.44357673893365812</c:v>
                </c:pt>
                <c:pt idx="7">
                  <c:v>-0.74967660526091662</c:v>
                </c:pt>
                <c:pt idx="8" formatCode="0.0">
                  <c:v>-6.4487376943205443E-2</c:v>
                </c:pt>
                <c:pt idx="9">
                  <c:v>0.15991018585724329</c:v>
                </c:pt>
                <c:pt idx="10">
                  <c:v>0.67126249823633088</c:v>
                </c:pt>
                <c:pt idx="11">
                  <c:v>0.91419179797142669</c:v>
                </c:pt>
                <c:pt idx="12" formatCode="0.0">
                  <c:v>0.4434233641801768</c:v>
                </c:pt>
                <c:pt idx="13">
                  <c:v>0.67770819458962861</c:v>
                </c:pt>
                <c:pt idx="14">
                  <c:v>0.12895197144355536</c:v>
                </c:pt>
                <c:pt idx="15">
                  <c:v>4.0322580645167333E-2</c:v>
                </c:pt>
                <c:pt idx="16" formatCode="0.0">
                  <c:v>0.57697146908898944</c:v>
                </c:pt>
                <c:pt idx="17">
                  <c:v>8.0399106188068045E-2</c:v>
                </c:pt>
                <c:pt idx="18">
                  <c:v>0.61322218939174788</c:v>
                </c:pt>
                <c:pt idx="19">
                  <c:v>0.93792373035557997</c:v>
                </c:pt>
                <c:pt idx="20" formatCode="0.0">
                  <c:v>1.2656993874037683</c:v>
                </c:pt>
                <c:pt idx="21">
                  <c:v>1.7613382287180173</c:v>
                </c:pt>
                <c:pt idx="22">
                  <c:v>1.3482013235820041</c:v>
                </c:pt>
                <c:pt idx="23">
                  <c:v>1.3363413079349578</c:v>
                </c:pt>
                <c:pt idx="24" formatCode="0.0">
                  <c:v>1.25558572910262</c:v>
                </c:pt>
                <c:pt idx="25">
                  <c:v>1.1507983544329499</c:v>
                </c:pt>
                <c:pt idx="26">
                  <c:v>1.2387481612437368</c:v>
                </c:pt>
                <c:pt idx="27">
                  <c:v>1.4978787727267502</c:v>
                </c:pt>
                <c:pt idx="28" formatCode="0.0">
                  <c:v>1.4614799115755517</c:v>
                </c:pt>
                <c:pt idx="29">
                  <c:v>1.3044868387106021</c:v>
                </c:pt>
              </c:numCache>
            </c:numRef>
          </c:val>
        </c:ser>
        <c:ser>
          <c:idx val="1"/>
          <c:order val="1"/>
          <c:tx>
            <c:strRef>
              <c:f>'Trh práce 1'!$D$7</c:f>
              <c:strCache>
                <c:ptCount val="1"/>
                <c:pt idx="0">
                  <c:v>in that employees</c:v>
                </c:pt>
              </c:strCache>
            </c:strRef>
          </c:tx>
          <c:spPr>
            <a:solidFill>
              <a:srgbClr val="B4B4B4"/>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1'!$D$8:$D$37</c:f>
              <c:numCache>
                <c:formatCode>#,##0.0</c:formatCode>
                <c:ptCount val="30"/>
                <c:pt idx="0" formatCode="0.0">
                  <c:v>-3.7183457539311604</c:v>
                </c:pt>
                <c:pt idx="1">
                  <c:v>-2.2037535918506852</c:v>
                </c:pt>
                <c:pt idx="2">
                  <c:v>-0.95031718324349868</c:v>
                </c:pt>
                <c:pt idx="3">
                  <c:v>-0.89602372013739251</c:v>
                </c:pt>
                <c:pt idx="4" formatCode="0.0">
                  <c:v>-0.12541420529301206</c:v>
                </c:pt>
                <c:pt idx="5">
                  <c:v>-0.18074186061507191</c:v>
                </c:pt>
                <c:pt idx="6">
                  <c:v>-0.68532067485385562</c:v>
                </c:pt>
                <c:pt idx="7">
                  <c:v>-1.0055124180924488</c:v>
                </c:pt>
                <c:pt idx="8" formatCode="0.0">
                  <c:v>-0.30649126299194113</c:v>
                </c:pt>
                <c:pt idx="9">
                  <c:v>8.2306292576589668E-2</c:v>
                </c:pt>
                <c:pt idx="10">
                  <c:v>1.1363397269730222</c:v>
                </c:pt>
                <c:pt idx="11">
                  <c:v>1.4752985788288413</c:v>
                </c:pt>
                <c:pt idx="12" formatCode="0.0">
                  <c:v>1.3546733566221858</c:v>
                </c:pt>
                <c:pt idx="13">
                  <c:v>1.6154432368700355</c:v>
                </c:pt>
                <c:pt idx="14">
                  <c:v>0.3694905999272618</c:v>
                </c:pt>
                <c:pt idx="15">
                  <c:v>0.47903550287971086</c:v>
                </c:pt>
                <c:pt idx="16" formatCode="0.0">
                  <c:v>0.66378516215239491</c:v>
                </c:pt>
                <c:pt idx="17">
                  <c:v>0.18975134112584202</c:v>
                </c:pt>
                <c:pt idx="18">
                  <c:v>1.2672516726795198</c:v>
                </c:pt>
                <c:pt idx="19">
                  <c:v>1.4210854345550401</c:v>
                </c:pt>
                <c:pt idx="20" formatCode="0.0">
                  <c:v>1.790279667503242</c:v>
                </c:pt>
                <c:pt idx="21">
                  <c:v>2.2018522696376976</c:v>
                </c:pt>
                <c:pt idx="22">
                  <c:v>1.7829147341944758</c:v>
                </c:pt>
                <c:pt idx="23">
                  <c:v>2.023636901433207</c:v>
                </c:pt>
                <c:pt idx="24" formatCode="0.0">
                  <c:v>1.7634904453369258</c:v>
                </c:pt>
                <c:pt idx="25">
                  <c:v>1.2273587505034556</c:v>
                </c:pt>
                <c:pt idx="26">
                  <c:v>1.101654187187433</c:v>
                </c:pt>
                <c:pt idx="27">
                  <c:v>0.89889101162970231</c:v>
                </c:pt>
                <c:pt idx="28" formatCode="0.0">
                  <c:v>0.87734573109716563</c:v>
                </c:pt>
                <c:pt idx="29">
                  <c:v>1.2321816539755162</c:v>
                </c:pt>
              </c:numCache>
            </c:numRef>
          </c:val>
        </c:ser>
        <c:gapWidth val="68"/>
        <c:axId val="69757952"/>
        <c:axId val="70169344"/>
      </c:barChart>
      <c:lineChart>
        <c:grouping val="standard"/>
        <c:ser>
          <c:idx val="2"/>
          <c:order val="2"/>
          <c:tx>
            <c:strRef>
              <c:f>'Trh práce 1'!$E$7</c:f>
              <c:strCache>
                <c:ptCount val="1"/>
                <c:pt idx="0">
                  <c:v>Manufacturing (total employment)</c:v>
                </c:pt>
              </c:strCache>
            </c:strRef>
          </c:tx>
          <c:spPr>
            <a:ln w="19050">
              <a:solidFill>
                <a:srgbClr val="0071BC"/>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1'!$E$8:$E$37</c:f>
              <c:numCache>
                <c:formatCode>#,##0.0</c:formatCode>
                <c:ptCount val="30"/>
                <c:pt idx="0" formatCode="0.0">
                  <c:v>-7.1328240218293359</c:v>
                </c:pt>
                <c:pt idx="1">
                  <c:v>-3.3483416585653805</c:v>
                </c:pt>
                <c:pt idx="2">
                  <c:v>-1.2053324012494904</c:v>
                </c:pt>
                <c:pt idx="3">
                  <c:v>-0.57131663484785988</c:v>
                </c:pt>
                <c:pt idx="4" formatCode="0.0">
                  <c:v>3.9594013882738421</c:v>
                </c:pt>
                <c:pt idx="5">
                  <c:v>4.29177691707892</c:v>
                </c:pt>
                <c:pt idx="6">
                  <c:v>3.8641041434753776</c:v>
                </c:pt>
                <c:pt idx="7">
                  <c:v>2.3282676220815119</c:v>
                </c:pt>
                <c:pt idx="8" formatCode="0.0">
                  <c:v>0.60345793922903113</c:v>
                </c:pt>
                <c:pt idx="9">
                  <c:v>0.50872672006472897</c:v>
                </c:pt>
                <c:pt idx="10">
                  <c:v>1.2032645570921638</c:v>
                </c:pt>
                <c:pt idx="11">
                  <c:v>1.6438966600367309</c:v>
                </c:pt>
                <c:pt idx="12" formatCode="0.0">
                  <c:v>-0.17866048437355175</c:v>
                </c:pt>
                <c:pt idx="13">
                  <c:v>0.16028267064615417</c:v>
                </c:pt>
                <c:pt idx="14">
                  <c:v>-0.40170171733359439</c:v>
                </c:pt>
                <c:pt idx="15">
                  <c:v>-0.21424103300076119</c:v>
                </c:pt>
                <c:pt idx="16" formatCode="0.0">
                  <c:v>0.79613495033972015</c:v>
                </c:pt>
                <c:pt idx="17">
                  <c:v>0.76079016253729181</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0.44909578511092718</c:v>
                </c:pt>
              </c:numCache>
            </c:numRef>
          </c:val>
        </c:ser>
        <c:ser>
          <c:idx val="3"/>
          <c:order val="3"/>
          <c:tx>
            <c:strRef>
              <c:f>'Trh práce 1'!$F$7</c:f>
              <c:strCache>
                <c:ptCount val="1"/>
                <c:pt idx="0">
                  <c:v>Construction (total employment)</c:v>
                </c:pt>
              </c:strCache>
            </c:strRef>
          </c:tx>
          <c:spPr>
            <a:ln w="19050">
              <a:solidFill>
                <a:srgbClr val="BD1B21"/>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1'!$F$8:$F$37</c:f>
              <c:numCache>
                <c:formatCode>#,##0.0</c:formatCode>
                <c:ptCount val="30"/>
                <c:pt idx="0" formatCode="0.0">
                  <c:v>0.96973743053816186</c:v>
                </c:pt>
                <c:pt idx="1">
                  <c:v>1.576621248706457</c:v>
                </c:pt>
                <c:pt idx="2">
                  <c:v>2.0505826231116777</c:v>
                </c:pt>
                <c:pt idx="3">
                  <c:v>2.0975017349063072</c:v>
                </c:pt>
                <c:pt idx="4" formatCode="0.0">
                  <c:v>-5.0057748344370765</c:v>
                </c:pt>
                <c:pt idx="5">
                  <c:v>-4.9400088718526733</c:v>
                </c:pt>
                <c:pt idx="6">
                  <c:v>-5.3825592625853371</c:v>
                </c:pt>
                <c:pt idx="7">
                  <c:v>-5.2114309503984755</c:v>
                </c:pt>
                <c:pt idx="8" formatCode="0.0">
                  <c:v>-1.0125955373515865</c:v>
                </c:pt>
                <c:pt idx="9">
                  <c:v>-0.65129343258655803</c:v>
                </c:pt>
                <c:pt idx="10">
                  <c:v>-1.6486726674023942</c:v>
                </c:pt>
                <c:pt idx="11">
                  <c:v>-1.8238369370116339</c:v>
                </c:pt>
                <c:pt idx="12" formatCode="0.0">
                  <c:v>-2.4231770393157888</c:v>
                </c:pt>
                <c:pt idx="13">
                  <c:v>-3.6906605297992408</c:v>
                </c:pt>
                <c:pt idx="14">
                  <c:v>-2.201849061585321</c:v>
                </c:pt>
                <c:pt idx="15">
                  <c:v>-1.0882912822572854</c:v>
                </c:pt>
                <c:pt idx="16" formatCode="0.0">
                  <c:v>-5.0648669747761375</c:v>
                </c:pt>
                <c:pt idx="17">
                  <c:v>-3.6538098049419152</c:v>
                </c:pt>
                <c:pt idx="18">
                  <c:v>-4.2712784278679123</c:v>
                </c:pt>
                <c:pt idx="19">
                  <c:v>-5.2428752740279139</c:v>
                </c:pt>
                <c:pt idx="20" formatCode="0.0">
                  <c:v>-0.17200523557662045</c:v>
                </c:pt>
                <c:pt idx="21">
                  <c:v>-9.252060521069462E-2</c:v>
                </c:pt>
                <c:pt idx="22">
                  <c:v>-0.60778302632186865</c:v>
                </c:pt>
                <c:pt idx="23">
                  <c:v>-0.98361054964323058</c:v>
                </c:pt>
                <c:pt idx="24" formatCode="0.0">
                  <c:v>-0.86955038298722687</c:v>
                </c:pt>
                <c:pt idx="25">
                  <c:v>-1.263275789759488</c:v>
                </c:pt>
                <c:pt idx="26">
                  <c:v>0.19494607796374908</c:v>
                </c:pt>
                <c:pt idx="27">
                  <c:v>0.47566227486591173</c:v>
                </c:pt>
                <c:pt idx="28" formatCode="0.0">
                  <c:v>0.87939049904241562</c:v>
                </c:pt>
                <c:pt idx="29">
                  <c:v>0.62240969535069834</c:v>
                </c:pt>
              </c:numCache>
            </c:numRef>
          </c:val>
        </c:ser>
        <c:ser>
          <c:idx val="4"/>
          <c:order val="4"/>
          <c:tx>
            <c:strRef>
              <c:f>'Trh práce 1'!$G$7</c:f>
              <c:strCache>
                <c:ptCount val="1"/>
                <c:pt idx="0">
                  <c:v>Trade, transport, accommodation and food service (total employment)</c:v>
                </c:pt>
              </c:strCache>
            </c:strRef>
          </c:tx>
          <c:spPr>
            <a:ln w="19050">
              <a:solidFill>
                <a:srgbClr val="7DBB2D"/>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1'!$G$8:$G$37</c:f>
              <c:numCache>
                <c:formatCode>#,##0.0</c:formatCode>
                <c:ptCount val="30"/>
                <c:pt idx="0" formatCode="0.0">
                  <c:v>-1.4811264631436956</c:v>
                </c:pt>
                <c:pt idx="1">
                  <c:v>-0.55415302001367195</c:v>
                </c:pt>
                <c:pt idx="2">
                  <c:v>0.60230497012719364</c:v>
                </c:pt>
                <c:pt idx="3">
                  <c:v>1.1873384060302081</c:v>
                </c:pt>
                <c:pt idx="4" formatCode="0.0">
                  <c:v>-0.26525714239460285</c:v>
                </c:pt>
                <c:pt idx="5">
                  <c:v>-0.33716708681508634</c:v>
                </c:pt>
                <c:pt idx="6">
                  <c:v>-0.36196666950499545</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-0.43357812735003254</c:v>
                </c:pt>
                <c:pt idx="19">
                  <c:v>0.64735384894699166</c:v>
                </c:pt>
                <c:pt idx="20" formatCode="0.0">
                  <c:v>0.50702313110330977</c:v>
                </c:pt>
                <c:pt idx="21">
                  <c:v>1.5961990830606112</c:v>
                </c:pt>
                <c:pt idx="22">
                  <c:v>0.93704012916178669</c:v>
                </c:pt>
                <c:pt idx="23">
                  <c:v>0.33427848272518246</c:v>
                </c:pt>
                <c:pt idx="24" formatCode="0.0">
                  <c:v>1.0009323399146552</c:v>
                </c:pt>
                <c:pt idx="25">
                  <c:v>1.7066855557750671</c:v>
                </c:pt>
                <c:pt idx="26">
                  <c:v>0.78520382793907162</c:v>
                </c:pt>
                <c:pt idx="27">
                  <c:v>1.1320860722512571</c:v>
                </c:pt>
                <c:pt idx="28" formatCode="0.0">
                  <c:v>2.2366384430481432</c:v>
                </c:pt>
                <c:pt idx="29">
                  <c:v>1.5495734803732972</c:v>
                </c:pt>
              </c:numCache>
            </c:numRef>
          </c:val>
        </c:ser>
        <c:ser>
          <c:idx val="5"/>
          <c:order val="5"/>
          <c:tx>
            <c:strRef>
              <c:f>'Trh práce 1'!$H$7</c:f>
              <c:strCache>
                <c:ptCount val="1"/>
                <c:pt idx="0">
                  <c:v>Public administration, defence, education, health and social work (total employment)</c:v>
                </c:pt>
              </c:strCache>
            </c:strRef>
          </c:tx>
          <c:spPr>
            <a:ln w="19050">
              <a:solidFill>
                <a:srgbClr val="F8A124"/>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1'!$H$8:$H$37</c:f>
              <c:numCache>
                <c:formatCode>#,##0.0</c:formatCode>
                <c:ptCount val="30"/>
                <c:pt idx="0" formatCode="0.0">
                  <c:v>-1.855806077102784E-2</c:v>
                </c:pt>
                <c:pt idx="1">
                  <c:v>-0.22689757528192445</c:v>
                </c:pt>
                <c:pt idx="2">
                  <c:v>-0.29433275456824531</c:v>
                </c:pt>
                <c:pt idx="3">
                  <c:v>-0.22704563055180008</c:v>
                </c:pt>
                <c:pt idx="4" formatCode="0.0">
                  <c:v>-0.47110868534822792</c:v>
                </c:pt>
                <c:pt idx="5">
                  <c:v>-0.76334858695398222</c:v>
                </c:pt>
                <c:pt idx="6">
                  <c:v>-1.0474282405826016</c:v>
                </c:pt>
                <c:pt idx="7">
                  <c:v>-0.76086919786541785</c:v>
                </c:pt>
                <c:pt idx="8" formatCode="0.0">
                  <c:v>-2.535425466372867</c:v>
                </c:pt>
                <c:pt idx="9">
                  <c:v>-1.902141619073888</c:v>
                </c:pt>
                <c:pt idx="10">
                  <c:v>-0.31903720704937688</c:v>
                </c:pt>
                <c:pt idx="11">
                  <c:v>0.36291810220055343</c:v>
                </c:pt>
                <c:pt idx="12" formatCode="0.0">
                  <c:v>0.82471995854189273</c:v>
                </c:pt>
                <c:pt idx="13">
                  <c:v>2.1008576235233787</c:v>
                </c:pt>
                <c:pt idx="14">
                  <c:v>1.1395620003701339</c:v>
                </c:pt>
                <c:pt idx="15">
                  <c:v>0.93291347702553662</c:v>
                </c:pt>
                <c:pt idx="16" formatCode="0.0">
                  <c:v>1.5775454229154633</c:v>
                </c:pt>
                <c:pt idx="17">
                  <c:v>0.97071946520878905</c:v>
                </c:pt>
                <c:pt idx="18">
                  <c:v>2.0062549533348135</c:v>
                </c:pt>
                <c:pt idx="19">
                  <c:v>1.9094311712761822</c:v>
                </c:pt>
                <c:pt idx="20" formatCode="0.0">
                  <c:v>1.5186815850960897</c:v>
                </c:pt>
                <c:pt idx="21">
                  <c:v>1.3439686041484278</c:v>
                </c:pt>
                <c:pt idx="22">
                  <c:v>0.58259948981276266</c:v>
                </c:pt>
                <c:pt idx="23">
                  <c:v>0.49868099701011293</c:v>
                </c:pt>
                <c:pt idx="24" formatCode="0.0">
                  <c:v>0.63503922301082272</c:v>
                </c:pt>
                <c:pt idx="25">
                  <c:v>0.46250463543849207</c:v>
                </c:pt>
                <c:pt idx="26">
                  <c:v>0.92616906278036026</c:v>
                </c:pt>
                <c:pt idx="27">
                  <c:v>1.4567791547310804</c:v>
                </c:pt>
                <c:pt idx="28" formatCode="0.0">
                  <c:v>0.682846860733207</c:v>
                </c:pt>
                <c:pt idx="29">
                  <c:v>0.93457943925233167</c:v>
                </c:pt>
              </c:numCache>
            </c:numRef>
          </c:val>
        </c:ser>
        <c:marker val="1"/>
        <c:axId val="69757952"/>
        <c:axId val="70169344"/>
      </c:lineChart>
      <c:catAx>
        <c:axId val="69757952"/>
        <c:scaling>
          <c:orientation val="minMax"/>
        </c:scaling>
        <c:axPos val="b"/>
        <c:tickLblPos val="low"/>
        <c:spPr>
          <a:ln>
            <a:solidFill>
              <a:schemeClr val="tx1"/>
            </a:solidFill>
          </a:ln>
        </c:spPr>
        <c:crossAx val="70169344"/>
        <c:crosses val="autoZero"/>
        <c:auto val="1"/>
        <c:lblAlgn val="ctr"/>
        <c:lblOffset val="10"/>
      </c:catAx>
      <c:valAx>
        <c:axId val="70169344"/>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69757952"/>
        <c:crosses val="autoZero"/>
        <c:crossBetween val="between"/>
        <c:majorUnit val="1"/>
      </c:valAx>
      <c:spPr>
        <a:ln>
          <a:solidFill>
            <a:schemeClr val="tx1"/>
          </a:solidFill>
        </a:ln>
      </c:spPr>
    </c:plotArea>
    <c:legend>
      <c:legendPos val="b"/>
      <c:layout>
        <c:manualLayout>
          <c:xMode val="edge"/>
          <c:yMode val="edge"/>
          <c:x val="5.5392487973751646E-2"/>
          <c:y val="0.81656490929705028"/>
          <c:w val="0.92505743233709115"/>
          <c:h val="0.1798183106575968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64838092894683E-2"/>
          <c:y val="1.643251153889452E-2"/>
          <c:w val="0.8925446132419389"/>
          <c:h val="0.70608705785294956"/>
        </c:manualLayout>
      </c:layout>
      <c:barChart>
        <c:barDir val="col"/>
        <c:grouping val="clustered"/>
        <c:ser>
          <c:idx val="0"/>
          <c:order val="0"/>
          <c:tx>
            <c:strRef>
              <c:f>'Trh práce-2'!$A$32</c:f>
              <c:strCache>
                <c:ptCount val="1"/>
                <c:pt idx="0">
                  <c:v>Unemployment rate of males (right axis)</c:v>
                </c:pt>
              </c:strCache>
            </c:strRef>
          </c:tx>
          <c:spPr>
            <a:solidFill>
              <a:srgbClr val="BCBCBC"/>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práce-2'!$B$32:$AE$32</c:f>
              <c:numCache>
                <c:formatCode>#,##0.0</c:formatCode>
                <c:ptCount val="30"/>
                <c:pt idx="0">
                  <c:v>7.2</c:v>
                </c:pt>
                <c:pt idx="1">
                  <c:v>6.4</c:v>
                </c:pt>
                <c:pt idx="2">
                  <c:v>6.1</c:v>
                </c:pt>
                <c:pt idx="3">
                  <c:v>6</c:v>
                </c:pt>
                <c:pt idx="4">
                  <c:v>6</c:v>
                </c:pt>
                <c:pt idx="5">
                  <c:v>5.9</c:v>
                </c:pt>
                <c:pt idx="6">
                  <c:v>5.7</c:v>
                </c:pt>
                <c:pt idx="7">
                  <c:v>5.6</c:v>
                </c:pt>
                <c:pt idx="8">
                  <c:v>6</c:v>
                </c:pt>
                <c:pt idx="9">
                  <c:v>5.9</c:v>
                </c:pt>
                <c:pt idx="10">
                  <c:v>6</c:v>
                </c:pt>
                <c:pt idx="11">
                  <c:v>6.2</c:v>
                </c:pt>
                <c:pt idx="12">
                  <c:v>6.3</c:v>
                </c:pt>
                <c:pt idx="13">
                  <c:v>5.9</c:v>
                </c:pt>
                <c:pt idx="14">
                  <c:v>5.8</c:v>
                </c:pt>
                <c:pt idx="15">
                  <c:v>5.7</c:v>
                </c:pt>
                <c:pt idx="16">
                  <c:v>5.5</c:v>
                </c:pt>
                <c:pt idx="17">
                  <c:v>5.0999999999999996</c:v>
                </c:pt>
                <c:pt idx="18">
                  <c:v>4.9000000000000004</c:v>
                </c:pt>
                <c:pt idx="19">
                  <c:v>5</c:v>
                </c:pt>
                <c:pt idx="20">
                  <c:v>5</c:v>
                </c:pt>
                <c:pt idx="21">
                  <c:v>4.3</c:v>
                </c:pt>
                <c:pt idx="22">
                  <c:v>4</c:v>
                </c:pt>
                <c:pt idx="23">
                  <c:v>3.8</c:v>
                </c:pt>
                <c:pt idx="24">
                  <c:v>3.5</c:v>
                </c:pt>
                <c:pt idx="25">
                  <c:v>3.5</c:v>
                </c:pt>
                <c:pt idx="26">
                  <c:v>3.4</c:v>
                </c:pt>
                <c:pt idx="27">
                  <c:v>3.1</c:v>
                </c:pt>
                <c:pt idx="28">
                  <c:v>2.5</c:v>
                </c:pt>
                <c:pt idx="29">
                  <c:v>2.4</c:v>
                </c:pt>
              </c:numCache>
            </c:numRef>
          </c:val>
        </c:ser>
        <c:ser>
          <c:idx val="1"/>
          <c:order val="1"/>
          <c:tx>
            <c:strRef>
              <c:f>'Trh práce-2'!$A$33</c:f>
              <c:strCache>
                <c:ptCount val="1"/>
                <c:pt idx="0">
                  <c:v>Unemployment rate of females (right axis)</c:v>
                </c:pt>
              </c:strCache>
            </c:strRef>
          </c:tx>
          <c:spPr>
            <a:solidFill>
              <a:srgbClr val="DBDBDB"/>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práce-2'!$B$33:$AE$33</c:f>
              <c:numCache>
                <c:formatCode>#,##0.0</c:formatCode>
                <c:ptCount val="30"/>
                <c:pt idx="0">
                  <c:v>8.7000000000000011</c:v>
                </c:pt>
                <c:pt idx="1">
                  <c:v>8.5</c:v>
                </c:pt>
                <c:pt idx="2">
                  <c:v>8.4</c:v>
                </c:pt>
                <c:pt idx="3">
                  <c:v>8.2000000000000011</c:v>
                </c:pt>
                <c:pt idx="4">
                  <c:v>8.1</c:v>
                </c:pt>
                <c:pt idx="5">
                  <c:v>8.1</c:v>
                </c:pt>
                <c:pt idx="6">
                  <c:v>7.7</c:v>
                </c:pt>
                <c:pt idx="7">
                  <c:v>7.6</c:v>
                </c:pt>
                <c:pt idx="8">
                  <c:v>8</c:v>
                </c:pt>
                <c:pt idx="9">
                  <c:v>8.2000000000000011</c:v>
                </c:pt>
                <c:pt idx="10">
                  <c:v>8.2000000000000011</c:v>
                </c:pt>
                <c:pt idx="11">
                  <c:v>8.5</c:v>
                </c:pt>
                <c:pt idx="12">
                  <c:v>8.4</c:v>
                </c:pt>
                <c:pt idx="13">
                  <c:v>8.3000000000000007</c:v>
                </c:pt>
                <c:pt idx="14">
                  <c:v>8.3000000000000007</c:v>
                </c:pt>
                <c:pt idx="15">
                  <c:v>8.1</c:v>
                </c:pt>
                <c:pt idx="16">
                  <c:v>7.9</c:v>
                </c:pt>
                <c:pt idx="17">
                  <c:v>7.6</c:v>
                </c:pt>
                <c:pt idx="18">
                  <c:v>7.2</c:v>
                </c:pt>
                <c:pt idx="19">
                  <c:v>6.9</c:v>
                </c:pt>
                <c:pt idx="20">
                  <c:v>6.8</c:v>
                </c:pt>
                <c:pt idx="21">
                  <c:v>6.2</c:v>
                </c:pt>
                <c:pt idx="22">
                  <c:v>5.8</c:v>
                </c:pt>
                <c:pt idx="23">
                  <c:v>5.5</c:v>
                </c:pt>
                <c:pt idx="24">
                  <c:v>5</c:v>
                </c:pt>
                <c:pt idx="25">
                  <c:v>4.7</c:v>
                </c:pt>
                <c:pt idx="26">
                  <c:v>4.7</c:v>
                </c:pt>
                <c:pt idx="27">
                  <c:v>4.3</c:v>
                </c:pt>
                <c:pt idx="28">
                  <c:v>4.3</c:v>
                </c:pt>
                <c:pt idx="29">
                  <c:v>3.8</c:v>
                </c:pt>
              </c:numCache>
            </c:numRef>
          </c:val>
        </c:ser>
        <c:gapWidth val="68"/>
        <c:axId val="70778880"/>
        <c:axId val="70719360"/>
      </c:barChart>
      <c:lineChart>
        <c:grouping val="standard"/>
        <c:ser>
          <c:idx val="2"/>
          <c:order val="2"/>
          <c:tx>
            <c:strRef>
              <c:f>'Trh práce-2'!$A$34</c:f>
              <c:strCache>
                <c:ptCount val="1"/>
                <c:pt idx="0">
                  <c:v>Unemployed with max primary education</c:v>
                </c:pt>
              </c:strCache>
            </c:strRef>
          </c:tx>
          <c:spPr>
            <a:ln w="19050">
              <a:solidFill>
                <a:srgbClr val="0071BC"/>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práce-2'!$B$34:$AE$34</c:f>
              <c:numCache>
                <c:formatCode>0</c:formatCode>
                <c:ptCount val="30"/>
                <c:pt idx="0">
                  <c:v>21.714768670214291</c:v>
                </c:pt>
                <c:pt idx="1">
                  <c:v>-1.21634331078873</c:v>
                </c:pt>
                <c:pt idx="2">
                  <c:v>-16.17582875054989</c:v>
                </c:pt>
                <c:pt idx="3">
                  <c:v>-17.326849096450193</c:v>
                </c:pt>
                <c:pt idx="4">
                  <c:v>-20.685159269353587</c:v>
                </c:pt>
                <c:pt idx="5">
                  <c:v>-13.109667018498918</c:v>
                </c:pt>
                <c:pt idx="6">
                  <c:v>-3.4347558981075395</c:v>
                </c:pt>
                <c:pt idx="7">
                  <c:v>-1.2914192636035153</c:v>
                </c:pt>
                <c:pt idx="8">
                  <c:v>15.116142329292568</c:v>
                </c:pt>
                <c:pt idx="9">
                  <c:v>20.564252208332139</c:v>
                </c:pt>
                <c:pt idx="10">
                  <c:v>17.300096375591348</c:v>
                </c:pt>
                <c:pt idx="11">
                  <c:v>21.054278842458295</c:v>
                </c:pt>
                <c:pt idx="12">
                  <c:v>1.5586037838760241</c:v>
                </c:pt>
                <c:pt idx="13">
                  <c:v>-14.506006075302315</c:v>
                </c:pt>
                <c:pt idx="14">
                  <c:v>-19.243419598176935</c:v>
                </c:pt>
                <c:pt idx="15">
                  <c:v>-25.150929504907829</c:v>
                </c:pt>
                <c:pt idx="16">
                  <c:v>-25.77535118359669</c:v>
                </c:pt>
                <c:pt idx="17">
                  <c:v>-22.260631131502919</c:v>
                </c:pt>
                <c:pt idx="18">
                  <c:v>-14.590196785136953</c:v>
                </c:pt>
                <c:pt idx="19">
                  <c:v>-9.444471544328108</c:v>
                </c:pt>
                <c:pt idx="20">
                  <c:v>-1.188370832677478</c:v>
                </c:pt>
                <c:pt idx="21">
                  <c:v>2.1795435785889632</c:v>
                </c:pt>
                <c:pt idx="22">
                  <c:v>-0.63856381013110364</c:v>
                </c:pt>
                <c:pt idx="23">
                  <c:v>4.3365931482174886</c:v>
                </c:pt>
                <c:pt idx="24">
                  <c:v>-7.7096667806764971</c:v>
                </c:pt>
                <c:pt idx="25">
                  <c:v>-3.4192888313452348</c:v>
                </c:pt>
                <c:pt idx="26">
                  <c:v>-5.2224150656790043</c:v>
                </c:pt>
                <c:pt idx="27">
                  <c:v>-15.506068308866634</c:v>
                </c:pt>
                <c:pt idx="28">
                  <c:v>-27.918696562118029</c:v>
                </c:pt>
                <c:pt idx="29">
                  <c:v>-33.149695304122517</c:v>
                </c:pt>
              </c:numCache>
            </c:numRef>
          </c:val>
        </c:ser>
        <c:ser>
          <c:idx val="3"/>
          <c:order val="3"/>
          <c:tx>
            <c:strRef>
              <c:f>'Trh práce-2'!$A$35</c:f>
              <c:strCache>
                <c:ptCount val="1"/>
                <c:pt idx="0">
                  <c:v>Unemployed with secondary education without A-level examination</c:v>
                </c:pt>
              </c:strCache>
            </c:strRef>
          </c:tx>
          <c:spPr>
            <a:ln w="19050">
              <a:solidFill>
                <a:srgbClr val="BD1B21"/>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práce-2'!$B$35:$AE$35</c:f>
              <c:numCache>
                <c:formatCode>0</c:formatCode>
                <c:ptCount val="30"/>
                <c:pt idx="0">
                  <c:v>49.784188022706395</c:v>
                </c:pt>
                <c:pt idx="1">
                  <c:v>13.867544627418573</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1.5130013110978642</c:v>
                </c:pt>
                <c:pt idx="11">
                  <c:v>15.444727754266269</c:v>
                </c:pt>
                <c:pt idx="12">
                  <c:v>11.295553399301234</c:v>
                </c:pt>
                <c:pt idx="13">
                  <c:v>11.135950773644549</c:v>
                </c:pt>
                <c:pt idx="14">
                  <c:v>2.1227982768583051</c:v>
                </c:pt>
                <c:pt idx="15">
                  <c:v>-8.1974891991531127</c:v>
                </c:pt>
                <c:pt idx="16">
                  <c:v>-9.6245134843654441</c:v>
                </c:pt>
                <c:pt idx="17">
                  <c:v>-16.231929719850761</c:v>
                </c:pt>
                <c:pt idx="18">
                  <c:v>-19.827481877336286</c:v>
                </c:pt>
                <c:pt idx="19">
                  <c:v>-16.693209567708788</c:v>
                </c:pt>
                <c:pt idx="20">
                  <c:v>-16.454778753218989</c:v>
                </c:pt>
                <c:pt idx="21">
                  <c:v>-22.216756280012163</c:v>
                </c:pt>
                <c:pt idx="22">
                  <c:v>-16.999907523882399</c:v>
                </c:pt>
                <c:pt idx="23">
                  <c:v>-31.514681784052978</c:v>
                </c:pt>
                <c:pt idx="24">
                  <c:v>-32.064032560839479</c:v>
                </c:pt>
                <c:pt idx="25">
                  <c:v>-26.106419495499964</c:v>
                </c:pt>
                <c:pt idx="26">
                  <c:v>-25.857804572569627</c:v>
                </c:pt>
                <c:pt idx="27">
                  <c:v>-16.010888695992417</c:v>
                </c:pt>
                <c:pt idx="28">
                  <c:v>-18.906457523972289</c:v>
                </c:pt>
                <c:pt idx="29">
                  <c:v>-22.835039924764516</c:v>
                </c:pt>
              </c:numCache>
            </c:numRef>
          </c:val>
        </c:ser>
        <c:ser>
          <c:idx val="4"/>
          <c:order val="4"/>
          <c:tx>
            <c:strRef>
              <c:f>'Trh práce-2'!$A$36</c:f>
              <c:strCache>
                <c:ptCount val="1"/>
                <c:pt idx="0">
                  <c:v>Unemployed aged 50-64 years</c:v>
                </c:pt>
              </c:strCache>
            </c:strRef>
          </c:tx>
          <c:spPr>
            <a:ln w="19050">
              <a:solidFill>
                <a:srgbClr val="7DBB2D"/>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práce-2'!$B$36:$AE$36</c:f>
              <c:numCache>
                <c:formatCode>0</c:formatCode>
                <c:ptCount val="30"/>
                <c:pt idx="0">
                  <c:v>39.438700147710506</c:v>
                </c:pt>
                <c:pt idx="1">
                  <c:v>16.644649933949719</c:v>
                </c:pt>
                <c:pt idx="2">
                  <c:v>3.0878859857481977</c:v>
                </c:pt>
                <c:pt idx="3">
                  <c:v>3.9473684210526585</c:v>
                </c:pt>
                <c:pt idx="4">
                  <c:v>-3.8135593220339103</c:v>
                </c:pt>
                <c:pt idx="5">
                  <c:v>-9.0600226500566237</c:v>
                </c:pt>
                <c:pt idx="6">
                  <c:v>-10.944700460829495</c:v>
                </c:pt>
                <c:pt idx="7">
                  <c:v>-13.463751438435002</c:v>
                </c:pt>
                <c:pt idx="8" formatCode="#,##0">
                  <c:v>-9.2511013215858693</c:v>
                </c:pt>
                <c:pt idx="9" formatCode="#,##0">
                  <c:v>-2.3661270236612637</c:v>
                </c:pt>
                <c:pt idx="10" formatCode="#,##0">
                  <c:v>-3.6222509702457817</c:v>
                </c:pt>
                <c:pt idx="11" formatCode="#,##0">
                  <c:v>16.622340425531874</c:v>
                </c:pt>
                <c:pt idx="12" formatCode="#,##0">
                  <c:v>7.7669902912621334</c:v>
                </c:pt>
                <c:pt idx="13" formatCode="#,##0">
                  <c:v>1.6581632653061291</c:v>
                </c:pt>
                <c:pt idx="14" formatCode="#,##0">
                  <c:v>3.0872483221476443</c:v>
                </c:pt>
                <c:pt idx="15" formatCode="#,##0">
                  <c:v>-11.516533637400276</c:v>
                </c:pt>
                <c:pt idx="16" formatCode="#,##0">
                  <c:v>-8.3333333333333286</c:v>
                </c:pt>
                <c:pt idx="17" formatCode="#,##0">
                  <c:v>-15.056461731493101</c:v>
                </c:pt>
                <c:pt idx="18" formatCode="#,##0">
                  <c:v>-11.328124999999998</c:v>
                </c:pt>
                <c:pt idx="19" formatCode="#,##0">
                  <c:v>-18.170103092783492</c:v>
                </c:pt>
                <c:pt idx="20" formatCode="#,##0">
                  <c:v>-11.425061425061418</c:v>
                </c:pt>
                <c:pt idx="21" formatCode="#,##0">
                  <c:v>-9.0103397341211178</c:v>
                </c:pt>
                <c:pt idx="22" formatCode="#,##0">
                  <c:v>-16.299559471365573</c:v>
                </c:pt>
                <c:pt idx="23" formatCode="#,##0">
                  <c:v>-12.125984251968539</c:v>
                </c:pt>
                <c:pt idx="24" formatCode="#,##0">
                  <c:v>-10.818307905686538</c:v>
                </c:pt>
                <c:pt idx="25" formatCode="#,##0">
                  <c:v>-12.33766233766236</c:v>
                </c:pt>
                <c:pt idx="26" formatCode="#,##0">
                  <c:v>-16.491228070175385</c:v>
                </c:pt>
                <c:pt idx="27" formatCode="#,##0">
                  <c:v>-16.308243727598565</c:v>
                </c:pt>
                <c:pt idx="28" formatCode="#,##0">
                  <c:v>-26.283048211508529</c:v>
                </c:pt>
              </c:numCache>
            </c:numRef>
          </c:val>
        </c:ser>
        <c:ser>
          <c:idx val="5"/>
          <c:order val="5"/>
          <c:tx>
            <c:strRef>
              <c:f>'Trh práce-2'!$A$37</c:f>
              <c:strCache>
                <c:ptCount val="1"/>
                <c:pt idx="0">
                  <c:v>Long term unemployed (duration more than 12 months)</c:v>
                </c:pt>
              </c:strCache>
            </c:strRef>
          </c:tx>
          <c:spPr>
            <a:ln w="19050">
              <a:solidFill>
                <a:srgbClr val="F8A124"/>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práce-2'!$B$37:$AE$37</c:f>
              <c:numCache>
                <c:formatCode>0</c:formatCode>
                <c:ptCount val="30"/>
                <c:pt idx="0">
                  <c:v>44.412607449856658</c:v>
                </c:pt>
                <c:pt idx="1">
                  <c:v>60</c:v>
                </c:pt>
                <c:pt idx="2">
                  <c:v>47.702205882352963</c:v>
                </c:pt>
                <c:pt idx="3">
                  <c:v>40.757042253521149</c:v>
                </c:pt>
                <c:pt idx="4">
                  <c:v>-1.4550264550264655</c:v>
                </c:pt>
                <c:pt idx="5">
                  <c:v>-11.639871382636631</c:v>
                </c:pt>
                <c:pt idx="6">
                  <c:v>-14.18792781580585</c:v>
                </c:pt>
                <c:pt idx="7">
                  <c:v>-10.318949343339597</c:v>
                </c:pt>
                <c:pt idx="8">
                  <c:v>6.3758389261745085</c:v>
                </c:pt>
                <c:pt idx="9">
                  <c:v>12.590975254730694</c:v>
                </c:pt>
                <c:pt idx="10">
                  <c:v>15.155910079767981</c:v>
                </c:pt>
                <c:pt idx="11">
                  <c:v>12.482566248256669</c:v>
                </c:pt>
                <c:pt idx="12">
                  <c:v>6.6876971608832889</c:v>
                </c:pt>
                <c:pt idx="13">
                  <c:v>2.2624434389140187</c:v>
                </c:pt>
                <c:pt idx="14">
                  <c:v>1.4483627204030121</c:v>
                </c:pt>
                <c:pt idx="15">
                  <c:v>-7.1915685058896734</c:v>
                </c:pt>
                <c:pt idx="16">
                  <c:v>-13.18746303962152</c:v>
                </c:pt>
                <c:pt idx="17">
                  <c:v>-13.211125158027798</c:v>
                </c:pt>
                <c:pt idx="18">
                  <c:v>-14.959652389820024</c:v>
                </c:pt>
                <c:pt idx="19">
                  <c:v>-5.8116232464929851</c:v>
                </c:pt>
                <c:pt idx="20">
                  <c:v>-1.8392370572207284</c:v>
                </c:pt>
                <c:pt idx="21">
                  <c:v>-11.070648215586335</c:v>
                </c:pt>
                <c:pt idx="22">
                  <c:v>-9.1240875912408779</c:v>
                </c:pt>
                <c:pt idx="23">
                  <c:v>-18.581560283687907</c:v>
                </c:pt>
                <c:pt idx="24">
                  <c:v>-26.578764746703669</c:v>
                </c:pt>
                <c:pt idx="25">
                  <c:v>-25.389025389025353</c:v>
                </c:pt>
                <c:pt idx="26">
                  <c:v>-33.092369477911646</c:v>
                </c:pt>
                <c:pt idx="27">
                  <c:v>-35.017421602787309</c:v>
                </c:pt>
                <c:pt idx="28">
                  <c:v>-35.727788279773165</c:v>
                </c:pt>
                <c:pt idx="29">
                  <c:v>-35.016465422612328</c:v>
                </c:pt>
              </c:numCache>
            </c:numRef>
          </c:val>
        </c:ser>
        <c:marker val="1"/>
        <c:axId val="70646016"/>
        <c:axId val="70717824"/>
      </c:lineChart>
      <c:catAx>
        <c:axId val="70646016"/>
        <c:scaling>
          <c:orientation val="minMax"/>
        </c:scaling>
        <c:axPos val="b"/>
        <c:tickLblPos val="low"/>
        <c:spPr>
          <a:ln>
            <a:solidFill>
              <a:schemeClr val="tx1"/>
            </a:solidFill>
          </a:ln>
        </c:spPr>
        <c:crossAx val="70717824"/>
        <c:crossesAt val="-40"/>
        <c:auto val="1"/>
        <c:lblAlgn val="ctr"/>
        <c:lblOffset val="0"/>
      </c:catAx>
      <c:valAx>
        <c:axId val="70717824"/>
        <c:scaling>
          <c:orientation val="minMax"/>
          <c:max val="6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70646016"/>
        <c:crosses val="autoZero"/>
        <c:crossBetween val="between"/>
        <c:majorUnit val="10"/>
      </c:valAx>
      <c:valAx>
        <c:axId val="70719360"/>
        <c:scaling>
          <c:orientation val="minMax"/>
        </c:scaling>
        <c:axPos val="r"/>
        <c:numFmt formatCode="#,##0" sourceLinked="0"/>
        <c:tickLblPos val="nextTo"/>
        <c:crossAx val="70778880"/>
        <c:crosses val="max"/>
        <c:crossBetween val="between"/>
      </c:valAx>
      <c:catAx>
        <c:axId val="70778880"/>
        <c:scaling>
          <c:orientation val="minMax"/>
        </c:scaling>
        <c:delete val="1"/>
        <c:axPos val="b"/>
        <c:tickLblPos val="none"/>
        <c:crossAx val="70719360"/>
        <c:crosses val="autoZero"/>
        <c:auto val="1"/>
        <c:lblAlgn val="ctr"/>
        <c:lblOffset val="100"/>
      </c:catAx>
      <c:spPr>
        <a:ln>
          <a:solidFill>
            <a:schemeClr val="tx1"/>
          </a:solidFill>
        </a:ln>
      </c:spPr>
    </c:plotArea>
    <c:legend>
      <c:legendPos val="b"/>
      <c:layout>
        <c:manualLayout>
          <c:xMode val="edge"/>
          <c:yMode val="edge"/>
          <c:x val="4.9958329787081639E-2"/>
          <c:y val="0.81476689908105826"/>
          <c:w val="0.89764906977634329"/>
          <c:h val="0.1747247392476337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252"/>
          <c:h val="0.81074914965986555"/>
        </c:manualLayout>
      </c:layout>
      <c:barChart>
        <c:barDir val="col"/>
        <c:grouping val="clustered"/>
        <c:ser>
          <c:idx val="2"/>
          <c:order val="2"/>
          <c:tx>
            <c:strRef>
              <c:f>'Trh práce 3'!$E$8</c:f>
              <c:strCache>
                <c:ptCount val="1"/>
                <c:pt idx="0">
                  <c:v>Average wage (real)</c:v>
                </c:pt>
              </c:strCache>
            </c:strRef>
          </c:tx>
          <c:spPr>
            <a:solidFill>
              <a:srgbClr val="A6A6A6"/>
            </a:solidFill>
            <a:ln w="19050">
              <a:noFill/>
            </a:ln>
          </c:spP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3'!$E$9:$E$38</c:f>
              <c:numCache>
                <c:formatCode>#,##0.0</c:formatCode>
                <c:ptCount val="30"/>
                <c:pt idx="0">
                  <c:v>2.0999999999999943</c:v>
                </c:pt>
                <c:pt idx="1">
                  <c:v>1.9000000000000061</c:v>
                </c:pt>
                <c:pt idx="2">
                  <c:v>0.29999999999999827</c:v>
                </c:pt>
                <c:pt idx="3">
                  <c:v>-1.4000000000000057</c:v>
                </c:pt>
                <c:pt idx="4">
                  <c:v>1.0999999999999912</c:v>
                </c:pt>
                <c:pt idx="5">
                  <c:v>0.7999999999999976</c:v>
                </c:pt>
                <c:pt idx="6">
                  <c:v>0.29999999999999827</c:v>
                </c:pt>
                <c:pt idx="7">
                  <c:v>0</c:v>
                </c:pt>
                <c:pt idx="8">
                  <c:v>-0.5</c:v>
                </c:pt>
                <c:pt idx="9">
                  <c:v>-1.2999999999999934</c:v>
                </c:pt>
                <c:pt idx="10">
                  <c:v>-1.7999999999999934</c:v>
                </c:pt>
                <c:pt idx="11">
                  <c:v>0.40000000000000568</c:v>
                </c:pt>
                <c:pt idx="12">
                  <c:v>-2.4000000000000057</c:v>
                </c:pt>
                <c:pt idx="13">
                  <c:v>-0.5</c:v>
                </c:pt>
                <c:pt idx="14">
                  <c:v>0</c:v>
                </c:pt>
                <c:pt idx="15">
                  <c:v>-3.0999999999999943</c:v>
                </c:pt>
                <c:pt idx="16">
                  <c:v>3.7000000000000042</c:v>
                </c:pt>
                <c:pt idx="17">
                  <c:v>2.5999999999999943</c:v>
                </c:pt>
                <c:pt idx="18">
                  <c:v>1.5999999999999912</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2.9000000000000057</c:v>
                </c:pt>
                <c:pt idx="29">
                  <c:v>5.2999999999999972</c:v>
                </c:pt>
              </c:numCache>
            </c:numRef>
          </c:val>
        </c:ser>
        <c:gapWidth val="78"/>
        <c:axId val="81033856"/>
        <c:axId val="85293696"/>
      </c:barChart>
      <c:lineChart>
        <c:grouping val="standard"/>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3'!$C$9:$C$38</c:f>
              <c:numCache>
                <c:formatCode>0.0</c:formatCode>
                <c:ptCount val="30"/>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5.4000000000000083</c:v>
                </c:pt>
                <c:pt idx="29">
                  <c:v>7.5999999999999943</c:v>
                </c:pt>
              </c:numCache>
            </c:numRef>
          </c:val>
        </c:ser>
        <c:ser>
          <c:idx val="1"/>
          <c:order val="1"/>
          <c:tx>
            <c:strRef>
              <c:f>'Trh práce 3'!$D$8</c:f>
              <c:strCache>
                <c:ptCount val="1"/>
                <c:pt idx="0">
                  <c:v>Median wage (nominal)</c:v>
                </c:pt>
              </c:strCache>
            </c:strRef>
          </c:tx>
          <c:spPr>
            <a:ln w="19050">
              <a:solidFill>
                <a:srgbClr val="BD1B21"/>
              </a:solidFill>
              <a:prstDash val="solid"/>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3'!$D$9:$D$38</c:f>
              <c:numCache>
                <c:formatCode>0.0</c:formatCode>
                <c:ptCount val="30"/>
                <c:pt idx="0">
                  <c:v>3.2000000000000042</c:v>
                </c:pt>
                <c:pt idx="1">
                  <c:v>2.5999999999999943</c:v>
                </c:pt>
                <c:pt idx="2">
                  <c:v>2.7999999999999972</c:v>
                </c:pt>
                <c:pt idx="3">
                  <c:v>1.7999999999999934</c:v>
                </c:pt>
                <c:pt idx="4">
                  <c:v>2.7999999999999972</c:v>
                </c:pt>
                <c:pt idx="5">
                  <c:v>2.2000000000000042</c:v>
                </c:pt>
                <c:pt idx="6">
                  <c:v>1.7000000000000028</c:v>
                </c:pt>
                <c:pt idx="7">
                  <c:v>2.2000000000000042</c:v>
                </c:pt>
                <c:pt idx="8">
                  <c:v>1.4000000000000057</c:v>
                </c:pt>
                <c:pt idx="9">
                  <c:v>1.2999999999999934</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5.5999999999999943</c:v>
                </c:pt>
                <c:pt idx="28">
                  <c:v>5.2000000000000028</c:v>
                </c:pt>
                <c:pt idx="29">
                  <c:v>8.2000000000000011</c:v>
                </c:pt>
              </c:numCache>
            </c:numRef>
          </c:val>
        </c:ser>
        <c:marker val="1"/>
        <c:axId val="81033856"/>
        <c:axId val="85293696"/>
      </c:lineChart>
      <c:catAx>
        <c:axId val="81033856"/>
        <c:scaling>
          <c:orientation val="minMax"/>
        </c:scaling>
        <c:axPos val="b"/>
        <c:numFmt formatCode="General" sourceLinked="1"/>
        <c:tickLblPos val="low"/>
        <c:spPr>
          <a:ln>
            <a:solidFill>
              <a:schemeClr val="tx1"/>
            </a:solidFill>
          </a:ln>
        </c:spPr>
        <c:txPr>
          <a:bodyPr rot="0" vert="horz"/>
          <a:lstStyle/>
          <a:p>
            <a:pPr>
              <a:defRPr/>
            </a:pPr>
            <a:endParaRPr lang="cs-CZ"/>
          </a:p>
        </c:txPr>
        <c:crossAx val="85293696"/>
        <c:crosses val="autoZero"/>
        <c:auto val="1"/>
        <c:lblAlgn val="ctr"/>
        <c:lblOffset val="0"/>
        <c:tickMarkSkip val="4"/>
      </c:catAx>
      <c:valAx>
        <c:axId val="85293696"/>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81033856"/>
        <c:crosses val="autoZero"/>
        <c:crossBetween val="between"/>
        <c:majorUnit val="1"/>
      </c:valAx>
      <c:spPr>
        <a:ln>
          <a:solidFill>
            <a:schemeClr val="tx1"/>
          </a:solidFill>
        </a:ln>
      </c:spPr>
    </c:plotArea>
    <c:legend>
      <c:legendPos val="b"/>
      <c:layout>
        <c:manualLayout>
          <c:xMode val="edge"/>
          <c:yMode val="edge"/>
          <c:x val="3.6639920249480401E-2"/>
          <c:y val="0.93337811791383263"/>
          <c:w val="0.94428176235089334"/>
          <c:h val="5.613577097505669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0.0503</cdr:x>
      <cdr:y>0.46992</cdr:y>
    </cdr:from>
    <cdr:to>
      <cdr:x>0.95484</cdr:x>
      <cdr:y>0.47106</cdr:y>
    </cdr:to>
    <cdr:sp macro="" textlink="">
      <cdr:nvSpPr>
        <cdr:cNvPr id="3" name="Přímá spojovací čára 2"/>
        <cdr:cNvSpPr/>
      </cdr:nvSpPr>
      <cdr:spPr bwMode="auto">
        <a:xfrm xmlns:a="http://schemas.openxmlformats.org/drawingml/2006/main">
          <a:off x="237418" y="1630178"/>
          <a:ext cx="4269628" cy="395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09E84-E4B9-441E-AD09-D361982A3AE2}">
  <ds:schemaRefs>
    <ds:schemaRef ds:uri="http://schemas.openxmlformats.org/officeDocument/2006/bibliography"/>
  </ds:schemaRefs>
</ds:datastoreItem>
</file>

<file path=customXml/itemProps2.xml><?xml version="1.0" encoding="utf-8"?>
<ds:datastoreItem xmlns:ds="http://schemas.openxmlformats.org/officeDocument/2006/customXml" ds:itemID="{EAAB97B9-F4CA-49FD-A74A-259DBD97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7</TotalTime>
  <Pages>4</Pages>
  <Words>1478</Words>
  <Characters>8724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10182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2017-10-18T06:36:00Z</cp:lastPrinted>
  <dcterms:created xsi:type="dcterms:W3CDTF">2017-10-23T14:24:00Z</dcterms:created>
  <dcterms:modified xsi:type="dcterms:W3CDTF">2017-10-23T14:30:00Z</dcterms:modified>
</cp:coreProperties>
</file>