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26" w:rsidRPr="00794E50" w:rsidRDefault="004A7695" w:rsidP="00A14C46">
      <w:pPr>
        <w:pStyle w:val="Nadpis1"/>
        <w:numPr>
          <w:ilvl w:val="0"/>
          <w:numId w:val="24"/>
        </w:numPr>
        <w:jc w:val="both"/>
        <w:rPr>
          <w:lang w:val="en-GB"/>
        </w:rPr>
      </w:pPr>
      <w:bookmarkStart w:id="0" w:name="_Toc493683637"/>
      <w:bookmarkStart w:id="1" w:name="_Toc454185153"/>
      <w:r w:rsidRPr="00794E50">
        <w:rPr>
          <w:lang w:val="en-GB"/>
        </w:rPr>
        <w:t>Prices</w:t>
      </w:r>
      <w:bookmarkEnd w:id="0"/>
    </w:p>
    <w:tbl>
      <w:tblPr>
        <w:tblW w:w="4963" w:type="pct"/>
        <w:tblInd w:w="108" w:type="dxa"/>
        <w:tblLayout w:type="fixed"/>
        <w:tblLook w:val="00A0"/>
      </w:tblPr>
      <w:tblGrid>
        <w:gridCol w:w="1985"/>
        <w:gridCol w:w="282"/>
        <w:gridCol w:w="1135"/>
        <w:gridCol w:w="6379"/>
      </w:tblGrid>
      <w:tr w:rsidR="00DD0726" w:rsidRPr="00794E50" w:rsidTr="00260FBE">
        <w:tc>
          <w:tcPr>
            <w:tcW w:w="1015" w:type="pct"/>
          </w:tcPr>
          <w:p w:rsidR="00DD0726" w:rsidRPr="00794E50" w:rsidRDefault="00794E50" w:rsidP="00794E50">
            <w:pPr>
              <w:spacing w:line="240" w:lineRule="auto"/>
              <w:ind w:right="-19"/>
              <w:rPr>
                <w:sz w:val="16"/>
                <w:szCs w:val="16"/>
                <w:lang w:val="en-GB"/>
              </w:rPr>
            </w:pPr>
            <w:r w:rsidRPr="00794E50">
              <w:rPr>
                <w:sz w:val="16"/>
                <w:szCs w:val="16"/>
                <w:lang w:val="en-GB"/>
              </w:rPr>
              <w:t xml:space="preserve">The total price level increased. </w:t>
            </w:r>
          </w:p>
        </w:tc>
        <w:tc>
          <w:tcPr>
            <w:tcW w:w="144" w:type="pct"/>
          </w:tcPr>
          <w:p w:rsidR="00DD0726" w:rsidRPr="00794E50" w:rsidRDefault="00DD0726" w:rsidP="00260FBE">
            <w:pPr>
              <w:pStyle w:val="Textpoznpodarou"/>
              <w:jc w:val="both"/>
              <w:rPr>
                <w:lang w:val="en-GB"/>
              </w:rPr>
            </w:pPr>
          </w:p>
        </w:tc>
        <w:tc>
          <w:tcPr>
            <w:tcW w:w="3841" w:type="pct"/>
            <w:gridSpan w:val="2"/>
          </w:tcPr>
          <w:p w:rsidR="00DD0726" w:rsidRPr="00794E50" w:rsidRDefault="004F2BD2" w:rsidP="00260FBE">
            <w:pPr>
              <w:pStyle w:val="Textpoznpodarou"/>
              <w:ind w:right="-35"/>
              <w:jc w:val="both"/>
              <w:rPr>
                <w:spacing w:val="-5"/>
                <w:sz w:val="16"/>
                <w:szCs w:val="16"/>
                <w:lang w:val="en-GB"/>
              </w:rPr>
            </w:pPr>
            <w:r>
              <w:rPr>
                <w:spacing w:val="-5"/>
                <w:lang w:val="en-GB"/>
              </w:rPr>
              <w:t>The total price level gauged by the GDP deflator increased by 1.0</w:t>
            </w:r>
            <w:r w:rsidR="00954C8E">
              <w:rPr>
                <w:spacing w:val="-5"/>
                <w:lang w:val="en-GB"/>
              </w:rPr>
              <w:t>%</w:t>
            </w:r>
            <w:r>
              <w:rPr>
                <w:spacing w:val="-5"/>
                <w:lang w:val="en-GB"/>
              </w:rPr>
              <w:t xml:space="preserve"> in Q2</w:t>
            </w:r>
            <w:r w:rsidR="00DD0726" w:rsidRPr="00794E50">
              <w:rPr>
                <w:spacing w:val="-5"/>
                <w:lang w:val="en-GB"/>
              </w:rPr>
              <w:t>. T</w:t>
            </w:r>
            <w:r>
              <w:rPr>
                <w:spacing w:val="-5"/>
                <w:lang w:val="en-GB"/>
              </w:rPr>
              <w:t>his is by 0.5 p. p. more than in Q1</w:t>
            </w:r>
            <w:r w:rsidR="00DD0726" w:rsidRPr="00794E50">
              <w:rPr>
                <w:spacing w:val="-5"/>
                <w:lang w:val="en-GB"/>
              </w:rPr>
              <w:t xml:space="preserve">, </w:t>
            </w:r>
            <w:r>
              <w:rPr>
                <w:spacing w:val="-5"/>
                <w:lang w:val="en-GB"/>
              </w:rPr>
              <w:t xml:space="preserve">but still below the level of </w:t>
            </w:r>
            <w:r w:rsidR="00DD0726" w:rsidRPr="00794E50">
              <w:rPr>
                <w:spacing w:val="-5"/>
                <w:lang w:val="en-GB"/>
              </w:rPr>
              <w:t xml:space="preserve">2016. </w:t>
            </w:r>
            <w:r w:rsidR="00761605">
              <w:rPr>
                <w:spacing w:val="-5"/>
                <w:lang w:val="en-GB"/>
              </w:rPr>
              <w:t xml:space="preserve">Mainly the negative terms of trade had an impact on the slowdown of the price growth </w:t>
            </w:r>
            <w:r w:rsidR="00DD0726" w:rsidRPr="00794E50">
              <w:rPr>
                <w:spacing w:val="-5"/>
                <w:lang w:val="en-GB"/>
              </w:rPr>
              <w:t>(98</w:t>
            </w:r>
            <w:r w:rsidR="00761605">
              <w:rPr>
                <w:spacing w:val="-5"/>
                <w:lang w:val="en-GB"/>
              </w:rPr>
              <w:t>.</w:t>
            </w:r>
            <w:r w:rsidR="00DD0726" w:rsidRPr="00794E50">
              <w:rPr>
                <w:spacing w:val="-5"/>
                <w:lang w:val="en-GB"/>
              </w:rPr>
              <w:t>3</w:t>
            </w:r>
            <w:r w:rsidR="00954C8E">
              <w:rPr>
                <w:spacing w:val="-5"/>
                <w:lang w:val="en-GB"/>
              </w:rPr>
              <w:t>%</w:t>
            </w:r>
            <w:r w:rsidR="00DD0726" w:rsidRPr="00794E50">
              <w:rPr>
                <w:spacing w:val="-5"/>
                <w:lang w:val="en-GB"/>
              </w:rPr>
              <w:t xml:space="preserve">). </w:t>
            </w:r>
            <w:r w:rsidR="00761605">
              <w:rPr>
                <w:spacing w:val="-5"/>
                <w:lang w:val="en-GB"/>
              </w:rPr>
              <w:t xml:space="preserve">Prices of </w:t>
            </w:r>
            <w:r w:rsidR="00D43A2B">
              <w:rPr>
                <w:spacing w:val="-5"/>
                <w:lang w:val="en-GB"/>
              </w:rPr>
              <w:t xml:space="preserve">goods </w:t>
            </w:r>
            <w:r w:rsidR="00761605">
              <w:rPr>
                <w:spacing w:val="-5"/>
                <w:lang w:val="en-GB"/>
              </w:rPr>
              <w:t xml:space="preserve">consumed by the households increased by </w:t>
            </w:r>
            <w:r w:rsidR="00DD0726" w:rsidRPr="00794E50">
              <w:rPr>
                <w:spacing w:val="-5"/>
                <w:lang w:val="en-GB"/>
              </w:rPr>
              <w:t>2</w:t>
            </w:r>
            <w:r w:rsidR="00761605">
              <w:rPr>
                <w:spacing w:val="-5"/>
                <w:lang w:val="en-GB"/>
              </w:rPr>
              <w:t>.</w:t>
            </w:r>
            <w:r w:rsidR="00DD0726" w:rsidRPr="00794E50">
              <w:rPr>
                <w:spacing w:val="-5"/>
                <w:lang w:val="en-GB"/>
              </w:rPr>
              <w:t>4</w:t>
            </w:r>
            <w:r w:rsidR="00954C8E">
              <w:rPr>
                <w:spacing w:val="-5"/>
                <w:lang w:val="en-GB"/>
              </w:rPr>
              <w:t>%</w:t>
            </w:r>
            <w:r w:rsidR="00DD0726" w:rsidRPr="00794E50">
              <w:rPr>
                <w:spacing w:val="-5"/>
                <w:lang w:val="en-GB"/>
              </w:rPr>
              <w:t xml:space="preserve">, </w:t>
            </w:r>
            <w:r w:rsidR="00761605">
              <w:rPr>
                <w:spacing w:val="-5"/>
                <w:lang w:val="en-GB"/>
              </w:rPr>
              <w:t xml:space="preserve">similarly to the preceding quarter. The growth of prices of the </w:t>
            </w:r>
            <w:r w:rsidR="00D43A2B">
              <w:rPr>
                <w:spacing w:val="-5"/>
                <w:lang w:val="en-GB"/>
              </w:rPr>
              <w:t>capital goods</w:t>
            </w:r>
            <w:r w:rsidR="00DD0726" w:rsidRPr="00794E50">
              <w:rPr>
                <w:spacing w:val="-5"/>
                <w:lang w:val="en-GB"/>
              </w:rPr>
              <w:t xml:space="preserve"> </w:t>
            </w:r>
            <w:r w:rsidR="00761605">
              <w:rPr>
                <w:spacing w:val="-5"/>
                <w:lang w:val="en-GB"/>
              </w:rPr>
              <w:t xml:space="preserve">reached </w:t>
            </w:r>
            <w:r w:rsidR="00DD0726" w:rsidRPr="00794E50">
              <w:rPr>
                <w:spacing w:val="-5"/>
                <w:lang w:val="en-GB"/>
              </w:rPr>
              <w:t>1</w:t>
            </w:r>
            <w:r w:rsidR="00761605">
              <w:rPr>
                <w:spacing w:val="-5"/>
                <w:lang w:val="en-GB"/>
              </w:rPr>
              <w:t>.</w:t>
            </w:r>
            <w:r w:rsidR="00DD0726" w:rsidRPr="00794E50">
              <w:rPr>
                <w:spacing w:val="-5"/>
                <w:lang w:val="en-GB"/>
              </w:rPr>
              <w:t>6</w:t>
            </w:r>
            <w:r w:rsidR="00954C8E">
              <w:rPr>
                <w:spacing w:val="-5"/>
                <w:lang w:val="en-GB"/>
              </w:rPr>
              <w:t>%</w:t>
            </w:r>
            <w:r w:rsidR="00DD0726" w:rsidRPr="00794E50">
              <w:rPr>
                <w:spacing w:val="-5"/>
                <w:lang w:val="en-GB"/>
              </w:rPr>
              <w:t>.</w:t>
            </w:r>
          </w:p>
          <w:p w:rsidR="00DD0726" w:rsidRPr="00794E50" w:rsidRDefault="00DD0726" w:rsidP="00260FBE">
            <w:pPr>
              <w:pStyle w:val="Textpoznpodarou"/>
              <w:ind w:right="-35"/>
              <w:jc w:val="both"/>
              <w:rPr>
                <w:spacing w:val="-5"/>
                <w:sz w:val="16"/>
                <w:szCs w:val="16"/>
                <w:lang w:val="en-GB"/>
              </w:rPr>
            </w:pPr>
          </w:p>
        </w:tc>
      </w:tr>
      <w:tr w:rsidR="00DD0726" w:rsidRPr="00794E50" w:rsidTr="00260FBE">
        <w:tc>
          <w:tcPr>
            <w:tcW w:w="1015" w:type="pct"/>
          </w:tcPr>
          <w:p w:rsidR="00DD0726" w:rsidRPr="00794E50" w:rsidRDefault="00761605" w:rsidP="00761605">
            <w:pPr>
              <w:spacing w:line="240" w:lineRule="auto"/>
              <w:ind w:right="-19"/>
              <w:rPr>
                <w:spacing w:val="-4"/>
                <w:sz w:val="16"/>
                <w:szCs w:val="16"/>
                <w:lang w:val="en-GB"/>
              </w:rPr>
            </w:pPr>
            <w:r>
              <w:rPr>
                <w:spacing w:val="-4"/>
                <w:sz w:val="16"/>
                <w:szCs w:val="16"/>
                <w:lang w:val="en-GB"/>
              </w:rPr>
              <w:t>The growth of consumer prices crossed the 2</w:t>
            </w:r>
            <w:r w:rsidR="00954C8E">
              <w:rPr>
                <w:spacing w:val="-4"/>
                <w:sz w:val="16"/>
                <w:szCs w:val="16"/>
                <w:lang w:val="en-GB"/>
              </w:rPr>
              <w:t>%</w:t>
            </w:r>
            <w:r>
              <w:rPr>
                <w:spacing w:val="-4"/>
                <w:sz w:val="16"/>
                <w:szCs w:val="16"/>
                <w:lang w:val="en-GB"/>
              </w:rPr>
              <w:t xml:space="preserve"> level, but did not accelerate further. </w:t>
            </w:r>
          </w:p>
        </w:tc>
        <w:tc>
          <w:tcPr>
            <w:tcW w:w="144" w:type="pct"/>
          </w:tcPr>
          <w:p w:rsidR="00DD0726" w:rsidRPr="00794E50" w:rsidRDefault="00DD0726" w:rsidP="00260FBE">
            <w:pPr>
              <w:pStyle w:val="Textpoznpodarou"/>
              <w:jc w:val="both"/>
              <w:rPr>
                <w:spacing w:val="-4"/>
                <w:lang w:val="en-GB"/>
              </w:rPr>
            </w:pPr>
          </w:p>
        </w:tc>
        <w:tc>
          <w:tcPr>
            <w:tcW w:w="3841" w:type="pct"/>
            <w:gridSpan w:val="2"/>
          </w:tcPr>
          <w:p w:rsidR="00DD0726" w:rsidRPr="00794E50" w:rsidRDefault="00FD1B51" w:rsidP="00260FBE">
            <w:pPr>
              <w:pStyle w:val="Textpoznpodarou"/>
              <w:ind w:right="-35"/>
              <w:jc w:val="both"/>
              <w:rPr>
                <w:spacing w:val="-5"/>
                <w:sz w:val="16"/>
                <w:szCs w:val="16"/>
                <w:lang w:val="en-GB"/>
              </w:rPr>
            </w:pPr>
            <w:r>
              <w:rPr>
                <w:spacing w:val="-5"/>
                <w:lang w:val="en-GB"/>
              </w:rPr>
              <w:t>The consumer prices increased by 2.3</w:t>
            </w:r>
            <w:r w:rsidR="00954C8E">
              <w:rPr>
                <w:spacing w:val="-5"/>
                <w:lang w:val="en-GB"/>
              </w:rPr>
              <w:t>%</w:t>
            </w:r>
            <w:r>
              <w:rPr>
                <w:spacing w:val="-5"/>
                <w:lang w:val="en-GB"/>
              </w:rPr>
              <w:t xml:space="preserve"> year-on-year in the first half of the year 2017. The price growth experienced </w:t>
            </w:r>
            <w:r w:rsidR="00AF7C5D">
              <w:rPr>
                <w:spacing w:val="-5"/>
                <w:lang w:val="en-GB"/>
              </w:rPr>
              <w:t>a more moderate dynamic</w:t>
            </w:r>
            <w:r>
              <w:rPr>
                <w:spacing w:val="-5"/>
                <w:lang w:val="en-GB"/>
              </w:rPr>
              <w:t xml:space="preserve"> in Q1, when it reached </w:t>
            </w:r>
            <w:r w:rsidR="00DD0726" w:rsidRPr="00794E50">
              <w:rPr>
                <w:spacing w:val="-5"/>
                <w:lang w:val="en-GB"/>
              </w:rPr>
              <w:t>2</w:t>
            </w:r>
            <w:r>
              <w:rPr>
                <w:spacing w:val="-5"/>
                <w:lang w:val="en-GB"/>
              </w:rPr>
              <w:t>.</w:t>
            </w:r>
            <w:r w:rsidR="00DD0726" w:rsidRPr="00794E50">
              <w:rPr>
                <w:spacing w:val="-5"/>
                <w:lang w:val="en-GB"/>
              </w:rPr>
              <w:t>4</w:t>
            </w:r>
            <w:r w:rsidR="00954C8E">
              <w:rPr>
                <w:spacing w:val="-5"/>
                <w:lang w:val="en-GB"/>
              </w:rPr>
              <w:t>%</w:t>
            </w:r>
            <w:r w:rsidR="00DD0726" w:rsidRPr="00794E50">
              <w:rPr>
                <w:spacing w:val="-5"/>
                <w:lang w:val="en-GB"/>
              </w:rPr>
              <w:t xml:space="preserve">. </w:t>
            </w:r>
            <w:r w:rsidR="00E11ED5">
              <w:rPr>
                <w:spacing w:val="-5"/>
                <w:lang w:val="en-GB"/>
              </w:rPr>
              <w:t>The year-on-year addition to consumer prices was 2.2</w:t>
            </w:r>
            <w:r w:rsidR="00954C8E">
              <w:rPr>
                <w:spacing w:val="-5"/>
                <w:lang w:val="en-GB"/>
              </w:rPr>
              <w:t>%</w:t>
            </w:r>
            <w:r w:rsidR="00E11ED5">
              <w:rPr>
                <w:spacing w:val="-5"/>
                <w:lang w:val="en-GB"/>
              </w:rPr>
              <w:t xml:space="preserve"> in Q</w:t>
            </w:r>
            <w:r w:rsidR="00DD0726" w:rsidRPr="00794E50">
              <w:rPr>
                <w:spacing w:val="-5"/>
                <w:lang w:val="en-GB"/>
              </w:rPr>
              <w:t>2.</w:t>
            </w:r>
            <w:r w:rsidR="00E11ED5">
              <w:rPr>
                <w:spacing w:val="-5"/>
                <w:lang w:val="en-GB"/>
              </w:rPr>
              <w:t xml:space="preserve"> The acceleration of the price growth, which was connected to the year-on-year increase of the prices of transportation, halted in Q2 and the consumer inflation only mildly exceeded the 2</w:t>
            </w:r>
            <w:r w:rsidR="00954C8E">
              <w:rPr>
                <w:spacing w:val="-5"/>
                <w:lang w:val="en-GB"/>
              </w:rPr>
              <w:t>%</w:t>
            </w:r>
            <w:r w:rsidR="00E11ED5">
              <w:rPr>
                <w:spacing w:val="-5"/>
                <w:lang w:val="en-GB"/>
              </w:rPr>
              <w:t xml:space="preserve"> inflation target. </w:t>
            </w:r>
            <w:r w:rsidR="00B014DD">
              <w:rPr>
                <w:spacing w:val="-5"/>
                <w:lang w:val="en-GB"/>
              </w:rPr>
              <w:t xml:space="preserve">The core of the price growth shifted into the item food and non-alcoholic beverages. The stagnation of prices of alcoholic beverages also influenced the mild slowdown of the dynamics, these prices worked in the inflationary direction in the preceding two years. </w:t>
            </w:r>
          </w:p>
          <w:p w:rsidR="00DD0726" w:rsidRPr="00794E50" w:rsidRDefault="00DD0726" w:rsidP="00260FBE">
            <w:pPr>
              <w:pStyle w:val="Textpoznpodarou"/>
              <w:ind w:right="-35"/>
              <w:jc w:val="both"/>
              <w:rPr>
                <w:spacing w:val="-5"/>
                <w:sz w:val="16"/>
                <w:szCs w:val="16"/>
                <w:lang w:val="en-GB"/>
              </w:rPr>
            </w:pPr>
          </w:p>
        </w:tc>
      </w:tr>
      <w:tr w:rsidR="00DD0726" w:rsidRPr="00F81A26" w:rsidTr="00260FBE">
        <w:tc>
          <w:tcPr>
            <w:tcW w:w="1015" w:type="pct"/>
          </w:tcPr>
          <w:p w:rsidR="00DD0726" w:rsidRPr="00075C2C" w:rsidRDefault="00075C2C" w:rsidP="00075C2C">
            <w:pPr>
              <w:spacing w:line="240" w:lineRule="auto"/>
              <w:ind w:right="-19"/>
              <w:rPr>
                <w:spacing w:val="-4"/>
                <w:sz w:val="16"/>
                <w:szCs w:val="16"/>
                <w:lang w:val="en-GB"/>
              </w:rPr>
            </w:pPr>
            <w:r w:rsidRPr="00075C2C">
              <w:rPr>
                <w:spacing w:val="-4"/>
                <w:sz w:val="16"/>
                <w:szCs w:val="16"/>
                <w:lang w:val="en-GB"/>
              </w:rPr>
              <w:t xml:space="preserve">The year-on-year dynamics of the prices of oil was one of the reasons. </w:t>
            </w:r>
            <w:r w:rsidR="00DD0726" w:rsidRPr="00075C2C">
              <w:rPr>
                <w:spacing w:val="-4"/>
                <w:sz w:val="16"/>
                <w:szCs w:val="16"/>
                <w:lang w:val="en-GB"/>
              </w:rPr>
              <w:t xml:space="preserve"> </w:t>
            </w:r>
            <w:r w:rsidRPr="00075C2C">
              <w:rPr>
                <w:spacing w:val="-4"/>
                <w:sz w:val="16"/>
                <w:szCs w:val="16"/>
                <w:lang w:val="en-GB"/>
              </w:rPr>
              <w:t xml:space="preserve">Prices of transport did not grow as fast </w:t>
            </w:r>
            <w:r w:rsidR="00AF7C5D">
              <w:rPr>
                <w:spacing w:val="-4"/>
                <w:sz w:val="16"/>
                <w:szCs w:val="16"/>
                <w:lang w:val="en-GB"/>
              </w:rPr>
              <w:t xml:space="preserve">as </w:t>
            </w:r>
            <w:r w:rsidRPr="00075C2C">
              <w:rPr>
                <w:spacing w:val="-4"/>
                <w:sz w:val="16"/>
                <w:szCs w:val="16"/>
                <w:lang w:val="en-GB"/>
              </w:rPr>
              <w:t xml:space="preserve">in the preceding quarter in Q2. </w:t>
            </w:r>
          </w:p>
        </w:tc>
        <w:tc>
          <w:tcPr>
            <w:tcW w:w="144" w:type="pct"/>
          </w:tcPr>
          <w:p w:rsidR="00DD0726" w:rsidRPr="00075C2C" w:rsidRDefault="00DD0726" w:rsidP="00260FBE">
            <w:pPr>
              <w:pStyle w:val="Textpoznpodarou"/>
              <w:jc w:val="both"/>
              <w:rPr>
                <w:spacing w:val="-4"/>
                <w:lang w:val="en-GB"/>
              </w:rPr>
            </w:pPr>
          </w:p>
        </w:tc>
        <w:tc>
          <w:tcPr>
            <w:tcW w:w="3841" w:type="pct"/>
            <w:gridSpan w:val="2"/>
          </w:tcPr>
          <w:p w:rsidR="00DD0726" w:rsidRPr="00075C2C" w:rsidRDefault="00075C2C" w:rsidP="00260FBE">
            <w:pPr>
              <w:pStyle w:val="Textpoznpodarou"/>
              <w:jc w:val="both"/>
              <w:rPr>
                <w:spacing w:val="-5"/>
                <w:sz w:val="16"/>
                <w:szCs w:val="16"/>
                <w:lang w:val="en-GB"/>
              </w:rPr>
            </w:pPr>
            <w:r>
              <w:rPr>
                <w:spacing w:val="-5"/>
                <w:lang w:val="en-GB"/>
              </w:rPr>
              <w:t xml:space="preserve">Prices of oil sharply dropped at the turn of years </w:t>
            </w:r>
            <w:r w:rsidR="00DD0726" w:rsidRPr="00075C2C">
              <w:rPr>
                <w:spacing w:val="-5"/>
                <w:lang w:val="en-GB"/>
              </w:rPr>
              <w:t>2015 a</w:t>
            </w:r>
            <w:r>
              <w:rPr>
                <w:spacing w:val="-5"/>
                <w:lang w:val="en-GB"/>
              </w:rPr>
              <w:t>nd</w:t>
            </w:r>
            <w:r w:rsidR="00DD0726" w:rsidRPr="00075C2C">
              <w:rPr>
                <w:spacing w:val="-5"/>
                <w:lang w:val="en-GB"/>
              </w:rPr>
              <w:t xml:space="preserve"> 2016 (</w:t>
            </w:r>
            <w:r>
              <w:rPr>
                <w:spacing w:val="-5"/>
                <w:lang w:val="en-GB"/>
              </w:rPr>
              <w:t xml:space="preserve">from </w:t>
            </w:r>
            <w:r w:rsidR="00DD0726" w:rsidRPr="00075C2C">
              <w:rPr>
                <w:spacing w:val="-5"/>
                <w:lang w:val="en-GB"/>
              </w:rPr>
              <w:t>44</w:t>
            </w:r>
            <w:r>
              <w:rPr>
                <w:spacing w:val="-5"/>
                <w:lang w:val="en-GB"/>
              </w:rPr>
              <w:t xml:space="preserve">.3 dollars per </w:t>
            </w:r>
            <w:r w:rsidR="00E710C7">
              <w:rPr>
                <w:spacing w:val="-5"/>
                <w:lang w:val="en-GB"/>
              </w:rPr>
              <w:t>barrel</w:t>
            </w:r>
            <w:r>
              <w:rPr>
                <w:spacing w:val="-5"/>
                <w:lang w:val="en-GB"/>
              </w:rPr>
              <w:t xml:space="preserve"> in </w:t>
            </w:r>
            <w:r w:rsidR="00E710C7">
              <w:rPr>
                <w:spacing w:val="-5"/>
                <w:lang w:val="en-GB"/>
              </w:rPr>
              <w:t>November</w:t>
            </w:r>
            <w:r>
              <w:rPr>
                <w:spacing w:val="-5"/>
                <w:lang w:val="en-GB"/>
              </w:rPr>
              <w:t xml:space="preserve"> </w:t>
            </w:r>
            <w:r w:rsidR="00DD0726" w:rsidRPr="00075C2C">
              <w:rPr>
                <w:spacing w:val="-5"/>
                <w:lang w:val="en-GB"/>
              </w:rPr>
              <w:t xml:space="preserve">2015 </w:t>
            </w:r>
            <w:r>
              <w:rPr>
                <w:spacing w:val="-5"/>
                <w:lang w:val="en-GB"/>
              </w:rPr>
              <w:t xml:space="preserve">to </w:t>
            </w:r>
            <w:r w:rsidR="00DD0726" w:rsidRPr="00075C2C">
              <w:rPr>
                <w:spacing w:val="-5"/>
                <w:lang w:val="en-GB"/>
              </w:rPr>
              <w:t>30</w:t>
            </w:r>
            <w:r>
              <w:rPr>
                <w:spacing w:val="-5"/>
                <w:lang w:val="en-GB"/>
              </w:rPr>
              <w:t>.</w:t>
            </w:r>
            <w:r w:rsidR="00DD0726" w:rsidRPr="00075C2C">
              <w:rPr>
                <w:spacing w:val="-5"/>
                <w:lang w:val="en-GB"/>
              </w:rPr>
              <w:t xml:space="preserve">7 </w:t>
            </w:r>
            <w:r>
              <w:rPr>
                <w:spacing w:val="-5"/>
                <w:lang w:val="en-GB"/>
              </w:rPr>
              <w:t xml:space="preserve">in January </w:t>
            </w:r>
            <w:r w:rsidR="00DD0726" w:rsidRPr="00075C2C">
              <w:rPr>
                <w:spacing w:val="-5"/>
                <w:lang w:val="en-GB"/>
              </w:rPr>
              <w:t>2016) a</w:t>
            </w:r>
            <w:r>
              <w:rPr>
                <w:spacing w:val="-5"/>
                <w:lang w:val="en-GB"/>
              </w:rPr>
              <w:t xml:space="preserve">nd they returned back above the level of </w:t>
            </w:r>
            <w:r w:rsidR="00DD0726" w:rsidRPr="00075C2C">
              <w:rPr>
                <w:spacing w:val="-5"/>
                <w:lang w:val="en-GB"/>
              </w:rPr>
              <w:t xml:space="preserve">45 </w:t>
            </w:r>
            <w:r>
              <w:rPr>
                <w:spacing w:val="-5"/>
                <w:lang w:val="en-GB"/>
              </w:rPr>
              <w:t xml:space="preserve">dollars per </w:t>
            </w:r>
            <w:r w:rsidR="003B2F75" w:rsidRPr="00075C2C">
              <w:rPr>
                <w:spacing w:val="-5"/>
                <w:lang w:val="en-GB"/>
              </w:rPr>
              <w:t>barrel</w:t>
            </w:r>
            <w:r w:rsidR="00DD0726" w:rsidRPr="00075C2C">
              <w:rPr>
                <w:spacing w:val="-5"/>
                <w:lang w:val="en-GB"/>
              </w:rPr>
              <w:t xml:space="preserve"> </w:t>
            </w:r>
            <w:r>
              <w:rPr>
                <w:spacing w:val="-5"/>
                <w:lang w:val="en-GB"/>
              </w:rPr>
              <w:t xml:space="preserve">already in April </w:t>
            </w:r>
            <w:r w:rsidR="00DD0726" w:rsidRPr="00075C2C">
              <w:rPr>
                <w:spacing w:val="-5"/>
                <w:lang w:val="en-GB"/>
              </w:rPr>
              <w:t>2016. T</w:t>
            </w:r>
            <w:r>
              <w:rPr>
                <w:spacing w:val="-5"/>
                <w:lang w:val="en-GB"/>
              </w:rPr>
              <w:t xml:space="preserve">hese shifts were consequently reflected in the year-on-year dynamics of the prices of oil and transportation in the first half of year </w:t>
            </w:r>
            <w:r w:rsidR="00DD0726" w:rsidRPr="00075C2C">
              <w:rPr>
                <w:spacing w:val="-5"/>
                <w:lang w:val="en-GB"/>
              </w:rPr>
              <w:t xml:space="preserve">2017. </w:t>
            </w:r>
            <w:r>
              <w:rPr>
                <w:spacing w:val="-5"/>
                <w:lang w:val="en-GB"/>
              </w:rPr>
              <w:t xml:space="preserve">The average price of oil reached 53.7 dollars per </w:t>
            </w:r>
            <w:r w:rsidR="003B2F75">
              <w:rPr>
                <w:spacing w:val="-5"/>
                <w:lang w:val="en-GB"/>
              </w:rPr>
              <w:t>barrel</w:t>
            </w:r>
            <w:r>
              <w:rPr>
                <w:spacing w:val="-5"/>
                <w:lang w:val="en-GB"/>
              </w:rPr>
              <w:t xml:space="preserve"> in Q</w:t>
            </w:r>
            <w:r w:rsidR="00DD0726" w:rsidRPr="00075C2C">
              <w:rPr>
                <w:spacing w:val="-5"/>
                <w:lang w:val="en-GB"/>
              </w:rPr>
              <w:t>1</w:t>
            </w:r>
            <w:r>
              <w:rPr>
                <w:spacing w:val="-5"/>
                <w:lang w:val="en-GB"/>
              </w:rPr>
              <w:t xml:space="preserve">, which was by </w:t>
            </w:r>
            <w:r w:rsidR="00DD0726" w:rsidRPr="00075C2C">
              <w:rPr>
                <w:spacing w:val="-5"/>
                <w:lang w:val="en-GB"/>
              </w:rPr>
              <w:t>59</w:t>
            </w:r>
            <w:r>
              <w:rPr>
                <w:spacing w:val="-5"/>
                <w:lang w:val="en-GB"/>
              </w:rPr>
              <w:t>.</w:t>
            </w:r>
            <w:r w:rsidR="00DD0726" w:rsidRPr="00075C2C">
              <w:rPr>
                <w:spacing w:val="-5"/>
                <w:lang w:val="en-GB"/>
              </w:rPr>
              <w:t>3</w:t>
            </w:r>
            <w:r w:rsidR="00954C8E">
              <w:rPr>
                <w:spacing w:val="-5"/>
                <w:lang w:val="en-GB"/>
              </w:rPr>
              <w:t>%</w:t>
            </w:r>
            <w:r w:rsidR="00DD0726" w:rsidRPr="00075C2C">
              <w:rPr>
                <w:spacing w:val="-5"/>
                <w:lang w:val="en-GB"/>
              </w:rPr>
              <w:t xml:space="preserve"> </w:t>
            </w:r>
            <w:r>
              <w:rPr>
                <w:spacing w:val="-5"/>
                <w:lang w:val="en-GB"/>
              </w:rPr>
              <w:t xml:space="preserve">more compared to the same period of the previous year. </w:t>
            </w:r>
            <w:r w:rsidR="00455843">
              <w:rPr>
                <w:spacing w:val="-5"/>
                <w:lang w:val="en-GB"/>
              </w:rPr>
              <w:t>The crown depreciation against the dollar also affected the increase of the prices of oil. The prices of transportation thus increased by 6.0</w:t>
            </w:r>
            <w:r w:rsidR="00954C8E">
              <w:rPr>
                <w:spacing w:val="-5"/>
                <w:lang w:val="en-GB"/>
              </w:rPr>
              <w:t>%</w:t>
            </w:r>
            <w:r w:rsidR="00455843">
              <w:rPr>
                <w:spacing w:val="-5"/>
                <w:lang w:val="en-GB"/>
              </w:rPr>
              <w:t xml:space="preserve"> in Q1 year-on-year </w:t>
            </w:r>
            <w:r w:rsidR="00DD0726" w:rsidRPr="00075C2C">
              <w:rPr>
                <w:spacing w:val="-5"/>
                <w:lang w:val="en-GB"/>
              </w:rPr>
              <w:t>(</w:t>
            </w:r>
            <w:r w:rsidR="00455843">
              <w:rPr>
                <w:spacing w:val="-5"/>
                <w:lang w:val="en-GB"/>
              </w:rPr>
              <w:t xml:space="preserve">in </w:t>
            </w:r>
            <w:proofErr w:type="gramStart"/>
            <w:r w:rsidR="00455843">
              <w:rPr>
                <w:spacing w:val="-5"/>
                <w:lang w:val="en-GB"/>
              </w:rPr>
              <w:t xml:space="preserve">that prices of the </w:t>
            </w:r>
            <w:r w:rsidR="00A56343">
              <w:rPr>
                <w:spacing w:val="-5"/>
                <w:lang w:val="en-GB"/>
              </w:rPr>
              <w:t xml:space="preserve">operation of private motor vehicles by </w:t>
            </w:r>
            <w:r w:rsidR="00DD0726" w:rsidRPr="00075C2C">
              <w:rPr>
                <w:spacing w:val="-5"/>
                <w:lang w:val="en-GB"/>
              </w:rPr>
              <w:t>10</w:t>
            </w:r>
            <w:r w:rsidR="00A56343">
              <w:rPr>
                <w:spacing w:val="-5"/>
                <w:lang w:val="en-GB"/>
              </w:rPr>
              <w:t>.</w:t>
            </w:r>
            <w:r w:rsidR="00DD0726" w:rsidRPr="00075C2C">
              <w:rPr>
                <w:spacing w:val="-5"/>
                <w:lang w:val="en-GB"/>
              </w:rPr>
              <w:t>7</w:t>
            </w:r>
            <w:r w:rsidR="00954C8E">
              <w:rPr>
                <w:spacing w:val="-5"/>
                <w:lang w:val="en-GB"/>
              </w:rPr>
              <w:t>%</w:t>
            </w:r>
            <w:r w:rsidR="00DD0726" w:rsidRPr="00075C2C">
              <w:rPr>
                <w:spacing w:val="-5"/>
                <w:lang w:val="en-GB"/>
              </w:rPr>
              <w:t>)</w:t>
            </w:r>
            <w:proofErr w:type="gramEnd"/>
            <w:r w:rsidR="00DD0726" w:rsidRPr="00075C2C">
              <w:rPr>
                <w:spacing w:val="-5"/>
                <w:lang w:val="en-GB"/>
              </w:rPr>
              <w:t xml:space="preserve">. </w:t>
            </w:r>
            <w:r w:rsidR="00A56343">
              <w:rPr>
                <w:spacing w:val="-5"/>
                <w:lang w:val="en-GB"/>
              </w:rPr>
              <w:t xml:space="preserve">It was not possible to maintain the weak price growth commenced in the autumn 2016 in the second quarter and the average price for the barrel of oil slightly lowered to </w:t>
            </w:r>
            <w:r w:rsidR="00DD0726" w:rsidRPr="00075C2C">
              <w:rPr>
                <w:spacing w:val="-5"/>
                <w:lang w:val="en-GB"/>
              </w:rPr>
              <w:t>49</w:t>
            </w:r>
            <w:r w:rsidR="00A56343">
              <w:rPr>
                <w:spacing w:val="-5"/>
                <w:lang w:val="en-GB"/>
              </w:rPr>
              <w:t>.</w:t>
            </w:r>
            <w:r w:rsidR="00DD0726" w:rsidRPr="00075C2C">
              <w:rPr>
                <w:spacing w:val="-5"/>
                <w:lang w:val="en-GB"/>
              </w:rPr>
              <w:t xml:space="preserve">7 </w:t>
            </w:r>
            <w:r w:rsidR="00A56343">
              <w:rPr>
                <w:spacing w:val="-5"/>
                <w:lang w:val="en-GB"/>
              </w:rPr>
              <w:t xml:space="preserve">dollars, which meant the year-on-year increase </w:t>
            </w:r>
            <w:r w:rsidR="005746C8">
              <w:rPr>
                <w:spacing w:val="-5"/>
                <w:lang w:val="en-GB"/>
              </w:rPr>
              <w:t xml:space="preserve">of </w:t>
            </w:r>
            <w:r w:rsidR="005746C8" w:rsidRPr="00075C2C">
              <w:rPr>
                <w:spacing w:val="-5"/>
                <w:lang w:val="en-GB"/>
              </w:rPr>
              <w:t>9.1</w:t>
            </w:r>
            <w:r w:rsidR="00954C8E">
              <w:rPr>
                <w:spacing w:val="-5"/>
                <w:lang w:val="en-GB"/>
              </w:rPr>
              <w:t>%</w:t>
            </w:r>
            <w:r w:rsidR="00DD0726" w:rsidRPr="00075C2C">
              <w:rPr>
                <w:spacing w:val="-5"/>
                <w:lang w:val="en-GB"/>
              </w:rPr>
              <w:t xml:space="preserve">. </w:t>
            </w:r>
            <w:r w:rsidR="005746C8">
              <w:rPr>
                <w:spacing w:val="-5"/>
                <w:lang w:val="en-GB"/>
              </w:rPr>
              <w:t xml:space="preserve">This was also the reason, why the growth of the prices of transportation slowed down to </w:t>
            </w:r>
            <w:r w:rsidR="00DD0726" w:rsidRPr="00075C2C">
              <w:rPr>
                <w:spacing w:val="-5"/>
                <w:lang w:val="en-GB"/>
              </w:rPr>
              <w:t>3</w:t>
            </w:r>
            <w:r w:rsidR="005746C8">
              <w:rPr>
                <w:spacing w:val="-5"/>
                <w:lang w:val="en-GB"/>
              </w:rPr>
              <w:t>.</w:t>
            </w:r>
            <w:r w:rsidR="00DD0726" w:rsidRPr="00075C2C">
              <w:rPr>
                <w:spacing w:val="-5"/>
                <w:lang w:val="en-GB"/>
              </w:rPr>
              <w:t>9</w:t>
            </w:r>
            <w:r w:rsidR="00954C8E">
              <w:rPr>
                <w:spacing w:val="-5"/>
                <w:lang w:val="en-GB"/>
              </w:rPr>
              <w:t>%</w:t>
            </w:r>
            <w:r w:rsidR="00DD0726" w:rsidRPr="00075C2C">
              <w:rPr>
                <w:spacing w:val="-5"/>
                <w:lang w:val="en-GB"/>
              </w:rPr>
              <w:t xml:space="preserve"> (</w:t>
            </w:r>
            <w:r w:rsidR="007D3524">
              <w:rPr>
                <w:spacing w:val="-5"/>
                <w:lang w:val="en-GB"/>
              </w:rPr>
              <w:t xml:space="preserve">in that the growth of the cost of transport vehicle operations was </w:t>
            </w:r>
            <w:r w:rsidR="00DD0726" w:rsidRPr="00075C2C">
              <w:rPr>
                <w:spacing w:val="-5"/>
                <w:lang w:val="en-GB"/>
              </w:rPr>
              <w:t>5</w:t>
            </w:r>
            <w:r w:rsidR="007D3524">
              <w:rPr>
                <w:spacing w:val="-5"/>
                <w:lang w:val="en-GB"/>
              </w:rPr>
              <w:t>.</w:t>
            </w:r>
            <w:r w:rsidR="00DD0726" w:rsidRPr="00075C2C">
              <w:rPr>
                <w:spacing w:val="-5"/>
                <w:lang w:val="en-GB"/>
              </w:rPr>
              <w:t>8</w:t>
            </w:r>
            <w:r w:rsidR="00954C8E">
              <w:rPr>
                <w:spacing w:val="-5"/>
                <w:lang w:val="en-GB"/>
              </w:rPr>
              <w:t>%</w:t>
            </w:r>
            <w:r w:rsidR="00DD0726" w:rsidRPr="00075C2C">
              <w:rPr>
                <w:spacing w:val="-5"/>
                <w:lang w:val="en-GB"/>
              </w:rPr>
              <w:t xml:space="preserve">). </w:t>
            </w:r>
            <w:r w:rsidR="007D3524">
              <w:rPr>
                <w:spacing w:val="-5"/>
                <w:lang w:val="en-GB"/>
              </w:rPr>
              <w:t xml:space="preserve">However, despite the slowdown, the prices of transportation contributed to the total inflation of the consumer prices 0.4 p. p. in Q2. </w:t>
            </w:r>
            <w:r w:rsidR="00DD0726" w:rsidRPr="00075C2C">
              <w:rPr>
                <w:spacing w:val="-5"/>
                <w:lang w:val="en-GB"/>
              </w:rPr>
              <w:t xml:space="preserve"> </w:t>
            </w:r>
          </w:p>
          <w:p w:rsidR="00DD0726" w:rsidRPr="00075C2C" w:rsidRDefault="00DD0726" w:rsidP="00260FBE">
            <w:pPr>
              <w:pStyle w:val="Textpoznpodarou"/>
              <w:jc w:val="both"/>
              <w:rPr>
                <w:spacing w:val="-5"/>
                <w:sz w:val="16"/>
                <w:szCs w:val="16"/>
                <w:lang w:val="en-GB"/>
              </w:rPr>
            </w:pPr>
          </w:p>
        </w:tc>
      </w:tr>
      <w:tr w:rsidR="00DD0726" w:rsidRPr="00F81A26" w:rsidTr="00260FBE">
        <w:tc>
          <w:tcPr>
            <w:tcW w:w="1015" w:type="pct"/>
          </w:tcPr>
          <w:p w:rsidR="00DD0726" w:rsidRPr="00F81A26" w:rsidRDefault="00DD0726" w:rsidP="00260FBE">
            <w:pPr>
              <w:spacing w:line="240" w:lineRule="auto"/>
              <w:ind w:right="-19"/>
              <w:jc w:val="center"/>
              <w:rPr>
                <w:spacing w:val="-4"/>
                <w:szCs w:val="20"/>
              </w:rPr>
            </w:pPr>
          </w:p>
        </w:tc>
        <w:tc>
          <w:tcPr>
            <w:tcW w:w="144" w:type="pct"/>
          </w:tcPr>
          <w:p w:rsidR="00DD0726" w:rsidRPr="00F81A26" w:rsidRDefault="00DD0726" w:rsidP="00260FBE">
            <w:pPr>
              <w:pStyle w:val="Textpoznpodarou"/>
              <w:jc w:val="both"/>
              <w:rPr>
                <w:spacing w:val="-4"/>
              </w:rPr>
            </w:pPr>
          </w:p>
        </w:tc>
        <w:tc>
          <w:tcPr>
            <w:tcW w:w="580" w:type="pct"/>
          </w:tcPr>
          <w:p w:rsidR="00DD0726" w:rsidRPr="00F81A26" w:rsidRDefault="00611E4E" w:rsidP="00611E4E">
            <w:pPr>
              <w:pStyle w:val="Textpoznpodarou"/>
              <w:jc w:val="both"/>
              <w:rPr>
                <w:spacing w:val="-4"/>
              </w:rPr>
            </w:pPr>
            <w:r>
              <w:rPr>
                <w:spacing w:val="-4"/>
              </w:rPr>
              <w:t xml:space="preserve">Chart </w:t>
            </w:r>
            <w:r w:rsidR="00DD0726" w:rsidRPr="00F81A26">
              <w:rPr>
                <w:spacing w:val="-4"/>
              </w:rPr>
              <w:t>11</w:t>
            </w:r>
          </w:p>
        </w:tc>
        <w:tc>
          <w:tcPr>
            <w:tcW w:w="3261" w:type="pct"/>
          </w:tcPr>
          <w:p w:rsidR="001077AE" w:rsidRDefault="00611E4E" w:rsidP="00611E4E">
            <w:pPr>
              <w:pStyle w:val="Textpoznpodarou"/>
              <w:rPr>
                <w:b/>
                <w:spacing w:val="-4"/>
                <w:lang w:val="en-GB"/>
              </w:rPr>
            </w:pPr>
            <w:r w:rsidRPr="00611E4E">
              <w:rPr>
                <w:b/>
                <w:spacing w:val="-4"/>
                <w:lang w:val="en-GB"/>
              </w:rPr>
              <w:t xml:space="preserve">Prices in the selected divisions of the consumer price index </w:t>
            </w:r>
          </w:p>
          <w:p w:rsidR="00DD0726" w:rsidRPr="00611E4E" w:rsidRDefault="00DD0726" w:rsidP="00611E4E">
            <w:pPr>
              <w:pStyle w:val="Textpoznpodarou"/>
              <w:rPr>
                <w:spacing w:val="-4"/>
                <w:lang w:val="en-GB"/>
              </w:rPr>
            </w:pPr>
            <w:r w:rsidRPr="00611E4E">
              <w:rPr>
                <w:spacing w:val="-4"/>
                <w:lang w:val="en-GB"/>
              </w:rPr>
              <w:t>(</w:t>
            </w:r>
            <w:r w:rsidR="00611E4E" w:rsidRPr="00611E4E">
              <w:rPr>
                <w:spacing w:val="-4"/>
                <w:lang w:val="en-GB"/>
              </w:rPr>
              <w:t>year-on-year change</w:t>
            </w:r>
            <w:r w:rsidRPr="00611E4E">
              <w:rPr>
                <w:spacing w:val="-4"/>
                <w:lang w:val="en-GB"/>
              </w:rPr>
              <w:t xml:space="preserve">, </w:t>
            </w:r>
            <w:r w:rsidR="00954C8E">
              <w:rPr>
                <w:spacing w:val="-4"/>
                <w:lang w:val="en-GB"/>
              </w:rPr>
              <w:t>in %</w:t>
            </w:r>
            <w:r w:rsidRPr="00611E4E">
              <w:rPr>
                <w:spacing w:val="-4"/>
                <w:lang w:val="en-GB"/>
              </w:rPr>
              <w:t>)</w:t>
            </w:r>
          </w:p>
        </w:tc>
      </w:tr>
      <w:tr w:rsidR="00DD0726" w:rsidRPr="00F81A26" w:rsidTr="00260FBE">
        <w:tc>
          <w:tcPr>
            <w:tcW w:w="1015" w:type="pct"/>
          </w:tcPr>
          <w:p w:rsidR="00DD0726" w:rsidRPr="00F81A26" w:rsidRDefault="00DD0726" w:rsidP="00260FBE">
            <w:pPr>
              <w:spacing w:line="240" w:lineRule="auto"/>
              <w:ind w:right="-19"/>
              <w:rPr>
                <w:spacing w:val="-4"/>
                <w:sz w:val="16"/>
                <w:szCs w:val="16"/>
              </w:rPr>
            </w:pPr>
          </w:p>
        </w:tc>
        <w:tc>
          <w:tcPr>
            <w:tcW w:w="144" w:type="pct"/>
          </w:tcPr>
          <w:p w:rsidR="00DD0726" w:rsidRPr="00F81A26" w:rsidRDefault="00DD0726" w:rsidP="00260FBE">
            <w:pPr>
              <w:pStyle w:val="Textpoznpodarou"/>
              <w:jc w:val="both"/>
              <w:rPr>
                <w:spacing w:val="-4"/>
              </w:rPr>
            </w:pPr>
          </w:p>
        </w:tc>
        <w:tc>
          <w:tcPr>
            <w:tcW w:w="3841" w:type="pct"/>
            <w:gridSpan w:val="2"/>
          </w:tcPr>
          <w:p w:rsidR="00DD0726" w:rsidRPr="00F81A26" w:rsidRDefault="0068748C" w:rsidP="00260FBE">
            <w:pPr>
              <w:pStyle w:val="Textpoznpodarou"/>
              <w:ind w:left="-54"/>
              <w:jc w:val="both"/>
              <w:rPr>
                <w:spacing w:val="-4"/>
              </w:rPr>
            </w:pPr>
            <w:r w:rsidRPr="0068748C">
              <w:rPr>
                <w:noProof/>
                <w:spacing w:val="-4"/>
              </w:rPr>
              <w:drawing>
                <wp:inline distT="0" distB="0" distL="0" distR="0">
                  <wp:extent cx="4737600" cy="3553200"/>
                  <wp:effectExtent l="0" t="0" r="0" b="0"/>
                  <wp:docPr id="2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0726" w:rsidRDefault="00B15ED5" w:rsidP="00260FBE">
            <w:pPr>
              <w:pStyle w:val="Textpoznpodarou"/>
              <w:ind w:left="-54"/>
              <w:jc w:val="right"/>
              <w:rPr>
                <w:spacing w:val="-4"/>
                <w:sz w:val="14"/>
                <w:szCs w:val="14"/>
              </w:rPr>
            </w:pPr>
            <w:proofErr w:type="spellStart"/>
            <w:r>
              <w:rPr>
                <w:spacing w:val="-4"/>
                <w:sz w:val="14"/>
                <w:szCs w:val="14"/>
              </w:rPr>
              <w:t>Source</w:t>
            </w:r>
            <w:proofErr w:type="spellEnd"/>
            <w:r w:rsidR="00DD0726" w:rsidRPr="00F81A26">
              <w:rPr>
                <w:spacing w:val="-4"/>
                <w:sz w:val="14"/>
                <w:szCs w:val="14"/>
              </w:rPr>
              <w:t xml:space="preserve">: </w:t>
            </w:r>
            <w:r>
              <w:rPr>
                <w:spacing w:val="-4"/>
                <w:sz w:val="14"/>
                <w:szCs w:val="14"/>
              </w:rPr>
              <w:t>CZSO</w:t>
            </w:r>
          </w:p>
          <w:p w:rsidR="00DD0726" w:rsidRPr="00F81A26" w:rsidRDefault="00DD0726" w:rsidP="0068748C">
            <w:pPr>
              <w:pStyle w:val="Textpoznpodarou"/>
              <w:ind w:left="-54"/>
              <w:rPr>
                <w:spacing w:val="-4"/>
                <w:sz w:val="14"/>
                <w:szCs w:val="14"/>
              </w:rPr>
            </w:pPr>
          </w:p>
        </w:tc>
      </w:tr>
      <w:tr w:rsidR="00DD0726" w:rsidRPr="00F81A26" w:rsidTr="00260FBE">
        <w:tc>
          <w:tcPr>
            <w:tcW w:w="1015" w:type="pct"/>
          </w:tcPr>
          <w:p w:rsidR="00DD0726" w:rsidRPr="00227CF4" w:rsidRDefault="00227CF4" w:rsidP="00260FBE">
            <w:pPr>
              <w:spacing w:line="240" w:lineRule="auto"/>
              <w:ind w:right="-19"/>
              <w:rPr>
                <w:spacing w:val="-4"/>
                <w:sz w:val="16"/>
                <w:szCs w:val="16"/>
                <w:lang w:val="en-GB"/>
              </w:rPr>
            </w:pPr>
            <w:r w:rsidRPr="00227CF4">
              <w:rPr>
                <w:spacing w:val="-4"/>
                <w:sz w:val="16"/>
                <w:szCs w:val="16"/>
                <w:lang w:val="en-GB"/>
              </w:rPr>
              <w:lastRenderedPageBreak/>
              <w:t xml:space="preserve">The raising of the prices of food continued strongly. </w:t>
            </w:r>
          </w:p>
        </w:tc>
        <w:tc>
          <w:tcPr>
            <w:tcW w:w="144" w:type="pct"/>
          </w:tcPr>
          <w:p w:rsidR="00DD0726" w:rsidRPr="00227CF4" w:rsidRDefault="00DD0726" w:rsidP="00260FBE">
            <w:pPr>
              <w:pStyle w:val="Textpoznpodarou"/>
              <w:jc w:val="both"/>
              <w:rPr>
                <w:spacing w:val="-4"/>
                <w:lang w:val="en-GB"/>
              </w:rPr>
            </w:pPr>
          </w:p>
        </w:tc>
        <w:tc>
          <w:tcPr>
            <w:tcW w:w="3841" w:type="pct"/>
            <w:gridSpan w:val="2"/>
          </w:tcPr>
          <w:p w:rsidR="00DD0726" w:rsidRPr="00227CF4" w:rsidRDefault="004269F9" w:rsidP="00260FBE">
            <w:pPr>
              <w:pStyle w:val="Textpoznpodarou"/>
              <w:jc w:val="both"/>
              <w:rPr>
                <w:spacing w:val="-5"/>
                <w:sz w:val="16"/>
                <w:szCs w:val="16"/>
                <w:lang w:val="en-GB"/>
              </w:rPr>
            </w:pPr>
            <w:r>
              <w:rPr>
                <w:spacing w:val="-5"/>
                <w:lang w:val="en-GB"/>
              </w:rPr>
              <w:t>The prices of food and non-alcoholic beverages increased by 4.5</w:t>
            </w:r>
            <w:r w:rsidR="00954C8E">
              <w:rPr>
                <w:spacing w:val="-5"/>
                <w:lang w:val="en-GB"/>
              </w:rPr>
              <w:t>%</w:t>
            </w:r>
            <w:r>
              <w:rPr>
                <w:spacing w:val="-5"/>
                <w:lang w:val="en-GB"/>
              </w:rPr>
              <w:t xml:space="preserve"> year-on-year and they mildly accelerated compared to the preceding quarter.</w:t>
            </w:r>
            <w:r w:rsidR="00DD0726" w:rsidRPr="00227CF4">
              <w:rPr>
                <w:spacing w:val="-5"/>
                <w:lang w:val="en-GB"/>
              </w:rPr>
              <w:t xml:space="preserve"> </w:t>
            </w:r>
            <w:r w:rsidR="00534CDA">
              <w:rPr>
                <w:spacing w:val="-5"/>
                <w:lang w:val="en-GB"/>
              </w:rPr>
              <w:t>They added 0.8 p. p. to the total growth of the consumer prices.</w:t>
            </w:r>
            <w:r w:rsidR="00DD0726" w:rsidRPr="00227CF4">
              <w:rPr>
                <w:spacing w:val="-5"/>
                <w:lang w:val="en-GB"/>
              </w:rPr>
              <w:t xml:space="preserve"> </w:t>
            </w:r>
            <w:r w:rsidR="00CE1CFC">
              <w:rPr>
                <w:spacing w:val="-5"/>
                <w:lang w:val="en-GB"/>
              </w:rPr>
              <w:t xml:space="preserve">The prices of </w:t>
            </w:r>
            <w:r w:rsidR="00DA07D3">
              <w:rPr>
                <w:spacing w:val="-5"/>
                <w:lang w:val="en-GB"/>
              </w:rPr>
              <w:t>oils and fats</w:t>
            </w:r>
            <w:r w:rsidR="00CE1CFC">
              <w:rPr>
                <w:spacing w:val="-5"/>
                <w:lang w:val="en-GB"/>
              </w:rPr>
              <w:t xml:space="preserve"> grew the fastest</w:t>
            </w:r>
            <w:r w:rsidR="00DD0726" w:rsidRPr="00227CF4">
              <w:rPr>
                <w:spacing w:val="-5"/>
                <w:lang w:val="en-GB"/>
              </w:rPr>
              <w:t xml:space="preserve"> (11</w:t>
            </w:r>
            <w:r w:rsidR="00CE1CFC">
              <w:rPr>
                <w:spacing w:val="-5"/>
                <w:lang w:val="en-GB"/>
              </w:rPr>
              <w:t>.</w:t>
            </w:r>
            <w:r w:rsidR="00DD0726" w:rsidRPr="00227CF4">
              <w:rPr>
                <w:spacing w:val="-5"/>
                <w:lang w:val="en-GB"/>
              </w:rPr>
              <w:t>0</w:t>
            </w:r>
            <w:r w:rsidR="00954C8E">
              <w:rPr>
                <w:spacing w:val="-5"/>
                <w:lang w:val="en-GB"/>
              </w:rPr>
              <w:t>%</w:t>
            </w:r>
            <w:r w:rsidR="00DD0726" w:rsidRPr="00227CF4">
              <w:rPr>
                <w:spacing w:val="-5"/>
                <w:lang w:val="en-GB"/>
              </w:rPr>
              <w:t xml:space="preserve">), </w:t>
            </w:r>
            <w:r w:rsidR="00CE1CFC">
              <w:rPr>
                <w:spacing w:val="-5"/>
                <w:lang w:val="en-GB"/>
              </w:rPr>
              <w:t>the butter is placed here, whose prices rose by 21.7</w:t>
            </w:r>
            <w:r w:rsidR="00954C8E">
              <w:rPr>
                <w:spacing w:val="-5"/>
                <w:lang w:val="en-GB"/>
              </w:rPr>
              <w:t>%</w:t>
            </w:r>
            <w:r w:rsidR="00CE1CFC">
              <w:rPr>
                <w:spacing w:val="-5"/>
                <w:lang w:val="en-GB"/>
              </w:rPr>
              <w:t xml:space="preserve"> year-on-year and milk, cheese and eggs (9.8</w:t>
            </w:r>
            <w:r w:rsidR="00954C8E">
              <w:rPr>
                <w:spacing w:val="-5"/>
                <w:lang w:val="en-GB"/>
              </w:rPr>
              <w:t>%</w:t>
            </w:r>
            <w:r w:rsidR="00CE1CFC">
              <w:rPr>
                <w:spacing w:val="-5"/>
                <w:lang w:val="en-GB"/>
              </w:rPr>
              <w:t xml:space="preserve">). </w:t>
            </w:r>
            <w:r w:rsidR="00E163F9">
              <w:rPr>
                <w:spacing w:val="-5"/>
                <w:lang w:val="en-GB"/>
              </w:rPr>
              <w:t>The price growth was quickening for both these items in comparison to the previous quarter. The year-on-year growth of the prices of the</w:t>
            </w:r>
            <w:r w:rsidR="00DA07D3">
              <w:rPr>
                <w:spacing w:val="-5"/>
                <w:lang w:val="en-GB"/>
              </w:rPr>
              <w:t xml:space="preserve"> bakery products</w:t>
            </w:r>
            <w:r w:rsidR="00DD0726" w:rsidRPr="00227CF4">
              <w:rPr>
                <w:spacing w:val="-5"/>
                <w:lang w:val="en-GB"/>
              </w:rPr>
              <w:t xml:space="preserve"> </w:t>
            </w:r>
            <w:r w:rsidR="00E163F9">
              <w:rPr>
                <w:spacing w:val="-5"/>
                <w:lang w:val="en-GB"/>
              </w:rPr>
              <w:t xml:space="preserve">also gained pace </w:t>
            </w:r>
            <w:r w:rsidR="00DD0726" w:rsidRPr="00227CF4">
              <w:rPr>
                <w:spacing w:val="-5"/>
                <w:lang w:val="en-GB"/>
              </w:rPr>
              <w:t>(</w:t>
            </w:r>
            <w:r w:rsidR="00E163F9">
              <w:rPr>
                <w:spacing w:val="-5"/>
                <w:lang w:val="en-GB"/>
              </w:rPr>
              <w:t xml:space="preserve">from </w:t>
            </w:r>
            <w:r w:rsidR="00DD0726" w:rsidRPr="00227CF4">
              <w:rPr>
                <w:spacing w:val="-5"/>
                <w:lang w:val="en-GB"/>
              </w:rPr>
              <w:t>3</w:t>
            </w:r>
            <w:r w:rsidR="00E163F9">
              <w:rPr>
                <w:spacing w:val="-5"/>
                <w:lang w:val="en-GB"/>
              </w:rPr>
              <w:t>.</w:t>
            </w:r>
            <w:r w:rsidR="00DD0726" w:rsidRPr="00227CF4">
              <w:rPr>
                <w:spacing w:val="-5"/>
                <w:lang w:val="en-GB"/>
              </w:rPr>
              <w:t>5</w:t>
            </w:r>
            <w:r w:rsidR="00954C8E">
              <w:rPr>
                <w:spacing w:val="-5"/>
                <w:lang w:val="en-GB"/>
              </w:rPr>
              <w:t>%</w:t>
            </w:r>
            <w:r w:rsidR="00DD0726" w:rsidRPr="00227CF4">
              <w:rPr>
                <w:spacing w:val="-5"/>
                <w:lang w:val="en-GB"/>
              </w:rPr>
              <w:t xml:space="preserve"> </w:t>
            </w:r>
            <w:r w:rsidR="00E163F9">
              <w:rPr>
                <w:spacing w:val="-5"/>
                <w:lang w:val="en-GB"/>
              </w:rPr>
              <w:t xml:space="preserve">to </w:t>
            </w:r>
            <w:r w:rsidR="00DD0726" w:rsidRPr="00227CF4">
              <w:rPr>
                <w:spacing w:val="-5"/>
                <w:lang w:val="en-GB"/>
              </w:rPr>
              <w:t>5</w:t>
            </w:r>
            <w:r w:rsidR="00E163F9">
              <w:rPr>
                <w:spacing w:val="-5"/>
                <w:lang w:val="en-GB"/>
              </w:rPr>
              <w:t>.</w:t>
            </w:r>
            <w:r w:rsidR="00DD0726" w:rsidRPr="00227CF4">
              <w:rPr>
                <w:spacing w:val="-5"/>
                <w:lang w:val="en-GB"/>
              </w:rPr>
              <w:t>2</w:t>
            </w:r>
            <w:r w:rsidR="00954C8E">
              <w:rPr>
                <w:spacing w:val="-5"/>
                <w:lang w:val="en-GB"/>
              </w:rPr>
              <w:t>%</w:t>
            </w:r>
            <w:r w:rsidR="00DD0726" w:rsidRPr="00227CF4">
              <w:rPr>
                <w:spacing w:val="-5"/>
                <w:lang w:val="en-GB"/>
              </w:rPr>
              <w:t>) a</w:t>
            </w:r>
            <w:r w:rsidR="00E163F9">
              <w:rPr>
                <w:spacing w:val="-5"/>
                <w:lang w:val="en-GB"/>
              </w:rPr>
              <w:t xml:space="preserve">nd meat </w:t>
            </w:r>
            <w:r w:rsidR="00DD0726" w:rsidRPr="00227CF4">
              <w:rPr>
                <w:spacing w:val="-5"/>
                <w:lang w:val="en-GB"/>
              </w:rPr>
              <w:t>(</w:t>
            </w:r>
            <w:r w:rsidR="00E163F9">
              <w:rPr>
                <w:spacing w:val="-5"/>
                <w:lang w:val="en-GB"/>
              </w:rPr>
              <w:t xml:space="preserve">from </w:t>
            </w:r>
            <w:r w:rsidR="00DD0726" w:rsidRPr="00227CF4">
              <w:rPr>
                <w:spacing w:val="-5"/>
                <w:lang w:val="en-GB"/>
              </w:rPr>
              <w:t>2</w:t>
            </w:r>
            <w:r w:rsidR="00E163F9">
              <w:rPr>
                <w:spacing w:val="-5"/>
                <w:lang w:val="en-GB"/>
              </w:rPr>
              <w:t>.</w:t>
            </w:r>
            <w:r w:rsidR="00DD0726" w:rsidRPr="00227CF4">
              <w:rPr>
                <w:spacing w:val="-5"/>
                <w:lang w:val="en-GB"/>
              </w:rPr>
              <w:t>2</w:t>
            </w:r>
            <w:r w:rsidR="00954C8E">
              <w:rPr>
                <w:spacing w:val="-5"/>
                <w:lang w:val="en-GB"/>
              </w:rPr>
              <w:t>%</w:t>
            </w:r>
            <w:r w:rsidR="00E163F9">
              <w:rPr>
                <w:spacing w:val="-5"/>
                <w:lang w:val="en-GB"/>
              </w:rPr>
              <w:t xml:space="preserve"> to 5.</w:t>
            </w:r>
            <w:r w:rsidR="00DD0726" w:rsidRPr="00227CF4">
              <w:rPr>
                <w:spacing w:val="-5"/>
                <w:lang w:val="en-GB"/>
              </w:rPr>
              <w:t>1</w:t>
            </w:r>
            <w:r w:rsidR="00954C8E">
              <w:rPr>
                <w:spacing w:val="-5"/>
                <w:lang w:val="en-GB"/>
              </w:rPr>
              <w:t>%</w:t>
            </w:r>
            <w:r w:rsidR="00DD0726" w:rsidRPr="00227CF4">
              <w:rPr>
                <w:spacing w:val="-5"/>
                <w:lang w:val="en-GB"/>
              </w:rPr>
              <w:t xml:space="preserve">). </w:t>
            </w:r>
            <w:r w:rsidR="004009B7">
              <w:rPr>
                <w:spacing w:val="-5"/>
                <w:lang w:val="en-GB"/>
              </w:rPr>
              <w:t xml:space="preserve">The vegetable was the only product, which was lowering prices year-on-year in the second quarter </w:t>
            </w:r>
            <w:r w:rsidR="00DD0726" w:rsidRPr="00227CF4">
              <w:rPr>
                <w:spacing w:val="-5"/>
                <w:lang w:val="en-GB"/>
              </w:rPr>
              <w:t>(</w:t>
            </w:r>
            <w:r w:rsidR="004009B7">
              <w:rPr>
                <w:spacing w:val="-5"/>
                <w:lang w:val="en-GB"/>
              </w:rPr>
              <w:t>by</w:t>
            </w:r>
            <w:r w:rsidR="00DD0726" w:rsidRPr="00227CF4">
              <w:rPr>
                <w:spacing w:val="-5"/>
                <w:lang w:val="en-GB"/>
              </w:rPr>
              <w:t xml:space="preserve"> 4</w:t>
            </w:r>
            <w:r w:rsidR="004009B7">
              <w:rPr>
                <w:spacing w:val="-5"/>
                <w:lang w:val="en-GB"/>
              </w:rPr>
              <w:t>.</w:t>
            </w:r>
            <w:r w:rsidR="00DD0726" w:rsidRPr="00227CF4">
              <w:rPr>
                <w:spacing w:val="-5"/>
                <w:lang w:val="en-GB"/>
              </w:rPr>
              <w:t>8</w:t>
            </w:r>
            <w:r w:rsidR="00954C8E">
              <w:rPr>
                <w:spacing w:val="-5"/>
                <w:lang w:val="en-GB"/>
              </w:rPr>
              <w:t>%</w:t>
            </w:r>
            <w:r w:rsidR="00DD0726" w:rsidRPr="00227CF4">
              <w:rPr>
                <w:spacing w:val="-5"/>
                <w:lang w:val="en-GB"/>
              </w:rPr>
              <w:t xml:space="preserve">). </w:t>
            </w:r>
            <w:r w:rsidR="004009B7">
              <w:rPr>
                <w:spacing w:val="-5"/>
                <w:lang w:val="en-GB"/>
              </w:rPr>
              <w:t xml:space="preserve">Non-alcoholic beverages raised prices by moderate </w:t>
            </w:r>
            <w:r w:rsidR="00DD0726" w:rsidRPr="00227CF4">
              <w:rPr>
                <w:spacing w:val="-5"/>
                <w:lang w:val="en-GB"/>
              </w:rPr>
              <w:t>1</w:t>
            </w:r>
            <w:r w:rsidR="004009B7">
              <w:rPr>
                <w:spacing w:val="-5"/>
                <w:lang w:val="en-GB"/>
              </w:rPr>
              <w:t>.</w:t>
            </w:r>
            <w:r w:rsidR="00DD0726" w:rsidRPr="00227CF4">
              <w:rPr>
                <w:spacing w:val="-5"/>
                <w:lang w:val="en-GB"/>
              </w:rPr>
              <w:t>1</w:t>
            </w:r>
            <w:r w:rsidR="00954C8E">
              <w:rPr>
                <w:spacing w:val="-5"/>
                <w:lang w:val="en-GB"/>
              </w:rPr>
              <w:t>%</w:t>
            </w:r>
            <w:r w:rsidR="00DD0726" w:rsidRPr="00227CF4">
              <w:rPr>
                <w:spacing w:val="-5"/>
                <w:lang w:val="en-GB"/>
              </w:rPr>
              <w:t xml:space="preserve">. </w:t>
            </w:r>
            <w:r w:rsidR="00DA07D3">
              <w:rPr>
                <w:spacing w:val="-5"/>
                <w:lang w:val="en-GB"/>
              </w:rPr>
              <w:t>T</w:t>
            </w:r>
            <w:r w:rsidR="005659C0">
              <w:rPr>
                <w:spacing w:val="-5"/>
                <w:lang w:val="en-GB"/>
              </w:rPr>
              <w:t xml:space="preserve">he development of the price of </w:t>
            </w:r>
            <w:proofErr w:type="gramStart"/>
            <w:r w:rsidR="005659C0">
              <w:rPr>
                <w:spacing w:val="-5"/>
                <w:lang w:val="en-GB"/>
              </w:rPr>
              <w:t>coffee, that</w:t>
            </w:r>
            <w:proofErr w:type="gramEnd"/>
            <w:r w:rsidR="005659C0">
              <w:rPr>
                <w:spacing w:val="-5"/>
                <w:lang w:val="en-GB"/>
              </w:rPr>
              <w:t xml:space="preserve"> rose by 5.4</w:t>
            </w:r>
            <w:r w:rsidR="00954C8E">
              <w:rPr>
                <w:spacing w:val="-5"/>
                <w:lang w:val="en-GB"/>
              </w:rPr>
              <w:t>%</w:t>
            </w:r>
            <w:r w:rsidR="005659C0">
              <w:rPr>
                <w:spacing w:val="-5"/>
                <w:lang w:val="en-GB"/>
              </w:rPr>
              <w:t xml:space="preserve"> year-on-year </w:t>
            </w:r>
            <w:r w:rsidR="00DD0726" w:rsidRPr="00227CF4">
              <w:rPr>
                <w:spacing w:val="-5"/>
                <w:lang w:val="en-GB"/>
              </w:rPr>
              <w:t>(</w:t>
            </w:r>
            <w:r w:rsidR="005659C0">
              <w:rPr>
                <w:spacing w:val="-5"/>
                <w:lang w:val="en-GB"/>
              </w:rPr>
              <w:t>while the prices of tea were stagnating</w:t>
            </w:r>
            <w:r w:rsidR="00DD0726" w:rsidRPr="00227CF4">
              <w:rPr>
                <w:spacing w:val="-5"/>
                <w:lang w:val="en-GB"/>
              </w:rPr>
              <w:t>)</w:t>
            </w:r>
            <w:r w:rsidR="00DA07D3">
              <w:rPr>
                <w:spacing w:val="-5"/>
                <w:lang w:val="en-GB"/>
              </w:rPr>
              <w:t xml:space="preserve"> is also worth mentioning</w:t>
            </w:r>
            <w:r w:rsidR="00DD0726" w:rsidRPr="00227CF4">
              <w:rPr>
                <w:spacing w:val="-5"/>
                <w:lang w:val="en-GB"/>
              </w:rPr>
              <w:t xml:space="preserve">. </w:t>
            </w:r>
            <w:r w:rsidR="001E6004">
              <w:rPr>
                <w:spacing w:val="-5"/>
                <w:lang w:val="en-GB"/>
              </w:rPr>
              <w:t xml:space="preserve">Here it is possible to observe an association with the reports of the shortage of coffee beans due to the poor harvest in the main plant growing destinations as well as the possible </w:t>
            </w:r>
            <w:r w:rsidR="00426D46">
              <w:rPr>
                <w:spacing w:val="-5"/>
                <w:lang w:val="en-GB"/>
              </w:rPr>
              <w:t xml:space="preserve">depletion </w:t>
            </w:r>
            <w:r w:rsidR="001E6004">
              <w:rPr>
                <w:spacing w:val="-5"/>
                <w:lang w:val="en-GB"/>
              </w:rPr>
              <w:t xml:space="preserve">of coffee as a result of the global climate change. </w:t>
            </w:r>
          </w:p>
          <w:p w:rsidR="00DD0726" w:rsidRPr="00227CF4" w:rsidRDefault="00DD0726" w:rsidP="00260FBE">
            <w:pPr>
              <w:pStyle w:val="Textpoznpodarou"/>
              <w:jc w:val="both"/>
              <w:rPr>
                <w:spacing w:val="-5"/>
                <w:sz w:val="16"/>
                <w:szCs w:val="16"/>
                <w:lang w:val="en-GB"/>
              </w:rPr>
            </w:pPr>
          </w:p>
        </w:tc>
      </w:tr>
      <w:tr w:rsidR="00DD0726" w:rsidRPr="00F81A26" w:rsidTr="00260FBE">
        <w:tc>
          <w:tcPr>
            <w:tcW w:w="1015" w:type="pct"/>
          </w:tcPr>
          <w:p w:rsidR="00DD0726" w:rsidRPr="00227CF4" w:rsidRDefault="003B2F75" w:rsidP="003B2F75">
            <w:pPr>
              <w:spacing w:line="240" w:lineRule="auto"/>
              <w:ind w:right="-19"/>
              <w:rPr>
                <w:spacing w:val="-4"/>
                <w:sz w:val="16"/>
                <w:szCs w:val="16"/>
                <w:lang w:val="en-GB"/>
              </w:rPr>
            </w:pPr>
            <w:r w:rsidRPr="00227CF4">
              <w:rPr>
                <w:spacing w:val="-4"/>
                <w:sz w:val="16"/>
                <w:szCs w:val="16"/>
                <w:lang w:val="en-GB"/>
              </w:rPr>
              <w:t xml:space="preserve">The prices of housing and energies also accelerated. </w:t>
            </w:r>
          </w:p>
        </w:tc>
        <w:tc>
          <w:tcPr>
            <w:tcW w:w="144" w:type="pct"/>
          </w:tcPr>
          <w:p w:rsidR="00DD0726" w:rsidRPr="00227CF4" w:rsidRDefault="00DD0726" w:rsidP="00260FBE">
            <w:pPr>
              <w:pStyle w:val="Textpoznpodarou"/>
              <w:jc w:val="both"/>
              <w:rPr>
                <w:spacing w:val="-4"/>
                <w:lang w:val="en-GB"/>
              </w:rPr>
            </w:pPr>
          </w:p>
        </w:tc>
        <w:tc>
          <w:tcPr>
            <w:tcW w:w="3841" w:type="pct"/>
            <w:gridSpan w:val="2"/>
          </w:tcPr>
          <w:p w:rsidR="00DD0726" w:rsidRPr="00227CF4" w:rsidRDefault="003B2F75" w:rsidP="00260FBE">
            <w:pPr>
              <w:pStyle w:val="Textpoznpodarou"/>
              <w:ind w:right="-35"/>
              <w:jc w:val="both"/>
              <w:rPr>
                <w:spacing w:val="-5"/>
                <w:sz w:val="16"/>
                <w:szCs w:val="16"/>
                <w:lang w:val="en-GB"/>
              </w:rPr>
            </w:pPr>
            <w:r w:rsidRPr="00227CF4">
              <w:rPr>
                <w:spacing w:val="-5"/>
                <w:lang w:val="en-GB"/>
              </w:rPr>
              <w:t xml:space="preserve">Housing, water, energies and fuels represent the most significant item in the Czech consumption basket and especially their growth quickened markedly in May and June compared to the previous period. </w:t>
            </w:r>
            <w:r w:rsidR="002F07AC" w:rsidRPr="00227CF4">
              <w:rPr>
                <w:spacing w:val="-5"/>
                <w:lang w:val="en-GB"/>
              </w:rPr>
              <w:t>The total cost of housing and energies went up year-on-year by 1.5</w:t>
            </w:r>
            <w:r w:rsidR="00954C8E">
              <w:rPr>
                <w:spacing w:val="-5"/>
                <w:lang w:val="en-GB"/>
              </w:rPr>
              <w:t>%</w:t>
            </w:r>
            <w:r w:rsidR="002F07AC" w:rsidRPr="00227CF4">
              <w:rPr>
                <w:spacing w:val="-5"/>
                <w:lang w:val="en-GB"/>
              </w:rPr>
              <w:t xml:space="preserve"> in Q</w:t>
            </w:r>
            <w:r w:rsidR="00DD0726" w:rsidRPr="00227CF4">
              <w:rPr>
                <w:spacing w:val="-5"/>
                <w:lang w:val="en-GB"/>
              </w:rPr>
              <w:t xml:space="preserve">2, </w:t>
            </w:r>
            <w:r w:rsidR="002F07AC" w:rsidRPr="00227CF4">
              <w:rPr>
                <w:spacing w:val="-5"/>
                <w:lang w:val="en-GB"/>
              </w:rPr>
              <w:t xml:space="preserve">which is by </w:t>
            </w:r>
            <w:r w:rsidR="00DD0726" w:rsidRPr="00227CF4">
              <w:rPr>
                <w:spacing w:val="-5"/>
                <w:lang w:val="en-GB"/>
              </w:rPr>
              <w:t>0</w:t>
            </w:r>
            <w:r w:rsidR="002F07AC" w:rsidRPr="00227CF4">
              <w:rPr>
                <w:spacing w:val="-5"/>
                <w:lang w:val="en-GB"/>
              </w:rPr>
              <w:t>.</w:t>
            </w:r>
            <w:r w:rsidR="00DD0726" w:rsidRPr="00227CF4">
              <w:rPr>
                <w:spacing w:val="-5"/>
                <w:lang w:val="en-GB"/>
              </w:rPr>
              <w:t>7 p.</w:t>
            </w:r>
            <w:r w:rsidR="002F07AC" w:rsidRPr="00227CF4">
              <w:rPr>
                <w:spacing w:val="-5"/>
                <w:lang w:val="en-GB"/>
              </w:rPr>
              <w:t>p</w:t>
            </w:r>
            <w:r w:rsidR="00DD0726" w:rsidRPr="00227CF4">
              <w:rPr>
                <w:spacing w:val="-5"/>
                <w:lang w:val="en-GB"/>
              </w:rPr>
              <w:t xml:space="preserve">. </w:t>
            </w:r>
            <w:r w:rsidR="002F07AC" w:rsidRPr="00227CF4">
              <w:rPr>
                <w:spacing w:val="-5"/>
                <w:lang w:val="en-GB"/>
              </w:rPr>
              <w:t>more than in the previous quarter. The prices of imputed rent, which accelerated their growth since the beginning of the year and grew by 3.9</w:t>
            </w:r>
            <w:r w:rsidR="00954C8E">
              <w:rPr>
                <w:spacing w:val="-5"/>
                <w:lang w:val="en-GB"/>
              </w:rPr>
              <w:t>%</w:t>
            </w:r>
            <w:r w:rsidR="002F07AC" w:rsidRPr="00227CF4">
              <w:rPr>
                <w:spacing w:val="-5"/>
                <w:lang w:val="en-GB"/>
              </w:rPr>
              <w:t xml:space="preserve"> in </w:t>
            </w:r>
            <w:proofErr w:type="gramStart"/>
            <w:r w:rsidR="002F07AC" w:rsidRPr="00227CF4">
              <w:rPr>
                <w:spacing w:val="-5"/>
                <w:lang w:val="en-GB"/>
              </w:rPr>
              <w:t>Q2</w:t>
            </w:r>
            <w:proofErr w:type="gramEnd"/>
            <w:r w:rsidR="002F07AC" w:rsidRPr="00227CF4">
              <w:rPr>
                <w:spacing w:val="-5"/>
                <w:lang w:val="en-GB"/>
              </w:rPr>
              <w:t xml:space="preserve"> influenced this movement. </w:t>
            </w:r>
            <w:r w:rsidR="00B164F6" w:rsidRPr="00227CF4">
              <w:rPr>
                <w:spacing w:val="-5"/>
                <w:lang w:val="en-GB"/>
              </w:rPr>
              <w:t xml:space="preserve">The prices of rents from flats mildly quickened the growth, they increased by </w:t>
            </w:r>
            <w:r w:rsidR="00DD0726" w:rsidRPr="00227CF4">
              <w:rPr>
                <w:spacing w:val="-5"/>
                <w:lang w:val="en-GB"/>
              </w:rPr>
              <w:t>2</w:t>
            </w:r>
            <w:r w:rsidR="00B164F6" w:rsidRPr="00227CF4">
              <w:rPr>
                <w:spacing w:val="-5"/>
                <w:lang w:val="en-GB"/>
              </w:rPr>
              <w:t>.</w:t>
            </w:r>
            <w:r w:rsidR="00DD0726" w:rsidRPr="00227CF4">
              <w:rPr>
                <w:spacing w:val="-5"/>
                <w:lang w:val="en-GB"/>
              </w:rPr>
              <w:t>1</w:t>
            </w:r>
            <w:r w:rsidR="00954C8E">
              <w:rPr>
                <w:spacing w:val="-5"/>
                <w:lang w:val="en-GB"/>
              </w:rPr>
              <w:t>%</w:t>
            </w:r>
            <w:r w:rsidR="00DD0726" w:rsidRPr="00227CF4">
              <w:rPr>
                <w:spacing w:val="-5"/>
                <w:lang w:val="en-GB"/>
              </w:rPr>
              <w:t xml:space="preserve">. </w:t>
            </w:r>
            <w:r w:rsidR="00B164F6" w:rsidRPr="00227CF4">
              <w:rPr>
                <w:spacing w:val="-5"/>
                <w:lang w:val="en-GB"/>
              </w:rPr>
              <w:t>On the contrary, the prices of the electrical energy and heating, gas and other fuels (by 0.7</w:t>
            </w:r>
            <w:r w:rsidR="00954C8E">
              <w:rPr>
                <w:spacing w:val="-5"/>
                <w:lang w:val="en-GB"/>
              </w:rPr>
              <w:t>%</w:t>
            </w:r>
            <w:r w:rsidR="00B164F6" w:rsidRPr="00227CF4">
              <w:rPr>
                <w:spacing w:val="-5"/>
                <w:lang w:val="en-GB"/>
              </w:rPr>
              <w:t xml:space="preserve"> in Q2) kept decreasing (to a lower extent than before).</w:t>
            </w:r>
          </w:p>
          <w:p w:rsidR="00DD0726" w:rsidRPr="00227CF4" w:rsidRDefault="00DD0726" w:rsidP="00260FBE">
            <w:pPr>
              <w:pStyle w:val="Textpoznpodarou"/>
              <w:ind w:right="-35"/>
              <w:jc w:val="both"/>
              <w:rPr>
                <w:spacing w:val="-5"/>
                <w:sz w:val="16"/>
                <w:szCs w:val="16"/>
                <w:lang w:val="en-GB"/>
              </w:rPr>
            </w:pPr>
          </w:p>
        </w:tc>
      </w:tr>
      <w:tr w:rsidR="00DD0726" w:rsidRPr="00F81A26" w:rsidTr="00260FBE">
        <w:tc>
          <w:tcPr>
            <w:tcW w:w="1015" w:type="pct"/>
          </w:tcPr>
          <w:p w:rsidR="00DD0726" w:rsidRPr="0052439A" w:rsidRDefault="0052439A" w:rsidP="00260FBE">
            <w:pPr>
              <w:spacing w:line="240" w:lineRule="auto"/>
              <w:ind w:right="-19"/>
              <w:rPr>
                <w:spacing w:val="-4"/>
                <w:sz w:val="16"/>
                <w:szCs w:val="16"/>
                <w:lang w:val="en-GB"/>
              </w:rPr>
            </w:pPr>
            <w:r w:rsidRPr="0052439A">
              <w:rPr>
                <w:spacing w:val="-4"/>
                <w:sz w:val="16"/>
                <w:szCs w:val="16"/>
                <w:lang w:val="en-GB"/>
              </w:rPr>
              <w:t>The prices of real estate keep growing</w:t>
            </w:r>
            <w:r w:rsidR="00541BDA">
              <w:rPr>
                <w:spacing w:val="-4"/>
                <w:sz w:val="16"/>
                <w:szCs w:val="16"/>
                <w:lang w:val="en-GB"/>
              </w:rPr>
              <w:t xml:space="preserve"> </w:t>
            </w:r>
            <w:r w:rsidRPr="0052439A">
              <w:rPr>
                <w:spacing w:val="-4"/>
                <w:sz w:val="16"/>
                <w:szCs w:val="16"/>
                <w:lang w:val="en-GB"/>
              </w:rPr>
              <w:t xml:space="preserve">and the increase of their prices is accelerating. </w:t>
            </w:r>
            <w:r w:rsidR="00DD0726" w:rsidRPr="0052439A">
              <w:rPr>
                <w:spacing w:val="-4"/>
                <w:sz w:val="16"/>
                <w:szCs w:val="16"/>
                <w:lang w:val="en-GB"/>
              </w:rPr>
              <w:t xml:space="preserve"> </w:t>
            </w:r>
          </w:p>
        </w:tc>
        <w:tc>
          <w:tcPr>
            <w:tcW w:w="144" w:type="pct"/>
          </w:tcPr>
          <w:p w:rsidR="00DD0726" w:rsidRPr="0052439A" w:rsidRDefault="00DD0726" w:rsidP="00260FBE">
            <w:pPr>
              <w:pStyle w:val="Textpoznpodarou"/>
              <w:jc w:val="both"/>
              <w:rPr>
                <w:spacing w:val="-4"/>
                <w:lang w:val="en-GB"/>
              </w:rPr>
            </w:pPr>
          </w:p>
        </w:tc>
        <w:tc>
          <w:tcPr>
            <w:tcW w:w="3841" w:type="pct"/>
            <w:gridSpan w:val="2"/>
          </w:tcPr>
          <w:p w:rsidR="00DD0726" w:rsidRDefault="00541BDA" w:rsidP="00260FBE">
            <w:pPr>
              <w:pStyle w:val="Textpoznpodarou"/>
              <w:ind w:right="-35"/>
              <w:jc w:val="both"/>
              <w:rPr>
                <w:spacing w:val="-5"/>
                <w:lang w:val="en-GB"/>
              </w:rPr>
            </w:pPr>
            <w:r>
              <w:rPr>
                <w:spacing w:val="-5"/>
                <w:lang w:val="en-GB"/>
              </w:rPr>
              <w:t>The growth of the supply prices of real estate reached 9.5</w:t>
            </w:r>
            <w:r w:rsidR="00954C8E">
              <w:rPr>
                <w:spacing w:val="-5"/>
                <w:lang w:val="en-GB"/>
              </w:rPr>
              <w:t>%</w:t>
            </w:r>
            <w:r>
              <w:rPr>
                <w:spacing w:val="-5"/>
                <w:lang w:val="en-GB"/>
              </w:rPr>
              <w:t xml:space="preserve"> in the CR in Q2 compared to the same period of the previous year and it did not change in comparison to the preceding quarter.</w:t>
            </w:r>
            <w:r w:rsidR="00DD0726" w:rsidRPr="0052439A">
              <w:rPr>
                <w:spacing w:val="-5"/>
                <w:lang w:val="en-GB"/>
              </w:rPr>
              <w:t xml:space="preserve"> </w:t>
            </w:r>
            <w:r w:rsidR="00151B1E">
              <w:rPr>
                <w:spacing w:val="-5"/>
                <w:lang w:val="en-GB"/>
              </w:rPr>
              <w:t xml:space="preserve">The growth of the supply prices again quickened in Prague </w:t>
            </w:r>
            <w:r w:rsidR="00DD0726" w:rsidRPr="0052439A">
              <w:rPr>
                <w:spacing w:val="-5"/>
                <w:lang w:val="en-GB"/>
              </w:rPr>
              <w:t>(</w:t>
            </w:r>
            <w:r w:rsidR="00151B1E">
              <w:rPr>
                <w:spacing w:val="-5"/>
                <w:lang w:val="en-GB"/>
              </w:rPr>
              <w:t xml:space="preserve">from </w:t>
            </w:r>
            <w:r w:rsidR="00DD0726" w:rsidRPr="0052439A">
              <w:rPr>
                <w:spacing w:val="-5"/>
                <w:lang w:val="en-GB"/>
              </w:rPr>
              <w:t>13</w:t>
            </w:r>
            <w:r w:rsidR="00151B1E">
              <w:rPr>
                <w:spacing w:val="-5"/>
                <w:lang w:val="en-GB"/>
              </w:rPr>
              <w:t>.</w:t>
            </w:r>
            <w:r w:rsidR="00DD0726" w:rsidRPr="0052439A">
              <w:rPr>
                <w:spacing w:val="-5"/>
                <w:lang w:val="en-GB"/>
              </w:rPr>
              <w:t>6</w:t>
            </w:r>
            <w:r w:rsidR="00954C8E">
              <w:rPr>
                <w:spacing w:val="-5"/>
                <w:lang w:val="en-GB"/>
              </w:rPr>
              <w:t>%</w:t>
            </w:r>
            <w:r w:rsidR="00DD0726" w:rsidRPr="0052439A">
              <w:rPr>
                <w:spacing w:val="-5"/>
                <w:lang w:val="en-GB"/>
              </w:rPr>
              <w:t xml:space="preserve"> </w:t>
            </w:r>
            <w:r w:rsidR="00151B1E">
              <w:rPr>
                <w:spacing w:val="-5"/>
                <w:lang w:val="en-GB"/>
              </w:rPr>
              <w:t xml:space="preserve">to </w:t>
            </w:r>
            <w:r w:rsidR="00DD0726" w:rsidRPr="0052439A">
              <w:rPr>
                <w:spacing w:val="-5"/>
                <w:lang w:val="en-GB"/>
              </w:rPr>
              <w:t>14</w:t>
            </w:r>
            <w:r w:rsidR="00151B1E">
              <w:rPr>
                <w:spacing w:val="-5"/>
                <w:lang w:val="en-GB"/>
              </w:rPr>
              <w:t>.</w:t>
            </w:r>
            <w:r w:rsidR="00DD0726" w:rsidRPr="0052439A">
              <w:rPr>
                <w:spacing w:val="-5"/>
                <w:lang w:val="en-GB"/>
              </w:rPr>
              <w:t>6</w:t>
            </w:r>
            <w:r w:rsidR="00954C8E">
              <w:rPr>
                <w:spacing w:val="-5"/>
                <w:lang w:val="en-GB"/>
              </w:rPr>
              <w:t>%</w:t>
            </w:r>
            <w:r w:rsidR="00DD0726" w:rsidRPr="0052439A">
              <w:rPr>
                <w:spacing w:val="-5"/>
                <w:lang w:val="en-GB"/>
              </w:rPr>
              <w:t xml:space="preserve">). </w:t>
            </w:r>
            <w:r w:rsidR="00151B1E">
              <w:rPr>
                <w:spacing w:val="-5"/>
                <w:lang w:val="en-GB"/>
              </w:rPr>
              <w:t>O the contrary, the growth of the supply prices of real estate outside Prague lowered to 3.6</w:t>
            </w:r>
            <w:r w:rsidR="00954C8E">
              <w:rPr>
                <w:spacing w:val="-5"/>
                <w:lang w:val="en-GB"/>
              </w:rPr>
              <w:t>%</w:t>
            </w:r>
            <w:r w:rsidR="00151B1E">
              <w:rPr>
                <w:spacing w:val="-5"/>
                <w:lang w:val="en-GB"/>
              </w:rPr>
              <w:t xml:space="preserve"> in Q2. </w:t>
            </w:r>
            <w:r w:rsidR="00611A08">
              <w:rPr>
                <w:spacing w:val="-5"/>
                <w:lang w:val="en-GB"/>
              </w:rPr>
              <w:t>Realised prices of older flats accelerated their growth quite markedly in Q2. They increased by 18.7</w:t>
            </w:r>
            <w:r w:rsidR="00954C8E">
              <w:rPr>
                <w:spacing w:val="-5"/>
                <w:lang w:val="en-GB"/>
              </w:rPr>
              <w:t>%</w:t>
            </w:r>
            <w:r w:rsidR="00611A08">
              <w:rPr>
                <w:spacing w:val="-5"/>
                <w:lang w:val="en-GB"/>
              </w:rPr>
              <w:t xml:space="preserve"> in the whole CR year-on-year, by 18.0</w:t>
            </w:r>
            <w:r w:rsidR="00954C8E">
              <w:rPr>
                <w:spacing w:val="-5"/>
                <w:lang w:val="en-GB"/>
              </w:rPr>
              <w:t>%</w:t>
            </w:r>
            <w:r w:rsidR="00611A08">
              <w:rPr>
                <w:spacing w:val="-5"/>
                <w:lang w:val="en-GB"/>
              </w:rPr>
              <w:t xml:space="preserve"> in Prague. </w:t>
            </w:r>
          </w:p>
          <w:p w:rsidR="007502A6" w:rsidRDefault="007502A6" w:rsidP="00260FBE">
            <w:pPr>
              <w:pStyle w:val="Textpoznpodarou"/>
              <w:ind w:right="-35"/>
              <w:jc w:val="both"/>
              <w:rPr>
                <w:spacing w:val="-5"/>
                <w:sz w:val="16"/>
                <w:szCs w:val="16"/>
                <w:lang w:val="en-GB"/>
              </w:rPr>
            </w:pPr>
          </w:p>
          <w:p w:rsidR="009F62C9" w:rsidRPr="0052439A" w:rsidRDefault="009F62C9" w:rsidP="00260FBE">
            <w:pPr>
              <w:pStyle w:val="Textpoznpodarou"/>
              <w:ind w:right="-35"/>
              <w:jc w:val="both"/>
              <w:rPr>
                <w:spacing w:val="-5"/>
                <w:sz w:val="16"/>
                <w:szCs w:val="16"/>
                <w:lang w:val="en-GB"/>
              </w:rPr>
            </w:pPr>
          </w:p>
          <w:p w:rsidR="00DD0726" w:rsidRPr="0052439A" w:rsidRDefault="00DD0726" w:rsidP="00260FBE">
            <w:pPr>
              <w:pStyle w:val="Textpoznpodarou"/>
              <w:ind w:right="-35"/>
              <w:jc w:val="both"/>
              <w:rPr>
                <w:spacing w:val="-5"/>
                <w:sz w:val="16"/>
                <w:szCs w:val="16"/>
                <w:lang w:val="en-GB"/>
              </w:rPr>
            </w:pPr>
          </w:p>
        </w:tc>
      </w:tr>
      <w:tr w:rsidR="00DD0726" w:rsidRPr="00F81A26" w:rsidTr="00260FBE">
        <w:tc>
          <w:tcPr>
            <w:tcW w:w="1015" w:type="pct"/>
          </w:tcPr>
          <w:p w:rsidR="00DD0726" w:rsidRPr="00F81A26" w:rsidRDefault="00DD0726" w:rsidP="00260FBE">
            <w:pPr>
              <w:pStyle w:val="Textpoznpodarou"/>
              <w:jc w:val="center"/>
              <w:rPr>
                <w:spacing w:val="-4"/>
              </w:rPr>
            </w:pPr>
          </w:p>
        </w:tc>
        <w:tc>
          <w:tcPr>
            <w:tcW w:w="144" w:type="pct"/>
          </w:tcPr>
          <w:p w:rsidR="00DD0726" w:rsidRPr="00F81A26" w:rsidRDefault="00DD0726" w:rsidP="00260FBE">
            <w:pPr>
              <w:pStyle w:val="Textpoznpodarou"/>
              <w:jc w:val="both"/>
              <w:rPr>
                <w:spacing w:val="-4"/>
              </w:rPr>
            </w:pPr>
          </w:p>
        </w:tc>
        <w:tc>
          <w:tcPr>
            <w:tcW w:w="580" w:type="pct"/>
          </w:tcPr>
          <w:p w:rsidR="00DD0726" w:rsidRPr="00F81A26" w:rsidRDefault="00446367" w:rsidP="00446367">
            <w:pPr>
              <w:pStyle w:val="Textpoznpodarou"/>
              <w:ind w:right="-35"/>
              <w:jc w:val="both"/>
              <w:rPr>
                <w:spacing w:val="-4"/>
              </w:rPr>
            </w:pPr>
            <w:r>
              <w:rPr>
                <w:spacing w:val="-4"/>
              </w:rPr>
              <w:t xml:space="preserve">Chart </w:t>
            </w:r>
            <w:r w:rsidR="00DD0726" w:rsidRPr="00F81A26">
              <w:rPr>
                <w:spacing w:val="-4"/>
              </w:rPr>
              <w:t>12</w:t>
            </w:r>
          </w:p>
        </w:tc>
        <w:tc>
          <w:tcPr>
            <w:tcW w:w="3261" w:type="pct"/>
          </w:tcPr>
          <w:p w:rsidR="00DD0726" w:rsidRPr="00F81A26" w:rsidRDefault="00446367" w:rsidP="00446367">
            <w:pPr>
              <w:pStyle w:val="Textpoznpodarou"/>
              <w:ind w:right="-35"/>
              <w:rPr>
                <w:spacing w:val="-4"/>
              </w:rPr>
            </w:pPr>
            <w:r w:rsidRPr="00446367">
              <w:rPr>
                <w:b/>
                <w:spacing w:val="-4"/>
                <w:lang w:val="en-GB" w:eastAsia="en-US"/>
              </w:rPr>
              <w:t xml:space="preserve">Prices of real </w:t>
            </w:r>
            <w:r w:rsidRPr="00F73AED">
              <w:rPr>
                <w:b/>
                <w:spacing w:val="-4"/>
                <w:lang w:val="en-GB" w:eastAsia="en-US"/>
              </w:rPr>
              <w:t xml:space="preserve">estate </w:t>
            </w:r>
            <w:r w:rsidR="00DD0726" w:rsidRPr="00F73AED">
              <w:rPr>
                <w:spacing w:val="-4"/>
                <w:lang w:val="en-GB" w:eastAsia="en-US"/>
              </w:rPr>
              <w:t>(</w:t>
            </w:r>
            <w:r w:rsidRPr="00F73AED">
              <w:rPr>
                <w:spacing w:val="-4"/>
                <w:lang w:val="en-GB" w:eastAsia="en-US"/>
              </w:rPr>
              <w:t>year-on-year change</w:t>
            </w:r>
            <w:r w:rsidR="00DD0726" w:rsidRPr="00F73AED">
              <w:rPr>
                <w:spacing w:val="-4"/>
                <w:lang w:val="en-GB" w:eastAsia="en-US"/>
              </w:rPr>
              <w:t xml:space="preserve">, </w:t>
            </w:r>
            <w:r w:rsidR="00954C8E">
              <w:rPr>
                <w:spacing w:val="-4"/>
                <w:lang w:val="en-GB" w:eastAsia="en-US"/>
              </w:rPr>
              <w:t>in %</w:t>
            </w:r>
            <w:r w:rsidR="00DD0726" w:rsidRPr="00F73AED">
              <w:rPr>
                <w:spacing w:val="-4"/>
                <w:lang w:val="en-GB" w:eastAsia="en-US"/>
              </w:rPr>
              <w:t>)</w:t>
            </w:r>
          </w:p>
        </w:tc>
      </w:tr>
      <w:tr w:rsidR="00DD0726" w:rsidRPr="00F81A26" w:rsidTr="00260FBE">
        <w:tc>
          <w:tcPr>
            <w:tcW w:w="1015" w:type="pct"/>
          </w:tcPr>
          <w:p w:rsidR="00DD0726" w:rsidRPr="00F81A26" w:rsidRDefault="00DD0726" w:rsidP="00260FBE">
            <w:pPr>
              <w:spacing w:line="240" w:lineRule="auto"/>
              <w:ind w:right="-19"/>
              <w:rPr>
                <w:spacing w:val="-4"/>
                <w:sz w:val="16"/>
                <w:szCs w:val="16"/>
              </w:rPr>
            </w:pPr>
          </w:p>
        </w:tc>
        <w:tc>
          <w:tcPr>
            <w:tcW w:w="144" w:type="pct"/>
          </w:tcPr>
          <w:p w:rsidR="00DD0726" w:rsidRPr="00F81A26" w:rsidRDefault="00DD0726" w:rsidP="00260FBE">
            <w:pPr>
              <w:pStyle w:val="Textpoznpodarou"/>
              <w:jc w:val="both"/>
              <w:rPr>
                <w:spacing w:val="-4"/>
              </w:rPr>
            </w:pPr>
          </w:p>
        </w:tc>
        <w:tc>
          <w:tcPr>
            <w:tcW w:w="3841" w:type="pct"/>
            <w:gridSpan w:val="2"/>
          </w:tcPr>
          <w:p w:rsidR="00DD0726" w:rsidRPr="00F81A26" w:rsidRDefault="0068748C" w:rsidP="00260FBE">
            <w:pPr>
              <w:pStyle w:val="Textpoznpodarou"/>
              <w:ind w:left="-54" w:right="-35"/>
              <w:jc w:val="both"/>
              <w:rPr>
                <w:spacing w:val="-4"/>
              </w:rPr>
            </w:pPr>
            <w:r w:rsidRPr="0068748C">
              <w:rPr>
                <w:noProof/>
                <w:spacing w:val="-4"/>
              </w:rPr>
              <w:drawing>
                <wp:inline distT="0" distB="0" distL="0" distR="0">
                  <wp:extent cx="4737600" cy="3553200"/>
                  <wp:effectExtent l="19050" t="0" r="0" b="0"/>
                  <wp:docPr id="4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0726" w:rsidRDefault="00446367" w:rsidP="00260FBE">
            <w:pPr>
              <w:pStyle w:val="Textpoznpodarou"/>
              <w:ind w:left="-54" w:right="-35"/>
              <w:jc w:val="right"/>
              <w:rPr>
                <w:spacing w:val="-4"/>
                <w:sz w:val="14"/>
                <w:szCs w:val="14"/>
              </w:rPr>
            </w:pPr>
            <w:proofErr w:type="spellStart"/>
            <w:r>
              <w:rPr>
                <w:spacing w:val="-4"/>
                <w:sz w:val="14"/>
                <w:szCs w:val="14"/>
              </w:rPr>
              <w:t>Source</w:t>
            </w:r>
            <w:proofErr w:type="spellEnd"/>
            <w:r w:rsidR="00DD0726" w:rsidRPr="00F81A26">
              <w:rPr>
                <w:spacing w:val="-4"/>
                <w:sz w:val="14"/>
                <w:szCs w:val="14"/>
              </w:rPr>
              <w:t xml:space="preserve">: </w:t>
            </w:r>
            <w:r>
              <w:rPr>
                <w:spacing w:val="-4"/>
                <w:sz w:val="14"/>
                <w:szCs w:val="14"/>
              </w:rPr>
              <w:t>CZSO</w:t>
            </w:r>
          </w:p>
          <w:p w:rsidR="00DD0726" w:rsidRDefault="00DD0726" w:rsidP="0068748C">
            <w:pPr>
              <w:pStyle w:val="Textpoznpodarou"/>
              <w:ind w:left="-54" w:right="-35"/>
              <w:rPr>
                <w:spacing w:val="-4"/>
                <w:sz w:val="14"/>
                <w:szCs w:val="14"/>
              </w:rPr>
            </w:pPr>
          </w:p>
          <w:p w:rsidR="00A14C46" w:rsidRPr="00F81A26" w:rsidRDefault="00A14C46" w:rsidP="0068748C">
            <w:pPr>
              <w:pStyle w:val="Textpoznpodarou"/>
              <w:ind w:left="-54" w:right="-35"/>
              <w:rPr>
                <w:spacing w:val="-4"/>
                <w:sz w:val="14"/>
                <w:szCs w:val="14"/>
              </w:rPr>
            </w:pPr>
          </w:p>
        </w:tc>
      </w:tr>
      <w:tr w:rsidR="00DD0726" w:rsidRPr="00F81A26" w:rsidTr="00260FBE">
        <w:tc>
          <w:tcPr>
            <w:tcW w:w="1015" w:type="pct"/>
          </w:tcPr>
          <w:p w:rsidR="00DD0726" w:rsidRPr="00C468A2" w:rsidRDefault="00C468A2" w:rsidP="00C468A2">
            <w:pPr>
              <w:spacing w:line="240" w:lineRule="auto"/>
              <w:ind w:right="-19"/>
              <w:rPr>
                <w:spacing w:val="-4"/>
                <w:sz w:val="16"/>
                <w:szCs w:val="16"/>
                <w:lang w:val="en-GB"/>
              </w:rPr>
            </w:pPr>
            <w:r w:rsidRPr="00C468A2">
              <w:rPr>
                <w:spacing w:val="-4"/>
                <w:sz w:val="16"/>
                <w:szCs w:val="16"/>
                <w:lang w:val="en-GB"/>
              </w:rPr>
              <w:lastRenderedPageBreak/>
              <w:t xml:space="preserve">Moderation of the year-on-year growth of the consumer prices was </w:t>
            </w:r>
            <w:r w:rsidR="00611A08" w:rsidRPr="00C468A2">
              <w:rPr>
                <w:spacing w:val="-4"/>
                <w:sz w:val="16"/>
                <w:szCs w:val="16"/>
                <w:lang w:val="en-GB"/>
              </w:rPr>
              <w:t>common to</w:t>
            </w:r>
            <w:r w:rsidRPr="00C468A2">
              <w:rPr>
                <w:spacing w:val="-4"/>
                <w:sz w:val="16"/>
                <w:szCs w:val="16"/>
                <w:lang w:val="en-GB"/>
              </w:rPr>
              <w:t xml:space="preserve"> the most of the EU</w:t>
            </w:r>
            <w:r w:rsidR="00DD0726" w:rsidRPr="00C468A2">
              <w:rPr>
                <w:spacing w:val="-4"/>
                <w:sz w:val="16"/>
                <w:szCs w:val="16"/>
                <w:lang w:val="en-GB"/>
              </w:rPr>
              <w:t xml:space="preserve">. </w:t>
            </w:r>
          </w:p>
        </w:tc>
        <w:tc>
          <w:tcPr>
            <w:tcW w:w="144" w:type="pct"/>
          </w:tcPr>
          <w:p w:rsidR="00DD0726" w:rsidRPr="00C468A2" w:rsidRDefault="00DD0726" w:rsidP="00260FBE">
            <w:pPr>
              <w:pStyle w:val="Textpoznpodarou"/>
              <w:jc w:val="both"/>
              <w:rPr>
                <w:spacing w:val="-4"/>
                <w:lang w:val="en-GB"/>
              </w:rPr>
            </w:pPr>
          </w:p>
        </w:tc>
        <w:tc>
          <w:tcPr>
            <w:tcW w:w="3841" w:type="pct"/>
            <w:gridSpan w:val="2"/>
          </w:tcPr>
          <w:p w:rsidR="00DD0726" w:rsidRPr="00C468A2" w:rsidRDefault="009D57B9" w:rsidP="00260FBE">
            <w:pPr>
              <w:pStyle w:val="Textpoznpodarou"/>
              <w:ind w:right="-35"/>
              <w:jc w:val="both"/>
              <w:rPr>
                <w:spacing w:val="-5"/>
                <w:lang w:val="en-GB"/>
              </w:rPr>
            </w:pPr>
            <w:r>
              <w:rPr>
                <w:spacing w:val="-5"/>
                <w:lang w:val="en-GB"/>
              </w:rPr>
              <w:t xml:space="preserve">Acceleration of the year-on-year price growth in the EU, which occurred in Q1 of the year </w:t>
            </w:r>
            <w:r w:rsidR="00DD0726" w:rsidRPr="00C468A2">
              <w:rPr>
                <w:spacing w:val="-5"/>
                <w:lang w:val="en-GB"/>
              </w:rPr>
              <w:t>(</w:t>
            </w:r>
            <w:r>
              <w:rPr>
                <w:spacing w:val="-5"/>
                <w:lang w:val="en-GB"/>
              </w:rPr>
              <w:t xml:space="preserve">year-on-year increase of the harmonised index of consumer prices by </w:t>
            </w:r>
            <w:proofErr w:type="gramStart"/>
            <w:r w:rsidR="00DD0726" w:rsidRPr="00C468A2">
              <w:rPr>
                <w:spacing w:val="-5"/>
                <w:lang w:val="en-GB"/>
              </w:rPr>
              <w:t>1</w:t>
            </w:r>
            <w:r w:rsidR="00F91E9E">
              <w:rPr>
                <w:spacing w:val="-5"/>
                <w:lang w:val="en-GB"/>
              </w:rPr>
              <w:t>.</w:t>
            </w:r>
            <w:r w:rsidR="00DD0726" w:rsidRPr="00C468A2">
              <w:rPr>
                <w:spacing w:val="-5"/>
                <w:lang w:val="en-GB"/>
              </w:rPr>
              <w:t>8</w:t>
            </w:r>
            <w:r w:rsidR="00954C8E">
              <w:rPr>
                <w:spacing w:val="-5"/>
                <w:lang w:val="en-GB"/>
              </w:rPr>
              <w:t>%</w:t>
            </w:r>
            <w:r w:rsidR="00DD0726" w:rsidRPr="00C468A2">
              <w:rPr>
                <w:spacing w:val="-5"/>
                <w:lang w:val="en-GB"/>
              </w:rPr>
              <w:t>)</w:t>
            </w:r>
            <w:proofErr w:type="gramEnd"/>
            <w:r w:rsidR="00DD0726" w:rsidRPr="00C468A2">
              <w:rPr>
                <w:spacing w:val="-5"/>
                <w:lang w:val="en-GB"/>
              </w:rPr>
              <w:t xml:space="preserve"> </w:t>
            </w:r>
            <w:r>
              <w:rPr>
                <w:spacing w:val="-5"/>
                <w:lang w:val="en-GB"/>
              </w:rPr>
              <w:t xml:space="preserve">did not remain and the year-on-year growth slowed down to </w:t>
            </w:r>
            <w:r w:rsidR="00DD0726" w:rsidRPr="00C468A2">
              <w:rPr>
                <w:spacing w:val="-5"/>
                <w:lang w:val="en-GB"/>
              </w:rPr>
              <w:t>1</w:t>
            </w:r>
            <w:r>
              <w:rPr>
                <w:spacing w:val="-5"/>
                <w:lang w:val="en-GB"/>
              </w:rPr>
              <w:t>.</w:t>
            </w:r>
            <w:r w:rsidR="00DD0726" w:rsidRPr="00C468A2">
              <w:rPr>
                <w:spacing w:val="-5"/>
                <w:lang w:val="en-GB"/>
              </w:rPr>
              <w:t>6</w:t>
            </w:r>
            <w:r w:rsidR="00954C8E">
              <w:rPr>
                <w:spacing w:val="-5"/>
                <w:lang w:val="en-GB"/>
              </w:rPr>
              <w:t>%</w:t>
            </w:r>
            <w:r>
              <w:rPr>
                <w:spacing w:val="-5"/>
                <w:lang w:val="en-GB"/>
              </w:rPr>
              <w:t xml:space="preserve"> in Q2</w:t>
            </w:r>
            <w:r w:rsidR="00DD0726" w:rsidRPr="00C468A2">
              <w:rPr>
                <w:spacing w:val="-5"/>
                <w:lang w:val="en-GB"/>
              </w:rPr>
              <w:t xml:space="preserve">. </w:t>
            </w:r>
            <w:r>
              <w:rPr>
                <w:spacing w:val="-5"/>
                <w:lang w:val="en-GB"/>
              </w:rPr>
              <w:t xml:space="preserve">The stated slowdown was common to the majority of the Union </w:t>
            </w:r>
            <w:r w:rsidR="00611A08">
              <w:rPr>
                <w:spacing w:val="-5"/>
                <w:lang w:val="en-GB"/>
              </w:rPr>
              <w:t>states;</w:t>
            </w:r>
            <w:r>
              <w:rPr>
                <w:spacing w:val="-5"/>
                <w:lang w:val="en-GB"/>
              </w:rPr>
              <w:t xml:space="preserve"> </w:t>
            </w:r>
            <w:r w:rsidR="00611A08">
              <w:rPr>
                <w:spacing w:val="-5"/>
                <w:lang w:val="en-GB"/>
              </w:rPr>
              <w:t>however,</w:t>
            </w:r>
            <w:r>
              <w:rPr>
                <w:spacing w:val="-5"/>
                <w:lang w:val="en-GB"/>
              </w:rPr>
              <w:t xml:space="preserve"> it did not cross 0.6 p. p. </w:t>
            </w:r>
            <w:r w:rsidR="00196656">
              <w:rPr>
                <w:spacing w:val="-5"/>
                <w:lang w:val="en-GB"/>
              </w:rPr>
              <w:t xml:space="preserve">Consumer prices grew the fastest in Estonia </w:t>
            </w:r>
            <w:r w:rsidR="00DD0726" w:rsidRPr="00C468A2">
              <w:rPr>
                <w:spacing w:val="-5"/>
                <w:lang w:val="en-GB"/>
              </w:rPr>
              <w:t>(3</w:t>
            </w:r>
            <w:r w:rsidR="00196656">
              <w:rPr>
                <w:spacing w:val="-5"/>
                <w:lang w:val="en-GB"/>
              </w:rPr>
              <w:t>.</w:t>
            </w:r>
            <w:r w:rsidR="00DD0726" w:rsidRPr="00C468A2">
              <w:rPr>
                <w:spacing w:val="-5"/>
                <w:lang w:val="en-GB"/>
              </w:rPr>
              <w:t>4</w:t>
            </w:r>
            <w:r w:rsidR="00954C8E">
              <w:rPr>
                <w:spacing w:val="-5"/>
                <w:lang w:val="en-GB"/>
              </w:rPr>
              <w:t>%</w:t>
            </w:r>
            <w:r w:rsidR="00DD0726" w:rsidRPr="00C468A2">
              <w:rPr>
                <w:spacing w:val="-5"/>
                <w:lang w:val="en-GB"/>
              </w:rPr>
              <w:t>), L</w:t>
            </w:r>
            <w:r w:rsidR="00196656">
              <w:rPr>
                <w:spacing w:val="-5"/>
                <w:lang w:val="en-GB"/>
              </w:rPr>
              <w:t xml:space="preserve">ithuania </w:t>
            </w:r>
            <w:r w:rsidR="00DD0726" w:rsidRPr="00C468A2">
              <w:rPr>
                <w:spacing w:val="-5"/>
                <w:lang w:val="en-GB"/>
              </w:rPr>
              <w:t>(3</w:t>
            </w:r>
            <w:r w:rsidR="00196656">
              <w:rPr>
                <w:spacing w:val="-5"/>
                <w:lang w:val="en-GB"/>
              </w:rPr>
              <w:t>.</w:t>
            </w:r>
            <w:r w:rsidR="00DD0726" w:rsidRPr="00C468A2">
              <w:rPr>
                <w:spacing w:val="-5"/>
                <w:lang w:val="en-GB"/>
              </w:rPr>
              <w:t>4</w:t>
            </w:r>
            <w:r w:rsidR="00954C8E">
              <w:rPr>
                <w:spacing w:val="-5"/>
                <w:lang w:val="en-GB"/>
              </w:rPr>
              <w:t>%</w:t>
            </w:r>
            <w:r w:rsidR="00DD0726" w:rsidRPr="00C468A2">
              <w:rPr>
                <w:spacing w:val="-5"/>
                <w:lang w:val="en-GB"/>
              </w:rPr>
              <w:t>) a</w:t>
            </w:r>
            <w:r w:rsidR="00196656">
              <w:rPr>
                <w:spacing w:val="-5"/>
                <w:lang w:val="en-GB"/>
              </w:rPr>
              <w:t xml:space="preserve">nd Latvia </w:t>
            </w:r>
            <w:r w:rsidR="00DD0726" w:rsidRPr="00C468A2">
              <w:rPr>
                <w:spacing w:val="-5"/>
                <w:lang w:val="en-GB"/>
              </w:rPr>
              <w:t>(</w:t>
            </w:r>
            <w:r w:rsidR="00196656">
              <w:rPr>
                <w:spacing w:val="-5"/>
                <w:lang w:val="en-GB"/>
              </w:rPr>
              <w:t>3.</w:t>
            </w:r>
            <w:r w:rsidR="00DD0726" w:rsidRPr="00C468A2">
              <w:rPr>
                <w:spacing w:val="-5"/>
                <w:lang w:val="en-GB"/>
              </w:rPr>
              <w:t>0</w:t>
            </w:r>
            <w:r w:rsidR="00954C8E">
              <w:rPr>
                <w:spacing w:val="-5"/>
                <w:lang w:val="en-GB"/>
              </w:rPr>
              <w:t>%</w:t>
            </w:r>
            <w:r w:rsidR="00DD0726" w:rsidRPr="00C468A2">
              <w:rPr>
                <w:spacing w:val="-5"/>
                <w:lang w:val="en-GB"/>
              </w:rPr>
              <w:t>)</w:t>
            </w:r>
            <w:r w:rsidR="00196656">
              <w:rPr>
                <w:spacing w:val="-5"/>
                <w:lang w:val="en-GB"/>
              </w:rPr>
              <w:t xml:space="preserve"> in Q2</w:t>
            </w:r>
            <w:r w:rsidR="00DD0726" w:rsidRPr="00C468A2">
              <w:rPr>
                <w:spacing w:val="-5"/>
                <w:lang w:val="en-GB"/>
              </w:rPr>
              <w:t xml:space="preserve">. </w:t>
            </w:r>
            <w:r w:rsidR="00196656">
              <w:rPr>
                <w:spacing w:val="-5"/>
                <w:lang w:val="en-GB"/>
              </w:rPr>
              <w:t xml:space="preserve">The </w:t>
            </w:r>
            <w:r w:rsidR="00611A08">
              <w:rPr>
                <w:spacing w:val="-5"/>
                <w:lang w:val="en-GB"/>
              </w:rPr>
              <w:t>Czech Republic</w:t>
            </w:r>
            <w:r w:rsidR="00196656">
              <w:rPr>
                <w:spacing w:val="-5"/>
                <w:lang w:val="en-GB"/>
              </w:rPr>
              <w:t xml:space="preserve"> in this respect also ranked among the countries with the fastest price growth. The growth of consumer prices ceased in Ireland in Q2 and it stayed below one percent in Romania </w:t>
            </w:r>
            <w:r w:rsidR="00DD0726" w:rsidRPr="00C468A2">
              <w:rPr>
                <w:spacing w:val="-5"/>
                <w:lang w:val="en-GB"/>
              </w:rPr>
              <w:t>(0</w:t>
            </w:r>
            <w:r w:rsidR="00196656">
              <w:rPr>
                <w:spacing w:val="-5"/>
                <w:lang w:val="en-GB"/>
              </w:rPr>
              <w:t>.</w:t>
            </w:r>
            <w:r w:rsidR="00DD0726" w:rsidRPr="00C468A2">
              <w:rPr>
                <w:spacing w:val="-5"/>
                <w:lang w:val="en-GB"/>
              </w:rPr>
              <w:t>6</w:t>
            </w:r>
            <w:r w:rsidR="00954C8E">
              <w:rPr>
                <w:spacing w:val="-5"/>
                <w:lang w:val="en-GB"/>
              </w:rPr>
              <w:t>%</w:t>
            </w:r>
            <w:r w:rsidR="00DD0726" w:rsidRPr="00C468A2">
              <w:rPr>
                <w:spacing w:val="-5"/>
                <w:lang w:val="en-GB"/>
              </w:rPr>
              <w:t xml:space="preserve">, </w:t>
            </w:r>
            <w:r w:rsidR="00196656">
              <w:rPr>
                <w:spacing w:val="-5"/>
                <w:lang w:val="en-GB"/>
              </w:rPr>
              <w:t>however a slowdown occurred compared to the previous quarter</w:t>
            </w:r>
            <w:r w:rsidR="00DD0726" w:rsidRPr="00C468A2">
              <w:rPr>
                <w:spacing w:val="-5"/>
                <w:lang w:val="en-GB"/>
              </w:rPr>
              <w:t>), D</w:t>
            </w:r>
            <w:r w:rsidR="00196656">
              <w:rPr>
                <w:spacing w:val="-5"/>
                <w:lang w:val="en-GB"/>
              </w:rPr>
              <w:t xml:space="preserve">enmark </w:t>
            </w:r>
            <w:r w:rsidR="00DD0726" w:rsidRPr="00C468A2">
              <w:rPr>
                <w:spacing w:val="-5"/>
                <w:lang w:val="en-GB"/>
              </w:rPr>
              <w:t>(0</w:t>
            </w:r>
            <w:r w:rsidR="00196656">
              <w:rPr>
                <w:spacing w:val="-5"/>
                <w:lang w:val="en-GB"/>
              </w:rPr>
              <w:t>.</w:t>
            </w:r>
            <w:r w:rsidR="00DD0726" w:rsidRPr="00C468A2">
              <w:rPr>
                <w:spacing w:val="-5"/>
                <w:lang w:val="en-GB"/>
              </w:rPr>
              <w:t>7</w:t>
            </w:r>
            <w:r w:rsidR="00954C8E">
              <w:rPr>
                <w:spacing w:val="-5"/>
                <w:lang w:val="en-GB"/>
              </w:rPr>
              <w:t>%</w:t>
            </w:r>
            <w:r w:rsidR="00DD0726" w:rsidRPr="00C468A2">
              <w:rPr>
                <w:spacing w:val="-5"/>
                <w:lang w:val="en-GB"/>
              </w:rPr>
              <w:t>) a</w:t>
            </w:r>
            <w:r w:rsidR="00196656">
              <w:rPr>
                <w:spacing w:val="-5"/>
                <w:lang w:val="en-GB"/>
              </w:rPr>
              <w:t xml:space="preserve">nd Finland </w:t>
            </w:r>
            <w:r w:rsidR="00DD0726" w:rsidRPr="00C468A2">
              <w:rPr>
                <w:spacing w:val="-5"/>
                <w:lang w:val="en-GB"/>
              </w:rPr>
              <w:t>(0</w:t>
            </w:r>
            <w:r w:rsidR="00196656">
              <w:rPr>
                <w:spacing w:val="-5"/>
                <w:lang w:val="en-GB"/>
              </w:rPr>
              <w:t>.</w:t>
            </w:r>
            <w:r w:rsidR="00DD0726" w:rsidRPr="00C468A2">
              <w:rPr>
                <w:spacing w:val="-5"/>
                <w:lang w:val="en-GB"/>
              </w:rPr>
              <w:t>9</w:t>
            </w:r>
            <w:r w:rsidR="00954C8E">
              <w:rPr>
                <w:spacing w:val="-5"/>
                <w:lang w:val="en-GB"/>
              </w:rPr>
              <w:t>%</w:t>
            </w:r>
            <w:r w:rsidR="00DD0726" w:rsidRPr="00C468A2">
              <w:rPr>
                <w:spacing w:val="-5"/>
                <w:lang w:val="en-GB"/>
              </w:rPr>
              <w:t>).</w:t>
            </w:r>
          </w:p>
          <w:p w:rsidR="00DD0726" w:rsidRPr="00C468A2" w:rsidRDefault="00DD0726" w:rsidP="00260FBE">
            <w:pPr>
              <w:pStyle w:val="Textpoznpodarou"/>
              <w:ind w:right="-35"/>
              <w:jc w:val="both"/>
              <w:rPr>
                <w:spacing w:val="-5"/>
                <w:sz w:val="16"/>
                <w:szCs w:val="16"/>
                <w:lang w:val="en-GB"/>
              </w:rPr>
            </w:pPr>
          </w:p>
        </w:tc>
      </w:tr>
      <w:tr w:rsidR="00DD0726" w:rsidRPr="00F81A26" w:rsidTr="00260FBE">
        <w:tc>
          <w:tcPr>
            <w:tcW w:w="1015" w:type="pct"/>
          </w:tcPr>
          <w:p w:rsidR="00DD0726" w:rsidRPr="00C468A2" w:rsidRDefault="00C468A2" w:rsidP="00C468A2">
            <w:pPr>
              <w:spacing w:line="240" w:lineRule="auto"/>
              <w:ind w:right="-19"/>
              <w:rPr>
                <w:spacing w:val="-4"/>
                <w:sz w:val="16"/>
                <w:szCs w:val="16"/>
                <w:lang w:val="en-GB"/>
              </w:rPr>
            </w:pPr>
            <w:r w:rsidRPr="00C468A2">
              <w:rPr>
                <w:spacing w:val="-4"/>
                <w:sz w:val="16"/>
                <w:szCs w:val="16"/>
                <w:lang w:val="en-GB"/>
              </w:rPr>
              <w:t xml:space="preserve">Prices of industrial producers grew year-on-year in Q2. </w:t>
            </w:r>
          </w:p>
        </w:tc>
        <w:tc>
          <w:tcPr>
            <w:tcW w:w="144" w:type="pct"/>
          </w:tcPr>
          <w:p w:rsidR="00DD0726" w:rsidRPr="00C468A2" w:rsidRDefault="00DD0726" w:rsidP="00260FBE">
            <w:pPr>
              <w:pStyle w:val="Textpoznpodarou"/>
              <w:jc w:val="both"/>
              <w:rPr>
                <w:spacing w:val="-4"/>
                <w:lang w:val="en-GB"/>
              </w:rPr>
            </w:pPr>
          </w:p>
        </w:tc>
        <w:tc>
          <w:tcPr>
            <w:tcW w:w="3841" w:type="pct"/>
            <w:gridSpan w:val="2"/>
          </w:tcPr>
          <w:p w:rsidR="00DD0726" w:rsidRDefault="003D7323" w:rsidP="008D2C16">
            <w:pPr>
              <w:pStyle w:val="Textpoznpodarou"/>
              <w:ind w:right="-35"/>
              <w:jc w:val="both"/>
              <w:rPr>
                <w:spacing w:val="-5"/>
                <w:lang w:val="en-GB"/>
              </w:rPr>
            </w:pPr>
            <w:r>
              <w:rPr>
                <w:spacing w:val="-5"/>
                <w:lang w:val="en-GB"/>
              </w:rPr>
              <w:t xml:space="preserve">Year-on-year growth of the industrial producer prices, which was renewed in Q1 </w:t>
            </w:r>
            <w:r w:rsidR="00DD0726" w:rsidRPr="00C468A2">
              <w:rPr>
                <w:spacing w:val="-5"/>
                <w:lang w:val="en-GB"/>
              </w:rPr>
              <w:t>(2</w:t>
            </w:r>
            <w:r>
              <w:rPr>
                <w:spacing w:val="-5"/>
                <w:lang w:val="en-GB"/>
              </w:rPr>
              <w:t>.</w:t>
            </w:r>
            <w:r w:rsidR="00DD0726" w:rsidRPr="00C468A2">
              <w:rPr>
                <w:spacing w:val="-5"/>
                <w:lang w:val="en-GB"/>
              </w:rPr>
              <w:t>7</w:t>
            </w:r>
            <w:r w:rsidR="00954C8E">
              <w:rPr>
                <w:spacing w:val="-5"/>
                <w:lang w:val="en-GB"/>
              </w:rPr>
              <w:t>%</w:t>
            </w:r>
            <w:r w:rsidR="00DD0726" w:rsidRPr="00C468A2">
              <w:rPr>
                <w:spacing w:val="-5"/>
                <w:lang w:val="en-GB"/>
              </w:rPr>
              <w:t xml:space="preserve">), </w:t>
            </w:r>
            <w:r>
              <w:rPr>
                <w:spacing w:val="-5"/>
                <w:lang w:val="en-GB"/>
              </w:rPr>
              <w:t xml:space="preserve">again slowed down following the April peak. </w:t>
            </w:r>
            <w:r w:rsidR="00EC7360">
              <w:rPr>
                <w:spacing w:val="-5"/>
                <w:lang w:val="en-GB"/>
              </w:rPr>
              <w:t>The industrial producer prices thus increased by 2.3</w:t>
            </w:r>
            <w:r w:rsidR="00954C8E">
              <w:rPr>
                <w:spacing w:val="-5"/>
                <w:lang w:val="en-GB"/>
              </w:rPr>
              <w:t>%</w:t>
            </w:r>
            <w:r w:rsidR="00EC7360">
              <w:rPr>
                <w:spacing w:val="-5"/>
                <w:lang w:val="en-GB"/>
              </w:rPr>
              <w:t xml:space="preserve"> in Q2 compared to the same period of the past year. The described dynamics was markedly affected by the development of the prices of coke and refined oil products. These significantly grew in Q1 and the growth subsequently slowed down. </w:t>
            </w:r>
            <w:r w:rsidR="007D368A">
              <w:rPr>
                <w:spacing w:val="-5"/>
                <w:lang w:val="en-GB"/>
              </w:rPr>
              <w:t xml:space="preserve">Prices of mining and quarrying grew constantly since the beginning of the year </w:t>
            </w:r>
            <w:r w:rsidR="00DD0726" w:rsidRPr="00C468A2">
              <w:rPr>
                <w:spacing w:val="-5"/>
                <w:lang w:val="en-GB"/>
              </w:rPr>
              <w:t>(</w:t>
            </w:r>
            <w:r w:rsidR="007D368A">
              <w:rPr>
                <w:spacing w:val="-5"/>
                <w:lang w:val="en-GB"/>
              </w:rPr>
              <w:t>year-on-year growth was 4.9</w:t>
            </w:r>
            <w:r w:rsidR="00954C8E">
              <w:rPr>
                <w:spacing w:val="-5"/>
                <w:lang w:val="en-GB"/>
              </w:rPr>
              <w:t>%</w:t>
            </w:r>
            <w:r w:rsidR="007D368A">
              <w:rPr>
                <w:spacing w:val="-5"/>
                <w:lang w:val="en-GB"/>
              </w:rPr>
              <w:t xml:space="preserve"> in Q2). The year-on-year price growth slowed down in the most significant industry by weight, manufacturing, </w:t>
            </w:r>
            <w:r w:rsidR="00C4335D">
              <w:rPr>
                <w:spacing w:val="-5"/>
                <w:lang w:val="en-GB"/>
              </w:rPr>
              <w:t>and reached 2.8</w:t>
            </w:r>
            <w:r w:rsidR="00954C8E">
              <w:rPr>
                <w:spacing w:val="-5"/>
                <w:lang w:val="en-GB"/>
              </w:rPr>
              <w:t>%</w:t>
            </w:r>
            <w:r w:rsidR="00C4335D">
              <w:rPr>
                <w:spacing w:val="-5"/>
                <w:lang w:val="en-GB"/>
              </w:rPr>
              <w:t xml:space="preserve"> in Q2 </w:t>
            </w:r>
            <w:r w:rsidR="00DD0726" w:rsidRPr="00C468A2">
              <w:rPr>
                <w:spacing w:val="-5"/>
                <w:lang w:val="en-GB"/>
              </w:rPr>
              <w:t>(</w:t>
            </w:r>
            <w:r w:rsidR="00C4335D">
              <w:rPr>
                <w:spacing w:val="-5"/>
                <w:lang w:val="en-GB"/>
              </w:rPr>
              <w:t>by 0.</w:t>
            </w:r>
            <w:r w:rsidR="00DD0726" w:rsidRPr="00C468A2">
              <w:rPr>
                <w:spacing w:val="-5"/>
                <w:lang w:val="en-GB"/>
              </w:rPr>
              <w:t>6 p.</w:t>
            </w:r>
            <w:r w:rsidR="00C4335D">
              <w:rPr>
                <w:spacing w:val="-5"/>
                <w:lang w:val="en-GB"/>
              </w:rPr>
              <w:t>p</w:t>
            </w:r>
            <w:r w:rsidR="00DD0726" w:rsidRPr="00C468A2">
              <w:rPr>
                <w:spacing w:val="-5"/>
                <w:lang w:val="en-GB"/>
              </w:rPr>
              <w:t xml:space="preserve">. </w:t>
            </w:r>
            <w:r w:rsidR="00C4335D">
              <w:rPr>
                <w:spacing w:val="-5"/>
                <w:lang w:val="en-GB"/>
              </w:rPr>
              <w:t>less compared to the preceding quarter). Prices of food products, beverages and tobacco were raised by 3.3</w:t>
            </w:r>
            <w:r w:rsidR="00954C8E">
              <w:rPr>
                <w:spacing w:val="-5"/>
                <w:lang w:val="en-GB"/>
              </w:rPr>
              <w:t>%</w:t>
            </w:r>
            <w:r w:rsidR="00C4335D">
              <w:rPr>
                <w:spacing w:val="-5"/>
                <w:lang w:val="en-GB"/>
              </w:rPr>
              <w:t xml:space="preserve"> (acceleration of 2.4 p. p.).</w:t>
            </w:r>
            <w:r w:rsidR="00DD0726" w:rsidRPr="00C468A2">
              <w:rPr>
                <w:spacing w:val="-5"/>
                <w:lang w:val="en-GB"/>
              </w:rPr>
              <w:t xml:space="preserve"> </w:t>
            </w:r>
            <w:r w:rsidR="00486700">
              <w:rPr>
                <w:spacing w:val="-5"/>
                <w:lang w:val="en-GB"/>
              </w:rPr>
              <w:t xml:space="preserve">Among the other weight significant sections, the prices of rubber and plastic products and other non-metal mineral products mildly increased </w:t>
            </w:r>
            <w:r w:rsidR="00DD0726" w:rsidRPr="00C468A2">
              <w:rPr>
                <w:spacing w:val="-5"/>
                <w:lang w:val="en-GB"/>
              </w:rPr>
              <w:t>(0</w:t>
            </w:r>
            <w:r w:rsidR="00486700">
              <w:rPr>
                <w:spacing w:val="-5"/>
                <w:lang w:val="en-GB"/>
              </w:rPr>
              <w:t>.</w:t>
            </w:r>
            <w:r w:rsidR="00DD0726" w:rsidRPr="00C468A2">
              <w:rPr>
                <w:spacing w:val="-5"/>
                <w:lang w:val="en-GB"/>
              </w:rPr>
              <w:t>8</w:t>
            </w:r>
            <w:r w:rsidR="00954C8E">
              <w:rPr>
                <w:spacing w:val="-5"/>
                <w:lang w:val="en-GB"/>
              </w:rPr>
              <w:t>%</w:t>
            </w:r>
            <w:r w:rsidR="00DD0726" w:rsidRPr="00C468A2">
              <w:rPr>
                <w:spacing w:val="-5"/>
                <w:lang w:val="en-GB"/>
              </w:rPr>
              <w:t>) a</w:t>
            </w:r>
            <w:r w:rsidR="00486700">
              <w:rPr>
                <w:spacing w:val="-5"/>
                <w:lang w:val="en-GB"/>
              </w:rPr>
              <w:t xml:space="preserve">nd the year-on-year increase of the prices of the general metals and metal products accelerated to </w:t>
            </w:r>
            <w:r w:rsidR="00DD0726" w:rsidRPr="00C468A2">
              <w:rPr>
                <w:spacing w:val="-5"/>
                <w:lang w:val="en-GB"/>
              </w:rPr>
              <w:t>7</w:t>
            </w:r>
            <w:r w:rsidR="00486700">
              <w:rPr>
                <w:spacing w:val="-5"/>
                <w:lang w:val="en-GB"/>
              </w:rPr>
              <w:t>.</w:t>
            </w:r>
            <w:r w:rsidR="00DD0726" w:rsidRPr="00C468A2">
              <w:rPr>
                <w:spacing w:val="-5"/>
                <w:lang w:val="en-GB"/>
              </w:rPr>
              <w:t>1</w:t>
            </w:r>
            <w:r w:rsidR="00954C8E">
              <w:rPr>
                <w:spacing w:val="-5"/>
                <w:lang w:val="en-GB"/>
              </w:rPr>
              <w:t>%</w:t>
            </w:r>
            <w:r w:rsidR="00486700">
              <w:rPr>
                <w:spacing w:val="-5"/>
                <w:lang w:val="en-GB"/>
              </w:rPr>
              <w:t xml:space="preserve">. </w:t>
            </w:r>
            <w:r w:rsidR="005A5FAD">
              <w:rPr>
                <w:spacing w:val="-5"/>
                <w:lang w:val="en-GB"/>
              </w:rPr>
              <w:t xml:space="preserve">Prices of transport equipment were slightly falling </w:t>
            </w:r>
            <w:r w:rsidR="00DD0726" w:rsidRPr="00C468A2">
              <w:rPr>
                <w:spacing w:val="-5"/>
                <w:lang w:val="en-GB"/>
              </w:rPr>
              <w:t>(</w:t>
            </w:r>
            <w:r w:rsidR="005A5FAD">
              <w:rPr>
                <w:spacing w:val="-5"/>
                <w:lang w:val="en-GB"/>
              </w:rPr>
              <w:t>by</w:t>
            </w:r>
            <w:r w:rsidR="00DD0726" w:rsidRPr="00C468A2">
              <w:rPr>
                <w:spacing w:val="-5"/>
                <w:lang w:val="en-GB"/>
              </w:rPr>
              <w:t> 1</w:t>
            </w:r>
            <w:r w:rsidR="005A5FAD">
              <w:rPr>
                <w:spacing w:val="-5"/>
                <w:lang w:val="en-GB"/>
              </w:rPr>
              <w:t>.</w:t>
            </w:r>
            <w:r w:rsidR="00DD0726" w:rsidRPr="00C468A2">
              <w:rPr>
                <w:spacing w:val="-5"/>
                <w:lang w:val="en-GB"/>
              </w:rPr>
              <w:t>8</w:t>
            </w:r>
            <w:r w:rsidR="00954C8E">
              <w:rPr>
                <w:spacing w:val="-5"/>
                <w:lang w:val="en-GB"/>
              </w:rPr>
              <w:t>%</w:t>
            </w:r>
            <w:r w:rsidR="00DD0726" w:rsidRPr="00C468A2">
              <w:rPr>
                <w:spacing w:val="-5"/>
                <w:lang w:val="en-GB"/>
              </w:rPr>
              <w:t xml:space="preserve">). </w:t>
            </w:r>
            <w:r w:rsidR="005A5FAD">
              <w:rPr>
                <w:spacing w:val="-5"/>
                <w:lang w:val="en-GB"/>
              </w:rPr>
              <w:t>The prices of chemicals and chemical products grew markedly (5.3</w:t>
            </w:r>
            <w:r w:rsidR="00954C8E">
              <w:rPr>
                <w:spacing w:val="-5"/>
                <w:lang w:val="en-GB"/>
              </w:rPr>
              <w:t>%</w:t>
            </w:r>
            <w:r w:rsidR="005A5FAD">
              <w:rPr>
                <w:spacing w:val="-5"/>
                <w:lang w:val="en-GB"/>
              </w:rPr>
              <w:t xml:space="preserve">, mild slowdown compared to the previous quarter). </w:t>
            </w:r>
            <w:r w:rsidR="008D2C16">
              <w:rPr>
                <w:spacing w:val="-5"/>
                <w:lang w:val="en-GB"/>
              </w:rPr>
              <w:t xml:space="preserve">The prices of electricity, steam and air conditioning supply keep decreasing </w:t>
            </w:r>
            <w:r w:rsidR="00DD0726" w:rsidRPr="00C468A2">
              <w:rPr>
                <w:spacing w:val="-5"/>
                <w:lang w:val="en-GB"/>
              </w:rPr>
              <w:t>(</w:t>
            </w:r>
            <w:r w:rsidR="008D2C16">
              <w:rPr>
                <w:spacing w:val="-5"/>
                <w:lang w:val="en-GB"/>
              </w:rPr>
              <w:t>by</w:t>
            </w:r>
            <w:r w:rsidR="00DD0726" w:rsidRPr="00C468A2">
              <w:rPr>
                <w:spacing w:val="-5"/>
                <w:lang w:val="en-GB"/>
              </w:rPr>
              <w:t xml:space="preserve"> 1</w:t>
            </w:r>
            <w:r w:rsidR="008D2C16">
              <w:rPr>
                <w:spacing w:val="-5"/>
                <w:lang w:val="en-GB"/>
              </w:rPr>
              <w:t>.</w:t>
            </w:r>
            <w:r w:rsidR="00DD0726" w:rsidRPr="00C468A2">
              <w:rPr>
                <w:spacing w:val="-5"/>
                <w:lang w:val="en-GB"/>
              </w:rPr>
              <w:t>3</w:t>
            </w:r>
            <w:r w:rsidR="00954C8E">
              <w:rPr>
                <w:spacing w:val="-5"/>
                <w:lang w:val="en-GB"/>
              </w:rPr>
              <w:t>%</w:t>
            </w:r>
            <w:r w:rsidR="00DD0726" w:rsidRPr="00C468A2">
              <w:rPr>
                <w:spacing w:val="-5"/>
                <w:lang w:val="en-GB"/>
              </w:rPr>
              <w:t xml:space="preserve"> </w:t>
            </w:r>
            <w:r w:rsidR="008D2C16">
              <w:rPr>
                <w:spacing w:val="-5"/>
                <w:lang w:val="en-GB"/>
              </w:rPr>
              <w:t>in Q2</w:t>
            </w:r>
            <w:r w:rsidR="00DD0726" w:rsidRPr="00C468A2">
              <w:rPr>
                <w:spacing w:val="-5"/>
                <w:lang w:val="en-GB"/>
              </w:rPr>
              <w:t xml:space="preserve">), </w:t>
            </w:r>
            <w:r w:rsidR="008D2C16">
              <w:rPr>
                <w:spacing w:val="-5"/>
                <w:lang w:val="en-GB"/>
              </w:rPr>
              <w:t xml:space="preserve">however the drop shrank compared to the previous year. </w:t>
            </w:r>
          </w:p>
          <w:p w:rsidR="008D2C16" w:rsidRPr="00C468A2" w:rsidRDefault="008D2C16" w:rsidP="008D2C16">
            <w:pPr>
              <w:pStyle w:val="Textpoznpodarou"/>
              <w:ind w:right="-35"/>
              <w:jc w:val="both"/>
              <w:rPr>
                <w:spacing w:val="-5"/>
                <w:sz w:val="16"/>
                <w:szCs w:val="16"/>
                <w:lang w:val="en-GB"/>
              </w:rPr>
            </w:pPr>
          </w:p>
        </w:tc>
      </w:tr>
      <w:tr w:rsidR="00DD0726" w:rsidRPr="00F81A26" w:rsidTr="00260FBE">
        <w:tc>
          <w:tcPr>
            <w:tcW w:w="1015" w:type="pct"/>
          </w:tcPr>
          <w:p w:rsidR="00DD0726" w:rsidRDefault="00FC605E" w:rsidP="00260FBE">
            <w:pPr>
              <w:spacing w:line="240" w:lineRule="auto"/>
              <w:ind w:right="-19"/>
              <w:rPr>
                <w:spacing w:val="-4"/>
                <w:sz w:val="16"/>
                <w:szCs w:val="16"/>
                <w:lang w:val="en-GB"/>
              </w:rPr>
            </w:pPr>
            <w:r w:rsidRPr="00FC605E">
              <w:rPr>
                <w:spacing w:val="-4"/>
                <w:sz w:val="16"/>
                <w:szCs w:val="16"/>
                <w:lang w:val="en-GB"/>
              </w:rPr>
              <w:t>Growth of</w:t>
            </w:r>
            <w:r>
              <w:rPr>
                <w:spacing w:val="-4"/>
                <w:sz w:val="16"/>
                <w:szCs w:val="16"/>
                <w:lang w:val="en-GB"/>
              </w:rPr>
              <w:t xml:space="preserve"> p</w:t>
            </w:r>
            <w:r w:rsidRPr="00FC605E">
              <w:rPr>
                <w:spacing w:val="-4"/>
                <w:sz w:val="16"/>
                <w:szCs w:val="16"/>
                <w:lang w:val="en-GB"/>
              </w:rPr>
              <w:t xml:space="preserve">rices of producers in the EU was faster than in the CR. </w:t>
            </w:r>
          </w:p>
          <w:p w:rsidR="00A14C46" w:rsidRDefault="00A14C46" w:rsidP="00260FBE">
            <w:pPr>
              <w:spacing w:line="240" w:lineRule="auto"/>
              <w:ind w:right="-19"/>
              <w:rPr>
                <w:spacing w:val="-4"/>
                <w:sz w:val="16"/>
                <w:szCs w:val="16"/>
                <w:lang w:val="en-GB"/>
              </w:rPr>
            </w:pPr>
          </w:p>
          <w:p w:rsidR="00A14C46" w:rsidRDefault="00A14C46" w:rsidP="00260FBE">
            <w:pPr>
              <w:spacing w:line="240" w:lineRule="auto"/>
              <w:ind w:right="-19"/>
              <w:rPr>
                <w:spacing w:val="-4"/>
                <w:sz w:val="16"/>
                <w:szCs w:val="16"/>
                <w:lang w:val="en-GB"/>
              </w:rPr>
            </w:pPr>
          </w:p>
          <w:p w:rsidR="00A14C46" w:rsidRDefault="00A14C46" w:rsidP="00260FBE">
            <w:pPr>
              <w:spacing w:line="240" w:lineRule="auto"/>
              <w:ind w:right="-19"/>
              <w:rPr>
                <w:spacing w:val="-4"/>
                <w:sz w:val="16"/>
                <w:szCs w:val="16"/>
                <w:lang w:val="en-GB"/>
              </w:rPr>
            </w:pPr>
          </w:p>
          <w:p w:rsidR="00A14C46" w:rsidRDefault="00A14C46" w:rsidP="00260FBE">
            <w:pPr>
              <w:spacing w:line="240" w:lineRule="auto"/>
              <w:ind w:right="-19"/>
              <w:rPr>
                <w:spacing w:val="-4"/>
                <w:sz w:val="16"/>
                <w:szCs w:val="16"/>
                <w:lang w:val="en-GB"/>
              </w:rPr>
            </w:pPr>
          </w:p>
          <w:p w:rsidR="00A14C46" w:rsidRDefault="00A14C46" w:rsidP="00260FBE">
            <w:pPr>
              <w:spacing w:line="240" w:lineRule="auto"/>
              <w:ind w:right="-19"/>
              <w:rPr>
                <w:spacing w:val="-4"/>
                <w:sz w:val="16"/>
                <w:szCs w:val="16"/>
                <w:lang w:val="en-GB"/>
              </w:rPr>
            </w:pPr>
          </w:p>
          <w:p w:rsidR="00A14C46" w:rsidRDefault="00A14C46" w:rsidP="00260FBE">
            <w:pPr>
              <w:spacing w:line="240" w:lineRule="auto"/>
              <w:ind w:right="-19"/>
              <w:rPr>
                <w:spacing w:val="-4"/>
                <w:sz w:val="16"/>
                <w:szCs w:val="16"/>
                <w:lang w:val="en-GB"/>
              </w:rPr>
            </w:pPr>
          </w:p>
          <w:p w:rsidR="00A14C46" w:rsidRDefault="00A14C46" w:rsidP="00260FBE">
            <w:pPr>
              <w:spacing w:line="240" w:lineRule="auto"/>
              <w:ind w:right="-19"/>
              <w:rPr>
                <w:spacing w:val="-4"/>
                <w:sz w:val="16"/>
                <w:szCs w:val="16"/>
                <w:lang w:val="en-GB"/>
              </w:rPr>
            </w:pPr>
          </w:p>
          <w:p w:rsidR="00A14C46" w:rsidRDefault="00A14C46" w:rsidP="00260FBE">
            <w:pPr>
              <w:spacing w:line="240" w:lineRule="auto"/>
              <w:ind w:right="-19"/>
              <w:rPr>
                <w:spacing w:val="-4"/>
                <w:sz w:val="16"/>
                <w:szCs w:val="16"/>
                <w:lang w:val="en-GB"/>
              </w:rPr>
            </w:pPr>
          </w:p>
          <w:p w:rsidR="00A14C46" w:rsidRDefault="00A14C46" w:rsidP="00260FBE">
            <w:pPr>
              <w:spacing w:line="240" w:lineRule="auto"/>
              <w:ind w:right="-19"/>
              <w:rPr>
                <w:spacing w:val="-4"/>
                <w:sz w:val="16"/>
                <w:szCs w:val="16"/>
                <w:lang w:val="en-GB"/>
              </w:rPr>
            </w:pPr>
          </w:p>
          <w:p w:rsidR="00A14C46" w:rsidRDefault="00A14C46" w:rsidP="00260FBE">
            <w:pPr>
              <w:spacing w:line="240" w:lineRule="auto"/>
              <w:ind w:right="-19"/>
              <w:rPr>
                <w:spacing w:val="-4"/>
                <w:sz w:val="16"/>
                <w:szCs w:val="16"/>
                <w:lang w:val="en-GB"/>
              </w:rPr>
            </w:pPr>
          </w:p>
          <w:p w:rsidR="00A14C46" w:rsidRPr="00FC605E" w:rsidRDefault="00A14C46" w:rsidP="00260FBE">
            <w:pPr>
              <w:spacing w:line="240" w:lineRule="auto"/>
              <w:ind w:right="-19"/>
              <w:rPr>
                <w:spacing w:val="-4"/>
                <w:sz w:val="16"/>
                <w:szCs w:val="16"/>
                <w:lang w:val="en-GB"/>
              </w:rPr>
            </w:pPr>
            <w:r w:rsidRPr="00F94231">
              <w:rPr>
                <w:spacing w:val="-4"/>
                <w:sz w:val="16"/>
                <w:szCs w:val="16"/>
                <w:lang w:val="en-GB"/>
              </w:rPr>
              <w:t>The agricultura</w:t>
            </w:r>
            <w:r>
              <w:rPr>
                <w:spacing w:val="-4"/>
                <w:sz w:val="16"/>
                <w:szCs w:val="16"/>
                <w:lang w:val="en-GB"/>
              </w:rPr>
              <w:t>l</w:t>
            </w:r>
            <w:r w:rsidRPr="00F94231">
              <w:rPr>
                <w:spacing w:val="-4"/>
                <w:sz w:val="16"/>
                <w:szCs w:val="16"/>
                <w:lang w:val="en-GB"/>
              </w:rPr>
              <w:t xml:space="preserve"> producer prices increased year-on-year for the first time since 2013.</w:t>
            </w:r>
          </w:p>
        </w:tc>
        <w:tc>
          <w:tcPr>
            <w:tcW w:w="144" w:type="pct"/>
          </w:tcPr>
          <w:p w:rsidR="00DD0726" w:rsidRPr="00FC605E" w:rsidRDefault="00DD0726" w:rsidP="00260FBE">
            <w:pPr>
              <w:pStyle w:val="Textpoznpodarou"/>
              <w:jc w:val="both"/>
              <w:rPr>
                <w:spacing w:val="-4"/>
                <w:lang w:val="en-GB"/>
              </w:rPr>
            </w:pPr>
          </w:p>
        </w:tc>
        <w:tc>
          <w:tcPr>
            <w:tcW w:w="3841" w:type="pct"/>
            <w:gridSpan w:val="2"/>
          </w:tcPr>
          <w:p w:rsidR="00DD0726" w:rsidRPr="00FC605E" w:rsidRDefault="00FC605E" w:rsidP="00260FBE">
            <w:pPr>
              <w:pStyle w:val="Textpoznpodarou"/>
              <w:ind w:right="-35"/>
              <w:jc w:val="both"/>
              <w:rPr>
                <w:spacing w:val="-5"/>
                <w:sz w:val="16"/>
                <w:szCs w:val="16"/>
                <w:lang w:val="en-GB"/>
              </w:rPr>
            </w:pPr>
            <w:r>
              <w:rPr>
                <w:spacing w:val="-5"/>
                <w:lang w:val="en-GB"/>
              </w:rPr>
              <w:t>Prices of industrial producers in the EU rose faster in the EU year-on-year than in the CR (3.</w:t>
            </w:r>
            <w:r w:rsidR="00DD0726" w:rsidRPr="00FC605E">
              <w:rPr>
                <w:spacing w:val="-5"/>
                <w:lang w:val="en-GB"/>
              </w:rPr>
              <w:t>7</w:t>
            </w:r>
            <w:r w:rsidR="00954C8E">
              <w:rPr>
                <w:spacing w:val="-5"/>
                <w:lang w:val="en-GB"/>
              </w:rPr>
              <w:t>%</w:t>
            </w:r>
            <w:r w:rsidR="00DD0726" w:rsidRPr="00FC605E">
              <w:rPr>
                <w:spacing w:val="-5"/>
                <w:lang w:val="en-GB"/>
              </w:rPr>
              <w:t>)</w:t>
            </w:r>
            <w:proofErr w:type="gramStart"/>
            <w:r w:rsidR="00DD0726" w:rsidRPr="00FC605E">
              <w:rPr>
                <w:spacing w:val="-5"/>
                <w:lang w:val="en-GB"/>
              </w:rPr>
              <w:t>,</w:t>
            </w:r>
            <w:proofErr w:type="gramEnd"/>
            <w:r w:rsidR="00DD0726" w:rsidRPr="00FC605E">
              <w:rPr>
                <w:spacing w:val="-5"/>
                <w:lang w:val="en-GB"/>
              </w:rPr>
              <w:t xml:space="preserve"> </w:t>
            </w:r>
            <w:r>
              <w:rPr>
                <w:spacing w:val="-5"/>
                <w:lang w:val="en-GB"/>
              </w:rPr>
              <w:t xml:space="preserve">however the slowdown by 1.0 p. p. compared to the preceding quarter manifested also here. </w:t>
            </w:r>
            <w:r w:rsidR="003A72DF">
              <w:rPr>
                <w:spacing w:val="-5"/>
                <w:lang w:val="en-GB"/>
              </w:rPr>
              <w:t>Apart from Luxembourg, where the industrial producer prices fell by 2.9</w:t>
            </w:r>
            <w:r w:rsidR="00954C8E">
              <w:rPr>
                <w:spacing w:val="-5"/>
                <w:lang w:val="en-GB"/>
              </w:rPr>
              <w:t>%</w:t>
            </w:r>
            <w:r w:rsidR="003A72DF">
              <w:rPr>
                <w:spacing w:val="-5"/>
                <w:lang w:val="en-GB"/>
              </w:rPr>
              <w:t xml:space="preserve"> year-on-year in Q2, the prices at least slightly rose in the individual EU countries. The CR ranked in this respect within the range of a more moderate dynamics. </w:t>
            </w:r>
            <w:r w:rsidR="00941631">
              <w:rPr>
                <w:spacing w:val="-5"/>
                <w:lang w:val="en-GB"/>
              </w:rPr>
              <w:t xml:space="preserve">Prices grew slower than in our country only in Austria </w:t>
            </w:r>
            <w:r w:rsidR="00DD0726" w:rsidRPr="00FC605E">
              <w:rPr>
                <w:spacing w:val="-5"/>
                <w:lang w:val="en-GB"/>
              </w:rPr>
              <w:t>(1</w:t>
            </w:r>
            <w:r w:rsidR="00941631">
              <w:rPr>
                <w:spacing w:val="-5"/>
                <w:lang w:val="en-GB"/>
              </w:rPr>
              <w:t>.</w:t>
            </w:r>
            <w:r w:rsidR="00DD0726" w:rsidRPr="00FC605E">
              <w:rPr>
                <w:spacing w:val="-5"/>
                <w:lang w:val="en-GB"/>
              </w:rPr>
              <w:t>9</w:t>
            </w:r>
            <w:r w:rsidR="00954C8E">
              <w:rPr>
                <w:spacing w:val="-5"/>
                <w:lang w:val="en-GB"/>
              </w:rPr>
              <w:t>%</w:t>
            </w:r>
            <w:r w:rsidR="00DD0726" w:rsidRPr="00FC605E">
              <w:rPr>
                <w:spacing w:val="-5"/>
                <w:lang w:val="en-GB"/>
              </w:rPr>
              <w:t>), C</w:t>
            </w:r>
            <w:r w:rsidR="00941631">
              <w:rPr>
                <w:spacing w:val="-5"/>
                <w:lang w:val="en-GB"/>
              </w:rPr>
              <w:t>roatia (1.9</w:t>
            </w:r>
            <w:r w:rsidR="00954C8E">
              <w:rPr>
                <w:spacing w:val="-5"/>
                <w:lang w:val="en-GB"/>
              </w:rPr>
              <w:t>%</w:t>
            </w:r>
            <w:r w:rsidR="00941631">
              <w:rPr>
                <w:spacing w:val="-5"/>
                <w:lang w:val="en-GB"/>
              </w:rPr>
              <w:t xml:space="preserve">), Slovenia </w:t>
            </w:r>
            <w:r w:rsidR="00DD0726" w:rsidRPr="00FC605E">
              <w:rPr>
                <w:spacing w:val="-5"/>
                <w:lang w:val="en-GB"/>
              </w:rPr>
              <w:t>(1</w:t>
            </w:r>
            <w:r w:rsidR="00941631">
              <w:rPr>
                <w:spacing w:val="-5"/>
                <w:lang w:val="en-GB"/>
              </w:rPr>
              <w:t>.</w:t>
            </w:r>
            <w:r w:rsidR="00DD0726" w:rsidRPr="00FC605E">
              <w:rPr>
                <w:spacing w:val="-5"/>
                <w:lang w:val="en-GB"/>
              </w:rPr>
              <w:t>4</w:t>
            </w:r>
            <w:r w:rsidR="00954C8E">
              <w:rPr>
                <w:spacing w:val="-5"/>
                <w:lang w:val="en-GB"/>
              </w:rPr>
              <w:t>%</w:t>
            </w:r>
            <w:r w:rsidR="00DD0726" w:rsidRPr="00FC605E">
              <w:rPr>
                <w:spacing w:val="-5"/>
                <w:lang w:val="en-GB"/>
              </w:rPr>
              <w:t>) a</w:t>
            </w:r>
            <w:r w:rsidR="00941631">
              <w:rPr>
                <w:spacing w:val="-5"/>
                <w:lang w:val="en-GB"/>
              </w:rPr>
              <w:t xml:space="preserve">nd Malta </w:t>
            </w:r>
            <w:r w:rsidR="00DD0726" w:rsidRPr="00FC605E">
              <w:rPr>
                <w:spacing w:val="-5"/>
                <w:lang w:val="en-GB"/>
              </w:rPr>
              <w:t>(0</w:t>
            </w:r>
            <w:r w:rsidR="00941631">
              <w:rPr>
                <w:spacing w:val="-5"/>
                <w:lang w:val="en-GB"/>
              </w:rPr>
              <w:t>.</w:t>
            </w:r>
            <w:r w:rsidR="00DD0726" w:rsidRPr="00FC605E">
              <w:rPr>
                <w:spacing w:val="-5"/>
                <w:lang w:val="en-GB"/>
              </w:rPr>
              <w:t>8</w:t>
            </w:r>
            <w:r w:rsidR="00954C8E">
              <w:rPr>
                <w:spacing w:val="-5"/>
                <w:lang w:val="en-GB"/>
              </w:rPr>
              <w:t>%</w:t>
            </w:r>
            <w:r w:rsidR="00DD0726" w:rsidRPr="00FC605E">
              <w:rPr>
                <w:spacing w:val="-5"/>
                <w:lang w:val="en-GB"/>
              </w:rPr>
              <w:t xml:space="preserve">). </w:t>
            </w:r>
            <w:r w:rsidR="00D67B47">
              <w:rPr>
                <w:spacing w:val="-5"/>
                <w:lang w:val="en-GB"/>
              </w:rPr>
              <w:t xml:space="preserve">Very strong growth of the industrial producer prices continued in Belgium </w:t>
            </w:r>
            <w:r w:rsidR="00DD0726" w:rsidRPr="00FC605E">
              <w:rPr>
                <w:spacing w:val="-5"/>
                <w:lang w:val="en-GB"/>
              </w:rPr>
              <w:t>(9</w:t>
            </w:r>
            <w:r w:rsidR="00D67B47">
              <w:rPr>
                <w:spacing w:val="-5"/>
                <w:lang w:val="en-GB"/>
              </w:rPr>
              <w:t>.</w:t>
            </w:r>
            <w:r w:rsidR="00DD0726" w:rsidRPr="00FC605E">
              <w:rPr>
                <w:spacing w:val="-5"/>
                <w:lang w:val="en-GB"/>
              </w:rPr>
              <w:t>3</w:t>
            </w:r>
            <w:r w:rsidR="00954C8E">
              <w:rPr>
                <w:spacing w:val="-5"/>
                <w:lang w:val="en-GB"/>
              </w:rPr>
              <w:t>%</w:t>
            </w:r>
            <w:r w:rsidR="00DD0726" w:rsidRPr="00FC605E">
              <w:rPr>
                <w:spacing w:val="-5"/>
                <w:lang w:val="en-GB"/>
              </w:rPr>
              <w:t xml:space="preserve">), </w:t>
            </w:r>
            <w:r w:rsidR="00D67B47">
              <w:rPr>
                <w:spacing w:val="-5"/>
                <w:lang w:val="en-GB"/>
              </w:rPr>
              <w:t xml:space="preserve">placed behind was the Great Britain </w:t>
            </w:r>
            <w:r w:rsidR="00DD0726" w:rsidRPr="00FC605E">
              <w:rPr>
                <w:spacing w:val="-5"/>
                <w:lang w:val="en-GB"/>
              </w:rPr>
              <w:t>(6</w:t>
            </w:r>
            <w:r w:rsidR="00D67B47">
              <w:rPr>
                <w:spacing w:val="-5"/>
                <w:lang w:val="en-GB"/>
              </w:rPr>
              <w:t>.</w:t>
            </w:r>
            <w:r w:rsidR="00DD0726" w:rsidRPr="00FC605E">
              <w:rPr>
                <w:spacing w:val="-5"/>
                <w:lang w:val="en-GB"/>
              </w:rPr>
              <w:t>0</w:t>
            </w:r>
            <w:r w:rsidR="00954C8E">
              <w:rPr>
                <w:spacing w:val="-5"/>
                <w:lang w:val="en-GB"/>
              </w:rPr>
              <w:t>%</w:t>
            </w:r>
            <w:r w:rsidR="00DD0726" w:rsidRPr="00FC605E">
              <w:rPr>
                <w:spacing w:val="-5"/>
                <w:lang w:val="en-GB"/>
              </w:rPr>
              <w:t>) a</w:t>
            </w:r>
            <w:r w:rsidR="00D67B47">
              <w:rPr>
                <w:spacing w:val="-5"/>
                <w:lang w:val="en-GB"/>
              </w:rPr>
              <w:t>nd the Netherlands</w:t>
            </w:r>
            <w:r w:rsidR="00DD0726" w:rsidRPr="00FC605E">
              <w:rPr>
                <w:spacing w:val="-5"/>
                <w:lang w:val="en-GB"/>
              </w:rPr>
              <w:t xml:space="preserve"> (5</w:t>
            </w:r>
            <w:r w:rsidR="00D67B47">
              <w:rPr>
                <w:spacing w:val="-5"/>
                <w:lang w:val="en-GB"/>
              </w:rPr>
              <w:t>.</w:t>
            </w:r>
            <w:r w:rsidR="00DD0726" w:rsidRPr="00FC605E">
              <w:rPr>
                <w:spacing w:val="-5"/>
                <w:lang w:val="en-GB"/>
              </w:rPr>
              <w:t>5</w:t>
            </w:r>
            <w:r w:rsidR="00954C8E">
              <w:rPr>
                <w:spacing w:val="-5"/>
                <w:lang w:val="en-GB"/>
              </w:rPr>
              <w:t>%</w:t>
            </w:r>
            <w:r w:rsidR="00DD0726" w:rsidRPr="00FC605E">
              <w:rPr>
                <w:spacing w:val="-5"/>
                <w:lang w:val="en-GB"/>
              </w:rPr>
              <w:t>).</w:t>
            </w:r>
          </w:p>
          <w:p w:rsidR="00DD0726" w:rsidRDefault="00DD0726" w:rsidP="00260FBE">
            <w:pPr>
              <w:pStyle w:val="Textpoznpodarou"/>
              <w:ind w:right="-35"/>
              <w:jc w:val="both"/>
              <w:rPr>
                <w:spacing w:val="-5"/>
                <w:sz w:val="16"/>
                <w:szCs w:val="16"/>
                <w:lang w:val="en-GB"/>
              </w:rPr>
            </w:pPr>
          </w:p>
          <w:p w:rsidR="00A14C46" w:rsidRDefault="00A14C46" w:rsidP="00A14C46">
            <w:pPr>
              <w:pStyle w:val="Textpoznpodarou"/>
              <w:ind w:right="-35"/>
              <w:jc w:val="both"/>
              <w:rPr>
                <w:spacing w:val="-5"/>
                <w:lang w:val="en-GB"/>
              </w:rPr>
            </w:pPr>
            <w:r>
              <w:rPr>
                <w:spacing w:val="-5"/>
                <w:lang w:val="en-GB"/>
              </w:rPr>
              <w:t xml:space="preserve">Agricultural producer prices (incl. fish) were raised year-on-year in Q2 for the first time since Q3 2013 (except for Q4 2015) and specifically by 11.3%. </w:t>
            </w:r>
            <w:r w:rsidRPr="00F94231">
              <w:rPr>
                <w:spacing w:val="-5"/>
                <w:lang w:val="en-GB"/>
              </w:rPr>
              <w:t> </w:t>
            </w:r>
            <w:r>
              <w:rPr>
                <w:spacing w:val="-5"/>
                <w:lang w:val="en-GB"/>
              </w:rPr>
              <w:t xml:space="preserve">Mostly the animal production contributed to the growth of the total index, whose prices grew by 16.9%, the prices of the plant production however also increased after more than one year (6.7%). The raised prices of cereals (2.6%, first growth since Q4 2015), especially wheat (5.3%) was reflected here. The estimated lowering of yields compared to the above average year 2016 can also be one of the reasons. Industrial plants were another significant group of plants, whose prices rose (7.2%), especially oil plants, where the oilseed rape holds the largest share (year-on-year growth of 10.2%). The year-on-year increase of the prices of vegetables and garden products by 23.7% also had a notable share. The prices of animal production grew already second quarter in a row (16.9%). The prices of live animals were raised </w:t>
            </w:r>
            <w:r w:rsidRPr="00F94231">
              <w:rPr>
                <w:spacing w:val="-5"/>
                <w:lang w:val="en-GB"/>
              </w:rPr>
              <w:t>(10</w:t>
            </w:r>
            <w:r>
              <w:rPr>
                <w:spacing w:val="-5"/>
                <w:lang w:val="en-GB"/>
              </w:rPr>
              <w:t>.</w:t>
            </w:r>
            <w:r w:rsidRPr="00F94231">
              <w:rPr>
                <w:spacing w:val="-5"/>
                <w:lang w:val="en-GB"/>
              </w:rPr>
              <w:t>5</w:t>
            </w:r>
            <w:r>
              <w:rPr>
                <w:spacing w:val="-5"/>
                <w:lang w:val="en-GB"/>
              </w:rPr>
              <w:t>%</w:t>
            </w:r>
            <w:r w:rsidRPr="00F94231">
              <w:rPr>
                <w:spacing w:val="-5"/>
                <w:lang w:val="en-GB"/>
              </w:rPr>
              <w:t xml:space="preserve">, </w:t>
            </w:r>
            <w:r>
              <w:rPr>
                <w:spacing w:val="-5"/>
                <w:lang w:val="en-GB"/>
              </w:rPr>
              <w:t xml:space="preserve">the prices of pigs, whose growth is accelerating already one year and reached 27.6% in Q2, had the main impact). The poultry offset the mentioned </w:t>
            </w:r>
            <w:proofErr w:type="gramStart"/>
            <w:r>
              <w:rPr>
                <w:spacing w:val="-5"/>
                <w:lang w:val="en-GB"/>
              </w:rPr>
              <w:t>growth,</w:t>
            </w:r>
            <w:proofErr w:type="gramEnd"/>
            <w:r>
              <w:rPr>
                <w:spacing w:val="-5"/>
                <w:lang w:val="en-GB"/>
              </w:rPr>
              <w:t xml:space="preserve"> its prices fell by 5.1%. The growth of the prices of milk also gained pace (26.1%), it has the highest weight among the animal products, whose prices went up by 24.5%. </w:t>
            </w:r>
            <w:r w:rsidRPr="00F94231">
              <w:rPr>
                <w:spacing w:val="-5"/>
                <w:lang w:val="en-GB"/>
              </w:rPr>
              <w:t xml:space="preserve"> </w:t>
            </w:r>
          </w:p>
          <w:p w:rsidR="00A14C46" w:rsidRDefault="00A14C46" w:rsidP="00260FBE">
            <w:pPr>
              <w:pStyle w:val="Textpoznpodarou"/>
              <w:ind w:right="-35"/>
              <w:jc w:val="both"/>
              <w:rPr>
                <w:spacing w:val="-5"/>
                <w:sz w:val="16"/>
                <w:szCs w:val="16"/>
                <w:lang w:val="en-GB"/>
              </w:rPr>
            </w:pPr>
          </w:p>
          <w:p w:rsidR="00A14C46" w:rsidRDefault="00A14C46" w:rsidP="00260FBE">
            <w:pPr>
              <w:pStyle w:val="Textpoznpodarou"/>
              <w:ind w:right="-35"/>
              <w:jc w:val="both"/>
              <w:rPr>
                <w:spacing w:val="-5"/>
                <w:sz w:val="16"/>
                <w:szCs w:val="16"/>
                <w:lang w:val="en-GB"/>
              </w:rPr>
            </w:pPr>
          </w:p>
          <w:p w:rsidR="00A14C46" w:rsidRDefault="00A14C46" w:rsidP="00260FBE">
            <w:pPr>
              <w:pStyle w:val="Textpoznpodarou"/>
              <w:ind w:right="-35"/>
              <w:jc w:val="both"/>
              <w:rPr>
                <w:spacing w:val="-5"/>
                <w:sz w:val="16"/>
                <w:szCs w:val="16"/>
                <w:lang w:val="en-GB"/>
              </w:rPr>
            </w:pPr>
          </w:p>
          <w:p w:rsidR="00A14C46" w:rsidRDefault="00A14C46" w:rsidP="00260FBE">
            <w:pPr>
              <w:pStyle w:val="Textpoznpodarou"/>
              <w:ind w:right="-35"/>
              <w:jc w:val="both"/>
              <w:rPr>
                <w:spacing w:val="-5"/>
                <w:sz w:val="16"/>
                <w:szCs w:val="16"/>
                <w:lang w:val="en-GB"/>
              </w:rPr>
            </w:pPr>
          </w:p>
          <w:p w:rsidR="00A14C46" w:rsidRDefault="00A14C46" w:rsidP="00260FBE">
            <w:pPr>
              <w:pStyle w:val="Textpoznpodarou"/>
              <w:ind w:right="-35"/>
              <w:jc w:val="both"/>
              <w:rPr>
                <w:spacing w:val="-5"/>
                <w:sz w:val="16"/>
                <w:szCs w:val="16"/>
                <w:lang w:val="en-GB"/>
              </w:rPr>
            </w:pPr>
          </w:p>
          <w:p w:rsidR="00A14C46" w:rsidRDefault="00A14C46" w:rsidP="00260FBE">
            <w:pPr>
              <w:pStyle w:val="Textpoznpodarou"/>
              <w:ind w:right="-35"/>
              <w:jc w:val="both"/>
              <w:rPr>
                <w:spacing w:val="-5"/>
                <w:sz w:val="16"/>
                <w:szCs w:val="16"/>
                <w:lang w:val="en-GB"/>
              </w:rPr>
            </w:pPr>
          </w:p>
          <w:p w:rsidR="00A14C46" w:rsidRDefault="00A14C46" w:rsidP="00260FBE">
            <w:pPr>
              <w:pStyle w:val="Textpoznpodarou"/>
              <w:ind w:right="-35"/>
              <w:jc w:val="both"/>
              <w:rPr>
                <w:spacing w:val="-5"/>
                <w:sz w:val="16"/>
                <w:szCs w:val="16"/>
                <w:lang w:val="en-GB"/>
              </w:rPr>
            </w:pPr>
          </w:p>
          <w:p w:rsidR="00A14C46" w:rsidRDefault="00A14C46" w:rsidP="00260FBE">
            <w:pPr>
              <w:pStyle w:val="Textpoznpodarou"/>
              <w:ind w:right="-35"/>
              <w:jc w:val="both"/>
              <w:rPr>
                <w:spacing w:val="-5"/>
                <w:sz w:val="16"/>
                <w:szCs w:val="16"/>
                <w:lang w:val="en-GB"/>
              </w:rPr>
            </w:pPr>
          </w:p>
          <w:p w:rsidR="00A14C46" w:rsidRDefault="00A14C46" w:rsidP="00260FBE">
            <w:pPr>
              <w:pStyle w:val="Textpoznpodarou"/>
              <w:ind w:right="-35"/>
              <w:jc w:val="both"/>
              <w:rPr>
                <w:spacing w:val="-5"/>
                <w:sz w:val="16"/>
                <w:szCs w:val="16"/>
                <w:lang w:val="en-GB"/>
              </w:rPr>
            </w:pPr>
          </w:p>
          <w:p w:rsidR="00A14C46" w:rsidRPr="00FC605E" w:rsidRDefault="00A14C46" w:rsidP="00260FBE">
            <w:pPr>
              <w:pStyle w:val="Textpoznpodarou"/>
              <w:ind w:right="-35"/>
              <w:jc w:val="both"/>
              <w:rPr>
                <w:spacing w:val="-5"/>
                <w:sz w:val="16"/>
                <w:szCs w:val="16"/>
                <w:lang w:val="en-GB"/>
              </w:rPr>
            </w:pPr>
          </w:p>
        </w:tc>
      </w:tr>
      <w:tr w:rsidR="00DD0726" w:rsidRPr="00F81A26" w:rsidTr="00260FBE">
        <w:tc>
          <w:tcPr>
            <w:tcW w:w="1015" w:type="pct"/>
          </w:tcPr>
          <w:p w:rsidR="00DD0726" w:rsidRPr="00F81A26" w:rsidRDefault="00DD0726" w:rsidP="00260FBE">
            <w:pPr>
              <w:spacing w:line="240" w:lineRule="auto"/>
              <w:ind w:right="-19"/>
              <w:jc w:val="center"/>
              <w:rPr>
                <w:spacing w:val="-4"/>
                <w:szCs w:val="20"/>
              </w:rPr>
            </w:pPr>
          </w:p>
        </w:tc>
        <w:tc>
          <w:tcPr>
            <w:tcW w:w="144" w:type="pct"/>
          </w:tcPr>
          <w:p w:rsidR="00DD0726" w:rsidRPr="00F81A26" w:rsidRDefault="00DD0726" w:rsidP="00260FBE">
            <w:pPr>
              <w:pStyle w:val="Textpoznpodarou"/>
              <w:jc w:val="both"/>
              <w:rPr>
                <w:spacing w:val="-4"/>
              </w:rPr>
            </w:pPr>
          </w:p>
        </w:tc>
        <w:tc>
          <w:tcPr>
            <w:tcW w:w="580" w:type="pct"/>
          </w:tcPr>
          <w:p w:rsidR="00DD0726" w:rsidRPr="00F81A26" w:rsidRDefault="003B39B9" w:rsidP="003B39B9">
            <w:pPr>
              <w:pStyle w:val="Textpoznpodarou"/>
              <w:ind w:right="-35"/>
              <w:jc w:val="both"/>
              <w:rPr>
                <w:spacing w:val="-4"/>
              </w:rPr>
            </w:pPr>
            <w:r>
              <w:rPr>
                <w:spacing w:val="-4"/>
              </w:rPr>
              <w:t xml:space="preserve">Chart </w:t>
            </w:r>
            <w:r w:rsidR="00DD0726" w:rsidRPr="00F81A26">
              <w:rPr>
                <w:spacing w:val="-4"/>
              </w:rPr>
              <w:t>13</w:t>
            </w:r>
          </w:p>
        </w:tc>
        <w:tc>
          <w:tcPr>
            <w:tcW w:w="3261" w:type="pct"/>
          </w:tcPr>
          <w:p w:rsidR="00DD0726" w:rsidRPr="00F81A26" w:rsidRDefault="006D381F" w:rsidP="00260FBE">
            <w:pPr>
              <w:pStyle w:val="Textpoznpodarou"/>
              <w:ind w:right="-35"/>
              <w:rPr>
                <w:spacing w:val="-4"/>
              </w:rPr>
            </w:pPr>
            <w:r w:rsidRPr="006D381F">
              <w:rPr>
                <w:b/>
                <w:spacing w:val="-4"/>
                <w:lang w:val="en-GB" w:eastAsia="en-US"/>
              </w:rPr>
              <w:t xml:space="preserve">Prices of main groups of industrial producers </w:t>
            </w:r>
            <w:r w:rsidR="00DD0726" w:rsidRPr="006D381F">
              <w:rPr>
                <w:spacing w:val="-4"/>
                <w:lang w:val="en-GB" w:eastAsia="en-US"/>
              </w:rPr>
              <w:t>(</w:t>
            </w:r>
            <w:r w:rsidRPr="006D381F">
              <w:rPr>
                <w:spacing w:val="-4"/>
                <w:lang w:val="en-GB" w:eastAsia="en-US"/>
              </w:rPr>
              <w:t>year-on-year change</w:t>
            </w:r>
            <w:r w:rsidR="00DD0726" w:rsidRPr="006D381F">
              <w:rPr>
                <w:spacing w:val="-4"/>
                <w:lang w:val="en-GB" w:eastAsia="en-US"/>
              </w:rPr>
              <w:t xml:space="preserve">, </w:t>
            </w:r>
            <w:r w:rsidR="00954C8E">
              <w:rPr>
                <w:spacing w:val="-4"/>
                <w:lang w:val="en-GB" w:eastAsia="en-US"/>
              </w:rPr>
              <w:t>in %</w:t>
            </w:r>
            <w:r w:rsidR="00DD0726" w:rsidRPr="006D381F">
              <w:rPr>
                <w:spacing w:val="-4"/>
                <w:lang w:val="en-GB" w:eastAsia="en-US"/>
              </w:rPr>
              <w:t xml:space="preserve">, </w:t>
            </w:r>
            <w:r w:rsidRPr="006D381F">
              <w:rPr>
                <w:spacing w:val="-4"/>
                <w:lang w:val="en-GB" w:eastAsia="en-US"/>
              </w:rPr>
              <w:t>based on CZ-CPA classification</w:t>
            </w:r>
            <w:r w:rsidR="00DD0726" w:rsidRPr="00F81A26">
              <w:rPr>
                <w:spacing w:val="-4"/>
                <w:lang w:eastAsia="en-US"/>
              </w:rPr>
              <w:t>)</w:t>
            </w:r>
          </w:p>
        </w:tc>
      </w:tr>
      <w:tr w:rsidR="00DD0726" w:rsidRPr="00F81A26" w:rsidTr="00260FBE">
        <w:tc>
          <w:tcPr>
            <w:tcW w:w="1015" w:type="pct"/>
          </w:tcPr>
          <w:p w:rsidR="00DD0726" w:rsidRPr="00F81A26" w:rsidRDefault="00DD0726" w:rsidP="00260FBE">
            <w:pPr>
              <w:spacing w:line="240" w:lineRule="auto"/>
              <w:ind w:right="-19"/>
              <w:rPr>
                <w:spacing w:val="-4"/>
                <w:sz w:val="16"/>
                <w:szCs w:val="16"/>
              </w:rPr>
            </w:pPr>
          </w:p>
        </w:tc>
        <w:tc>
          <w:tcPr>
            <w:tcW w:w="144" w:type="pct"/>
          </w:tcPr>
          <w:p w:rsidR="00DD0726" w:rsidRPr="00F81A26" w:rsidRDefault="00DD0726" w:rsidP="00260FBE">
            <w:pPr>
              <w:pStyle w:val="Textpoznpodarou"/>
              <w:jc w:val="both"/>
              <w:rPr>
                <w:spacing w:val="-4"/>
              </w:rPr>
            </w:pPr>
          </w:p>
        </w:tc>
        <w:tc>
          <w:tcPr>
            <w:tcW w:w="3841" w:type="pct"/>
            <w:gridSpan w:val="2"/>
          </w:tcPr>
          <w:p w:rsidR="00DD0726" w:rsidRPr="00F81A26" w:rsidRDefault="0068748C" w:rsidP="00260FBE">
            <w:pPr>
              <w:pStyle w:val="Textpoznpodarou"/>
              <w:ind w:left="-54" w:right="-35"/>
              <w:jc w:val="both"/>
              <w:rPr>
                <w:spacing w:val="-4"/>
              </w:rPr>
            </w:pPr>
            <w:r w:rsidRPr="0068748C">
              <w:rPr>
                <w:noProof/>
                <w:spacing w:val="-4"/>
              </w:rPr>
              <w:drawing>
                <wp:inline distT="0" distB="0" distL="0" distR="0">
                  <wp:extent cx="4737600" cy="3553200"/>
                  <wp:effectExtent l="0" t="0" r="0" b="0"/>
                  <wp:docPr id="4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381F" w:rsidRDefault="003B39B9" w:rsidP="003B39B9">
            <w:pPr>
              <w:pStyle w:val="Textpoznpodarou"/>
              <w:ind w:left="-54" w:right="-35"/>
              <w:jc w:val="right"/>
              <w:rPr>
                <w:spacing w:val="-4"/>
                <w:sz w:val="14"/>
                <w:szCs w:val="14"/>
              </w:rPr>
            </w:pPr>
            <w:proofErr w:type="spellStart"/>
            <w:r>
              <w:rPr>
                <w:spacing w:val="-4"/>
                <w:sz w:val="14"/>
                <w:szCs w:val="14"/>
              </w:rPr>
              <w:t>Source</w:t>
            </w:r>
            <w:proofErr w:type="spellEnd"/>
            <w:r w:rsidR="00DD0726" w:rsidRPr="00F81A26">
              <w:rPr>
                <w:spacing w:val="-4"/>
                <w:sz w:val="14"/>
                <w:szCs w:val="14"/>
              </w:rPr>
              <w:t>:</w:t>
            </w:r>
            <w:r w:rsidR="006D381F">
              <w:rPr>
                <w:spacing w:val="-4"/>
                <w:sz w:val="14"/>
                <w:szCs w:val="14"/>
              </w:rPr>
              <w:t xml:space="preserve"> </w:t>
            </w:r>
            <w:r>
              <w:rPr>
                <w:spacing w:val="-4"/>
                <w:sz w:val="14"/>
                <w:szCs w:val="14"/>
              </w:rPr>
              <w:t>CZSO</w:t>
            </w:r>
          </w:p>
          <w:p w:rsidR="003B39B9" w:rsidRPr="00F81A26" w:rsidRDefault="003B39B9" w:rsidP="0068748C">
            <w:pPr>
              <w:pStyle w:val="Textpoznpodarou"/>
              <w:ind w:left="-54" w:right="-35"/>
              <w:jc w:val="right"/>
              <w:rPr>
                <w:spacing w:val="-4"/>
                <w:sz w:val="14"/>
                <w:szCs w:val="14"/>
              </w:rPr>
            </w:pPr>
          </w:p>
        </w:tc>
      </w:tr>
      <w:tr w:rsidR="00DD0726" w:rsidRPr="00F81A26" w:rsidTr="00260FBE">
        <w:tc>
          <w:tcPr>
            <w:tcW w:w="1015" w:type="pct"/>
          </w:tcPr>
          <w:p w:rsidR="00DD0726" w:rsidRPr="00604D90" w:rsidRDefault="004D2BE3" w:rsidP="00260FBE">
            <w:pPr>
              <w:spacing w:line="240" w:lineRule="auto"/>
              <w:ind w:right="-19"/>
              <w:rPr>
                <w:spacing w:val="-4"/>
                <w:sz w:val="16"/>
                <w:szCs w:val="16"/>
                <w:lang w:val="en-GB"/>
              </w:rPr>
            </w:pPr>
            <w:r>
              <w:rPr>
                <w:spacing w:val="-4"/>
                <w:sz w:val="16"/>
                <w:szCs w:val="16"/>
                <w:lang w:val="en-GB"/>
              </w:rPr>
              <w:t>The growth of prices of market services, stagnat</w:t>
            </w:r>
            <w:r w:rsidR="000A62FA">
              <w:rPr>
                <w:spacing w:val="-4"/>
                <w:sz w:val="16"/>
                <w:szCs w:val="16"/>
                <w:lang w:val="en-GB"/>
              </w:rPr>
              <w:t>ing</w:t>
            </w:r>
            <w:r>
              <w:rPr>
                <w:spacing w:val="-4"/>
                <w:sz w:val="16"/>
                <w:szCs w:val="16"/>
                <w:lang w:val="en-GB"/>
              </w:rPr>
              <w:t xml:space="preserve"> in the long-term, gained pace.</w:t>
            </w:r>
          </w:p>
        </w:tc>
        <w:tc>
          <w:tcPr>
            <w:tcW w:w="144" w:type="pct"/>
          </w:tcPr>
          <w:p w:rsidR="00DD0726" w:rsidRPr="00604D90" w:rsidRDefault="00DD0726" w:rsidP="00260FBE">
            <w:pPr>
              <w:pStyle w:val="Textpoznpodarou"/>
              <w:jc w:val="both"/>
              <w:rPr>
                <w:spacing w:val="-4"/>
                <w:lang w:val="en-GB"/>
              </w:rPr>
            </w:pPr>
          </w:p>
        </w:tc>
        <w:tc>
          <w:tcPr>
            <w:tcW w:w="3841" w:type="pct"/>
            <w:gridSpan w:val="2"/>
          </w:tcPr>
          <w:p w:rsidR="00DD0726" w:rsidRDefault="00604D90" w:rsidP="00334FE5">
            <w:pPr>
              <w:pStyle w:val="Textpoznpodarou"/>
              <w:ind w:right="-35"/>
              <w:jc w:val="both"/>
              <w:rPr>
                <w:spacing w:val="-4"/>
                <w:lang w:val="en-GB"/>
              </w:rPr>
            </w:pPr>
            <w:r w:rsidRPr="00604D90">
              <w:rPr>
                <w:spacing w:val="-4"/>
                <w:lang w:val="en-GB"/>
              </w:rPr>
              <w:t xml:space="preserve">Prices of market services continued with their dynamics in the development from previous quarters and their year-on-year growth accelerated to </w:t>
            </w:r>
            <w:r w:rsidR="00DD0726" w:rsidRPr="00604D90">
              <w:rPr>
                <w:spacing w:val="-4"/>
                <w:lang w:val="en-GB"/>
              </w:rPr>
              <w:t>1</w:t>
            </w:r>
            <w:r w:rsidRPr="00604D90">
              <w:rPr>
                <w:spacing w:val="-4"/>
                <w:lang w:val="en-GB"/>
              </w:rPr>
              <w:t>.</w:t>
            </w:r>
            <w:r w:rsidR="00DD0726" w:rsidRPr="00604D90">
              <w:rPr>
                <w:spacing w:val="-4"/>
                <w:lang w:val="en-GB"/>
              </w:rPr>
              <w:t>0</w:t>
            </w:r>
            <w:r w:rsidR="00954C8E">
              <w:rPr>
                <w:spacing w:val="-4"/>
                <w:lang w:val="en-GB"/>
              </w:rPr>
              <w:t>%</w:t>
            </w:r>
            <w:r w:rsidR="00DD0726" w:rsidRPr="00604D90">
              <w:rPr>
                <w:spacing w:val="-4"/>
                <w:lang w:val="en-GB"/>
              </w:rPr>
              <w:t xml:space="preserve">. </w:t>
            </w:r>
            <w:r w:rsidR="004D2BE3">
              <w:rPr>
                <w:spacing w:val="-4"/>
                <w:lang w:val="en-GB"/>
              </w:rPr>
              <w:t xml:space="preserve">The division insurance and pension financing, whose prices went up </w:t>
            </w:r>
            <w:r w:rsidR="00AD1299">
              <w:rPr>
                <w:spacing w:val="-4"/>
                <w:lang w:val="en-GB"/>
              </w:rPr>
              <w:t>b</w:t>
            </w:r>
            <w:r w:rsidR="004D2BE3">
              <w:rPr>
                <w:spacing w:val="-4"/>
                <w:lang w:val="en-GB"/>
              </w:rPr>
              <w:t>y 5.3</w:t>
            </w:r>
            <w:r w:rsidR="00954C8E">
              <w:rPr>
                <w:spacing w:val="-4"/>
                <w:lang w:val="en-GB"/>
              </w:rPr>
              <w:t>%</w:t>
            </w:r>
            <w:r w:rsidR="004D2BE3">
              <w:rPr>
                <w:spacing w:val="-4"/>
                <w:lang w:val="en-GB"/>
              </w:rPr>
              <w:t xml:space="preserve"> and further the advertising services and market research, whose prices were raised by 2.0</w:t>
            </w:r>
            <w:r w:rsidR="00954C8E">
              <w:rPr>
                <w:spacing w:val="-4"/>
                <w:lang w:val="en-GB"/>
              </w:rPr>
              <w:t>%</w:t>
            </w:r>
            <w:r w:rsidR="004D2BE3">
              <w:rPr>
                <w:spacing w:val="-4"/>
                <w:lang w:val="en-GB"/>
              </w:rPr>
              <w:t xml:space="preserve"> especially supported the growth of the total index. The strong growth of the prices of postal and courier services </w:t>
            </w:r>
            <w:r w:rsidR="00B979AF">
              <w:rPr>
                <w:spacing w:val="-4"/>
                <w:lang w:val="en-GB"/>
              </w:rPr>
              <w:t xml:space="preserve">as well </w:t>
            </w:r>
            <w:r w:rsidR="00DD0726" w:rsidRPr="00604D90">
              <w:rPr>
                <w:spacing w:val="-4"/>
                <w:lang w:val="en-GB"/>
              </w:rPr>
              <w:t>(4</w:t>
            </w:r>
            <w:r w:rsidR="004D2BE3">
              <w:rPr>
                <w:spacing w:val="-4"/>
                <w:lang w:val="en-GB"/>
              </w:rPr>
              <w:t>.</w:t>
            </w:r>
            <w:r w:rsidR="00DD0726" w:rsidRPr="00604D90">
              <w:rPr>
                <w:spacing w:val="-4"/>
                <w:lang w:val="en-GB"/>
              </w:rPr>
              <w:t>5</w:t>
            </w:r>
            <w:r w:rsidR="00954C8E">
              <w:rPr>
                <w:spacing w:val="-4"/>
                <w:lang w:val="en-GB"/>
              </w:rPr>
              <w:t>%</w:t>
            </w:r>
            <w:r w:rsidR="00DD0726" w:rsidRPr="00604D90">
              <w:rPr>
                <w:spacing w:val="-4"/>
                <w:lang w:val="en-GB"/>
              </w:rPr>
              <w:t xml:space="preserve">). </w:t>
            </w:r>
            <w:r w:rsidR="00121387">
              <w:rPr>
                <w:spacing w:val="-4"/>
                <w:lang w:val="en-GB"/>
              </w:rPr>
              <w:t>Even the mild growth of the two most significant components by weight, that is land and pipe transport and architectural and engineering services revived (0.4</w:t>
            </w:r>
            <w:r w:rsidR="00954C8E">
              <w:rPr>
                <w:spacing w:val="-4"/>
                <w:lang w:val="en-GB"/>
              </w:rPr>
              <w:t>%</w:t>
            </w:r>
            <w:r w:rsidR="00121387">
              <w:rPr>
                <w:spacing w:val="-4"/>
                <w:lang w:val="en-GB"/>
              </w:rPr>
              <w:t>).</w:t>
            </w:r>
            <w:r w:rsidR="00334FE5">
              <w:rPr>
                <w:spacing w:val="-4"/>
                <w:lang w:val="en-GB"/>
              </w:rPr>
              <w:t xml:space="preserve"> Both services renewed their price growth after a period of mild decreased. </w:t>
            </w:r>
          </w:p>
          <w:p w:rsidR="00334FE5" w:rsidRPr="00604D90" w:rsidRDefault="00334FE5" w:rsidP="00334FE5">
            <w:pPr>
              <w:pStyle w:val="Textpoznpodarou"/>
              <w:ind w:right="-35"/>
              <w:jc w:val="both"/>
              <w:rPr>
                <w:spacing w:val="-5"/>
                <w:sz w:val="16"/>
                <w:szCs w:val="16"/>
                <w:lang w:val="en-GB"/>
              </w:rPr>
            </w:pPr>
          </w:p>
        </w:tc>
      </w:tr>
      <w:tr w:rsidR="00DD0726" w:rsidRPr="00F81A26" w:rsidTr="00260FBE">
        <w:tc>
          <w:tcPr>
            <w:tcW w:w="1015" w:type="pct"/>
          </w:tcPr>
          <w:p w:rsidR="00DD0726" w:rsidRPr="00604D90" w:rsidRDefault="00143594" w:rsidP="00260FBE">
            <w:pPr>
              <w:spacing w:line="240" w:lineRule="auto"/>
              <w:ind w:right="-19"/>
              <w:rPr>
                <w:spacing w:val="-4"/>
                <w:sz w:val="16"/>
                <w:szCs w:val="16"/>
                <w:lang w:val="en-GB"/>
              </w:rPr>
            </w:pPr>
            <w:r>
              <w:rPr>
                <w:spacing w:val="-4"/>
                <w:sz w:val="16"/>
                <w:szCs w:val="16"/>
                <w:lang w:val="en-GB"/>
              </w:rPr>
              <w:t>Development of prices of foreign trade was markedly affected by the loosening of the exchange rate commitment and appreciation of crown towards euro.</w:t>
            </w:r>
            <w:r w:rsidR="00DD0726" w:rsidRPr="00604D90">
              <w:rPr>
                <w:spacing w:val="-4"/>
                <w:sz w:val="16"/>
                <w:szCs w:val="16"/>
                <w:lang w:val="en-GB"/>
              </w:rPr>
              <w:t xml:space="preserve"> </w:t>
            </w:r>
          </w:p>
        </w:tc>
        <w:tc>
          <w:tcPr>
            <w:tcW w:w="144" w:type="pct"/>
          </w:tcPr>
          <w:p w:rsidR="00DD0726" w:rsidRPr="00604D90" w:rsidRDefault="00DD0726" w:rsidP="00260FBE">
            <w:pPr>
              <w:pStyle w:val="Textpoznpodarou"/>
              <w:jc w:val="both"/>
              <w:rPr>
                <w:spacing w:val="-4"/>
                <w:lang w:val="en-GB"/>
              </w:rPr>
            </w:pPr>
          </w:p>
        </w:tc>
        <w:tc>
          <w:tcPr>
            <w:tcW w:w="3841" w:type="pct"/>
            <w:gridSpan w:val="2"/>
          </w:tcPr>
          <w:p w:rsidR="00DD0726" w:rsidRPr="00604D90" w:rsidRDefault="00291417" w:rsidP="00260FBE">
            <w:pPr>
              <w:pStyle w:val="Textpoznpodarou"/>
              <w:ind w:right="-35"/>
              <w:jc w:val="both"/>
              <w:rPr>
                <w:spacing w:val="-5"/>
                <w:sz w:val="16"/>
                <w:szCs w:val="16"/>
                <w:lang w:val="en-GB"/>
              </w:rPr>
            </w:pPr>
            <w:r>
              <w:rPr>
                <w:spacing w:val="-5"/>
                <w:lang w:val="en-GB"/>
              </w:rPr>
              <w:t>The growth of prices of export and import again slowed down in Q2 2017, following the acceleration of the year-on-year dynamics in the first quarter of the year. The export prices increased by 1.0</w:t>
            </w:r>
            <w:r w:rsidR="00954C8E">
              <w:rPr>
                <w:spacing w:val="-5"/>
                <w:lang w:val="en-GB"/>
              </w:rPr>
              <w:t>%</w:t>
            </w:r>
            <w:r>
              <w:rPr>
                <w:spacing w:val="-5"/>
                <w:lang w:val="en-GB"/>
              </w:rPr>
              <w:t xml:space="preserve"> during Q2 </w:t>
            </w:r>
            <w:r w:rsidR="00DD0726" w:rsidRPr="00604D90">
              <w:rPr>
                <w:spacing w:val="-5"/>
                <w:lang w:val="en-GB"/>
              </w:rPr>
              <w:t>(</w:t>
            </w:r>
            <w:r>
              <w:rPr>
                <w:spacing w:val="-5"/>
                <w:lang w:val="en-GB"/>
              </w:rPr>
              <w:t>slowdown against Q1 by 1.2 p. p.) and the import prices increased by 2.9</w:t>
            </w:r>
            <w:r w:rsidR="00954C8E">
              <w:rPr>
                <w:spacing w:val="-5"/>
                <w:lang w:val="en-GB"/>
              </w:rPr>
              <w:t>%</w:t>
            </w:r>
            <w:r>
              <w:rPr>
                <w:spacing w:val="-5"/>
                <w:lang w:val="en-GB"/>
              </w:rPr>
              <w:t xml:space="preserve"> (slowdown of 2.2 p. p.). </w:t>
            </w:r>
            <w:r w:rsidR="008B069F">
              <w:rPr>
                <w:spacing w:val="-5"/>
                <w:lang w:val="en-GB"/>
              </w:rPr>
              <w:t xml:space="preserve">Mineral fuels and semi-finished products similarly added to the growth of export prices by 0.5 p. p. in Q2. The contribution of other materials of 0.3 p. p. was also not negligible. </w:t>
            </w:r>
            <w:r w:rsidR="007E28DB">
              <w:rPr>
                <w:spacing w:val="-5"/>
                <w:lang w:val="en-GB"/>
              </w:rPr>
              <w:t xml:space="preserve">Machinery and transport vehicles had an opposite effect, their prices lowered by 1.3 Their effect on the total index reached </w:t>
            </w:r>
            <w:r w:rsidR="00DD0726" w:rsidRPr="00604D90">
              <w:rPr>
                <w:spacing w:val="-5"/>
                <w:lang w:val="en-GB"/>
              </w:rPr>
              <w:t>-</w:t>
            </w:r>
            <w:proofErr w:type="gramStart"/>
            <w:r w:rsidR="00DD0726" w:rsidRPr="00604D90">
              <w:rPr>
                <w:spacing w:val="-5"/>
                <w:lang w:val="en-GB"/>
              </w:rPr>
              <w:t>0</w:t>
            </w:r>
            <w:r w:rsidR="007E28DB">
              <w:rPr>
                <w:spacing w:val="-5"/>
                <w:lang w:val="en-GB"/>
              </w:rPr>
              <w:t>.</w:t>
            </w:r>
            <w:r w:rsidR="00DD0726" w:rsidRPr="00604D90">
              <w:rPr>
                <w:spacing w:val="-5"/>
                <w:lang w:val="en-GB"/>
              </w:rPr>
              <w:t>7 p.</w:t>
            </w:r>
            <w:r w:rsidR="007E28DB">
              <w:rPr>
                <w:spacing w:val="-5"/>
                <w:lang w:val="en-GB"/>
              </w:rPr>
              <w:t>p</w:t>
            </w:r>
            <w:proofErr w:type="gramEnd"/>
            <w:r w:rsidR="00DD0726" w:rsidRPr="00604D90">
              <w:rPr>
                <w:spacing w:val="-5"/>
                <w:lang w:val="en-GB"/>
              </w:rPr>
              <w:t xml:space="preserve">. </w:t>
            </w:r>
            <w:r w:rsidR="007E28DB">
              <w:rPr>
                <w:spacing w:val="-5"/>
                <w:lang w:val="en-GB"/>
              </w:rPr>
              <w:t>The growth of import prices was supported by similar factors as in export. The mineral fuels have larger weight in import than in export</w:t>
            </w:r>
            <w:r w:rsidR="00DD0726" w:rsidRPr="00604D90">
              <w:rPr>
                <w:spacing w:val="-5"/>
                <w:lang w:val="en-GB"/>
              </w:rPr>
              <w:t xml:space="preserve">. </w:t>
            </w:r>
            <w:r w:rsidR="00B817E0">
              <w:rPr>
                <w:spacing w:val="-5"/>
                <w:lang w:val="en-GB"/>
              </w:rPr>
              <w:t xml:space="preserve">That is also why their addition to the growth of import prices achieved 1.2 p. p. The addition of the semi-finished products had the same value. Other materials contributed 0.5 p. p. to the growth. </w:t>
            </w:r>
            <w:r w:rsidR="00360FA0">
              <w:rPr>
                <w:spacing w:val="-5"/>
                <w:lang w:val="en-GB"/>
              </w:rPr>
              <w:t xml:space="preserve">Similarly, to the export prices, machinery and transport vehicles had a negative effect </w:t>
            </w:r>
            <w:r w:rsidR="00DD0726" w:rsidRPr="00604D90">
              <w:rPr>
                <w:spacing w:val="-5"/>
                <w:lang w:val="en-GB"/>
              </w:rPr>
              <w:t>(-0</w:t>
            </w:r>
            <w:r w:rsidR="00360FA0">
              <w:rPr>
                <w:spacing w:val="-5"/>
                <w:lang w:val="en-GB"/>
              </w:rPr>
              <w:t>.</w:t>
            </w:r>
            <w:r w:rsidR="00DD0726" w:rsidRPr="00604D90">
              <w:rPr>
                <w:spacing w:val="-5"/>
                <w:lang w:val="en-GB"/>
              </w:rPr>
              <w:t>6 p.</w:t>
            </w:r>
            <w:r w:rsidR="00360FA0">
              <w:rPr>
                <w:spacing w:val="-5"/>
                <w:lang w:val="en-GB"/>
              </w:rPr>
              <w:t>p</w:t>
            </w:r>
            <w:r w:rsidR="00DD0726" w:rsidRPr="00604D90">
              <w:rPr>
                <w:spacing w:val="-5"/>
                <w:lang w:val="en-GB"/>
              </w:rPr>
              <w:t>.).</w:t>
            </w:r>
            <w:r w:rsidR="00360FA0">
              <w:rPr>
                <w:spacing w:val="-5"/>
                <w:lang w:val="en-GB"/>
              </w:rPr>
              <w:t xml:space="preserve"> The terms of trade were negative in Q2, however they moderated by 1.0 p. p. compared to the previous period and attained </w:t>
            </w:r>
            <w:r w:rsidR="00F91E9E">
              <w:rPr>
                <w:spacing w:val="-5"/>
                <w:lang w:val="en-GB"/>
              </w:rPr>
              <w:t>98.</w:t>
            </w:r>
            <w:r w:rsidR="00DD0726" w:rsidRPr="00604D90">
              <w:rPr>
                <w:spacing w:val="-5"/>
                <w:lang w:val="en-GB"/>
              </w:rPr>
              <w:t>2</w:t>
            </w:r>
            <w:r w:rsidR="00954C8E">
              <w:rPr>
                <w:spacing w:val="-5"/>
                <w:lang w:val="en-GB"/>
              </w:rPr>
              <w:t>%</w:t>
            </w:r>
            <w:r w:rsidR="00DD0726" w:rsidRPr="00604D90">
              <w:rPr>
                <w:spacing w:val="-5"/>
                <w:lang w:val="en-GB"/>
              </w:rPr>
              <w:t xml:space="preserve">. </w:t>
            </w:r>
            <w:r w:rsidR="00FA4730">
              <w:rPr>
                <w:spacing w:val="-5"/>
                <w:lang w:val="en-GB"/>
              </w:rPr>
              <w:t xml:space="preserve">It was the merit of the mineral fuels, where the negative terms of trade were lessening throughout the whole quarter. </w:t>
            </w:r>
            <w:r w:rsidR="00BE0AB0">
              <w:rPr>
                <w:spacing w:val="-5"/>
                <w:lang w:val="en-GB"/>
              </w:rPr>
              <w:t xml:space="preserve">The terms of trade of machinery as well as the industrial consumption goods went in the similar direction. The crown appreciated towards both euro and dollar and thus dampened the growth of the foreign trade prices. Given the territorial and type structure of the foreign trade, the crown appreciation was more manifested </w:t>
            </w:r>
            <w:r w:rsidR="00B979AF">
              <w:rPr>
                <w:spacing w:val="-5"/>
                <w:lang w:val="en-GB"/>
              </w:rPr>
              <w:t>in</w:t>
            </w:r>
            <w:r w:rsidR="00BE0AB0">
              <w:rPr>
                <w:spacing w:val="-5"/>
                <w:lang w:val="en-GB"/>
              </w:rPr>
              <w:t xml:space="preserve"> export, which is dominated by machinery and transport vehicles.</w:t>
            </w:r>
            <w:r w:rsidR="00FE6E67">
              <w:rPr>
                <w:spacing w:val="-5"/>
                <w:lang w:val="en-GB"/>
              </w:rPr>
              <w:t xml:space="preserve"> In their case, the crown appreciation was the reason for the decrease of their prices. The difference between the published and adjusted value of import price inflation arrived at 1.3 p. p. in Q2. The difference between published and adjusted value of the import prices was </w:t>
            </w:r>
            <w:r w:rsidR="00DD0726" w:rsidRPr="00604D90">
              <w:rPr>
                <w:spacing w:val="-5"/>
                <w:lang w:val="en-GB"/>
              </w:rPr>
              <w:t>1</w:t>
            </w:r>
            <w:r w:rsidR="00FE6E67">
              <w:rPr>
                <w:spacing w:val="-5"/>
                <w:lang w:val="en-GB"/>
              </w:rPr>
              <w:t>.</w:t>
            </w:r>
            <w:r w:rsidR="00DD0726" w:rsidRPr="00604D90">
              <w:rPr>
                <w:spacing w:val="-5"/>
                <w:lang w:val="en-GB"/>
              </w:rPr>
              <w:t>0 p.</w:t>
            </w:r>
            <w:r w:rsidR="00FE6E67">
              <w:rPr>
                <w:spacing w:val="-5"/>
                <w:lang w:val="en-GB"/>
              </w:rPr>
              <w:t>p</w:t>
            </w:r>
            <w:r w:rsidR="00DD0726" w:rsidRPr="00604D90">
              <w:rPr>
                <w:spacing w:val="-5"/>
                <w:lang w:val="en-GB"/>
              </w:rPr>
              <w:t>.</w:t>
            </w:r>
          </w:p>
        </w:tc>
      </w:tr>
      <w:tr w:rsidR="00DD0726" w:rsidRPr="00F81A26" w:rsidTr="00260FBE">
        <w:tc>
          <w:tcPr>
            <w:tcW w:w="1015" w:type="pct"/>
          </w:tcPr>
          <w:p w:rsidR="00DD0726" w:rsidRPr="00F81A26" w:rsidRDefault="00DD0726" w:rsidP="00260FBE">
            <w:pPr>
              <w:spacing w:line="240" w:lineRule="auto"/>
              <w:ind w:right="-19"/>
              <w:jc w:val="center"/>
              <w:rPr>
                <w:spacing w:val="-4"/>
                <w:szCs w:val="20"/>
              </w:rPr>
            </w:pPr>
          </w:p>
        </w:tc>
        <w:tc>
          <w:tcPr>
            <w:tcW w:w="144" w:type="pct"/>
          </w:tcPr>
          <w:p w:rsidR="00DD0726" w:rsidRPr="00F81A26" w:rsidRDefault="00DD0726" w:rsidP="00260FBE">
            <w:pPr>
              <w:pStyle w:val="Textpoznpodarou"/>
              <w:jc w:val="both"/>
              <w:rPr>
                <w:spacing w:val="-4"/>
              </w:rPr>
            </w:pPr>
          </w:p>
        </w:tc>
        <w:tc>
          <w:tcPr>
            <w:tcW w:w="580" w:type="pct"/>
          </w:tcPr>
          <w:p w:rsidR="00DD0726" w:rsidRPr="00F81A26" w:rsidRDefault="003B39B9" w:rsidP="003B39B9">
            <w:pPr>
              <w:pStyle w:val="Textpoznpodarou"/>
              <w:ind w:right="-35"/>
              <w:jc w:val="both"/>
              <w:rPr>
                <w:spacing w:val="-4"/>
              </w:rPr>
            </w:pPr>
            <w:r>
              <w:rPr>
                <w:spacing w:val="-4"/>
              </w:rPr>
              <w:t xml:space="preserve">Chart </w:t>
            </w:r>
            <w:r w:rsidR="00DD0726" w:rsidRPr="00F81A26">
              <w:rPr>
                <w:spacing w:val="-4"/>
              </w:rPr>
              <w:t>14</w:t>
            </w:r>
          </w:p>
        </w:tc>
        <w:tc>
          <w:tcPr>
            <w:tcW w:w="3261" w:type="pct"/>
          </w:tcPr>
          <w:p w:rsidR="00DD0726" w:rsidRPr="003B39B9" w:rsidRDefault="00DD0726" w:rsidP="003B39B9">
            <w:pPr>
              <w:pStyle w:val="Textpoznpodarou"/>
              <w:ind w:right="-35"/>
              <w:rPr>
                <w:spacing w:val="-4"/>
                <w:lang w:val="en-GB"/>
              </w:rPr>
            </w:pPr>
            <w:r w:rsidRPr="003B39B9">
              <w:rPr>
                <w:b/>
                <w:spacing w:val="-4"/>
                <w:lang w:val="en-GB" w:eastAsia="en-US"/>
              </w:rPr>
              <w:t>Defl</w:t>
            </w:r>
            <w:r w:rsidR="003B39B9" w:rsidRPr="003B39B9">
              <w:rPr>
                <w:b/>
                <w:spacing w:val="-4"/>
                <w:lang w:val="en-GB" w:eastAsia="en-US"/>
              </w:rPr>
              <w:t xml:space="preserve">ators </w:t>
            </w:r>
            <w:r w:rsidRPr="003B39B9">
              <w:rPr>
                <w:spacing w:val="-4"/>
                <w:lang w:val="en-GB" w:eastAsia="en-US"/>
              </w:rPr>
              <w:t>(</w:t>
            </w:r>
            <w:r w:rsidR="003B39B9" w:rsidRPr="003B39B9">
              <w:rPr>
                <w:spacing w:val="-4"/>
                <w:lang w:val="en-GB" w:eastAsia="en-US"/>
              </w:rPr>
              <w:t xml:space="preserve">adjusted for seas. and calendar effects, year-on-year change, </w:t>
            </w:r>
            <w:r w:rsidR="00954C8E">
              <w:rPr>
                <w:spacing w:val="-4"/>
                <w:lang w:val="en-GB" w:eastAsia="en-US"/>
              </w:rPr>
              <w:t>in %</w:t>
            </w:r>
            <w:r w:rsidRPr="003B39B9">
              <w:rPr>
                <w:spacing w:val="-4"/>
                <w:lang w:val="en-GB" w:eastAsia="en-US"/>
              </w:rPr>
              <w:t>)</w:t>
            </w:r>
          </w:p>
        </w:tc>
      </w:tr>
      <w:tr w:rsidR="00DD0726" w:rsidRPr="00F81A26" w:rsidTr="00260FBE">
        <w:tc>
          <w:tcPr>
            <w:tcW w:w="1015" w:type="pct"/>
          </w:tcPr>
          <w:p w:rsidR="00DD0726" w:rsidRPr="00F81A26" w:rsidRDefault="00DD0726" w:rsidP="00260FBE">
            <w:pPr>
              <w:spacing w:line="240" w:lineRule="auto"/>
              <w:ind w:right="-19"/>
              <w:rPr>
                <w:rFonts w:cs="Arial"/>
                <w:spacing w:val="-4"/>
                <w:sz w:val="16"/>
                <w:szCs w:val="16"/>
              </w:rPr>
            </w:pPr>
          </w:p>
        </w:tc>
        <w:tc>
          <w:tcPr>
            <w:tcW w:w="144" w:type="pct"/>
          </w:tcPr>
          <w:p w:rsidR="00DD0726" w:rsidRPr="00F81A26" w:rsidRDefault="00DD0726" w:rsidP="00260FBE">
            <w:pPr>
              <w:pStyle w:val="Textpoznpodarou"/>
              <w:jc w:val="both"/>
              <w:rPr>
                <w:spacing w:val="-4"/>
              </w:rPr>
            </w:pPr>
          </w:p>
        </w:tc>
        <w:tc>
          <w:tcPr>
            <w:tcW w:w="3841" w:type="pct"/>
            <w:gridSpan w:val="2"/>
          </w:tcPr>
          <w:p w:rsidR="00DD0726" w:rsidRPr="00F81A26" w:rsidRDefault="007502A6" w:rsidP="00260FBE">
            <w:pPr>
              <w:pStyle w:val="Textpoznpodarou"/>
              <w:ind w:left="-54" w:right="-35"/>
              <w:jc w:val="both"/>
              <w:rPr>
                <w:spacing w:val="-4"/>
                <w:sz w:val="14"/>
                <w:szCs w:val="14"/>
              </w:rPr>
            </w:pPr>
            <w:r w:rsidRPr="007502A6">
              <w:rPr>
                <w:noProof/>
                <w:spacing w:val="-4"/>
                <w:sz w:val="14"/>
                <w:szCs w:val="14"/>
              </w:rPr>
              <w:drawing>
                <wp:inline distT="0" distB="0" distL="0" distR="0">
                  <wp:extent cx="4737600" cy="3553200"/>
                  <wp:effectExtent l="0" t="0" r="0" b="0"/>
                  <wp:docPr id="4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0726" w:rsidRDefault="004E4A7B" w:rsidP="004E4A7B">
            <w:pPr>
              <w:pStyle w:val="Textpoznpodarou"/>
              <w:ind w:left="-54" w:right="-35"/>
              <w:jc w:val="right"/>
              <w:rPr>
                <w:spacing w:val="-4"/>
                <w:sz w:val="14"/>
                <w:szCs w:val="14"/>
              </w:rPr>
            </w:pPr>
            <w:proofErr w:type="spellStart"/>
            <w:r>
              <w:rPr>
                <w:spacing w:val="-4"/>
                <w:sz w:val="14"/>
                <w:szCs w:val="14"/>
              </w:rPr>
              <w:t>Source</w:t>
            </w:r>
            <w:proofErr w:type="spellEnd"/>
            <w:r w:rsidR="00DD0726" w:rsidRPr="00F81A26">
              <w:rPr>
                <w:spacing w:val="-4"/>
                <w:sz w:val="14"/>
                <w:szCs w:val="14"/>
              </w:rPr>
              <w:t xml:space="preserve">: </w:t>
            </w:r>
            <w:r>
              <w:rPr>
                <w:spacing w:val="-4"/>
                <w:sz w:val="14"/>
                <w:szCs w:val="14"/>
              </w:rPr>
              <w:t>CZSO</w:t>
            </w:r>
          </w:p>
          <w:p w:rsidR="00910AB7" w:rsidRPr="00F81A26" w:rsidRDefault="00910AB7" w:rsidP="007502A6">
            <w:pPr>
              <w:pStyle w:val="Textpoznpodarou"/>
              <w:ind w:left="-54" w:right="-35"/>
              <w:rPr>
                <w:spacing w:val="-4"/>
                <w:sz w:val="14"/>
                <w:szCs w:val="14"/>
              </w:rPr>
            </w:pPr>
          </w:p>
        </w:tc>
      </w:tr>
      <w:bookmarkEnd w:id="1"/>
    </w:tbl>
    <w:p w:rsidR="008A03DE" w:rsidRPr="00CE7158" w:rsidRDefault="008A03DE" w:rsidP="00A14C46">
      <w:pPr>
        <w:pStyle w:val="Nadpis1"/>
        <w:rPr>
          <w:rFonts w:cs="Arial"/>
          <w:color w:val="000000"/>
          <w:sz w:val="10"/>
          <w:szCs w:val="10"/>
        </w:rPr>
      </w:pPr>
    </w:p>
    <w:sectPr w:rsidR="008A03DE" w:rsidRPr="00CE7158" w:rsidSect="00A14C46">
      <w:headerReference w:type="even" r:id="rId13"/>
      <w:headerReference w:type="default" r:id="rId14"/>
      <w:footerReference w:type="even" r:id="rId15"/>
      <w:footerReference w:type="default" r:id="rId16"/>
      <w:type w:val="continuous"/>
      <w:pgSz w:w="11906" w:h="16838" w:code="9"/>
      <w:pgMar w:top="1134" w:right="1134" w:bottom="1418" w:left="1134" w:header="680" w:footer="680"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7B8" w:rsidRDefault="00AC37B8" w:rsidP="00E71A58">
      <w:r>
        <w:separator/>
      </w:r>
    </w:p>
  </w:endnote>
  <w:endnote w:type="continuationSeparator" w:id="0">
    <w:p w:rsidR="00AC37B8" w:rsidRDefault="00AC37B8"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Default="00486640"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9B6C96" w:rsidRPr="005A21E0">
      <w:rPr>
        <w:rFonts w:ascii="Arial" w:hAnsi="Arial" w:cs="Arial"/>
        <w:sz w:val="16"/>
        <w:szCs w:val="16"/>
      </w:rPr>
      <w:fldChar w:fldCharType="begin"/>
    </w:r>
    <w:r w:rsidRPr="005A21E0">
      <w:rPr>
        <w:rFonts w:ascii="Arial" w:hAnsi="Arial" w:cs="Arial"/>
        <w:sz w:val="16"/>
        <w:szCs w:val="16"/>
      </w:rPr>
      <w:instrText>PAGE   \* MERGEFORMAT</w:instrText>
    </w:r>
    <w:r w:rsidR="009B6C96" w:rsidRPr="005A21E0">
      <w:rPr>
        <w:rFonts w:ascii="Arial" w:hAnsi="Arial" w:cs="Arial"/>
        <w:sz w:val="16"/>
        <w:szCs w:val="16"/>
      </w:rPr>
      <w:fldChar w:fldCharType="separate"/>
    </w:r>
    <w:r w:rsidR="00A14C46">
      <w:rPr>
        <w:rFonts w:ascii="Arial" w:hAnsi="Arial" w:cs="Arial"/>
        <w:noProof/>
        <w:sz w:val="16"/>
        <w:szCs w:val="16"/>
      </w:rPr>
      <w:t>18</w:t>
    </w:r>
    <w:r w:rsidR="009B6C96"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Default="006C21CE" w:rsidP="00357449">
    <w:pPr>
      <w:pStyle w:val="Zpat"/>
      <w:tabs>
        <w:tab w:val="clear" w:pos="4536"/>
        <w:tab w:val="clear" w:pos="9072"/>
        <w:tab w:val="left" w:pos="1134"/>
        <w:tab w:val="left" w:pos="1920"/>
        <w:tab w:val="center" w:pos="4820"/>
        <w:tab w:val="right" w:pos="9639"/>
      </w:tabs>
    </w:pPr>
    <w:r w:rsidRPr="006C21CE">
      <w:rPr>
        <w:noProof/>
        <w:lang w:eastAsia="cs-CZ"/>
      </w:rPr>
      <w:drawing>
        <wp:anchor distT="0" distB="0" distL="114300" distR="114300" simplePos="0" relativeHeight="251660800" behindDoc="0" locked="0" layoutInCell="1" allowOverlap="1">
          <wp:simplePos x="0" y="0"/>
          <wp:positionH relativeFrom="column">
            <wp:posOffset>35560</wp:posOffset>
          </wp:positionH>
          <wp:positionV relativeFrom="paragraph">
            <wp:posOffset>155575</wp:posOffset>
          </wp:positionV>
          <wp:extent cx="692150" cy="203200"/>
          <wp:effectExtent l="19050" t="0" r="0" b="0"/>
          <wp:wrapNone/>
          <wp:docPr id="9"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2150" cy="203200"/>
                  </a:xfrm>
                  <a:prstGeom prst="rect">
                    <a:avLst/>
                  </a:prstGeom>
                  <a:noFill/>
                  <a:ln w="9525">
                    <a:noFill/>
                    <a:miter lim="800000"/>
                    <a:headEnd/>
                    <a:tailEnd/>
                  </a:ln>
                </pic:spPr>
              </pic:pic>
            </a:graphicData>
          </a:graphic>
        </wp:anchor>
      </w:drawing>
    </w:r>
    <w:r w:rsidR="00486640">
      <w:tab/>
    </w:r>
    <w:r w:rsidR="00486640">
      <w:tab/>
    </w:r>
    <w:r w:rsidR="00486640" w:rsidRPr="00DC5B3B">
      <w:t xml:space="preserve">                              </w:t>
    </w:r>
  </w:p>
  <w:p w:rsidR="00486640" w:rsidRPr="00223E00" w:rsidRDefault="0048664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9B6C96"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9B6C96" w:rsidRPr="00223E00">
      <w:rPr>
        <w:rFonts w:ascii="Arial" w:hAnsi="Arial" w:cs="Arial"/>
        <w:sz w:val="16"/>
        <w:szCs w:val="16"/>
      </w:rPr>
      <w:fldChar w:fldCharType="separate"/>
    </w:r>
    <w:r w:rsidR="00A14C46">
      <w:rPr>
        <w:rFonts w:ascii="Arial" w:hAnsi="Arial" w:cs="Arial"/>
        <w:noProof/>
        <w:sz w:val="16"/>
        <w:szCs w:val="16"/>
      </w:rPr>
      <w:t>17</w:t>
    </w:r>
    <w:r w:rsidR="009B6C96"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7B8" w:rsidRDefault="00AC37B8" w:rsidP="00E71A58">
      <w:r>
        <w:separator/>
      </w:r>
    </w:p>
  </w:footnote>
  <w:footnote w:type="continuationSeparator" w:id="0">
    <w:p w:rsidR="00AC37B8" w:rsidRDefault="00AC37B8"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Pr="006C21CE" w:rsidRDefault="006C21CE" w:rsidP="00D766EF">
    <w:pPr>
      <w:pStyle w:val="Zhlav"/>
      <w:tabs>
        <w:tab w:val="clear" w:pos="4536"/>
        <w:tab w:val="clear" w:pos="9072"/>
        <w:tab w:val="left" w:pos="-6379"/>
        <w:tab w:val="center" w:pos="4820"/>
        <w:tab w:val="right" w:pos="9639"/>
      </w:tabs>
      <w:rPr>
        <w:rFonts w:ascii="Arial" w:hAnsi="Arial" w:cs="Arial"/>
        <w:sz w:val="16"/>
        <w:szCs w:val="16"/>
        <w:lang w:val="en-GB"/>
      </w:rPr>
    </w:pPr>
    <w:r w:rsidRPr="00311204">
      <w:rPr>
        <w:rFonts w:ascii="Arial" w:hAnsi="Arial" w:cs="Arial"/>
        <w:sz w:val="16"/>
        <w:szCs w:val="16"/>
        <w:lang w:val="en-GB"/>
      </w:rPr>
      <w:t>The Czech Economy Development in the First Half of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40" w:rsidRPr="00311204" w:rsidRDefault="00486640" w:rsidP="0030768C">
    <w:pPr>
      <w:pStyle w:val="Zhlav"/>
      <w:tabs>
        <w:tab w:val="clear" w:pos="4536"/>
        <w:tab w:val="clear" w:pos="9072"/>
        <w:tab w:val="left" w:pos="-6379"/>
        <w:tab w:val="center" w:pos="4820"/>
        <w:tab w:val="right" w:pos="9639"/>
      </w:tabs>
      <w:rPr>
        <w:rFonts w:ascii="Arial" w:hAnsi="Arial" w:cs="Arial"/>
        <w:sz w:val="16"/>
        <w:szCs w:val="16"/>
        <w:lang w:val="en-GB"/>
      </w:rPr>
    </w:pPr>
    <w:r w:rsidRPr="00311204">
      <w:rPr>
        <w:rFonts w:ascii="Arial" w:hAnsi="Arial" w:cs="Arial"/>
        <w:sz w:val="16"/>
        <w:szCs w:val="16"/>
        <w:lang w:val="en-GB"/>
      </w:rPr>
      <w:t>The Czech Economy Development in the First Half of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6FB457C"/>
    <w:multiLevelType w:val="hybridMultilevel"/>
    <w:tmpl w:val="5A2A4F0E"/>
    <w:lvl w:ilvl="0" w:tplc="AFDC3104">
      <w:start w:val="1"/>
      <w:numFmt w:val="decimal"/>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nsid w:val="186057FE"/>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E20C48"/>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760513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EFC41D2"/>
    <w:multiLevelType w:val="hybridMultilevel"/>
    <w:tmpl w:val="AAD4F35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94006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7"/>
  </w:num>
  <w:num w:numId="2">
    <w:abstractNumId w:val="23"/>
  </w:num>
  <w:num w:numId="3">
    <w:abstractNumId w:val="12"/>
  </w:num>
  <w:num w:numId="4">
    <w:abstractNumId w:val="21"/>
  </w:num>
  <w:num w:numId="5">
    <w:abstractNumId w:val="15"/>
  </w:num>
  <w:num w:numId="6">
    <w:abstractNumId w:val="18"/>
  </w:num>
  <w:num w:numId="7">
    <w:abstractNumId w:val="5"/>
  </w:num>
  <w:num w:numId="8">
    <w:abstractNumId w:val="10"/>
  </w:num>
  <w:num w:numId="9">
    <w:abstractNumId w:val="20"/>
  </w:num>
  <w:num w:numId="10">
    <w:abstractNumId w:val="4"/>
  </w:num>
  <w:num w:numId="11">
    <w:abstractNumId w:val="8"/>
  </w:num>
  <w:num w:numId="12">
    <w:abstractNumId w:val="2"/>
  </w:num>
  <w:num w:numId="13">
    <w:abstractNumId w:val="7"/>
  </w:num>
  <w:num w:numId="14">
    <w:abstractNumId w:val="0"/>
  </w:num>
  <w:num w:numId="15">
    <w:abstractNumId w:val="19"/>
  </w:num>
  <w:num w:numId="16">
    <w:abstractNumId w:val="16"/>
  </w:num>
  <w:num w:numId="17">
    <w:abstractNumId w:val="6"/>
  </w:num>
  <w:num w:numId="18">
    <w:abstractNumId w:val="22"/>
  </w:num>
  <w:num w:numId="19">
    <w:abstractNumId w:val="9"/>
  </w:num>
  <w:num w:numId="20">
    <w:abstractNumId w:val="1"/>
  </w:num>
  <w:num w:numId="21">
    <w:abstractNumId w:val="11"/>
  </w:num>
  <w:num w:numId="22">
    <w:abstractNumId w:val="14"/>
  </w:num>
  <w:num w:numId="23">
    <w:abstractNumId w:val="3"/>
  </w:num>
  <w:num w:numId="24">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9B70BD"/>
    <w:rsid w:val="00000FA7"/>
    <w:rsid w:val="00001EFF"/>
    <w:rsid w:val="000029FF"/>
    <w:rsid w:val="00003687"/>
    <w:rsid w:val="00003721"/>
    <w:rsid w:val="00003C43"/>
    <w:rsid w:val="00003DAF"/>
    <w:rsid w:val="00004BF2"/>
    <w:rsid w:val="00004C5D"/>
    <w:rsid w:val="00004EB0"/>
    <w:rsid w:val="000056A1"/>
    <w:rsid w:val="00007498"/>
    <w:rsid w:val="0000767A"/>
    <w:rsid w:val="00007D8A"/>
    <w:rsid w:val="000101F5"/>
    <w:rsid w:val="000104B9"/>
    <w:rsid w:val="00010702"/>
    <w:rsid w:val="00010770"/>
    <w:rsid w:val="00010982"/>
    <w:rsid w:val="00010C2C"/>
    <w:rsid w:val="00011191"/>
    <w:rsid w:val="000112ED"/>
    <w:rsid w:val="0001159B"/>
    <w:rsid w:val="000117CA"/>
    <w:rsid w:val="00012986"/>
    <w:rsid w:val="0001361A"/>
    <w:rsid w:val="00014028"/>
    <w:rsid w:val="00015195"/>
    <w:rsid w:val="0001519F"/>
    <w:rsid w:val="0001572B"/>
    <w:rsid w:val="0001573E"/>
    <w:rsid w:val="000157DA"/>
    <w:rsid w:val="0001589D"/>
    <w:rsid w:val="00016033"/>
    <w:rsid w:val="000162DB"/>
    <w:rsid w:val="00017F05"/>
    <w:rsid w:val="000202C6"/>
    <w:rsid w:val="00020315"/>
    <w:rsid w:val="000208B1"/>
    <w:rsid w:val="00020946"/>
    <w:rsid w:val="00020AD0"/>
    <w:rsid w:val="00022081"/>
    <w:rsid w:val="0002292C"/>
    <w:rsid w:val="00022B41"/>
    <w:rsid w:val="00023255"/>
    <w:rsid w:val="00023FB5"/>
    <w:rsid w:val="0002434F"/>
    <w:rsid w:val="00024887"/>
    <w:rsid w:val="00024CBA"/>
    <w:rsid w:val="00025501"/>
    <w:rsid w:val="00026998"/>
    <w:rsid w:val="00026B06"/>
    <w:rsid w:val="00026B47"/>
    <w:rsid w:val="00027D04"/>
    <w:rsid w:val="000304C4"/>
    <w:rsid w:val="0003066A"/>
    <w:rsid w:val="00030F14"/>
    <w:rsid w:val="000311C5"/>
    <w:rsid w:val="00031DAB"/>
    <w:rsid w:val="00032838"/>
    <w:rsid w:val="00032C12"/>
    <w:rsid w:val="00032E0C"/>
    <w:rsid w:val="000352E7"/>
    <w:rsid w:val="00035CCF"/>
    <w:rsid w:val="00035ED8"/>
    <w:rsid w:val="00035FC6"/>
    <w:rsid w:val="0003705E"/>
    <w:rsid w:val="00037667"/>
    <w:rsid w:val="0003780E"/>
    <w:rsid w:val="0004075D"/>
    <w:rsid w:val="000411E1"/>
    <w:rsid w:val="0004146D"/>
    <w:rsid w:val="00041E9C"/>
    <w:rsid w:val="00042EC6"/>
    <w:rsid w:val="00043C68"/>
    <w:rsid w:val="00043E05"/>
    <w:rsid w:val="000446A3"/>
    <w:rsid w:val="00045681"/>
    <w:rsid w:val="0004694F"/>
    <w:rsid w:val="00046E43"/>
    <w:rsid w:val="000500DC"/>
    <w:rsid w:val="000509FD"/>
    <w:rsid w:val="00051ADE"/>
    <w:rsid w:val="00052052"/>
    <w:rsid w:val="00052172"/>
    <w:rsid w:val="000534FD"/>
    <w:rsid w:val="00053CBA"/>
    <w:rsid w:val="00054E43"/>
    <w:rsid w:val="00055059"/>
    <w:rsid w:val="000553E4"/>
    <w:rsid w:val="0005619C"/>
    <w:rsid w:val="000567FA"/>
    <w:rsid w:val="00056B26"/>
    <w:rsid w:val="00057C16"/>
    <w:rsid w:val="00060F26"/>
    <w:rsid w:val="00062D43"/>
    <w:rsid w:val="00062EC5"/>
    <w:rsid w:val="00063C6C"/>
    <w:rsid w:val="00064256"/>
    <w:rsid w:val="0006667B"/>
    <w:rsid w:val="000678DE"/>
    <w:rsid w:val="000706A4"/>
    <w:rsid w:val="00070A0C"/>
    <w:rsid w:val="00071F80"/>
    <w:rsid w:val="00072118"/>
    <w:rsid w:val="00073173"/>
    <w:rsid w:val="0007324C"/>
    <w:rsid w:val="0007413C"/>
    <w:rsid w:val="00074485"/>
    <w:rsid w:val="000747C6"/>
    <w:rsid w:val="00075C2C"/>
    <w:rsid w:val="000779AC"/>
    <w:rsid w:val="00080A41"/>
    <w:rsid w:val="00080AA8"/>
    <w:rsid w:val="00081851"/>
    <w:rsid w:val="00081CBD"/>
    <w:rsid w:val="00083803"/>
    <w:rsid w:val="00083D7F"/>
    <w:rsid w:val="00084393"/>
    <w:rsid w:val="0008716A"/>
    <w:rsid w:val="00087634"/>
    <w:rsid w:val="00091237"/>
    <w:rsid w:val="000916B1"/>
    <w:rsid w:val="0009191B"/>
    <w:rsid w:val="000920EC"/>
    <w:rsid w:val="000921B6"/>
    <w:rsid w:val="00092208"/>
    <w:rsid w:val="00092505"/>
    <w:rsid w:val="000927EB"/>
    <w:rsid w:val="00092C9A"/>
    <w:rsid w:val="00093F4B"/>
    <w:rsid w:val="00096091"/>
    <w:rsid w:val="000973B6"/>
    <w:rsid w:val="0009742B"/>
    <w:rsid w:val="00097BFC"/>
    <w:rsid w:val="00097D02"/>
    <w:rsid w:val="000A015C"/>
    <w:rsid w:val="000A1183"/>
    <w:rsid w:val="000A2121"/>
    <w:rsid w:val="000A2484"/>
    <w:rsid w:val="000A2929"/>
    <w:rsid w:val="000A36CE"/>
    <w:rsid w:val="000A4AC8"/>
    <w:rsid w:val="000A59BF"/>
    <w:rsid w:val="000A62FA"/>
    <w:rsid w:val="000A64DE"/>
    <w:rsid w:val="000A66C2"/>
    <w:rsid w:val="000A68A7"/>
    <w:rsid w:val="000B1CFE"/>
    <w:rsid w:val="000B210A"/>
    <w:rsid w:val="000B249B"/>
    <w:rsid w:val="000B2ADE"/>
    <w:rsid w:val="000B3B01"/>
    <w:rsid w:val="000B3DB9"/>
    <w:rsid w:val="000B3F02"/>
    <w:rsid w:val="000B48A2"/>
    <w:rsid w:val="000B48E7"/>
    <w:rsid w:val="000B4F41"/>
    <w:rsid w:val="000B6158"/>
    <w:rsid w:val="000B6268"/>
    <w:rsid w:val="000B7663"/>
    <w:rsid w:val="000B7906"/>
    <w:rsid w:val="000C1106"/>
    <w:rsid w:val="000C11D3"/>
    <w:rsid w:val="000C12F5"/>
    <w:rsid w:val="000C2529"/>
    <w:rsid w:val="000C3408"/>
    <w:rsid w:val="000C54AF"/>
    <w:rsid w:val="000C57C5"/>
    <w:rsid w:val="000C5C0F"/>
    <w:rsid w:val="000C5D56"/>
    <w:rsid w:val="000C60D8"/>
    <w:rsid w:val="000C6498"/>
    <w:rsid w:val="000C6FCF"/>
    <w:rsid w:val="000C7398"/>
    <w:rsid w:val="000C7E1A"/>
    <w:rsid w:val="000D0B22"/>
    <w:rsid w:val="000D0D51"/>
    <w:rsid w:val="000D14B3"/>
    <w:rsid w:val="000D1668"/>
    <w:rsid w:val="000D1BFB"/>
    <w:rsid w:val="000D1F52"/>
    <w:rsid w:val="000D208B"/>
    <w:rsid w:val="000D263E"/>
    <w:rsid w:val="000D2B8D"/>
    <w:rsid w:val="000D2E41"/>
    <w:rsid w:val="000D342A"/>
    <w:rsid w:val="000D43CB"/>
    <w:rsid w:val="000D5E7A"/>
    <w:rsid w:val="000D5FAA"/>
    <w:rsid w:val="000D622A"/>
    <w:rsid w:val="000D65A4"/>
    <w:rsid w:val="000D6AEF"/>
    <w:rsid w:val="000D7414"/>
    <w:rsid w:val="000E025B"/>
    <w:rsid w:val="000E0ECB"/>
    <w:rsid w:val="000E153A"/>
    <w:rsid w:val="000E19A8"/>
    <w:rsid w:val="000E1CD8"/>
    <w:rsid w:val="000E1EEA"/>
    <w:rsid w:val="000E4241"/>
    <w:rsid w:val="000E4A42"/>
    <w:rsid w:val="000E5225"/>
    <w:rsid w:val="000E53BD"/>
    <w:rsid w:val="000E6184"/>
    <w:rsid w:val="000E6476"/>
    <w:rsid w:val="000E78D2"/>
    <w:rsid w:val="000F3332"/>
    <w:rsid w:val="000F33EE"/>
    <w:rsid w:val="000F401E"/>
    <w:rsid w:val="000F5445"/>
    <w:rsid w:val="000F5598"/>
    <w:rsid w:val="000F5673"/>
    <w:rsid w:val="000F67B2"/>
    <w:rsid w:val="000F6CFB"/>
    <w:rsid w:val="000F74B6"/>
    <w:rsid w:val="000F790F"/>
    <w:rsid w:val="000F7E1B"/>
    <w:rsid w:val="00100014"/>
    <w:rsid w:val="0010039A"/>
    <w:rsid w:val="00101E94"/>
    <w:rsid w:val="00101FB2"/>
    <w:rsid w:val="001023AA"/>
    <w:rsid w:val="001028CF"/>
    <w:rsid w:val="00102CB8"/>
    <w:rsid w:val="00102F02"/>
    <w:rsid w:val="0010385D"/>
    <w:rsid w:val="00103E41"/>
    <w:rsid w:val="001041B6"/>
    <w:rsid w:val="001062F1"/>
    <w:rsid w:val="00106ECE"/>
    <w:rsid w:val="001070EA"/>
    <w:rsid w:val="001077AE"/>
    <w:rsid w:val="0011002A"/>
    <w:rsid w:val="001107CE"/>
    <w:rsid w:val="001109F0"/>
    <w:rsid w:val="0011110A"/>
    <w:rsid w:val="001118AF"/>
    <w:rsid w:val="00111CA5"/>
    <w:rsid w:val="0011256E"/>
    <w:rsid w:val="001129B6"/>
    <w:rsid w:val="0011352E"/>
    <w:rsid w:val="0011365A"/>
    <w:rsid w:val="00113CAF"/>
    <w:rsid w:val="0011458D"/>
    <w:rsid w:val="00114FC0"/>
    <w:rsid w:val="00115496"/>
    <w:rsid w:val="00116DB9"/>
    <w:rsid w:val="00116F28"/>
    <w:rsid w:val="00117CE8"/>
    <w:rsid w:val="00121387"/>
    <w:rsid w:val="00121A1C"/>
    <w:rsid w:val="00121C39"/>
    <w:rsid w:val="00123255"/>
    <w:rsid w:val="00124D2D"/>
    <w:rsid w:val="00124DA1"/>
    <w:rsid w:val="00125326"/>
    <w:rsid w:val="00125CB5"/>
    <w:rsid w:val="00125F07"/>
    <w:rsid w:val="00127535"/>
    <w:rsid w:val="001307BE"/>
    <w:rsid w:val="00130C8F"/>
    <w:rsid w:val="00130E89"/>
    <w:rsid w:val="001314F2"/>
    <w:rsid w:val="001317DA"/>
    <w:rsid w:val="001323BA"/>
    <w:rsid w:val="0013249D"/>
    <w:rsid w:val="0013254D"/>
    <w:rsid w:val="00133AAC"/>
    <w:rsid w:val="00133C5B"/>
    <w:rsid w:val="00133FBD"/>
    <w:rsid w:val="00134DFD"/>
    <w:rsid w:val="00134F9F"/>
    <w:rsid w:val="001354EE"/>
    <w:rsid w:val="00135C47"/>
    <w:rsid w:val="00136561"/>
    <w:rsid w:val="00136AE8"/>
    <w:rsid w:val="001400E1"/>
    <w:rsid w:val="001405FA"/>
    <w:rsid w:val="001406BC"/>
    <w:rsid w:val="001413B3"/>
    <w:rsid w:val="00141E8A"/>
    <w:rsid w:val="001425C3"/>
    <w:rsid w:val="00142F16"/>
    <w:rsid w:val="001434CE"/>
    <w:rsid w:val="00143594"/>
    <w:rsid w:val="00143E03"/>
    <w:rsid w:val="00143E93"/>
    <w:rsid w:val="00143FA3"/>
    <w:rsid w:val="0014428D"/>
    <w:rsid w:val="0014731B"/>
    <w:rsid w:val="00147E55"/>
    <w:rsid w:val="001500FC"/>
    <w:rsid w:val="00151AC0"/>
    <w:rsid w:val="00151B18"/>
    <w:rsid w:val="00151B1E"/>
    <w:rsid w:val="00151B27"/>
    <w:rsid w:val="00152046"/>
    <w:rsid w:val="00152488"/>
    <w:rsid w:val="00152E53"/>
    <w:rsid w:val="00154147"/>
    <w:rsid w:val="001550F3"/>
    <w:rsid w:val="00155746"/>
    <w:rsid w:val="00156318"/>
    <w:rsid w:val="0015639A"/>
    <w:rsid w:val="00157307"/>
    <w:rsid w:val="00157FDA"/>
    <w:rsid w:val="0016081D"/>
    <w:rsid w:val="00160CF3"/>
    <w:rsid w:val="00160E61"/>
    <w:rsid w:val="00161300"/>
    <w:rsid w:val="001620FA"/>
    <w:rsid w:val="00162714"/>
    <w:rsid w:val="00162853"/>
    <w:rsid w:val="0016342C"/>
    <w:rsid w:val="00163793"/>
    <w:rsid w:val="0016448A"/>
    <w:rsid w:val="00166306"/>
    <w:rsid w:val="0016737F"/>
    <w:rsid w:val="00167FB2"/>
    <w:rsid w:val="00170591"/>
    <w:rsid w:val="001707DE"/>
    <w:rsid w:val="00170B04"/>
    <w:rsid w:val="00170F47"/>
    <w:rsid w:val="001711F2"/>
    <w:rsid w:val="001714F2"/>
    <w:rsid w:val="001718C2"/>
    <w:rsid w:val="00173642"/>
    <w:rsid w:val="00173AAA"/>
    <w:rsid w:val="00173AF4"/>
    <w:rsid w:val="00173CB0"/>
    <w:rsid w:val="00173D81"/>
    <w:rsid w:val="00174CE8"/>
    <w:rsid w:val="00174E7D"/>
    <w:rsid w:val="001752CB"/>
    <w:rsid w:val="00175351"/>
    <w:rsid w:val="00175F60"/>
    <w:rsid w:val="00176050"/>
    <w:rsid w:val="001764D8"/>
    <w:rsid w:val="00176A8F"/>
    <w:rsid w:val="00177267"/>
    <w:rsid w:val="00180A6D"/>
    <w:rsid w:val="00180D58"/>
    <w:rsid w:val="00181938"/>
    <w:rsid w:val="00182981"/>
    <w:rsid w:val="00184CF9"/>
    <w:rsid w:val="00185010"/>
    <w:rsid w:val="001852EC"/>
    <w:rsid w:val="00186447"/>
    <w:rsid w:val="001874CF"/>
    <w:rsid w:val="00190214"/>
    <w:rsid w:val="00190D9B"/>
    <w:rsid w:val="00191136"/>
    <w:rsid w:val="0019160F"/>
    <w:rsid w:val="00191BAE"/>
    <w:rsid w:val="00193432"/>
    <w:rsid w:val="0019346C"/>
    <w:rsid w:val="00194AE3"/>
    <w:rsid w:val="00195335"/>
    <w:rsid w:val="00195444"/>
    <w:rsid w:val="0019579E"/>
    <w:rsid w:val="0019642B"/>
    <w:rsid w:val="00196656"/>
    <w:rsid w:val="00197806"/>
    <w:rsid w:val="001A199D"/>
    <w:rsid w:val="001A2077"/>
    <w:rsid w:val="001A2855"/>
    <w:rsid w:val="001A2BDB"/>
    <w:rsid w:val="001A30F4"/>
    <w:rsid w:val="001A47AB"/>
    <w:rsid w:val="001A4C0D"/>
    <w:rsid w:val="001A552F"/>
    <w:rsid w:val="001A56F3"/>
    <w:rsid w:val="001A5F8C"/>
    <w:rsid w:val="001A6D52"/>
    <w:rsid w:val="001A737B"/>
    <w:rsid w:val="001A750C"/>
    <w:rsid w:val="001A7D31"/>
    <w:rsid w:val="001B1D89"/>
    <w:rsid w:val="001B2143"/>
    <w:rsid w:val="001B22AA"/>
    <w:rsid w:val="001B2F7E"/>
    <w:rsid w:val="001B3110"/>
    <w:rsid w:val="001B4198"/>
    <w:rsid w:val="001B44BC"/>
    <w:rsid w:val="001B5215"/>
    <w:rsid w:val="001B5888"/>
    <w:rsid w:val="001B5A75"/>
    <w:rsid w:val="001B618F"/>
    <w:rsid w:val="001B6277"/>
    <w:rsid w:val="001B6545"/>
    <w:rsid w:val="001B681B"/>
    <w:rsid w:val="001B6A49"/>
    <w:rsid w:val="001B7231"/>
    <w:rsid w:val="001B74FB"/>
    <w:rsid w:val="001B77A1"/>
    <w:rsid w:val="001C0422"/>
    <w:rsid w:val="001C0684"/>
    <w:rsid w:val="001C0E0E"/>
    <w:rsid w:val="001C0E66"/>
    <w:rsid w:val="001C0EB9"/>
    <w:rsid w:val="001C0F48"/>
    <w:rsid w:val="001C1219"/>
    <w:rsid w:val="001C357A"/>
    <w:rsid w:val="001C3961"/>
    <w:rsid w:val="001C3A37"/>
    <w:rsid w:val="001C4384"/>
    <w:rsid w:val="001C4D0E"/>
    <w:rsid w:val="001C4F5B"/>
    <w:rsid w:val="001C55F5"/>
    <w:rsid w:val="001C65FF"/>
    <w:rsid w:val="001C6747"/>
    <w:rsid w:val="001D1876"/>
    <w:rsid w:val="001D3787"/>
    <w:rsid w:val="001D3ADA"/>
    <w:rsid w:val="001D3E55"/>
    <w:rsid w:val="001D47E5"/>
    <w:rsid w:val="001D55F5"/>
    <w:rsid w:val="001D584C"/>
    <w:rsid w:val="001D5E1B"/>
    <w:rsid w:val="001D66C1"/>
    <w:rsid w:val="001D6EF6"/>
    <w:rsid w:val="001D7C6F"/>
    <w:rsid w:val="001E0024"/>
    <w:rsid w:val="001E0C65"/>
    <w:rsid w:val="001E163B"/>
    <w:rsid w:val="001E23E3"/>
    <w:rsid w:val="001E29AF"/>
    <w:rsid w:val="001E32A0"/>
    <w:rsid w:val="001E387A"/>
    <w:rsid w:val="001E3DA4"/>
    <w:rsid w:val="001E4854"/>
    <w:rsid w:val="001E5469"/>
    <w:rsid w:val="001E5830"/>
    <w:rsid w:val="001E6004"/>
    <w:rsid w:val="001E67E1"/>
    <w:rsid w:val="001E684C"/>
    <w:rsid w:val="001E701C"/>
    <w:rsid w:val="001E7552"/>
    <w:rsid w:val="001E7C03"/>
    <w:rsid w:val="001F02AF"/>
    <w:rsid w:val="001F0649"/>
    <w:rsid w:val="001F0CFF"/>
    <w:rsid w:val="001F20B9"/>
    <w:rsid w:val="001F28F4"/>
    <w:rsid w:val="001F2902"/>
    <w:rsid w:val="001F2CC6"/>
    <w:rsid w:val="001F3055"/>
    <w:rsid w:val="001F31BC"/>
    <w:rsid w:val="001F378E"/>
    <w:rsid w:val="001F3988"/>
    <w:rsid w:val="001F3C79"/>
    <w:rsid w:val="001F3E68"/>
    <w:rsid w:val="001F4597"/>
    <w:rsid w:val="001F4DAE"/>
    <w:rsid w:val="001F56A9"/>
    <w:rsid w:val="001F5C6A"/>
    <w:rsid w:val="001F63A7"/>
    <w:rsid w:val="001F670A"/>
    <w:rsid w:val="002007DE"/>
    <w:rsid w:val="00200D15"/>
    <w:rsid w:val="00200E9C"/>
    <w:rsid w:val="0020200D"/>
    <w:rsid w:val="0020223B"/>
    <w:rsid w:val="0020294A"/>
    <w:rsid w:val="00203074"/>
    <w:rsid w:val="00203B09"/>
    <w:rsid w:val="00203B46"/>
    <w:rsid w:val="00203FCB"/>
    <w:rsid w:val="002048E1"/>
    <w:rsid w:val="002051C3"/>
    <w:rsid w:val="002070AB"/>
    <w:rsid w:val="002071D8"/>
    <w:rsid w:val="00207DB6"/>
    <w:rsid w:val="00210216"/>
    <w:rsid w:val="00210278"/>
    <w:rsid w:val="0021058E"/>
    <w:rsid w:val="00210CC2"/>
    <w:rsid w:val="00210F5B"/>
    <w:rsid w:val="00210FFA"/>
    <w:rsid w:val="00211262"/>
    <w:rsid w:val="0021139C"/>
    <w:rsid w:val="002115F5"/>
    <w:rsid w:val="00211AC9"/>
    <w:rsid w:val="00212530"/>
    <w:rsid w:val="0021329E"/>
    <w:rsid w:val="0021355B"/>
    <w:rsid w:val="00214DB7"/>
    <w:rsid w:val="00215061"/>
    <w:rsid w:val="0021507A"/>
    <w:rsid w:val="0021552C"/>
    <w:rsid w:val="00215A2C"/>
    <w:rsid w:val="00217980"/>
    <w:rsid w:val="002179F9"/>
    <w:rsid w:val="002205F2"/>
    <w:rsid w:val="0022080E"/>
    <w:rsid w:val="00220895"/>
    <w:rsid w:val="00220B20"/>
    <w:rsid w:val="0022139E"/>
    <w:rsid w:val="0022272B"/>
    <w:rsid w:val="00222A99"/>
    <w:rsid w:val="00222C66"/>
    <w:rsid w:val="00223678"/>
    <w:rsid w:val="002236F7"/>
    <w:rsid w:val="002238E2"/>
    <w:rsid w:val="00223E00"/>
    <w:rsid w:val="002252E0"/>
    <w:rsid w:val="002255F6"/>
    <w:rsid w:val="00225F36"/>
    <w:rsid w:val="0022613C"/>
    <w:rsid w:val="00226466"/>
    <w:rsid w:val="002266D0"/>
    <w:rsid w:val="00226887"/>
    <w:rsid w:val="00226B92"/>
    <w:rsid w:val="00227991"/>
    <w:rsid w:val="00227CF4"/>
    <w:rsid w:val="00230DAD"/>
    <w:rsid w:val="00231499"/>
    <w:rsid w:val="002321D8"/>
    <w:rsid w:val="0023229C"/>
    <w:rsid w:val="0023301B"/>
    <w:rsid w:val="002334DF"/>
    <w:rsid w:val="0023355C"/>
    <w:rsid w:val="00234280"/>
    <w:rsid w:val="002347E7"/>
    <w:rsid w:val="00234DD5"/>
    <w:rsid w:val="00235000"/>
    <w:rsid w:val="002350E3"/>
    <w:rsid w:val="00235330"/>
    <w:rsid w:val="00236443"/>
    <w:rsid w:val="002370B4"/>
    <w:rsid w:val="00237C6E"/>
    <w:rsid w:val="00240773"/>
    <w:rsid w:val="00240815"/>
    <w:rsid w:val="00240A5B"/>
    <w:rsid w:val="00240A79"/>
    <w:rsid w:val="00240C76"/>
    <w:rsid w:val="002411EF"/>
    <w:rsid w:val="00241446"/>
    <w:rsid w:val="00242730"/>
    <w:rsid w:val="002429CF"/>
    <w:rsid w:val="00242B02"/>
    <w:rsid w:val="002436BA"/>
    <w:rsid w:val="00244069"/>
    <w:rsid w:val="002443A7"/>
    <w:rsid w:val="002444ED"/>
    <w:rsid w:val="00244A15"/>
    <w:rsid w:val="00244D40"/>
    <w:rsid w:val="00246AE9"/>
    <w:rsid w:val="0024799E"/>
    <w:rsid w:val="00250C59"/>
    <w:rsid w:val="00250E0D"/>
    <w:rsid w:val="002518F6"/>
    <w:rsid w:val="00251AE8"/>
    <w:rsid w:val="00251B1E"/>
    <w:rsid w:val="00251D59"/>
    <w:rsid w:val="00252602"/>
    <w:rsid w:val="00252609"/>
    <w:rsid w:val="00252FDC"/>
    <w:rsid w:val="002532E2"/>
    <w:rsid w:val="00253E11"/>
    <w:rsid w:val="00254B3B"/>
    <w:rsid w:val="002550D8"/>
    <w:rsid w:val="00255D11"/>
    <w:rsid w:val="00257613"/>
    <w:rsid w:val="00260FBE"/>
    <w:rsid w:val="00261A0F"/>
    <w:rsid w:val="00261E5B"/>
    <w:rsid w:val="002622A2"/>
    <w:rsid w:val="00262F34"/>
    <w:rsid w:val="002633E5"/>
    <w:rsid w:val="00263470"/>
    <w:rsid w:val="00263733"/>
    <w:rsid w:val="00264676"/>
    <w:rsid w:val="00265536"/>
    <w:rsid w:val="00265E54"/>
    <w:rsid w:val="00266F3E"/>
    <w:rsid w:val="00270785"/>
    <w:rsid w:val="0027172E"/>
    <w:rsid w:val="00272464"/>
    <w:rsid w:val="00272B0B"/>
    <w:rsid w:val="00272CC5"/>
    <w:rsid w:val="00273C60"/>
    <w:rsid w:val="00273DCD"/>
    <w:rsid w:val="00274291"/>
    <w:rsid w:val="00276C09"/>
    <w:rsid w:val="00276CFE"/>
    <w:rsid w:val="00277071"/>
    <w:rsid w:val="0027786C"/>
    <w:rsid w:val="00277BF7"/>
    <w:rsid w:val="0028013E"/>
    <w:rsid w:val="00281416"/>
    <w:rsid w:val="00281E7F"/>
    <w:rsid w:val="00282084"/>
    <w:rsid w:val="00283C61"/>
    <w:rsid w:val="002846A5"/>
    <w:rsid w:val="00284C6F"/>
    <w:rsid w:val="00285CD3"/>
    <w:rsid w:val="0028633E"/>
    <w:rsid w:val="0028686A"/>
    <w:rsid w:val="00286E66"/>
    <w:rsid w:val="002870B7"/>
    <w:rsid w:val="00291417"/>
    <w:rsid w:val="002919B5"/>
    <w:rsid w:val="00293441"/>
    <w:rsid w:val="0029358C"/>
    <w:rsid w:val="00294238"/>
    <w:rsid w:val="0029493E"/>
    <w:rsid w:val="00295CF0"/>
    <w:rsid w:val="002962E0"/>
    <w:rsid w:val="00296C2E"/>
    <w:rsid w:val="002A0E4F"/>
    <w:rsid w:val="002A109C"/>
    <w:rsid w:val="002A1B05"/>
    <w:rsid w:val="002A267F"/>
    <w:rsid w:val="002A3354"/>
    <w:rsid w:val="002A35EA"/>
    <w:rsid w:val="002A37B6"/>
    <w:rsid w:val="002A3BD5"/>
    <w:rsid w:val="002A43A2"/>
    <w:rsid w:val="002A44ED"/>
    <w:rsid w:val="002A4612"/>
    <w:rsid w:val="002A4F70"/>
    <w:rsid w:val="002A5263"/>
    <w:rsid w:val="002A63B9"/>
    <w:rsid w:val="002A6821"/>
    <w:rsid w:val="002A74D2"/>
    <w:rsid w:val="002A7C45"/>
    <w:rsid w:val="002A7CDA"/>
    <w:rsid w:val="002A7F47"/>
    <w:rsid w:val="002B1253"/>
    <w:rsid w:val="002B1544"/>
    <w:rsid w:val="002B1DC1"/>
    <w:rsid w:val="002B36C8"/>
    <w:rsid w:val="002B385B"/>
    <w:rsid w:val="002B6557"/>
    <w:rsid w:val="002B6888"/>
    <w:rsid w:val="002B6B7A"/>
    <w:rsid w:val="002B71B4"/>
    <w:rsid w:val="002B7240"/>
    <w:rsid w:val="002B7937"/>
    <w:rsid w:val="002C0219"/>
    <w:rsid w:val="002C0FF4"/>
    <w:rsid w:val="002C125A"/>
    <w:rsid w:val="002C2364"/>
    <w:rsid w:val="002C2668"/>
    <w:rsid w:val="002C43BD"/>
    <w:rsid w:val="002C493D"/>
    <w:rsid w:val="002C5261"/>
    <w:rsid w:val="002C6091"/>
    <w:rsid w:val="002C63C1"/>
    <w:rsid w:val="002C6648"/>
    <w:rsid w:val="002D0562"/>
    <w:rsid w:val="002D0DB0"/>
    <w:rsid w:val="002D1B5A"/>
    <w:rsid w:val="002D2500"/>
    <w:rsid w:val="002D2B94"/>
    <w:rsid w:val="002D338A"/>
    <w:rsid w:val="002D34BF"/>
    <w:rsid w:val="002D3F00"/>
    <w:rsid w:val="002D4062"/>
    <w:rsid w:val="002D4D59"/>
    <w:rsid w:val="002D54BF"/>
    <w:rsid w:val="002D5C3D"/>
    <w:rsid w:val="002D5E94"/>
    <w:rsid w:val="002D632D"/>
    <w:rsid w:val="002D6B01"/>
    <w:rsid w:val="002D6B11"/>
    <w:rsid w:val="002D6FC7"/>
    <w:rsid w:val="002D7EF4"/>
    <w:rsid w:val="002E02A1"/>
    <w:rsid w:val="002E0982"/>
    <w:rsid w:val="002E0DB9"/>
    <w:rsid w:val="002E2CE4"/>
    <w:rsid w:val="002E34F3"/>
    <w:rsid w:val="002E3766"/>
    <w:rsid w:val="002E4217"/>
    <w:rsid w:val="002E435E"/>
    <w:rsid w:val="002E61AD"/>
    <w:rsid w:val="002E73F2"/>
    <w:rsid w:val="002F07AC"/>
    <w:rsid w:val="002F33FB"/>
    <w:rsid w:val="002F57C6"/>
    <w:rsid w:val="002F65E8"/>
    <w:rsid w:val="002F663A"/>
    <w:rsid w:val="002F68A4"/>
    <w:rsid w:val="002F7594"/>
    <w:rsid w:val="002F7902"/>
    <w:rsid w:val="003003E7"/>
    <w:rsid w:val="00300552"/>
    <w:rsid w:val="003008A3"/>
    <w:rsid w:val="00300D6F"/>
    <w:rsid w:val="00301357"/>
    <w:rsid w:val="0030192C"/>
    <w:rsid w:val="00301D04"/>
    <w:rsid w:val="003034C7"/>
    <w:rsid w:val="003035D4"/>
    <w:rsid w:val="00303A3C"/>
    <w:rsid w:val="00303DCB"/>
    <w:rsid w:val="00304771"/>
    <w:rsid w:val="00304E6C"/>
    <w:rsid w:val="00305736"/>
    <w:rsid w:val="00305C33"/>
    <w:rsid w:val="00306934"/>
    <w:rsid w:val="00306C5B"/>
    <w:rsid w:val="00306E3B"/>
    <w:rsid w:val="0030768C"/>
    <w:rsid w:val="00307725"/>
    <w:rsid w:val="00310ADB"/>
    <w:rsid w:val="00310C41"/>
    <w:rsid w:val="00311204"/>
    <w:rsid w:val="003114A6"/>
    <w:rsid w:val="003119B6"/>
    <w:rsid w:val="003122D9"/>
    <w:rsid w:val="00312BF1"/>
    <w:rsid w:val="00312C3D"/>
    <w:rsid w:val="00314331"/>
    <w:rsid w:val="00315E64"/>
    <w:rsid w:val="00316708"/>
    <w:rsid w:val="00317E31"/>
    <w:rsid w:val="00320214"/>
    <w:rsid w:val="003209D6"/>
    <w:rsid w:val="0032109A"/>
    <w:rsid w:val="00321187"/>
    <w:rsid w:val="0032214F"/>
    <w:rsid w:val="00322164"/>
    <w:rsid w:val="0032318D"/>
    <w:rsid w:val="00323CF7"/>
    <w:rsid w:val="00323E61"/>
    <w:rsid w:val="0032513D"/>
    <w:rsid w:val="00326251"/>
    <w:rsid w:val="0032739C"/>
    <w:rsid w:val="003275E3"/>
    <w:rsid w:val="003276D1"/>
    <w:rsid w:val="00327DEE"/>
    <w:rsid w:val="003302DA"/>
    <w:rsid w:val="00330EB0"/>
    <w:rsid w:val="00331574"/>
    <w:rsid w:val="0033229B"/>
    <w:rsid w:val="003329F3"/>
    <w:rsid w:val="0033352E"/>
    <w:rsid w:val="00333690"/>
    <w:rsid w:val="00333D20"/>
    <w:rsid w:val="00333DF8"/>
    <w:rsid w:val="00333E05"/>
    <w:rsid w:val="00333F32"/>
    <w:rsid w:val="00333F53"/>
    <w:rsid w:val="003340EF"/>
    <w:rsid w:val="00334A49"/>
    <w:rsid w:val="00334FE5"/>
    <w:rsid w:val="0033536F"/>
    <w:rsid w:val="00335BB0"/>
    <w:rsid w:val="0033627B"/>
    <w:rsid w:val="00337726"/>
    <w:rsid w:val="003406BD"/>
    <w:rsid w:val="00343474"/>
    <w:rsid w:val="00343F84"/>
    <w:rsid w:val="00344135"/>
    <w:rsid w:val="003450E2"/>
    <w:rsid w:val="00351B63"/>
    <w:rsid w:val="00351ED7"/>
    <w:rsid w:val="00352482"/>
    <w:rsid w:val="00352E57"/>
    <w:rsid w:val="003541B0"/>
    <w:rsid w:val="0035457E"/>
    <w:rsid w:val="00355885"/>
    <w:rsid w:val="00355B2C"/>
    <w:rsid w:val="00355CAA"/>
    <w:rsid w:val="0035605E"/>
    <w:rsid w:val="00356244"/>
    <w:rsid w:val="00357449"/>
    <w:rsid w:val="00357C28"/>
    <w:rsid w:val="0036045E"/>
    <w:rsid w:val="00360FA0"/>
    <w:rsid w:val="00361F76"/>
    <w:rsid w:val="0036238B"/>
    <w:rsid w:val="00362408"/>
    <w:rsid w:val="003630B0"/>
    <w:rsid w:val="00364087"/>
    <w:rsid w:val="003649FC"/>
    <w:rsid w:val="003651A4"/>
    <w:rsid w:val="00365680"/>
    <w:rsid w:val="003657F3"/>
    <w:rsid w:val="00366D4D"/>
    <w:rsid w:val="00366F77"/>
    <w:rsid w:val="00367038"/>
    <w:rsid w:val="003670FE"/>
    <w:rsid w:val="0036710C"/>
    <w:rsid w:val="00370963"/>
    <w:rsid w:val="0037144E"/>
    <w:rsid w:val="00372272"/>
    <w:rsid w:val="0037290D"/>
    <w:rsid w:val="003736B5"/>
    <w:rsid w:val="00373C13"/>
    <w:rsid w:val="00374F1E"/>
    <w:rsid w:val="003750CF"/>
    <w:rsid w:val="003769F0"/>
    <w:rsid w:val="00376DEC"/>
    <w:rsid w:val="00377200"/>
    <w:rsid w:val="00377666"/>
    <w:rsid w:val="003777A0"/>
    <w:rsid w:val="0038034A"/>
    <w:rsid w:val="00380E04"/>
    <w:rsid w:val="00380E6C"/>
    <w:rsid w:val="00383227"/>
    <w:rsid w:val="003839C9"/>
    <w:rsid w:val="0038422D"/>
    <w:rsid w:val="00384D8F"/>
    <w:rsid w:val="003857A2"/>
    <w:rsid w:val="00385D98"/>
    <w:rsid w:val="00385EC5"/>
    <w:rsid w:val="0038658E"/>
    <w:rsid w:val="0038753E"/>
    <w:rsid w:val="003875C2"/>
    <w:rsid w:val="0039066E"/>
    <w:rsid w:val="00391C95"/>
    <w:rsid w:val="00392110"/>
    <w:rsid w:val="00393D74"/>
    <w:rsid w:val="003948D7"/>
    <w:rsid w:val="00394D49"/>
    <w:rsid w:val="003964C8"/>
    <w:rsid w:val="00396DAC"/>
    <w:rsid w:val="003971D0"/>
    <w:rsid w:val="003A0214"/>
    <w:rsid w:val="003A027D"/>
    <w:rsid w:val="003A0B39"/>
    <w:rsid w:val="003A1D74"/>
    <w:rsid w:val="003A2B4D"/>
    <w:rsid w:val="003A2D2B"/>
    <w:rsid w:val="003A2DD4"/>
    <w:rsid w:val="003A33DF"/>
    <w:rsid w:val="003A3982"/>
    <w:rsid w:val="003A3B1C"/>
    <w:rsid w:val="003A4088"/>
    <w:rsid w:val="003A478C"/>
    <w:rsid w:val="003A4F82"/>
    <w:rsid w:val="003A5525"/>
    <w:rsid w:val="003A6B38"/>
    <w:rsid w:val="003A72DF"/>
    <w:rsid w:val="003A7E9C"/>
    <w:rsid w:val="003B2142"/>
    <w:rsid w:val="003B23DC"/>
    <w:rsid w:val="003B2580"/>
    <w:rsid w:val="003B293F"/>
    <w:rsid w:val="003B2E63"/>
    <w:rsid w:val="003B2F75"/>
    <w:rsid w:val="003B3189"/>
    <w:rsid w:val="003B39B9"/>
    <w:rsid w:val="003B3A9D"/>
    <w:rsid w:val="003B3DDD"/>
    <w:rsid w:val="003B5031"/>
    <w:rsid w:val="003B5A32"/>
    <w:rsid w:val="003B6105"/>
    <w:rsid w:val="003C03CC"/>
    <w:rsid w:val="003C04C4"/>
    <w:rsid w:val="003C08E2"/>
    <w:rsid w:val="003C0B96"/>
    <w:rsid w:val="003C26F4"/>
    <w:rsid w:val="003C33F6"/>
    <w:rsid w:val="003C3686"/>
    <w:rsid w:val="003C38EB"/>
    <w:rsid w:val="003C3E2C"/>
    <w:rsid w:val="003C4852"/>
    <w:rsid w:val="003C5BC7"/>
    <w:rsid w:val="003C601E"/>
    <w:rsid w:val="003C66C4"/>
    <w:rsid w:val="003C6DB9"/>
    <w:rsid w:val="003C78D7"/>
    <w:rsid w:val="003D1A24"/>
    <w:rsid w:val="003D2393"/>
    <w:rsid w:val="003D2C4E"/>
    <w:rsid w:val="003D3600"/>
    <w:rsid w:val="003D3825"/>
    <w:rsid w:val="003D3EC4"/>
    <w:rsid w:val="003D42F9"/>
    <w:rsid w:val="003D44E2"/>
    <w:rsid w:val="003D4760"/>
    <w:rsid w:val="003D49DC"/>
    <w:rsid w:val="003D4DD9"/>
    <w:rsid w:val="003D4FB5"/>
    <w:rsid w:val="003D5135"/>
    <w:rsid w:val="003D59BE"/>
    <w:rsid w:val="003D5D7A"/>
    <w:rsid w:val="003D5E4B"/>
    <w:rsid w:val="003D653F"/>
    <w:rsid w:val="003D6B55"/>
    <w:rsid w:val="003D7323"/>
    <w:rsid w:val="003E0663"/>
    <w:rsid w:val="003E133F"/>
    <w:rsid w:val="003E49F6"/>
    <w:rsid w:val="003E699C"/>
    <w:rsid w:val="003E69F3"/>
    <w:rsid w:val="003E73E7"/>
    <w:rsid w:val="003E782E"/>
    <w:rsid w:val="003E7A0B"/>
    <w:rsid w:val="003E7B2B"/>
    <w:rsid w:val="003F0293"/>
    <w:rsid w:val="003F116D"/>
    <w:rsid w:val="003F181F"/>
    <w:rsid w:val="003F1A48"/>
    <w:rsid w:val="003F1E23"/>
    <w:rsid w:val="003F22F6"/>
    <w:rsid w:val="003F244B"/>
    <w:rsid w:val="003F2B0A"/>
    <w:rsid w:val="003F313C"/>
    <w:rsid w:val="003F32AB"/>
    <w:rsid w:val="003F341B"/>
    <w:rsid w:val="003F37FC"/>
    <w:rsid w:val="003F3A26"/>
    <w:rsid w:val="003F49A6"/>
    <w:rsid w:val="003F5047"/>
    <w:rsid w:val="003F5098"/>
    <w:rsid w:val="003F5568"/>
    <w:rsid w:val="003F5A95"/>
    <w:rsid w:val="003F6D19"/>
    <w:rsid w:val="003F77EC"/>
    <w:rsid w:val="003F795D"/>
    <w:rsid w:val="004000D5"/>
    <w:rsid w:val="00400244"/>
    <w:rsid w:val="004005C1"/>
    <w:rsid w:val="004009B7"/>
    <w:rsid w:val="00400BBD"/>
    <w:rsid w:val="004014D5"/>
    <w:rsid w:val="00401716"/>
    <w:rsid w:val="004018F7"/>
    <w:rsid w:val="00401A09"/>
    <w:rsid w:val="0040273A"/>
    <w:rsid w:val="00402C25"/>
    <w:rsid w:val="004036FB"/>
    <w:rsid w:val="004050D7"/>
    <w:rsid w:val="00405801"/>
    <w:rsid w:val="00405D51"/>
    <w:rsid w:val="004078BD"/>
    <w:rsid w:val="00410132"/>
    <w:rsid w:val="004104E4"/>
    <w:rsid w:val="00410A97"/>
    <w:rsid w:val="00410BCD"/>
    <w:rsid w:val="00410DE5"/>
    <w:rsid w:val="0041175D"/>
    <w:rsid w:val="004117CE"/>
    <w:rsid w:val="004123BE"/>
    <w:rsid w:val="00414CE5"/>
    <w:rsid w:val="00416673"/>
    <w:rsid w:val="0041685D"/>
    <w:rsid w:val="0042160D"/>
    <w:rsid w:val="00422502"/>
    <w:rsid w:val="0042376B"/>
    <w:rsid w:val="00423A3C"/>
    <w:rsid w:val="00423C04"/>
    <w:rsid w:val="00424D9B"/>
    <w:rsid w:val="0042681B"/>
    <w:rsid w:val="004269F9"/>
    <w:rsid w:val="00426C1F"/>
    <w:rsid w:val="00426D46"/>
    <w:rsid w:val="00427193"/>
    <w:rsid w:val="0043068A"/>
    <w:rsid w:val="004306E0"/>
    <w:rsid w:val="00431D54"/>
    <w:rsid w:val="00431F98"/>
    <w:rsid w:val="004329BE"/>
    <w:rsid w:val="00432C38"/>
    <w:rsid w:val="004342EC"/>
    <w:rsid w:val="00437376"/>
    <w:rsid w:val="00437C76"/>
    <w:rsid w:val="00437F4A"/>
    <w:rsid w:val="0044105C"/>
    <w:rsid w:val="00441494"/>
    <w:rsid w:val="00442197"/>
    <w:rsid w:val="0044315B"/>
    <w:rsid w:val="004437FC"/>
    <w:rsid w:val="00443E95"/>
    <w:rsid w:val="004441A0"/>
    <w:rsid w:val="00444268"/>
    <w:rsid w:val="00444326"/>
    <w:rsid w:val="004443BF"/>
    <w:rsid w:val="00444C19"/>
    <w:rsid w:val="00445218"/>
    <w:rsid w:val="00445CDD"/>
    <w:rsid w:val="00446367"/>
    <w:rsid w:val="00446892"/>
    <w:rsid w:val="00447267"/>
    <w:rsid w:val="00447E36"/>
    <w:rsid w:val="00450700"/>
    <w:rsid w:val="00450C30"/>
    <w:rsid w:val="004529C7"/>
    <w:rsid w:val="004540FF"/>
    <w:rsid w:val="004541F1"/>
    <w:rsid w:val="00455843"/>
    <w:rsid w:val="00455ECA"/>
    <w:rsid w:val="00455FE6"/>
    <w:rsid w:val="00457296"/>
    <w:rsid w:val="00457320"/>
    <w:rsid w:val="00460164"/>
    <w:rsid w:val="0046039A"/>
    <w:rsid w:val="00460A6B"/>
    <w:rsid w:val="00461977"/>
    <w:rsid w:val="00461A3F"/>
    <w:rsid w:val="004620C7"/>
    <w:rsid w:val="004629FD"/>
    <w:rsid w:val="00462AD2"/>
    <w:rsid w:val="004634F3"/>
    <w:rsid w:val="00463B4B"/>
    <w:rsid w:val="00463F4D"/>
    <w:rsid w:val="00464658"/>
    <w:rsid w:val="0046471F"/>
    <w:rsid w:val="00464BE8"/>
    <w:rsid w:val="00465019"/>
    <w:rsid w:val="00465FA4"/>
    <w:rsid w:val="0046613F"/>
    <w:rsid w:val="0046655D"/>
    <w:rsid w:val="00466808"/>
    <w:rsid w:val="00466AAE"/>
    <w:rsid w:val="0046765E"/>
    <w:rsid w:val="004676E2"/>
    <w:rsid w:val="00467B4F"/>
    <w:rsid w:val="00471EDD"/>
    <w:rsid w:val="00472F04"/>
    <w:rsid w:val="00473A27"/>
    <w:rsid w:val="00473E0B"/>
    <w:rsid w:val="00473E94"/>
    <w:rsid w:val="0047400C"/>
    <w:rsid w:val="00474471"/>
    <w:rsid w:val="004745D9"/>
    <w:rsid w:val="00474B94"/>
    <w:rsid w:val="00475FE2"/>
    <w:rsid w:val="004761D2"/>
    <w:rsid w:val="004762D8"/>
    <w:rsid w:val="004765B3"/>
    <w:rsid w:val="00476D29"/>
    <w:rsid w:val="00477241"/>
    <w:rsid w:val="0047728F"/>
    <w:rsid w:val="004774F5"/>
    <w:rsid w:val="00477EAF"/>
    <w:rsid w:val="00477EE0"/>
    <w:rsid w:val="004806A8"/>
    <w:rsid w:val="00480AB8"/>
    <w:rsid w:val="0048139F"/>
    <w:rsid w:val="00481C00"/>
    <w:rsid w:val="00482185"/>
    <w:rsid w:val="00482227"/>
    <w:rsid w:val="00483053"/>
    <w:rsid w:val="00484874"/>
    <w:rsid w:val="00484EA9"/>
    <w:rsid w:val="00485230"/>
    <w:rsid w:val="00486640"/>
    <w:rsid w:val="00486700"/>
    <w:rsid w:val="00487127"/>
    <w:rsid w:val="004879E9"/>
    <w:rsid w:val="00487F81"/>
    <w:rsid w:val="00490082"/>
    <w:rsid w:val="00490247"/>
    <w:rsid w:val="0049104F"/>
    <w:rsid w:val="00491091"/>
    <w:rsid w:val="00491218"/>
    <w:rsid w:val="00491CFD"/>
    <w:rsid w:val="00492991"/>
    <w:rsid w:val="00493362"/>
    <w:rsid w:val="00494343"/>
    <w:rsid w:val="00494AAB"/>
    <w:rsid w:val="0049540A"/>
    <w:rsid w:val="004954E3"/>
    <w:rsid w:val="00496C2F"/>
    <w:rsid w:val="0049740D"/>
    <w:rsid w:val="0049757F"/>
    <w:rsid w:val="004978D3"/>
    <w:rsid w:val="004A06A6"/>
    <w:rsid w:val="004A11F8"/>
    <w:rsid w:val="004A22BD"/>
    <w:rsid w:val="004A22FA"/>
    <w:rsid w:val="004A269A"/>
    <w:rsid w:val="004A26AF"/>
    <w:rsid w:val="004A26DB"/>
    <w:rsid w:val="004A30FB"/>
    <w:rsid w:val="004A35DD"/>
    <w:rsid w:val="004A37D3"/>
    <w:rsid w:val="004A3AD6"/>
    <w:rsid w:val="004A3BCE"/>
    <w:rsid w:val="004A434A"/>
    <w:rsid w:val="004A5865"/>
    <w:rsid w:val="004A59E4"/>
    <w:rsid w:val="004A6D7A"/>
    <w:rsid w:val="004A7670"/>
    <w:rsid w:val="004A7695"/>
    <w:rsid w:val="004A77DF"/>
    <w:rsid w:val="004B0295"/>
    <w:rsid w:val="004B0803"/>
    <w:rsid w:val="004B10A8"/>
    <w:rsid w:val="004B1F58"/>
    <w:rsid w:val="004B1F9D"/>
    <w:rsid w:val="004B22DA"/>
    <w:rsid w:val="004B3CB7"/>
    <w:rsid w:val="004B3D55"/>
    <w:rsid w:val="004B3DA2"/>
    <w:rsid w:val="004B55B7"/>
    <w:rsid w:val="004B5836"/>
    <w:rsid w:val="004B5F05"/>
    <w:rsid w:val="004B6195"/>
    <w:rsid w:val="004C00A6"/>
    <w:rsid w:val="004C0243"/>
    <w:rsid w:val="004C0BBB"/>
    <w:rsid w:val="004C0ECD"/>
    <w:rsid w:val="004C1AD6"/>
    <w:rsid w:val="004C1B86"/>
    <w:rsid w:val="004C1DEE"/>
    <w:rsid w:val="004C3382"/>
    <w:rsid w:val="004C3867"/>
    <w:rsid w:val="004C4AB7"/>
    <w:rsid w:val="004C4B88"/>
    <w:rsid w:val="004C4CD0"/>
    <w:rsid w:val="004C57B5"/>
    <w:rsid w:val="004C5C25"/>
    <w:rsid w:val="004C65FD"/>
    <w:rsid w:val="004C6717"/>
    <w:rsid w:val="004C6CFF"/>
    <w:rsid w:val="004C70A3"/>
    <w:rsid w:val="004C70DC"/>
    <w:rsid w:val="004C7268"/>
    <w:rsid w:val="004C7C50"/>
    <w:rsid w:val="004D0211"/>
    <w:rsid w:val="004D16B2"/>
    <w:rsid w:val="004D1C9C"/>
    <w:rsid w:val="004D2174"/>
    <w:rsid w:val="004D2A0E"/>
    <w:rsid w:val="004D2BE3"/>
    <w:rsid w:val="004D2BFB"/>
    <w:rsid w:val="004D458D"/>
    <w:rsid w:val="004D4F13"/>
    <w:rsid w:val="004D504B"/>
    <w:rsid w:val="004D536E"/>
    <w:rsid w:val="004D58CE"/>
    <w:rsid w:val="004D70B1"/>
    <w:rsid w:val="004D76CC"/>
    <w:rsid w:val="004E09D4"/>
    <w:rsid w:val="004E1415"/>
    <w:rsid w:val="004E1839"/>
    <w:rsid w:val="004E4A75"/>
    <w:rsid w:val="004E4A7B"/>
    <w:rsid w:val="004E541A"/>
    <w:rsid w:val="004E5A5C"/>
    <w:rsid w:val="004E633A"/>
    <w:rsid w:val="004E7007"/>
    <w:rsid w:val="004E76D6"/>
    <w:rsid w:val="004E7E53"/>
    <w:rsid w:val="004E7F57"/>
    <w:rsid w:val="004F06F5"/>
    <w:rsid w:val="004F11A2"/>
    <w:rsid w:val="004F14F3"/>
    <w:rsid w:val="004F191F"/>
    <w:rsid w:val="004F267A"/>
    <w:rsid w:val="004F2A4D"/>
    <w:rsid w:val="004F2A73"/>
    <w:rsid w:val="004F2BD2"/>
    <w:rsid w:val="004F33A0"/>
    <w:rsid w:val="004F353A"/>
    <w:rsid w:val="004F4004"/>
    <w:rsid w:val="004F4353"/>
    <w:rsid w:val="004F447D"/>
    <w:rsid w:val="004F4C28"/>
    <w:rsid w:val="004F4CEE"/>
    <w:rsid w:val="004F4E82"/>
    <w:rsid w:val="004F5470"/>
    <w:rsid w:val="004F5CC5"/>
    <w:rsid w:val="004F6350"/>
    <w:rsid w:val="004F7170"/>
    <w:rsid w:val="004F74B6"/>
    <w:rsid w:val="004F7990"/>
    <w:rsid w:val="00500DCA"/>
    <w:rsid w:val="005028E1"/>
    <w:rsid w:val="00503EC3"/>
    <w:rsid w:val="00505989"/>
    <w:rsid w:val="00506309"/>
    <w:rsid w:val="0050692E"/>
    <w:rsid w:val="00507040"/>
    <w:rsid w:val="005079F8"/>
    <w:rsid w:val="00510189"/>
    <w:rsid w:val="005108C0"/>
    <w:rsid w:val="00511873"/>
    <w:rsid w:val="00512603"/>
    <w:rsid w:val="00512CAA"/>
    <w:rsid w:val="00512CC5"/>
    <w:rsid w:val="0051367B"/>
    <w:rsid w:val="00513A89"/>
    <w:rsid w:val="00513B7E"/>
    <w:rsid w:val="005140DE"/>
    <w:rsid w:val="00514474"/>
    <w:rsid w:val="005147E9"/>
    <w:rsid w:val="0051507D"/>
    <w:rsid w:val="0051593C"/>
    <w:rsid w:val="00517567"/>
    <w:rsid w:val="0051778E"/>
    <w:rsid w:val="005215EF"/>
    <w:rsid w:val="00521973"/>
    <w:rsid w:val="00523550"/>
    <w:rsid w:val="0052439A"/>
    <w:rsid w:val="00524637"/>
    <w:rsid w:val="00524FDD"/>
    <w:rsid w:val="00525137"/>
    <w:rsid w:val="005251DD"/>
    <w:rsid w:val="00526DB6"/>
    <w:rsid w:val="0053017A"/>
    <w:rsid w:val="00530492"/>
    <w:rsid w:val="005308E4"/>
    <w:rsid w:val="005325A8"/>
    <w:rsid w:val="00532854"/>
    <w:rsid w:val="00532AD5"/>
    <w:rsid w:val="00534CDA"/>
    <w:rsid w:val="005350F2"/>
    <w:rsid w:val="00535152"/>
    <w:rsid w:val="00535359"/>
    <w:rsid w:val="005357A2"/>
    <w:rsid w:val="005359E3"/>
    <w:rsid w:val="00535D87"/>
    <w:rsid w:val="00535EF0"/>
    <w:rsid w:val="00535F78"/>
    <w:rsid w:val="005363DF"/>
    <w:rsid w:val="0053734B"/>
    <w:rsid w:val="005375B1"/>
    <w:rsid w:val="00537AFD"/>
    <w:rsid w:val="00537CB4"/>
    <w:rsid w:val="00537FA2"/>
    <w:rsid w:val="00540CB3"/>
    <w:rsid w:val="00540D25"/>
    <w:rsid w:val="00541822"/>
    <w:rsid w:val="00541BDA"/>
    <w:rsid w:val="00542D19"/>
    <w:rsid w:val="0054516B"/>
    <w:rsid w:val="0054559E"/>
    <w:rsid w:val="005459BD"/>
    <w:rsid w:val="00546833"/>
    <w:rsid w:val="0054787A"/>
    <w:rsid w:val="005513D5"/>
    <w:rsid w:val="005523B9"/>
    <w:rsid w:val="00553C88"/>
    <w:rsid w:val="005545E0"/>
    <w:rsid w:val="00554865"/>
    <w:rsid w:val="00554E57"/>
    <w:rsid w:val="00555B84"/>
    <w:rsid w:val="005562DC"/>
    <w:rsid w:val="00556A44"/>
    <w:rsid w:val="00557E6A"/>
    <w:rsid w:val="0056260F"/>
    <w:rsid w:val="00562749"/>
    <w:rsid w:val="00562DE9"/>
    <w:rsid w:val="005638A5"/>
    <w:rsid w:val="00564137"/>
    <w:rsid w:val="005659C0"/>
    <w:rsid w:val="00566381"/>
    <w:rsid w:val="00566A03"/>
    <w:rsid w:val="00566DD6"/>
    <w:rsid w:val="00571932"/>
    <w:rsid w:val="00572045"/>
    <w:rsid w:val="00573C97"/>
    <w:rsid w:val="00574240"/>
    <w:rsid w:val="005742F9"/>
    <w:rsid w:val="0057454C"/>
    <w:rsid w:val="005746C8"/>
    <w:rsid w:val="005752EB"/>
    <w:rsid w:val="005755FE"/>
    <w:rsid w:val="005759C3"/>
    <w:rsid w:val="00575CDC"/>
    <w:rsid w:val="005765D5"/>
    <w:rsid w:val="00576A3E"/>
    <w:rsid w:val="0057703D"/>
    <w:rsid w:val="005809ED"/>
    <w:rsid w:val="00581892"/>
    <w:rsid w:val="005832AD"/>
    <w:rsid w:val="0058366F"/>
    <w:rsid w:val="00583D5B"/>
    <w:rsid w:val="00583FFD"/>
    <w:rsid w:val="00585AD5"/>
    <w:rsid w:val="00587CCD"/>
    <w:rsid w:val="00587FDB"/>
    <w:rsid w:val="005908AE"/>
    <w:rsid w:val="0059176E"/>
    <w:rsid w:val="00592854"/>
    <w:rsid w:val="00593152"/>
    <w:rsid w:val="005934CE"/>
    <w:rsid w:val="00593CA3"/>
    <w:rsid w:val="00594161"/>
    <w:rsid w:val="00594969"/>
    <w:rsid w:val="00594B91"/>
    <w:rsid w:val="00595035"/>
    <w:rsid w:val="00596C5E"/>
    <w:rsid w:val="005A2194"/>
    <w:rsid w:val="005A21E0"/>
    <w:rsid w:val="005A3210"/>
    <w:rsid w:val="005A33A1"/>
    <w:rsid w:val="005A3687"/>
    <w:rsid w:val="005A3B35"/>
    <w:rsid w:val="005A3F2D"/>
    <w:rsid w:val="005A54EE"/>
    <w:rsid w:val="005A563B"/>
    <w:rsid w:val="005A5F82"/>
    <w:rsid w:val="005A5FAD"/>
    <w:rsid w:val="005A6131"/>
    <w:rsid w:val="005A61D1"/>
    <w:rsid w:val="005A6E85"/>
    <w:rsid w:val="005A7500"/>
    <w:rsid w:val="005A77E4"/>
    <w:rsid w:val="005A77F6"/>
    <w:rsid w:val="005B0262"/>
    <w:rsid w:val="005B0B8F"/>
    <w:rsid w:val="005B0E5D"/>
    <w:rsid w:val="005B1BDB"/>
    <w:rsid w:val="005B216E"/>
    <w:rsid w:val="005B22A7"/>
    <w:rsid w:val="005B2BAA"/>
    <w:rsid w:val="005B2D53"/>
    <w:rsid w:val="005B3247"/>
    <w:rsid w:val="005B3409"/>
    <w:rsid w:val="005B498A"/>
    <w:rsid w:val="005B4B28"/>
    <w:rsid w:val="005B52D0"/>
    <w:rsid w:val="005B59B6"/>
    <w:rsid w:val="005B7B12"/>
    <w:rsid w:val="005C16CB"/>
    <w:rsid w:val="005C21D6"/>
    <w:rsid w:val="005C2E13"/>
    <w:rsid w:val="005C3F9F"/>
    <w:rsid w:val="005C406F"/>
    <w:rsid w:val="005C40BA"/>
    <w:rsid w:val="005C4A23"/>
    <w:rsid w:val="005C562C"/>
    <w:rsid w:val="005C5812"/>
    <w:rsid w:val="005C5F12"/>
    <w:rsid w:val="005C6400"/>
    <w:rsid w:val="005C7F1E"/>
    <w:rsid w:val="005D073B"/>
    <w:rsid w:val="005D25B4"/>
    <w:rsid w:val="005D374F"/>
    <w:rsid w:val="005D4B67"/>
    <w:rsid w:val="005D5802"/>
    <w:rsid w:val="005D5DAE"/>
    <w:rsid w:val="005D69C7"/>
    <w:rsid w:val="005D6CFC"/>
    <w:rsid w:val="005D73E2"/>
    <w:rsid w:val="005D757A"/>
    <w:rsid w:val="005D7C4B"/>
    <w:rsid w:val="005E1871"/>
    <w:rsid w:val="005E1E4B"/>
    <w:rsid w:val="005E362D"/>
    <w:rsid w:val="005E3A0C"/>
    <w:rsid w:val="005E3FAC"/>
    <w:rsid w:val="005E4483"/>
    <w:rsid w:val="005E4728"/>
    <w:rsid w:val="005E492C"/>
    <w:rsid w:val="005E49A3"/>
    <w:rsid w:val="005E4BAA"/>
    <w:rsid w:val="005E52EF"/>
    <w:rsid w:val="005E5B56"/>
    <w:rsid w:val="005E5F0B"/>
    <w:rsid w:val="005E6088"/>
    <w:rsid w:val="005E61DF"/>
    <w:rsid w:val="005E697F"/>
    <w:rsid w:val="005E6AB8"/>
    <w:rsid w:val="005E6B65"/>
    <w:rsid w:val="005E6B78"/>
    <w:rsid w:val="005E75B8"/>
    <w:rsid w:val="005F0867"/>
    <w:rsid w:val="005F0976"/>
    <w:rsid w:val="005F23BB"/>
    <w:rsid w:val="005F26CE"/>
    <w:rsid w:val="005F294D"/>
    <w:rsid w:val="005F38D3"/>
    <w:rsid w:val="005F3F04"/>
    <w:rsid w:val="005F4057"/>
    <w:rsid w:val="005F4088"/>
    <w:rsid w:val="005F42F4"/>
    <w:rsid w:val="005F4982"/>
    <w:rsid w:val="005F4C83"/>
    <w:rsid w:val="005F5628"/>
    <w:rsid w:val="005F5916"/>
    <w:rsid w:val="005F601D"/>
    <w:rsid w:val="005F6119"/>
    <w:rsid w:val="005F7940"/>
    <w:rsid w:val="00600712"/>
    <w:rsid w:val="0060107A"/>
    <w:rsid w:val="00601AFF"/>
    <w:rsid w:val="00601F2E"/>
    <w:rsid w:val="00602D1D"/>
    <w:rsid w:val="0060318F"/>
    <w:rsid w:val="00604307"/>
    <w:rsid w:val="0060487F"/>
    <w:rsid w:val="00604D90"/>
    <w:rsid w:val="00605814"/>
    <w:rsid w:val="00605C22"/>
    <w:rsid w:val="00606B93"/>
    <w:rsid w:val="00607727"/>
    <w:rsid w:val="00607934"/>
    <w:rsid w:val="00610BD5"/>
    <w:rsid w:val="00610F00"/>
    <w:rsid w:val="00611363"/>
    <w:rsid w:val="00611531"/>
    <w:rsid w:val="006118AA"/>
    <w:rsid w:val="00611A08"/>
    <w:rsid w:val="00611C28"/>
    <w:rsid w:val="00611E4E"/>
    <w:rsid w:val="00612E84"/>
    <w:rsid w:val="006139C7"/>
    <w:rsid w:val="00614A9F"/>
    <w:rsid w:val="006150EA"/>
    <w:rsid w:val="006153E3"/>
    <w:rsid w:val="00615696"/>
    <w:rsid w:val="006162F6"/>
    <w:rsid w:val="006167AB"/>
    <w:rsid w:val="0061718A"/>
    <w:rsid w:val="00617D2D"/>
    <w:rsid w:val="00617D83"/>
    <w:rsid w:val="00620430"/>
    <w:rsid w:val="00620AC5"/>
    <w:rsid w:val="00620E7D"/>
    <w:rsid w:val="0062130B"/>
    <w:rsid w:val="00621575"/>
    <w:rsid w:val="006215FC"/>
    <w:rsid w:val="00622931"/>
    <w:rsid w:val="00624093"/>
    <w:rsid w:val="0062588B"/>
    <w:rsid w:val="006260B8"/>
    <w:rsid w:val="00630F66"/>
    <w:rsid w:val="00631FC2"/>
    <w:rsid w:val="00632171"/>
    <w:rsid w:val="006321EB"/>
    <w:rsid w:val="00632886"/>
    <w:rsid w:val="0063332A"/>
    <w:rsid w:val="006347F9"/>
    <w:rsid w:val="0063494E"/>
    <w:rsid w:val="00634C90"/>
    <w:rsid w:val="00635818"/>
    <w:rsid w:val="00635E79"/>
    <w:rsid w:val="00636E5E"/>
    <w:rsid w:val="006374C3"/>
    <w:rsid w:val="006379E0"/>
    <w:rsid w:val="00637D0E"/>
    <w:rsid w:val="006404A7"/>
    <w:rsid w:val="006407F3"/>
    <w:rsid w:val="006408EC"/>
    <w:rsid w:val="0064129B"/>
    <w:rsid w:val="00641DF7"/>
    <w:rsid w:val="0064229B"/>
    <w:rsid w:val="00643497"/>
    <w:rsid w:val="006436E8"/>
    <w:rsid w:val="00643735"/>
    <w:rsid w:val="00643A80"/>
    <w:rsid w:val="00644DFC"/>
    <w:rsid w:val="006451E4"/>
    <w:rsid w:val="006454B4"/>
    <w:rsid w:val="00645A9C"/>
    <w:rsid w:val="006460B8"/>
    <w:rsid w:val="00646448"/>
    <w:rsid w:val="006467D0"/>
    <w:rsid w:val="006504A0"/>
    <w:rsid w:val="00650784"/>
    <w:rsid w:val="006520C7"/>
    <w:rsid w:val="006520D5"/>
    <w:rsid w:val="00652179"/>
    <w:rsid w:val="00652CBB"/>
    <w:rsid w:val="006530B8"/>
    <w:rsid w:val="006535D6"/>
    <w:rsid w:val="00654093"/>
    <w:rsid w:val="00656716"/>
    <w:rsid w:val="006572ED"/>
    <w:rsid w:val="00657E87"/>
    <w:rsid w:val="0066026B"/>
    <w:rsid w:val="00660457"/>
    <w:rsid w:val="00660CB4"/>
    <w:rsid w:val="00660E1E"/>
    <w:rsid w:val="006632EB"/>
    <w:rsid w:val="006637B1"/>
    <w:rsid w:val="00663CFD"/>
    <w:rsid w:val="006647AD"/>
    <w:rsid w:val="00664B64"/>
    <w:rsid w:val="00665691"/>
    <w:rsid w:val="00665D67"/>
    <w:rsid w:val="00665D77"/>
    <w:rsid w:val="006660CD"/>
    <w:rsid w:val="00666883"/>
    <w:rsid w:val="00666B1D"/>
    <w:rsid w:val="00666EC8"/>
    <w:rsid w:val="00666F4B"/>
    <w:rsid w:val="0066759E"/>
    <w:rsid w:val="006676D0"/>
    <w:rsid w:val="0066796E"/>
    <w:rsid w:val="00670FAC"/>
    <w:rsid w:val="006710C9"/>
    <w:rsid w:val="006716A5"/>
    <w:rsid w:val="006717CC"/>
    <w:rsid w:val="006743E8"/>
    <w:rsid w:val="00675E37"/>
    <w:rsid w:val="00675F0F"/>
    <w:rsid w:val="006764ED"/>
    <w:rsid w:val="00676AFC"/>
    <w:rsid w:val="00676F11"/>
    <w:rsid w:val="00677CA8"/>
    <w:rsid w:val="00680079"/>
    <w:rsid w:val="00680ECC"/>
    <w:rsid w:val="00680F68"/>
    <w:rsid w:val="0068260E"/>
    <w:rsid w:val="0068331B"/>
    <w:rsid w:val="0068373D"/>
    <w:rsid w:val="00683BFE"/>
    <w:rsid w:val="0068437D"/>
    <w:rsid w:val="006846B0"/>
    <w:rsid w:val="00684C41"/>
    <w:rsid w:val="006857DF"/>
    <w:rsid w:val="00685C9E"/>
    <w:rsid w:val="00685E66"/>
    <w:rsid w:val="00686B72"/>
    <w:rsid w:val="00686BF1"/>
    <w:rsid w:val="0068748C"/>
    <w:rsid w:val="00687AE5"/>
    <w:rsid w:val="00690A09"/>
    <w:rsid w:val="00690A25"/>
    <w:rsid w:val="006919B7"/>
    <w:rsid w:val="006936AD"/>
    <w:rsid w:val="00693EA1"/>
    <w:rsid w:val="00693FEA"/>
    <w:rsid w:val="00694930"/>
    <w:rsid w:val="00694FFD"/>
    <w:rsid w:val="00695170"/>
    <w:rsid w:val="006954D8"/>
    <w:rsid w:val="00695BEF"/>
    <w:rsid w:val="006960D6"/>
    <w:rsid w:val="006963FB"/>
    <w:rsid w:val="00696AA5"/>
    <w:rsid w:val="006977F6"/>
    <w:rsid w:val="0069789D"/>
    <w:rsid w:val="00697A13"/>
    <w:rsid w:val="006A109C"/>
    <w:rsid w:val="006A150D"/>
    <w:rsid w:val="006A18AE"/>
    <w:rsid w:val="006A23E1"/>
    <w:rsid w:val="006A2EE8"/>
    <w:rsid w:val="006A3CF3"/>
    <w:rsid w:val="006A568F"/>
    <w:rsid w:val="006A65EF"/>
    <w:rsid w:val="006A672B"/>
    <w:rsid w:val="006A70FC"/>
    <w:rsid w:val="006A7596"/>
    <w:rsid w:val="006B1684"/>
    <w:rsid w:val="006B1781"/>
    <w:rsid w:val="006B23A9"/>
    <w:rsid w:val="006B23D8"/>
    <w:rsid w:val="006B281D"/>
    <w:rsid w:val="006B2D5B"/>
    <w:rsid w:val="006B3F8A"/>
    <w:rsid w:val="006B59D7"/>
    <w:rsid w:val="006B5CA3"/>
    <w:rsid w:val="006B6B3B"/>
    <w:rsid w:val="006B7248"/>
    <w:rsid w:val="006B7714"/>
    <w:rsid w:val="006B78D8"/>
    <w:rsid w:val="006B7CCE"/>
    <w:rsid w:val="006C0032"/>
    <w:rsid w:val="006C090F"/>
    <w:rsid w:val="006C0935"/>
    <w:rsid w:val="006C0BCE"/>
    <w:rsid w:val="006C113F"/>
    <w:rsid w:val="006C21CE"/>
    <w:rsid w:val="006C26C2"/>
    <w:rsid w:val="006C2AED"/>
    <w:rsid w:val="006C36F4"/>
    <w:rsid w:val="006C38DD"/>
    <w:rsid w:val="006C457F"/>
    <w:rsid w:val="006C53C7"/>
    <w:rsid w:val="006C5577"/>
    <w:rsid w:val="006C559A"/>
    <w:rsid w:val="006C58FA"/>
    <w:rsid w:val="006C6197"/>
    <w:rsid w:val="006D004F"/>
    <w:rsid w:val="006D042D"/>
    <w:rsid w:val="006D06EF"/>
    <w:rsid w:val="006D142E"/>
    <w:rsid w:val="006D381F"/>
    <w:rsid w:val="006D3B87"/>
    <w:rsid w:val="006D4497"/>
    <w:rsid w:val="006D4E6F"/>
    <w:rsid w:val="006D61F6"/>
    <w:rsid w:val="006D710C"/>
    <w:rsid w:val="006E0EB0"/>
    <w:rsid w:val="006E182C"/>
    <w:rsid w:val="006E1F4C"/>
    <w:rsid w:val="006E22C8"/>
    <w:rsid w:val="006E279A"/>
    <w:rsid w:val="006E2C28"/>
    <w:rsid w:val="006E2F3F"/>
    <w:rsid w:val="006E313B"/>
    <w:rsid w:val="006E442A"/>
    <w:rsid w:val="006E4434"/>
    <w:rsid w:val="006E44A3"/>
    <w:rsid w:val="006E4A1B"/>
    <w:rsid w:val="006E59FC"/>
    <w:rsid w:val="006E5CFD"/>
    <w:rsid w:val="006E7E2C"/>
    <w:rsid w:val="006E7E7D"/>
    <w:rsid w:val="006F1326"/>
    <w:rsid w:val="006F2280"/>
    <w:rsid w:val="006F2BAE"/>
    <w:rsid w:val="006F2BEE"/>
    <w:rsid w:val="006F2D35"/>
    <w:rsid w:val="006F3708"/>
    <w:rsid w:val="006F376C"/>
    <w:rsid w:val="006F3A90"/>
    <w:rsid w:val="006F3E6B"/>
    <w:rsid w:val="006F4619"/>
    <w:rsid w:val="006F4A59"/>
    <w:rsid w:val="006F6968"/>
    <w:rsid w:val="00700232"/>
    <w:rsid w:val="00701382"/>
    <w:rsid w:val="007014C7"/>
    <w:rsid w:val="0070189B"/>
    <w:rsid w:val="00702100"/>
    <w:rsid w:val="007024BF"/>
    <w:rsid w:val="00702D6F"/>
    <w:rsid w:val="007031C6"/>
    <w:rsid w:val="00703B6C"/>
    <w:rsid w:val="00703C6B"/>
    <w:rsid w:val="007047D5"/>
    <w:rsid w:val="00705D98"/>
    <w:rsid w:val="00707891"/>
    <w:rsid w:val="00707D43"/>
    <w:rsid w:val="00710F7C"/>
    <w:rsid w:val="0071156F"/>
    <w:rsid w:val="00711EF1"/>
    <w:rsid w:val="0071201A"/>
    <w:rsid w:val="0071229A"/>
    <w:rsid w:val="007122C8"/>
    <w:rsid w:val="00712572"/>
    <w:rsid w:val="00713495"/>
    <w:rsid w:val="00713EEB"/>
    <w:rsid w:val="007142C1"/>
    <w:rsid w:val="00715487"/>
    <w:rsid w:val="007159D2"/>
    <w:rsid w:val="00716DCC"/>
    <w:rsid w:val="00717173"/>
    <w:rsid w:val="00717726"/>
    <w:rsid w:val="0072050E"/>
    <w:rsid w:val="00720958"/>
    <w:rsid w:val="00720FA2"/>
    <w:rsid w:val="007211F5"/>
    <w:rsid w:val="007240C5"/>
    <w:rsid w:val="00724666"/>
    <w:rsid w:val="00724E80"/>
    <w:rsid w:val="00725492"/>
    <w:rsid w:val="007256B7"/>
    <w:rsid w:val="00726043"/>
    <w:rsid w:val="0072704A"/>
    <w:rsid w:val="007275D2"/>
    <w:rsid w:val="007279B9"/>
    <w:rsid w:val="007303CA"/>
    <w:rsid w:val="00730AE8"/>
    <w:rsid w:val="007315DA"/>
    <w:rsid w:val="00731963"/>
    <w:rsid w:val="0073249D"/>
    <w:rsid w:val="00732706"/>
    <w:rsid w:val="0073325D"/>
    <w:rsid w:val="00734321"/>
    <w:rsid w:val="00734597"/>
    <w:rsid w:val="00734EE6"/>
    <w:rsid w:val="00735044"/>
    <w:rsid w:val="0073532E"/>
    <w:rsid w:val="00735B01"/>
    <w:rsid w:val="00735B5A"/>
    <w:rsid w:val="007367BE"/>
    <w:rsid w:val="007367F6"/>
    <w:rsid w:val="00740310"/>
    <w:rsid w:val="00740652"/>
    <w:rsid w:val="00740F02"/>
    <w:rsid w:val="00740FEC"/>
    <w:rsid w:val="0074132E"/>
    <w:rsid w:val="00741493"/>
    <w:rsid w:val="007426B3"/>
    <w:rsid w:val="007426FD"/>
    <w:rsid w:val="007430AB"/>
    <w:rsid w:val="0074329D"/>
    <w:rsid w:val="00744376"/>
    <w:rsid w:val="007449EA"/>
    <w:rsid w:val="00744D00"/>
    <w:rsid w:val="00744D2B"/>
    <w:rsid w:val="00745273"/>
    <w:rsid w:val="00745DD4"/>
    <w:rsid w:val="00745F3C"/>
    <w:rsid w:val="00746DD9"/>
    <w:rsid w:val="00746F90"/>
    <w:rsid w:val="00747A35"/>
    <w:rsid w:val="007502A6"/>
    <w:rsid w:val="0075057A"/>
    <w:rsid w:val="00751771"/>
    <w:rsid w:val="00751C1C"/>
    <w:rsid w:val="00752180"/>
    <w:rsid w:val="007521A1"/>
    <w:rsid w:val="0075258D"/>
    <w:rsid w:val="00752BC3"/>
    <w:rsid w:val="0075315D"/>
    <w:rsid w:val="007538F9"/>
    <w:rsid w:val="00753D29"/>
    <w:rsid w:val="00754253"/>
    <w:rsid w:val="007552BB"/>
    <w:rsid w:val="007558D3"/>
    <w:rsid w:val="007559D7"/>
    <w:rsid w:val="00755D3A"/>
    <w:rsid w:val="00760141"/>
    <w:rsid w:val="007609C6"/>
    <w:rsid w:val="007610A0"/>
    <w:rsid w:val="007610C3"/>
    <w:rsid w:val="00761605"/>
    <w:rsid w:val="00762036"/>
    <w:rsid w:val="007620F2"/>
    <w:rsid w:val="0076231A"/>
    <w:rsid w:val="00762EBA"/>
    <w:rsid w:val="00763498"/>
    <w:rsid w:val="0076359D"/>
    <w:rsid w:val="00763A13"/>
    <w:rsid w:val="00763D86"/>
    <w:rsid w:val="007661BD"/>
    <w:rsid w:val="0077058D"/>
    <w:rsid w:val="00770931"/>
    <w:rsid w:val="00770FBA"/>
    <w:rsid w:val="00772536"/>
    <w:rsid w:val="00773079"/>
    <w:rsid w:val="00773613"/>
    <w:rsid w:val="0077430F"/>
    <w:rsid w:val="00774782"/>
    <w:rsid w:val="00775512"/>
    <w:rsid w:val="00776476"/>
    <w:rsid w:val="00776527"/>
    <w:rsid w:val="00777DB1"/>
    <w:rsid w:val="007805E1"/>
    <w:rsid w:val="00780DDF"/>
    <w:rsid w:val="00781061"/>
    <w:rsid w:val="0078113E"/>
    <w:rsid w:val="00781834"/>
    <w:rsid w:val="007821DB"/>
    <w:rsid w:val="00782818"/>
    <w:rsid w:val="007838F1"/>
    <w:rsid w:val="007841BB"/>
    <w:rsid w:val="00784C4A"/>
    <w:rsid w:val="00787267"/>
    <w:rsid w:val="00787432"/>
    <w:rsid w:val="00787507"/>
    <w:rsid w:val="0078778C"/>
    <w:rsid w:val="007879F2"/>
    <w:rsid w:val="00790393"/>
    <w:rsid w:val="00791804"/>
    <w:rsid w:val="0079197F"/>
    <w:rsid w:val="00791CF8"/>
    <w:rsid w:val="00791DB3"/>
    <w:rsid w:val="00791EF9"/>
    <w:rsid w:val="00792262"/>
    <w:rsid w:val="00793387"/>
    <w:rsid w:val="00793BAE"/>
    <w:rsid w:val="007941C3"/>
    <w:rsid w:val="00794870"/>
    <w:rsid w:val="00794E0A"/>
    <w:rsid w:val="00794E50"/>
    <w:rsid w:val="00795B04"/>
    <w:rsid w:val="00796642"/>
    <w:rsid w:val="00796889"/>
    <w:rsid w:val="007A098D"/>
    <w:rsid w:val="007A11D9"/>
    <w:rsid w:val="007A327B"/>
    <w:rsid w:val="007A4048"/>
    <w:rsid w:val="007A45B1"/>
    <w:rsid w:val="007A4606"/>
    <w:rsid w:val="007A4BC3"/>
    <w:rsid w:val="007A4D58"/>
    <w:rsid w:val="007A5039"/>
    <w:rsid w:val="007B0353"/>
    <w:rsid w:val="007B04E8"/>
    <w:rsid w:val="007B0D67"/>
    <w:rsid w:val="007B0F90"/>
    <w:rsid w:val="007B1966"/>
    <w:rsid w:val="007B2257"/>
    <w:rsid w:val="007B2779"/>
    <w:rsid w:val="007B2AF7"/>
    <w:rsid w:val="007B3048"/>
    <w:rsid w:val="007B3DCC"/>
    <w:rsid w:val="007B4518"/>
    <w:rsid w:val="007B5031"/>
    <w:rsid w:val="007B573F"/>
    <w:rsid w:val="007B6176"/>
    <w:rsid w:val="007B72AC"/>
    <w:rsid w:val="007B78F8"/>
    <w:rsid w:val="007C004C"/>
    <w:rsid w:val="007C0065"/>
    <w:rsid w:val="007C010B"/>
    <w:rsid w:val="007C1D28"/>
    <w:rsid w:val="007C32B6"/>
    <w:rsid w:val="007C3AE3"/>
    <w:rsid w:val="007C605B"/>
    <w:rsid w:val="007C6EBA"/>
    <w:rsid w:val="007C7BAC"/>
    <w:rsid w:val="007C7CC5"/>
    <w:rsid w:val="007C7E1C"/>
    <w:rsid w:val="007D1996"/>
    <w:rsid w:val="007D232E"/>
    <w:rsid w:val="007D2A5A"/>
    <w:rsid w:val="007D2A86"/>
    <w:rsid w:val="007D2AD8"/>
    <w:rsid w:val="007D2C47"/>
    <w:rsid w:val="007D2C61"/>
    <w:rsid w:val="007D2DA3"/>
    <w:rsid w:val="007D2F81"/>
    <w:rsid w:val="007D3167"/>
    <w:rsid w:val="007D3524"/>
    <w:rsid w:val="007D368A"/>
    <w:rsid w:val="007D3CF7"/>
    <w:rsid w:val="007D4128"/>
    <w:rsid w:val="007D4215"/>
    <w:rsid w:val="007D4281"/>
    <w:rsid w:val="007D42F5"/>
    <w:rsid w:val="007D44C3"/>
    <w:rsid w:val="007D5055"/>
    <w:rsid w:val="007D5947"/>
    <w:rsid w:val="007D65C1"/>
    <w:rsid w:val="007D7131"/>
    <w:rsid w:val="007E030F"/>
    <w:rsid w:val="007E0D49"/>
    <w:rsid w:val="007E0E59"/>
    <w:rsid w:val="007E0F4B"/>
    <w:rsid w:val="007E12C1"/>
    <w:rsid w:val="007E1EF7"/>
    <w:rsid w:val="007E28DB"/>
    <w:rsid w:val="007E3715"/>
    <w:rsid w:val="007E5880"/>
    <w:rsid w:val="007E5A02"/>
    <w:rsid w:val="007E5F3D"/>
    <w:rsid w:val="007E6588"/>
    <w:rsid w:val="007E6C28"/>
    <w:rsid w:val="007E7063"/>
    <w:rsid w:val="007E7E61"/>
    <w:rsid w:val="007F0316"/>
    <w:rsid w:val="007F0845"/>
    <w:rsid w:val="007F0DF6"/>
    <w:rsid w:val="007F1092"/>
    <w:rsid w:val="007F16F9"/>
    <w:rsid w:val="007F2801"/>
    <w:rsid w:val="007F2F76"/>
    <w:rsid w:val="007F3E3E"/>
    <w:rsid w:val="007F3FFE"/>
    <w:rsid w:val="007F42E0"/>
    <w:rsid w:val="007F500D"/>
    <w:rsid w:val="007F5F14"/>
    <w:rsid w:val="007F7B54"/>
    <w:rsid w:val="007F7C60"/>
    <w:rsid w:val="00800073"/>
    <w:rsid w:val="008005D7"/>
    <w:rsid w:val="00800C6A"/>
    <w:rsid w:val="00801FDD"/>
    <w:rsid w:val="008020C2"/>
    <w:rsid w:val="0080255C"/>
    <w:rsid w:val="00804137"/>
    <w:rsid w:val="00805287"/>
    <w:rsid w:val="008054FB"/>
    <w:rsid w:val="00806088"/>
    <w:rsid w:val="00806D07"/>
    <w:rsid w:val="00806D73"/>
    <w:rsid w:val="008075CD"/>
    <w:rsid w:val="0081019B"/>
    <w:rsid w:val="00811107"/>
    <w:rsid w:val="0081187C"/>
    <w:rsid w:val="00811E24"/>
    <w:rsid w:val="008120C5"/>
    <w:rsid w:val="00812129"/>
    <w:rsid w:val="00812386"/>
    <w:rsid w:val="00812E2B"/>
    <w:rsid w:val="00813A70"/>
    <w:rsid w:val="00813CB4"/>
    <w:rsid w:val="00813DB0"/>
    <w:rsid w:val="00813FE6"/>
    <w:rsid w:val="00815B82"/>
    <w:rsid w:val="00815C6E"/>
    <w:rsid w:val="00815DD0"/>
    <w:rsid w:val="00815F10"/>
    <w:rsid w:val="0081645F"/>
    <w:rsid w:val="00816475"/>
    <w:rsid w:val="008167A9"/>
    <w:rsid w:val="00816A28"/>
    <w:rsid w:val="008174A3"/>
    <w:rsid w:val="00817755"/>
    <w:rsid w:val="008178C2"/>
    <w:rsid w:val="008178CF"/>
    <w:rsid w:val="00817C98"/>
    <w:rsid w:val="00820C9F"/>
    <w:rsid w:val="008215A1"/>
    <w:rsid w:val="00821AAE"/>
    <w:rsid w:val="00821FF6"/>
    <w:rsid w:val="00823AAF"/>
    <w:rsid w:val="00824081"/>
    <w:rsid w:val="0082409A"/>
    <w:rsid w:val="008252D7"/>
    <w:rsid w:val="00825C0F"/>
    <w:rsid w:val="00826376"/>
    <w:rsid w:val="00826ED1"/>
    <w:rsid w:val="00826EE3"/>
    <w:rsid w:val="00827181"/>
    <w:rsid w:val="0082733C"/>
    <w:rsid w:val="008276AB"/>
    <w:rsid w:val="00827746"/>
    <w:rsid w:val="008277A3"/>
    <w:rsid w:val="0083102D"/>
    <w:rsid w:val="0083143E"/>
    <w:rsid w:val="0083159D"/>
    <w:rsid w:val="008318FF"/>
    <w:rsid w:val="00832187"/>
    <w:rsid w:val="00832493"/>
    <w:rsid w:val="008329BD"/>
    <w:rsid w:val="00832E47"/>
    <w:rsid w:val="008334C3"/>
    <w:rsid w:val="008336D8"/>
    <w:rsid w:val="008339C4"/>
    <w:rsid w:val="00833B90"/>
    <w:rsid w:val="00834F0A"/>
    <w:rsid w:val="00834FAA"/>
    <w:rsid w:val="00835181"/>
    <w:rsid w:val="0083570E"/>
    <w:rsid w:val="00835991"/>
    <w:rsid w:val="00835B51"/>
    <w:rsid w:val="00836086"/>
    <w:rsid w:val="00836BAD"/>
    <w:rsid w:val="00840699"/>
    <w:rsid w:val="00841D9F"/>
    <w:rsid w:val="00842078"/>
    <w:rsid w:val="00842604"/>
    <w:rsid w:val="00843CEC"/>
    <w:rsid w:val="00843ECF"/>
    <w:rsid w:val="00845AB1"/>
    <w:rsid w:val="00846673"/>
    <w:rsid w:val="008508A9"/>
    <w:rsid w:val="0085188D"/>
    <w:rsid w:val="008518D8"/>
    <w:rsid w:val="008525F9"/>
    <w:rsid w:val="0085281A"/>
    <w:rsid w:val="00853C0F"/>
    <w:rsid w:val="00853F33"/>
    <w:rsid w:val="00854116"/>
    <w:rsid w:val="008548EA"/>
    <w:rsid w:val="008550EA"/>
    <w:rsid w:val="00855458"/>
    <w:rsid w:val="008559FE"/>
    <w:rsid w:val="00855C69"/>
    <w:rsid w:val="0085686D"/>
    <w:rsid w:val="00857339"/>
    <w:rsid w:val="00860706"/>
    <w:rsid w:val="00861ABA"/>
    <w:rsid w:val="00862A7A"/>
    <w:rsid w:val="00862FBD"/>
    <w:rsid w:val="00863104"/>
    <w:rsid w:val="008636CD"/>
    <w:rsid w:val="00863702"/>
    <w:rsid w:val="00863D9E"/>
    <w:rsid w:val="00863FDC"/>
    <w:rsid w:val="008642AF"/>
    <w:rsid w:val="00865286"/>
    <w:rsid w:val="00865729"/>
    <w:rsid w:val="00865EA8"/>
    <w:rsid w:val="00865ED4"/>
    <w:rsid w:val="008669A7"/>
    <w:rsid w:val="00867464"/>
    <w:rsid w:val="00867D15"/>
    <w:rsid w:val="00867E29"/>
    <w:rsid w:val="0087023F"/>
    <w:rsid w:val="00870F2B"/>
    <w:rsid w:val="00872922"/>
    <w:rsid w:val="00873B2E"/>
    <w:rsid w:val="00874097"/>
    <w:rsid w:val="008746E6"/>
    <w:rsid w:val="0087515D"/>
    <w:rsid w:val="00875740"/>
    <w:rsid w:val="0087594C"/>
    <w:rsid w:val="00876086"/>
    <w:rsid w:val="008765FA"/>
    <w:rsid w:val="008768D6"/>
    <w:rsid w:val="0087703B"/>
    <w:rsid w:val="008775D1"/>
    <w:rsid w:val="008777BB"/>
    <w:rsid w:val="00877D68"/>
    <w:rsid w:val="00877E5D"/>
    <w:rsid w:val="00880150"/>
    <w:rsid w:val="00880ABA"/>
    <w:rsid w:val="00880F23"/>
    <w:rsid w:val="00883797"/>
    <w:rsid w:val="00883A67"/>
    <w:rsid w:val="00883D45"/>
    <w:rsid w:val="00884D69"/>
    <w:rsid w:val="0088503D"/>
    <w:rsid w:val="00885EC6"/>
    <w:rsid w:val="008869D2"/>
    <w:rsid w:val="00886A8F"/>
    <w:rsid w:val="0088733A"/>
    <w:rsid w:val="008875A1"/>
    <w:rsid w:val="008901CC"/>
    <w:rsid w:val="0089169B"/>
    <w:rsid w:val="00891BE0"/>
    <w:rsid w:val="00893302"/>
    <w:rsid w:val="00893648"/>
    <w:rsid w:val="00893800"/>
    <w:rsid w:val="00893D83"/>
    <w:rsid w:val="00893F0C"/>
    <w:rsid w:val="00893F33"/>
    <w:rsid w:val="00893F3C"/>
    <w:rsid w:val="008945A1"/>
    <w:rsid w:val="00894A63"/>
    <w:rsid w:val="00894F71"/>
    <w:rsid w:val="00895A54"/>
    <w:rsid w:val="00896776"/>
    <w:rsid w:val="00896916"/>
    <w:rsid w:val="00896BDE"/>
    <w:rsid w:val="00896FC5"/>
    <w:rsid w:val="0089763E"/>
    <w:rsid w:val="008A03DE"/>
    <w:rsid w:val="008A0861"/>
    <w:rsid w:val="008A0BB2"/>
    <w:rsid w:val="008A1AB3"/>
    <w:rsid w:val="008A1D5C"/>
    <w:rsid w:val="008A243E"/>
    <w:rsid w:val="008A3292"/>
    <w:rsid w:val="008A3A85"/>
    <w:rsid w:val="008A43E9"/>
    <w:rsid w:val="008A4CB1"/>
    <w:rsid w:val="008A615E"/>
    <w:rsid w:val="008A632B"/>
    <w:rsid w:val="008A6BFE"/>
    <w:rsid w:val="008A6F21"/>
    <w:rsid w:val="008A73DA"/>
    <w:rsid w:val="008B00C2"/>
    <w:rsid w:val="008B04A0"/>
    <w:rsid w:val="008B05E8"/>
    <w:rsid w:val="008B069F"/>
    <w:rsid w:val="008B07EF"/>
    <w:rsid w:val="008B16DE"/>
    <w:rsid w:val="008B190E"/>
    <w:rsid w:val="008B1A8A"/>
    <w:rsid w:val="008B1FC9"/>
    <w:rsid w:val="008B531F"/>
    <w:rsid w:val="008B54A3"/>
    <w:rsid w:val="008B634C"/>
    <w:rsid w:val="008B6B67"/>
    <w:rsid w:val="008B7306"/>
    <w:rsid w:val="008B775F"/>
    <w:rsid w:val="008B7C02"/>
    <w:rsid w:val="008B7D13"/>
    <w:rsid w:val="008B7F9E"/>
    <w:rsid w:val="008C034E"/>
    <w:rsid w:val="008C05F3"/>
    <w:rsid w:val="008C0E88"/>
    <w:rsid w:val="008C1399"/>
    <w:rsid w:val="008C18A5"/>
    <w:rsid w:val="008C1AA8"/>
    <w:rsid w:val="008C22A8"/>
    <w:rsid w:val="008C25FD"/>
    <w:rsid w:val="008C3460"/>
    <w:rsid w:val="008C4BB5"/>
    <w:rsid w:val="008C5B43"/>
    <w:rsid w:val="008C63FD"/>
    <w:rsid w:val="008C6CB8"/>
    <w:rsid w:val="008C6D92"/>
    <w:rsid w:val="008C777A"/>
    <w:rsid w:val="008C7815"/>
    <w:rsid w:val="008C79DA"/>
    <w:rsid w:val="008C7A07"/>
    <w:rsid w:val="008C7E90"/>
    <w:rsid w:val="008C7EB3"/>
    <w:rsid w:val="008D009F"/>
    <w:rsid w:val="008D0171"/>
    <w:rsid w:val="008D04F8"/>
    <w:rsid w:val="008D0632"/>
    <w:rsid w:val="008D0E3B"/>
    <w:rsid w:val="008D13EA"/>
    <w:rsid w:val="008D2671"/>
    <w:rsid w:val="008D2A16"/>
    <w:rsid w:val="008D2C16"/>
    <w:rsid w:val="008D2ECF"/>
    <w:rsid w:val="008D347D"/>
    <w:rsid w:val="008D3594"/>
    <w:rsid w:val="008D3F3D"/>
    <w:rsid w:val="008D4376"/>
    <w:rsid w:val="008D4FB0"/>
    <w:rsid w:val="008E0367"/>
    <w:rsid w:val="008E2525"/>
    <w:rsid w:val="008E2B96"/>
    <w:rsid w:val="008E2DCD"/>
    <w:rsid w:val="008E308D"/>
    <w:rsid w:val="008E31FF"/>
    <w:rsid w:val="008E46A3"/>
    <w:rsid w:val="008E4CD7"/>
    <w:rsid w:val="008E5DE6"/>
    <w:rsid w:val="008E6113"/>
    <w:rsid w:val="008E6AB3"/>
    <w:rsid w:val="008E6AD3"/>
    <w:rsid w:val="008E6EBD"/>
    <w:rsid w:val="008E71A6"/>
    <w:rsid w:val="008E77B6"/>
    <w:rsid w:val="008E7C55"/>
    <w:rsid w:val="008F032E"/>
    <w:rsid w:val="008F0F14"/>
    <w:rsid w:val="008F1394"/>
    <w:rsid w:val="008F1638"/>
    <w:rsid w:val="008F2097"/>
    <w:rsid w:val="008F2F44"/>
    <w:rsid w:val="008F4108"/>
    <w:rsid w:val="008F4FCE"/>
    <w:rsid w:val="008F5301"/>
    <w:rsid w:val="008F650D"/>
    <w:rsid w:val="008F6967"/>
    <w:rsid w:val="008F6A0C"/>
    <w:rsid w:val="008F6F38"/>
    <w:rsid w:val="008F7721"/>
    <w:rsid w:val="008F7D28"/>
    <w:rsid w:val="009003A8"/>
    <w:rsid w:val="009010A7"/>
    <w:rsid w:val="009010E3"/>
    <w:rsid w:val="00901703"/>
    <w:rsid w:val="00901AF3"/>
    <w:rsid w:val="00901D64"/>
    <w:rsid w:val="00901DFB"/>
    <w:rsid w:val="009025B0"/>
    <w:rsid w:val="00902CBE"/>
    <w:rsid w:val="00902D74"/>
    <w:rsid w:val="00902EFF"/>
    <w:rsid w:val="00902FAC"/>
    <w:rsid w:val="00903E06"/>
    <w:rsid w:val="009045D1"/>
    <w:rsid w:val="00904B9D"/>
    <w:rsid w:val="00905A11"/>
    <w:rsid w:val="00905FE8"/>
    <w:rsid w:val="009066E1"/>
    <w:rsid w:val="00906DC3"/>
    <w:rsid w:val="00906F67"/>
    <w:rsid w:val="00907A41"/>
    <w:rsid w:val="00907F4B"/>
    <w:rsid w:val="009102BD"/>
    <w:rsid w:val="00910AB7"/>
    <w:rsid w:val="00910F93"/>
    <w:rsid w:val="00910FBC"/>
    <w:rsid w:val="00911C6A"/>
    <w:rsid w:val="00911EB2"/>
    <w:rsid w:val="0091255A"/>
    <w:rsid w:val="009135C7"/>
    <w:rsid w:val="00914426"/>
    <w:rsid w:val="0091675F"/>
    <w:rsid w:val="00916C6C"/>
    <w:rsid w:val="00917709"/>
    <w:rsid w:val="00917918"/>
    <w:rsid w:val="00920874"/>
    <w:rsid w:val="00921F14"/>
    <w:rsid w:val="009227C6"/>
    <w:rsid w:val="00923750"/>
    <w:rsid w:val="009243A5"/>
    <w:rsid w:val="00924DC8"/>
    <w:rsid w:val="0092500F"/>
    <w:rsid w:val="009250D2"/>
    <w:rsid w:val="0092519D"/>
    <w:rsid w:val="0092540B"/>
    <w:rsid w:val="0092557A"/>
    <w:rsid w:val="009256C5"/>
    <w:rsid w:val="00925A21"/>
    <w:rsid w:val="00926283"/>
    <w:rsid w:val="009277E9"/>
    <w:rsid w:val="00927E25"/>
    <w:rsid w:val="009306BE"/>
    <w:rsid w:val="0093161F"/>
    <w:rsid w:val="00933F72"/>
    <w:rsid w:val="00934836"/>
    <w:rsid w:val="00934963"/>
    <w:rsid w:val="00936ECA"/>
    <w:rsid w:val="00937B11"/>
    <w:rsid w:val="00940F1F"/>
    <w:rsid w:val="00941250"/>
    <w:rsid w:val="00941339"/>
    <w:rsid w:val="00941631"/>
    <w:rsid w:val="0094396E"/>
    <w:rsid w:val="0094427A"/>
    <w:rsid w:val="00944380"/>
    <w:rsid w:val="009445FD"/>
    <w:rsid w:val="009459C5"/>
    <w:rsid w:val="00945E5E"/>
    <w:rsid w:val="0094626C"/>
    <w:rsid w:val="0095013A"/>
    <w:rsid w:val="00953AEF"/>
    <w:rsid w:val="00954C8E"/>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5B40"/>
    <w:rsid w:val="009663EB"/>
    <w:rsid w:val="0096650F"/>
    <w:rsid w:val="00967801"/>
    <w:rsid w:val="00967AD2"/>
    <w:rsid w:val="009700DB"/>
    <w:rsid w:val="00971A20"/>
    <w:rsid w:val="00971DC6"/>
    <w:rsid w:val="00972263"/>
    <w:rsid w:val="00972502"/>
    <w:rsid w:val="00972D8D"/>
    <w:rsid w:val="009737E6"/>
    <w:rsid w:val="00973AAE"/>
    <w:rsid w:val="009742F7"/>
    <w:rsid w:val="0097476C"/>
    <w:rsid w:val="00974923"/>
    <w:rsid w:val="00974D48"/>
    <w:rsid w:val="00974D5F"/>
    <w:rsid w:val="00975017"/>
    <w:rsid w:val="009751C0"/>
    <w:rsid w:val="00975217"/>
    <w:rsid w:val="009759DF"/>
    <w:rsid w:val="009766E3"/>
    <w:rsid w:val="00977A4D"/>
    <w:rsid w:val="00980373"/>
    <w:rsid w:val="00980621"/>
    <w:rsid w:val="0098095B"/>
    <w:rsid w:val="00982072"/>
    <w:rsid w:val="00983380"/>
    <w:rsid w:val="009833FA"/>
    <w:rsid w:val="0098354B"/>
    <w:rsid w:val="00983DBB"/>
    <w:rsid w:val="00983ECF"/>
    <w:rsid w:val="00985157"/>
    <w:rsid w:val="00985B15"/>
    <w:rsid w:val="0098612D"/>
    <w:rsid w:val="00986745"/>
    <w:rsid w:val="009867BC"/>
    <w:rsid w:val="00987109"/>
    <w:rsid w:val="00987309"/>
    <w:rsid w:val="00987351"/>
    <w:rsid w:val="00990123"/>
    <w:rsid w:val="0099012D"/>
    <w:rsid w:val="00990363"/>
    <w:rsid w:val="00991266"/>
    <w:rsid w:val="009928AE"/>
    <w:rsid w:val="00993BE6"/>
    <w:rsid w:val="00993D9C"/>
    <w:rsid w:val="00993F56"/>
    <w:rsid w:val="009954FF"/>
    <w:rsid w:val="0099571E"/>
    <w:rsid w:val="00995CE4"/>
    <w:rsid w:val="00995E2F"/>
    <w:rsid w:val="009961BC"/>
    <w:rsid w:val="00996355"/>
    <w:rsid w:val="009976A2"/>
    <w:rsid w:val="0099788F"/>
    <w:rsid w:val="009979D1"/>
    <w:rsid w:val="00997ADD"/>
    <w:rsid w:val="009A05A2"/>
    <w:rsid w:val="009A0990"/>
    <w:rsid w:val="009A1374"/>
    <w:rsid w:val="009A13FA"/>
    <w:rsid w:val="009A2014"/>
    <w:rsid w:val="009A2030"/>
    <w:rsid w:val="009A38F8"/>
    <w:rsid w:val="009A3A87"/>
    <w:rsid w:val="009A443B"/>
    <w:rsid w:val="009A4E12"/>
    <w:rsid w:val="009A5C68"/>
    <w:rsid w:val="009A5DE2"/>
    <w:rsid w:val="009A696E"/>
    <w:rsid w:val="009A6EF7"/>
    <w:rsid w:val="009B04D0"/>
    <w:rsid w:val="009B052C"/>
    <w:rsid w:val="009B0975"/>
    <w:rsid w:val="009B0EF2"/>
    <w:rsid w:val="009B1D9A"/>
    <w:rsid w:val="009B23A3"/>
    <w:rsid w:val="009B2C0E"/>
    <w:rsid w:val="009B4764"/>
    <w:rsid w:val="009B4925"/>
    <w:rsid w:val="009B4B4B"/>
    <w:rsid w:val="009B4CE3"/>
    <w:rsid w:val="009B6C96"/>
    <w:rsid w:val="009B6FD3"/>
    <w:rsid w:val="009B70BD"/>
    <w:rsid w:val="009B7134"/>
    <w:rsid w:val="009B729E"/>
    <w:rsid w:val="009C07A5"/>
    <w:rsid w:val="009C24A3"/>
    <w:rsid w:val="009C3705"/>
    <w:rsid w:val="009C3BE3"/>
    <w:rsid w:val="009C3D95"/>
    <w:rsid w:val="009C560D"/>
    <w:rsid w:val="009C5821"/>
    <w:rsid w:val="009C6215"/>
    <w:rsid w:val="009C6B47"/>
    <w:rsid w:val="009C7388"/>
    <w:rsid w:val="009C74C2"/>
    <w:rsid w:val="009D009C"/>
    <w:rsid w:val="009D0CFF"/>
    <w:rsid w:val="009D1023"/>
    <w:rsid w:val="009D1551"/>
    <w:rsid w:val="009D2859"/>
    <w:rsid w:val="009D36EC"/>
    <w:rsid w:val="009D3CD0"/>
    <w:rsid w:val="009D4173"/>
    <w:rsid w:val="009D48DC"/>
    <w:rsid w:val="009D51CA"/>
    <w:rsid w:val="009D57B9"/>
    <w:rsid w:val="009D6095"/>
    <w:rsid w:val="009D6306"/>
    <w:rsid w:val="009D77CF"/>
    <w:rsid w:val="009E048A"/>
    <w:rsid w:val="009E1124"/>
    <w:rsid w:val="009E1FBA"/>
    <w:rsid w:val="009E2C54"/>
    <w:rsid w:val="009E3710"/>
    <w:rsid w:val="009E6F65"/>
    <w:rsid w:val="009E7340"/>
    <w:rsid w:val="009E7B1F"/>
    <w:rsid w:val="009F346F"/>
    <w:rsid w:val="009F371A"/>
    <w:rsid w:val="009F3F25"/>
    <w:rsid w:val="009F3FC3"/>
    <w:rsid w:val="009F41C4"/>
    <w:rsid w:val="009F512F"/>
    <w:rsid w:val="009F5846"/>
    <w:rsid w:val="009F62C9"/>
    <w:rsid w:val="009F63D2"/>
    <w:rsid w:val="009F777A"/>
    <w:rsid w:val="009F7B52"/>
    <w:rsid w:val="009F7D77"/>
    <w:rsid w:val="00A004D2"/>
    <w:rsid w:val="00A015EA"/>
    <w:rsid w:val="00A0172C"/>
    <w:rsid w:val="00A05B91"/>
    <w:rsid w:val="00A10609"/>
    <w:rsid w:val="00A10D66"/>
    <w:rsid w:val="00A12BA8"/>
    <w:rsid w:val="00A133F2"/>
    <w:rsid w:val="00A13993"/>
    <w:rsid w:val="00A1420C"/>
    <w:rsid w:val="00A1456C"/>
    <w:rsid w:val="00A14821"/>
    <w:rsid w:val="00A14C46"/>
    <w:rsid w:val="00A14C9D"/>
    <w:rsid w:val="00A17754"/>
    <w:rsid w:val="00A2055B"/>
    <w:rsid w:val="00A20E22"/>
    <w:rsid w:val="00A219FE"/>
    <w:rsid w:val="00A2253C"/>
    <w:rsid w:val="00A23545"/>
    <w:rsid w:val="00A23A55"/>
    <w:rsid w:val="00A23E43"/>
    <w:rsid w:val="00A23EF0"/>
    <w:rsid w:val="00A24C11"/>
    <w:rsid w:val="00A24F8C"/>
    <w:rsid w:val="00A262BF"/>
    <w:rsid w:val="00A271AD"/>
    <w:rsid w:val="00A276D5"/>
    <w:rsid w:val="00A279CF"/>
    <w:rsid w:val="00A30336"/>
    <w:rsid w:val="00A30BB5"/>
    <w:rsid w:val="00A3128F"/>
    <w:rsid w:val="00A326D0"/>
    <w:rsid w:val="00A35287"/>
    <w:rsid w:val="00A355F2"/>
    <w:rsid w:val="00A36CF6"/>
    <w:rsid w:val="00A378F8"/>
    <w:rsid w:val="00A40965"/>
    <w:rsid w:val="00A40B19"/>
    <w:rsid w:val="00A40F56"/>
    <w:rsid w:val="00A41D07"/>
    <w:rsid w:val="00A424F8"/>
    <w:rsid w:val="00A42883"/>
    <w:rsid w:val="00A437B7"/>
    <w:rsid w:val="00A439DB"/>
    <w:rsid w:val="00A43EA2"/>
    <w:rsid w:val="00A46C70"/>
    <w:rsid w:val="00A46D48"/>
    <w:rsid w:val="00A46DE0"/>
    <w:rsid w:val="00A4778A"/>
    <w:rsid w:val="00A479BA"/>
    <w:rsid w:val="00A47C94"/>
    <w:rsid w:val="00A504C0"/>
    <w:rsid w:val="00A5067F"/>
    <w:rsid w:val="00A517C1"/>
    <w:rsid w:val="00A518E0"/>
    <w:rsid w:val="00A5408A"/>
    <w:rsid w:val="00A55301"/>
    <w:rsid w:val="00A56343"/>
    <w:rsid w:val="00A572FB"/>
    <w:rsid w:val="00A57B3C"/>
    <w:rsid w:val="00A57F1B"/>
    <w:rsid w:val="00A600D2"/>
    <w:rsid w:val="00A6128E"/>
    <w:rsid w:val="00A62B9A"/>
    <w:rsid w:val="00A62CE1"/>
    <w:rsid w:val="00A631FA"/>
    <w:rsid w:val="00A64203"/>
    <w:rsid w:val="00A64348"/>
    <w:rsid w:val="00A644E1"/>
    <w:rsid w:val="00A66264"/>
    <w:rsid w:val="00A6666A"/>
    <w:rsid w:val="00A6766C"/>
    <w:rsid w:val="00A67959"/>
    <w:rsid w:val="00A70E97"/>
    <w:rsid w:val="00A711B0"/>
    <w:rsid w:val="00A71279"/>
    <w:rsid w:val="00A721FB"/>
    <w:rsid w:val="00A727BA"/>
    <w:rsid w:val="00A72D4B"/>
    <w:rsid w:val="00A732AE"/>
    <w:rsid w:val="00A74192"/>
    <w:rsid w:val="00A75837"/>
    <w:rsid w:val="00A75E40"/>
    <w:rsid w:val="00A762F6"/>
    <w:rsid w:val="00A76B12"/>
    <w:rsid w:val="00A76EF2"/>
    <w:rsid w:val="00A7727E"/>
    <w:rsid w:val="00A77C13"/>
    <w:rsid w:val="00A77EB2"/>
    <w:rsid w:val="00A80201"/>
    <w:rsid w:val="00A80917"/>
    <w:rsid w:val="00A81094"/>
    <w:rsid w:val="00A81FB6"/>
    <w:rsid w:val="00A82B66"/>
    <w:rsid w:val="00A82C52"/>
    <w:rsid w:val="00A83B58"/>
    <w:rsid w:val="00A84D7D"/>
    <w:rsid w:val="00A84FAF"/>
    <w:rsid w:val="00A851B6"/>
    <w:rsid w:val="00A85729"/>
    <w:rsid w:val="00A8574B"/>
    <w:rsid w:val="00A857C0"/>
    <w:rsid w:val="00A85F18"/>
    <w:rsid w:val="00A85F5E"/>
    <w:rsid w:val="00A8775C"/>
    <w:rsid w:val="00A90343"/>
    <w:rsid w:val="00A91336"/>
    <w:rsid w:val="00A91D49"/>
    <w:rsid w:val="00A9221C"/>
    <w:rsid w:val="00A92277"/>
    <w:rsid w:val="00A92916"/>
    <w:rsid w:val="00A929D1"/>
    <w:rsid w:val="00A94152"/>
    <w:rsid w:val="00A94628"/>
    <w:rsid w:val="00A94954"/>
    <w:rsid w:val="00A9497A"/>
    <w:rsid w:val="00A949A6"/>
    <w:rsid w:val="00A94BF6"/>
    <w:rsid w:val="00A96241"/>
    <w:rsid w:val="00A96463"/>
    <w:rsid w:val="00A97E3F"/>
    <w:rsid w:val="00AA09D3"/>
    <w:rsid w:val="00AA1356"/>
    <w:rsid w:val="00AA220F"/>
    <w:rsid w:val="00AA23FB"/>
    <w:rsid w:val="00AA34FE"/>
    <w:rsid w:val="00AA3BB6"/>
    <w:rsid w:val="00AA42AB"/>
    <w:rsid w:val="00AA4A76"/>
    <w:rsid w:val="00AA559A"/>
    <w:rsid w:val="00AA57A4"/>
    <w:rsid w:val="00AA5F10"/>
    <w:rsid w:val="00AB0BB9"/>
    <w:rsid w:val="00AB104D"/>
    <w:rsid w:val="00AB1441"/>
    <w:rsid w:val="00AB1653"/>
    <w:rsid w:val="00AB2064"/>
    <w:rsid w:val="00AB2AF1"/>
    <w:rsid w:val="00AB440B"/>
    <w:rsid w:val="00AB47E3"/>
    <w:rsid w:val="00AB5D66"/>
    <w:rsid w:val="00AB74C5"/>
    <w:rsid w:val="00AB7BEE"/>
    <w:rsid w:val="00AB7DF2"/>
    <w:rsid w:val="00AC1E3F"/>
    <w:rsid w:val="00AC219A"/>
    <w:rsid w:val="00AC37B8"/>
    <w:rsid w:val="00AC3D02"/>
    <w:rsid w:val="00AC444B"/>
    <w:rsid w:val="00AC4F18"/>
    <w:rsid w:val="00AC69CA"/>
    <w:rsid w:val="00AD0B46"/>
    <w:rsid w:val="00AD1094"/>
    <w:rsid w:val="00AD1299"/>
    <w:rsid w:val="00AD2565"/>
    <w:rsid w:val="00AD2862"/>
    <w:rsid w:val="00AD306C"/>
    <w:rsid w:val="00AD3424"/>
    <w:rsid w:val="00AD3E3F"/>
    <w:rsid w:val="00AD47F5"/>
    <w:rsid w:val="00AD4FEF"/>
    <w:rsid w:val="00AD50D1"/>
    <w:rsid w:val="00AD59BB"/>
    <w:rsid w:val="00AD5D68"/>
    <w:rsid w:val="00AD6C73"/>
    <w:rsid w:val="00AD75F9"/>
    <w:rsid w:val="00AD7D49"/>
    <w:rsid w:val="00AE06D0"/>
    <w:rsid w:val="00AE1B8A"/>
    <w:rsid w:val="00AE39DC"/>
    <w:rsid w:val="00AE3CDA"/>
    <w:rsid w:val="00AE481D"/>
    <w:rsid w:val="00AE608F"/>
    <w:rsid w:val="00AE6195"/>
    <w:rsid w:val="00AE63AB"/>
    <w:rsid w:val="00AE6557"/>
    <w:rsid w:val="00AE6734"/>
    <w:rsid w:val="00AE7921"/>
    <w:rsid w:val="00AE7968"/>
    <w:rsid w:val="00AE7B2B"/>
    <w:rsid w:val="00AE7DFF"/>
    <w:rsid w:val="00AF0522"/>
    <w:rsid w:val="00AF128B"/>
    <w:rsid w:val="00AF1AEA"/>
    <w:rsid w:val="00AF1BA9"/>
    <w:rsid w:val="00AF24FD"/>
    <w:rsid w:val="00AF2536"/>
    <w:rsid w:val="00AF2852"/>
    <w:rsid w:val="00AF3225"/>
    <w:rsid w:val="00AF3900"/>
    <w:rsid w:val="00AF4983"/>
    <w:rsid w:val="00AF4CA7"/>
    <w:rsid w:val="00AF518B"/>
    <w:rsid w:val="00AF5275"/>
    <w:rsid w:val="00AF579A"/>
    <w:rsid w:val="00AF5D62"/>
    <w:rsid w:val="00AF6367"/>
    <w:rsid w:val="00AF6A79"/>
    <w:rsid w:val="00AF6B7C"/>
    <w:rsid w:val="00AF724E"/>
    <w:rsid w:val="00AF73A9"/>
    <w:rsid w:val="00AF7C5D"/>
    <w:rsid w:val="00B008A0"/>
    <w:rsid w:val="00B01436"/>
    <w:rsid w:val="00B014DD"/>
    <w:rsid w:val="00B01AEF"/>
    <w:rsid w:val="00B01C2C"/>
    <w:rsid w:val="00B0231C"/>
    <w:rsid w:val="00B06E35"/>
    <w:rsid w:val="00B07372"/>
    <w:rsid w:val="00B07C2A"/>
    <w:rsid w:val="00B10100"/>
    <w:rsid w:val="00B12809"/>
    <w:rsid w:val="00B128E5"/>
    <w:rsid w:val="00B13681"/>
    <w:rsid w:val="00B13BCE"/>
    <w:rsid w:val="00B15DCD"/>
    <w:rsid w:val="00B15ED5"/>
    <w:rsid w:val="00B16201"/>
    <w:rsid w:val="00B164F6"/>
    <w:rsid w:val="00B17E71"/>
    <w:rsid w:val="00B17FDE"/>
    <w:rsid w:val="00B20597"/>
    <w:rsid w:val="00B208FC"/>
    <w:rsid w:val="00B20C65"/>
    <w:rsid w:val="00B22E17"/>
    <w:rsid w:val="00B25567"/>
    <w:rsid w:val="00B25E31"/>
    <w:rsid w:val="00B262CD"/>
    <w:rsid w:val="00B266C5"/>
    <w:rsid w:val="00B26984"/>
    <w:rsid w:val="00B2702C"/>
    <w:rsid w:val="00B27293"/>
    <w:rsid w:val="00B300E8"/>
    <w:rsid w:val="00B301BB"/>
    <w:rsid w:val="00B310A1"/>
    <w:rsid w:val="00B316B8"/>
    <w:rsid w:val="00B321E3"/>
    <w:rsid w:val="00B3229E"/>
    <w:rsid w:val="00B32DDB"/>
    <w:rsid w:val="00B335ED"/>
    <w:rsid w:val="00B3447A"/>
    <w:rsid w:val="00B3448C"/>
    <w:rsid w:val="00B34931"/>
    <w:rsid w:val="00B35174"/>
    <w:rsid w:val="00B35BEA"/>
    <w:rsid w:val="00B362B5"/>
    <w:rsid w:val="00B365CB"/>
    <w:rsid w:val="00B37915"/>
    <w:rsid w:val="00B3793D"/>
    <w:rsid w:val="00B40FC9"/>
    <w:rsid w:val="00B41BE6"/>
    <w:rsid w:val="00B42831"/>
    <w:rsid w:val="00B428A4"/>
    <w:rsid w:val="00B457E7"/>
    <w:rsid w:val="00B45D1B"/>
    <w:rsid w:val="00B45DE5"/>
    <w:rsid w:val="00B46D25"/>
    <w:rsid w:val="00B47430"/>
    <w:rsid w:val="00B47AC6"/>
    <w:rsid w:val="00B52D2D"/>
    <w:rsid w:val="00B534EF"/>
    <w:rsid w:val="00B548DA"/>
    <w:rsid w:val="00B55BA8"/>
    <w:rsid w:val="00B55F15"/>
    <w:rsid w:val="00B561A6"/>
    <w:rsid w:val="00B56708"/>
    <w:rsid w:val="00B56A48"/>
    <w:rsid w:val="00B57CC4"/>
    <w:rsid w:val="00B60062"/>
    <w:rsid w:val="00B62960"/>
    <w:rsid w:val="00B63A11"/>
    <w:rsid w:val="00B63CB3"/>
    <w:rsid w:val="00B63FD0"/>
    <w:rsid w:val="00B6493D"/>
    <w:rsid w:val="00B6553E"/>
    <w:rsid w:val="00B65C84"/>
    <w:rsid w:val="00B6608F"/>
    <w:rsid w:val="00B70D4C"/>
    <w:rsid w:val="00B73180"/>
    <w:rsid w:val="00B73AA5"/>
    <w:rsid w:val="00B741FD"/>
    <w:rsid w:val="00B74317"/>
    <w:rsid w:val="00B75700"/>
    <w:rsid w:val="00B760C1"/>
    <w:rsid w:val="00B76D1E"/>
    <w:rsid w:val="00B77BC8"/>
    <w:rsid w:val="00B77FB7"/>
    <w:rsid w:val="00B800EB"/>
    <w:rsid w:val="00B817E0"/>
    <w:rsid w:val="00B822D2"/>
    <w:rsid w:val="00B823F1"/>
    <w:rsid w:val="00B8317C"/>
    <w:rsid w:val="00B831B4"/>
    <w:rsid w:val="00B83D46"/>
    <w:rsid w:val="00B848B8"/>
    <w:rsid w:val="00B84A41"/>
    <w:rsid w:val="00B84D57"/>
    <w:rsid w:val="00B8504B"/>
    <w:rsid w:val="00B853C2"/>
    <w:rsid w:val="00B85689"/>
    <w:rsid w:val="00B85FDC"/>
    <w:rsid w:val="00B86748"/>
    <w:rsid w:val="00B907EA"/>
    <w:rsid w:val="00B91EC9"/>
    <w:rsid w:val="00B924CA"/>
    <w:rsid w:val="00B92A4B"/>
    <w:rsid w:val="00B93341"/>
    <w:rsid w:val="00B93384"/>
    <w:rsid w:val="00B93616"/>
    <w:rsid w:val="00B94417"/>
    <w:rsid w:val="00B95566"/>
    <w:rsid w:val="00B95940"/>
    <w:rsid w:val="00B95EF8"/>
    <w:rsid w:val="00B95F50"/>
    <w:rsid w:val="00B96BD9"/>
    <w:rsid w:val="00B979A0"/>
    <w:rsid w:val="00B979AF"/>
    <w:rsid w:val="00BA094F"/>
    <w:rsid w:val="00BA0DED"/>
    <w:rsid w:val="00BA0F99"/>
    <w:rsid w:val="00BA6D2C"/>
    <w:rsid w:val="00BA7002"/>
    <w:rsid w:val="00BB0274"/>
    <w:rsid w:val="00BB0B13"/>
    <w:rsid w:val="00BB1CFD"/>
    <w:rsid w:val="00BB2C53"/>
    <w:rsid w:val="00BB32DA"/>
    <w:rsid w:val="00BB3A54"/>
    <w:rsid w:val="00BB462A"/>
    <w:rsid w:val="00BB4D26"/>
    <w:rsid w:val="00BB4E21"/>
    <w:rsid w:val="00BB7746"/>
    <w:rsid w:val="00BC22EB"/>
    <w:rsid w:val="00BC31F8"/>
    <w:rsid w:val="00BC4795"/>
    <w:rsid w:val="00BC65CE"/>
    <w:rsid w:val="00BC682B"/>
    <w:rsid w:val="00BC68BA"/>
    <w:rsid w:val="00BC6B04"/>
    <w:rsid w:val="00BC6D27"/>
    <w:rsid w:val="00BD059A"/>
    <w:rsid w:val="00BD0CBB"/>
    <w:rsid w:val="00BD186B"/>
    <w:rsid w:val="00BD1EAC"/>
    <w:rsid w:val="00BD254C"/>
    <w:rsid w:val="00BD3428"/>
    <w:rsid w:val="00BD366B"/>
    <w:rsid w:val="00BD5298"/>
    <w:rsid w:val="00BD534C"/>
    <w:rsid w:val="00BD557B"/>
    <w:rsid w:val="00BD55A9"/>
    <w:rsid w:val="00BD56BC"/>
    <w:rsid w:val="00BD5D91"/>
    <w:rsid w:val="00BD6445"/>
    <w:rsid w:val="00BD6615"/>
    <w:rsid w:val="00BD6D50"/>
    <w:rsid w:val="00BD7E55"/>
    <w:rsid w:val="00BE0AB0"/>
    <w:rsid w:val="00BE0D79"/>
    <w:rsid w:val="00BE0DB0"/>
    <w:rsid w:val="00BE15B9"/>
    <w:rsid w:val="00BE2C15"/>
    <w:rsid w:val="00BE3381"/>
    <w:rsid w:val="00BE3F09"/>
    <w:rsid w:val="00BE52E8"/>
    <w:rsid w:val="00BE632F"/>
    <w:rsid w:val="00BE670A"/>
    <w:rsid w:val="00BE6906"/>
    <w:rsid w:val="00BE78D6"/>
    <w:rsid w:val="00BF18F4"/>
    <w:rsid w:val="00BF1A69"/>
    <w:rsid w:val="00BF3BC8"/>
    <w:rsid w:val="00BF3DF1"/>
    <w:rsid w:val="00BF4C31"/>
    <w:rsid w:val="00BF4E57"/>
    <w:rsid w:val="00BF53B8"/>
    <w:rsid w:val="00BF60CA"/>
    <w:rsid w:val="00BF786A"/>
    <w:rsid w:val="00BF7CB8"/>
    <w:rsid w:val="00BF7F08"/>
    <w:rsid w:val="00C00831"/>
    <w:rsid w:val="00C00F20"/>
    <w:rsid w:val="00C01354"/>
    <w:rsid w:val="00C01700"/>
    <w:rsid w:val="00C01A3C"/>
    <w:rsid w:val="00C01B84"/>
    <w:rsid w:val="00C022BC"/>
    <w:rsid w:val="00C034E6"/>
    <w:rsid w:val="00C05715"/>
    <w:rsid w:val="00C05926"/>
    <w:rsid w:val="00C0784A"/>
    <w:rsid w:val="00C10B28"/>
    <w:rsid w:val="00C10D62"/>
    <w:rsid w:val="00C10FAE"/>
    <w:rsid w:val="00C1135D"/>
    <w:rsid w:val="00C11DAF"/>
    <w:rsid w:val="00C1227B"/>
    <w:rsid w:val="00C123B4"/>
    <w:rsid w:val="00C12A69"/>
    <w:rsid w:val="00C13150"/>
    <w:rsid w:val="00C13737"/>
    <w:rsid w:val="00C150BE"/>
    <w:rsid w:val="00C158B0"/>
    <w:rsid w:val="00C15A0C"/>
    <w:rsid w:val="00C15CEB"/>
    <w:rsid w:val="00C15DCB"/>
    <w:rsid w:val="00C16208"/>
    <w:rsid w:val="00C1654F"/>
    <w:rsid w:val="00C16D5D"/>
    <w:rsid w:val="00C16E16"/>
    <w:rsid w:val="00C1711F"/>
    <w:rsid w:val="00C17E38"/>
    <w:rsid w:val="00C2038A"/>
    <w:rsid w:val="00C205BF"/>
    <w:rsid w:val="00C20744"/>
    <w:rsid w:val="00C20B1C"/>
    <w:rsid w:val="00C20C4D"/>
    <w:rsid w:val="00C21D46"/>
    <w:rsid w:val="00C21F94"/>
    <w:rsid w:val="00C222A1"/>
    <w:rsid w:val="00C22C59"/>
    <w:rsid w:val="00C23371"/>
    <w:rsid w:val="00C235D4"/>
    <w:rsid w:val="00C23CBD"/>
    <w:rsid w:val="00C23D22"/>
    <w:rsid w:val="00C2463B"/>
    <w:rsid w:val="00C24E77"/>
    <w:rsid w:val="00C26214"/>
    <w:rsid w:val="00C2732D"/>
    <w:rsid w:val="00C273C6"/>
    <w:rsid w:val="00C27913"/>
    <w:rsid w:val="00C3004E"/>
    <w:rsid w:val="00C300C6"/>
    <w:rsid w:val="00C30828"/>
    <w:rsid w:val="00C30924"/>
    <w:rsid w:val="00C30EB6"/>
    <w:rsid w:val="00C310E2"/>
    <w:rsid w:val="00C31DD8"/>
    <w:rsid w:val="00C3271C"/>
    <w:rsid w:val="00C32A35"/>
    <w:rsid w:val="00C34FDE"/>
    <w:rsid w:val="00C35C16"/>
    <w:rsid w:val="00C362A5"/>
    <w:rsid w:val="00C36EC3"/>
    <w:rsid w:val="00C40E09"/>
    <w:rsid w:val="00C40F81"/>
    <w:rsid w:val="00C41463"/>
    <w:rsid w:val="00C418F0"/>
    <w:rsid w:val="00C41A06"/>
    <w:rsid w:val="00C41A72"/>
    <w:rsid w:val="00C42D45"/>
    <w:rsid w:val="00C4335D"/>
    <w:rsid w:val="00C43CB1"/>
    <w:rsid w:val="00C4422D"/>
    <w:rsid w:val="00C44B63"/>
    <w:rsid w:val="00C466D1"/>
    <w:rsid w:val="00C468A2"/>
    <w:rsid w:val="00C475DF"/>
    <w:rsid w:val="00C476C5"/>
    <w:rsid w:val="00C503B0"/>
    <w:rsid w:val="00C51199"/>
    <w:rsid w:val="00C511C2"/>
    <w:rsid w:val="00C527C6"/>
    <w:rsid w:val="00C531C7"/>
    <w:rsid w:val="00C538FC"/>
    <w:rsid w:val="00C53CDB"/>
    <w:rsid w:val="00C53D82"/>
    <w:rsid w:val="00C54748"/>
    <w:rsid w:val="00C54D19"/>
    <w:rsid w:val="00C559F1"/>
    <w:rsid w:val="00C574CF"/>
    <w:rsid w:val="00C575FB"/>
    <w:rsid w:val="00C60696"/>
    <w:rsid w:val="00C60943"/>
    <w:rsid w:val="00C60EEF"/>
    <w:rsid w:val="00C610C5"/>
    <w:rsid w:val="00C6121D"/>
    <w:rsid w:val="00C615F1"/>
    <w:rsid w:val="00C61627"/>
    <w:rsid w:val="00C63B1A"/>
    <w:rsid w:val="00C63CB3"/>
    <w:rsid w:val="00C63E8F"/>
    <w:rsid w:val="00C64620"/>
    <w:rsid w:val="00C64E60"/>
    <w:rsid w:val="00C657A4"/>
    <w:rsid w:val="00C66589"/>
    <w:rsid w:val="00C6736C"/>
    <w:rsid w:val="00C7121E"/>
    <w:rsid w:val="00C7179C"/>
    <w:rsid w:val="00C71A1D"/>
    <w:rsid w:val="00C71EC4"/>
    <w:rsid w:val="00C735EA"/>
    <w:rsid w:val="00C7410A"/>
    <w:rsid w:val="00C74791"/>
    <w:rsid w:val="00C7591E"/>
    <w:rsid w:val="00C75C7E"/>
    <w:rsid w:val="00C75C9B"/>
    <w:rsid w:val="00C76D8E"/>
    <w:rsid w:val="00C77833"/>
    <w:rsid w:val="00C80953"/>
    <w:rsid w:val="00C80C9B"/>
    <w:rsid w:val="00C8180B"/>
    <w:rsid w:val="00C8335E"/>
    <w:rsid w:val="00C83CF4"/>
    <w:rsid w:val="00C83F9C"/>
    <w:rsid w:val="00C84154"/>
    <w:rsid w:val="00C84CE3"/>
    <w:rsid w:val="00C85614"/>
    <w:rsid w:val="00C86127"/>
    <w:rsid w:val="00C8711E"/>
    <w:rsid w:val="00C9003C"/>
    <w:rsid w:val="00C90284"/>
    <w:rsid w:val="00C90CF4"/>
    <w:rsid w:val="00C91C19"/>
    <w:rsid w:val="00C929A0"/>
    <w:rsid w:val="00C92E80"/>
    <w:rsid w:val="00C92FCB"/>
    <w:rsid w:val="00C930FB"/>
    <w:rsid w:val="00C93389"/>
    <w:rsid w:val="00C937DB"/>
    <w:rsid w:val="00C94519"/>
    <w:rsid w:val="00C94E11"/>
    <w:rsid w:val="00C94E83"/>
    <w:rsid w:val="00C9567E"/>
    <w:rsid w:val="00C960EC"/>
    <w:rsid w:val="00C965DE"/>
    <w:rsid w:val="00C97038"/>
    <w:rsid w:val="00C97D46"/>
    <w:rsid w:val="00CA02B2"/>
    <w:rsid w:val="00CA0883"/>
    <w:rsid w:val="00CA1085"/>
    <w:rsid w:val="00CA140F"/>
    <w:rsid w:val="00CA25C2"/>
    <w:rsid w:val="00CA37BB"/>
    <w:rsid w:val="00CA37CA"/>
    <w:rsid w:val="00CA39E1"/>
    <w:rsid w:val="00CA5016"/>
    <w:rsid w:val="00CA542C"/>
    <w:rsid w:val="00CA5724"/>
    <w:rsid w:val="00CA64FD"/>
    <w:rsid w:val="00CA6508"/>
    <w:rsid w:val="00CA6BA1"/>
    <w:rsid w:val="00CA6CD5"/>
    <w:rsid w:val="00CA6D0B"/>
    <w:rsid w:val="00CB1910"/>
    <w:rsid w:val="00CB2150"/>
    <w:rsid w:val="00CB28EE"/>
    <w:rsid w:val="00CB2B15"/>
    <w:rsid w:val="00CB2EEA"/>
    <w:rsid w:val="00CB39FE"/>
    <w:rsid w:val="00CB43A7"/>
    <w:rsid w:val="00CB4DF1"/>
    <w:rsid w:val="00CB5996"/>
    <w:rsid w:val="00CB6809"/>
    <w:rsid w:val="00CB7452"/>
    <w:rsid w:val="00CC0E10"/>
    <w:rsid w:val="00CC1DAF"/>
    <w:rsid w:val="00CC2642"/>
    <w:rsid w:val="00CC2967"/>
    <w:rsid w:val="00CC2A1E"/>
    <w:rsid w:val="00CC2A36"/>
    <w:rsid w:val="00CC2E15"/>
    <w:rsid w:val="00CC3440"/>
    <w:rsid w:val="00CC351B"/>
    <w:rsid w:val="00CC3908"/>
    <w:rsid w:val="00CC3FAB"/>
    <w:rsid w:val="00CC47D7"/>
    <w:rsid w:val="00CC4F3D"/>
    <w:rsid w:val="00CC51B3"/>
    <w:rsid w:val="00CC62AD"/>
    <w:rsid w:val="00CC6CA2"/>
    <w:rsid w:val="00CC7086"/>
    <w:rsid w:val="00CC7B80"/>
    <w:rsid w:val="00CD0080"/>
    <w:rsid w:val="00CD0779"/>
    <w:rsid w:val="00CD2B3C"/>
    <w:rsid w:val="00CD2F7F"/>
    <w:rsid w:val="00CD30F6"/>
    <w:rsid w:val="00CD4B29"/>
    <w:rsid w:val="00CD5493"/>
    <w:rsid w:val="00CD67CA"/>
    <w:rsid w:val="00CD6954"/>
    <w:rsid w:val="00CD6DA3"/>
    <w:rsid w:val="00CD6EF1"/>
    <w:rsid w:val="00CD78B7"/>
    <w:rsid w:val="00CD7E35"/>
    <w:rsid w:val="00CD7E3B"/>
    <w:rsid w:val="00CE118D"/>
    <w:rsid w:val="00CE1385"/>
    <w:rsid w:val="00CE1CFC"/>
    <w:rsid w:val="00CE21C7"/>
    <w:rsid w:val="00CE2682"/>
    <w:rsid w:val="00CE2756"/>
    <w:rsid w:val="00CE3D1C"/>
    <w:rsid w:val="00CE442A"/>
    <w:rsid w:val="00CE4DEB"/>
    <w:rsid w:val="00CE57D8"/>
    <w:rsid w:val="00CE5F03"/>
    <w:rsid w:val="00CE617A"/>
    <w:rsid w:val="00CE6E3C"/>
    <w:rsid w:val="00CE7158"/>
    <w:rsid w:val="00CE7815"/>
    <w:rsid w:val="00CE797F"/>
    <w:rsid w:val="00CF0E7B"/>
    <w:rsid w:val="00CF0FEF"/>
    <w:rsid w:val="00CF1016"/>
    <w:rsid w:val="00CF107E"/>
    <w:rsid w:val="00CF15BF"/>
    <w:rsid w:val="00CF17DE"/>
    <w:rsid w:val="00CF2090"/>
    <w:rsid w:val="00CF25D2"/>
    <w:rsid w:val="00CF28C2"/>
    <w:rsid w:val="00CF3D3A"/>
    <w:rsid w:val="00CF42BD"/>
    <w:rsid w:val="00CF51EC"/>
    <w:rsid w:val="00CF5576"/>
    <w:rsid w:val="00CF6A9D"/>
    <w:rsid w:val="00CF6CD7"/>
    <w:rsid w:val="00CF7276"/>
    <w:rsid w:val="00CF75EC"/>
    <w:rsid w:val="00D002DF"/>
    <w:rsid w:val="00D0037A"/>
    <w:rsid w:val="00D0061E"/>
    <w:rsid w:val="00D00DAF"/>
    <w:rsid w:val="00D017EC"/>
    <w:rsid w:val="00D01CDA"/>
    <w:rsid w:val="00D020FC"/>
    <w:rsid w:val="00D03866"/>
    <w:rsid w:val="00D040DD"/>
    <w:rsid w:val="00D04E1B"/>
    <w:rsid w:val="00D0547B"/>
    <w:rsid w:val="00D076DB"/>
    <w:rsid w:val="00D07D71"/>
    <w:rsid w:val="00D07EFF"/>
    <w:rsid w:val="00D1067C"/>
    <w:rsid w:val="00D11CBB"/>
    <w:rsid w:val="00D1221D"/>
    <w:rsid w:val="00D136D4"/>
    <w:rsid w:val="00D13830"/>
    <w:rsid w:val="00D13ECF"/>
    <w:rsid w:val="00D142E5"/>
    <w:rsid w:val="00D148CD"/>
    <w:rsid w:val="00D14A40"/>
    <w:rsid w:val="00D1611E"/>
    <w:rsid w:val="00D163CC"/>
    <w:rsid w:val="00D16E69"/>
    <w:rsid w:val="00D17F4A"/>
    <w:rsid w:val="00D205A9"/>
    <w:rsid w:val="00D217EE"/>
    <w:rsid w:val="00D2210A"/>
    <w:rsid w:val="00D237C7"/>
    <w:rsid w:val="00D24299"/>
    <w:rsid w:val="00D245BA"/>
    <w:rsid w:val="00D25C8A"/>
    <w:rsid w:val="00D26923"/>
    <w:rsid w:val="00D27856"/>
    <w:rsid w:val="00D27D34"/>
    <w:rsid w:val="00D3006B"/>
    <w:rsid w:val="00D301CA"/>
    <w:rsid w:val="00D30740"/>
    <w:rsid w:val="00D31075"/>
    <w:rsid w:val="00D31445"/>
    <w:rsid w:val="00D31932"/>
    <w:rsid w:val="00D31EA5"/>
    <w:rsid w:val="00D32AE0"/>
    <w:rsid w:val="00D360DA"/>
    <w:rsid w:val="00D374B3"/>
    <w:rsid w:val="00D37689"/>
    <w:rsid w:val="00D378CC"/>
    <w:rsid w:val="00D37AB3"/>
    <w:rsid w:val="00D4042C"/>
    <w:rsid w:val="00D40698"/>
    <w:rsid w:val="00D40B9E"/>
    <w:rsid w:val="00D41281"/>
    <w:rsid w:val="00D42312"/>
    <w:rsid w:val="00D433F5"/>
    <w:rsid w:val="00D43998"/>
    <w:rsid w:val="00D439C2"/>
    <w:rsid w:val="00D43A2B"/>
    <w:rsid w:val="00D44477"/>
    <w:rsid w:val="00D451E0"/>
    <w:rsid w:val="00D45A1D"/>
    <w:rsid w:val="00D4615E"/>
    <w:rsid w:val="00D4651F"/>
    <w:rsid w:val="00D478E2"/>
    <w:rsid w:val="00D50980"/>
    <w:rsid w:val="00D51CD6"/>
    <w:rsid w:val="00D5264C"/>
    <w:rsid w:val="00D543F9"/>
    <w:rsid w:val="00D547BA"/>
    <w:rsid w:val="00D55626"/>
    <w:rsid w:val="00D556BC"/>
    <w:rsid w:val="00D5626D"/>
    <w:rsid w:val="00D56631"/>
    <w:rsid w:val="00D577A4"/>
    <w:rsid w:val="00D57808"/>
    <w:rsid w:val="00D57E4B"/>
    <w:rsid w:val="00D60277"/>
    <w:rsid w:val="00D60336"/>
    <w:rsid w:val="00D61B06"/>
    <w:rsid w:val="00D61F88"/>
    <w:rsid w:val="00D62688"/>
    <w:rsid w:val="00D627C7"/>
    <w:rsid w:val="00D62901"/>
    <w:rsid w:val="00D6345E"/>
    <w:rsid w:val="00D637A2"/>
    <w:rsid w:val="00D64644"/>
    <w:rsid w:val="00D6470C"/>
    <w:rsid w:val="00D64853"/>
    <w:rsid w:val="00D64CB5"/>
    <w:rsid w:val="00D6562C"/>
    <w:rsid w:val="00D65800"/>
    <w:rsid w:val="00D66368"/>
    <w:rsid w:val="00D66D48"/>
    <w:rsid w:val="00D67B47"/>
    <w:rsid w:val="00D7162F"/>
    <w:rsid w:val="00D72897"/>
    <w:rsid w:val="00D73256"/>
    <w:rsid w:val="00D73A30"/>
    <w:rsid w:val="00D73E6F"/>
    <w:rsid w:val="00D74ABF"/>
    <w:rsid w:val="00D74C65"/>
    <w:rsid w:val="00D74E97"/>
    <w:rsid w:val="00D74F21"/>
    <w:rsid w:val="00D758D0"/>
    <w:rsid w:val="00D75DC2"/>
    <w:rsid w:val="00D75DC3"/>
    <w:rsid w:val="00D75F45"/>
    <w:rsid w:val="00D766EF"/>
    <w:rsid w:val="00D76C03"/>
    <w:rsid w:val="00D7722D"/>
    <w:rsid w:val="00D77F8D"/>
    <w:rsid w:val="00D80E07"/>
    <w:rsid w:val="00D80F8E"/>
    <w:rsid w:val="00D8119B"/>
    <w:rsid w:val="00D81B44"/>
    <w:rsid w:val="00D82462"/>
    <w:rsid w:val="00D831C6"/>
    <w:rsid w:val="00D83294"/>
    <w:rsid w:val="00D83EF3"/>
    <w:rsid w:val="00D84BD1"/>
    <w:rsid w:val="00D85773"/>
    <w:rsid w:val="00D85886"/>
    <w:rsid w:val="00D868CE"/>
    <w:rsid w:val="00D86DAE"/>
    <w:rsid w:val="00D90116"/>
    <w:rsid w:val="00D90C1E"/>
    <w:rsid w:val="00D91BDF"/>
    <w:rsid w:val="00D91F2C"/>
    <w:rsid w:val="00D9266B"/>
    <w:rsid w:val="00D93794"/>
    <w:rsid w:val="00D93F09"/>
    <w:rsid w:val="00D944E7"/>
    <w:rsid w:val="00D94859"/>
    <w:rsid w:val="00D954C2"/>
    <w:rsid w:val="00D9640A"/>
    <w:rsid w:val="00D97BB8"/>
    <w:rsid w:val="00DA0299"/>
    <w:rsid w:val="00DA06FE"/>
    <w:rsid w:val="00DA07D3"/>
    <w:rsid w:val="00DA1318"/>
    <w:rsid w:val="00DA1382"/>
    <w:rsid w:val="00DA28B7"/>
    <w:rsid w:val="00DA2FE8"/>
    <w:rsid w:val="00DA42CF"/>
    <w:rsid w:val="00DA4AF6"/>
    <w:rsid w:val="00DA5374"/>
    <w:rsid w:val="00DA7AB2"/>
    <w:rsid w:val="00DA7B54"/>
    <w:rsid w:val="00DB016E"/>
    <w:rsid w:val="00DB06E9"/>
    <w:rsid w:val="00DB0BF3"/>
    <w:rsid w:val="00DB19BD"/>
    <w:rsid w:val="00DB1D55"/>
    <w:rsid w:val="00DB378E"/>
    <w:rsid w:val="00DB3C0D"/>
    <w:rsid w:val="00DB3E9D"/>
    <w:rsid w:val="00DB47B9"/>
    <w:rsid w:val="00DB4FB8"/>
    <w:rsid w:val="00DB53CE"/>
    <w:rsid w:val="00DB549D"/>
    <w:rsid w:val="00DB5792"/>
    <w:rsid w:val="00DB5798"/>
    <w:rsid w:val="00DB6A88"/>
    <w:rsid w:val="00DB7BA4"/>
    <w:rsid w:val="00DB7D77"/>
    <w:rsid w:val="00DC08D7"/>
    <w:rsid w:val="00DC0CBA"/>
    <w:rsid w:val="00DC226A"/>
    <w:rsid w:val="00DC257F"/>
    <w:rsid w:val="00DC2A9F"/>
    <w:rsid w:val="00DC2FA9"/>
    <w:rsid w:val="00DC350B"/>
    <w:rsid w:val="00DC3790"/>
    <w:rsid w:val="00DC408A"/>
    <w:rsid w:val="00DC436D"/>
    <w:rsid w:val="00DC519B"/>
    <w:rsid w:val="00DC5B3B"/>
    <w:rsid w:val="00DC6796"/>
    <w:rsid w:val="00DC6CC6"/>
    <w:rsid w:val="00DC78DF"/>
    <w:rsid w:val="00DC7D4C"/>
    <w:rsid w:val="00DC7F3C"/>
    <w:rsid w:val="00DD0726"/>
    <w:rsid w:val="00DD0821"/>
    <w:rsid w:val="00DD0ABE"/>
    <w:rsid w:val="00DD0E32"/>
    <w:rsid w:val="00DD1878"/>
    <w:rsid w:val="00DD1DC1"/>
    <w:rsid w:val="00DD2872"/>
    <w:rsid w:val="00DD2A62"/>
    <w:rsid w:val="00DD2BD0"/>
    <w:rsid w:val="00DD2BFE"/>
    <w:rsid w:val="00DD373E"/>
    <w:rsid w:val="00DD3867"/>
    <w:rsid w:val="00DD3F47"/>
    <w:rsid w:val="00DD428A"/>
    <w:rsid w:val="00DD57AD"/>
    <w:rsid w:val="00DD7435"/>
    <w:rsid w:val="00DD7C6D"/>
    <w:rsid w:val="00DE009B"/>
    <w:rsid w:val="00DE08F8"/>
    <w:rsid w:val="00DE0C31"/>
    <w:rsid w:val="00DE0E40"/>
    <w:rsid w:val="00DE1460"/>
    <w:rsid w:val="00DE2AED"/>
    <w:rsid w:val="00DE2B74"/>
    <w:rsid w:val="00DE2ED9"/>
    <w:rsid w:val="00DE319A"/>
    <w:rsid w:val="00DF0615"/>
    <w:rsid w:val="00DF0DC3"/>
    <w:rsid w:val="00DF11BC"/>
    <w:rsid w:val="00DF21FD"/>
    <w:rsid w:val="00DF22BA"/>
    <w:rsid w:val="00DF286B"/>
    <w:rsid w:val="00DF2873"/>
    <w:rsid w:val="00DF293C"/>
    <w:rsid w:val="00DF34B2"/>
    <w:rsid w:val="00DF4C74"/>
    <w:rsid w:val="00DF5578"/>
    <w:rsid w:val="00DF629B"/>
    <w:rsid w:val="00DF69DD"/>
    <w:rsid w:val="00DF6CF8"/>
    <w:rsid w:val="00DF78DD"/>
    <w:rsid w:val="00DF7FEC"/>
    <w:rsid w:val="00E01319"/>
    <w:rsid w:val="00E01B16"/>
    <w:rsid w:val="00E01C0E"/>
    <w:rsid w:val="00E02086"/>
    <w:rsid w:val="00E023BE"/>
    <w:rsid w:val="00E02740"/>
    <w:rsid w:val="00E03B27"/>
    <w:rsid w:val="00E03B58"/>
    <w:rsid w:val="00E04694"/>
    <w:rsid w:val="00E049F6"/>
    <w:rsid w:val="00E04CA9"/>
    <w:rsid w:val="00E04E8F"/>
    <w:rsid w:val="00E05B2B"/>
    <w:rsid w:val="00E05EAD"/>
    <w:rsid w:val="00E06A2A"/>
    <w:rsid w:val="00E07F05"/>
    <w:rsid w:val="00E106A2"/>
    <w:rsid w:val="00E10B1C"/>
    <w:rsid w:val="00E11ED5"/>
    <w:rsid w:val="00E127E1"/>
    <w:rsid w:val="00E12BCE"/>
    <w:rsid w:val="00E13155"/>
    <w:rsid w:val="00E144D2"/>
    <w:rsid w:val="00E144D6"/>
    <w:rsid w:val="00E15346"/>
    <w:rsid w:val="00E15B7D"/>
    <w:rsid w:val="00E163F9"/>
    <w:rsid w:val="00E17C5F"/>
    <w:rsid w:val="00E2097E"/>
    <w:rsid w:val="00E215EA"/>
    <w:rsid w:val="00E21CAB"/>
    <w:rsid w:val="00E220FC"/>
    <w:rsid w:val="00E221FC"/>
    <w:rsid w:val="00E22561"/>
    <w:rsid w:val="00E22E78"/>
    <w:rsid w:val="00E24619"/>
    <w:rsid w:val="00E25223"/>
    <w:rsid w:val="00E25999"/>
    <w:rsid w:val="00E263A8"/>
    <w:rsid w:val="00E308C8"/>
    <w:rsid w:val="00E30BEA"/>
    <w:rsid w:val="00E30C7B"/>
    <w:rsid w:val="00E31764"/>
    <w:rsid w:val="00E3288A"/>
    <w:rsid w:val="00E32A58"/>
    <w:rsid w:val="00E32BC2"/>
    <w:rsid w:val="00E33313"/>
    <w:rsid w:val="00E34985"/>
    <w:rsid w:val="00E34E4A"/>
    <w:rsid w:val="00E365B3"/>
    <w:rsid w:val="00E366BB"/>
    <w:rsid w:val="00E372FD"/>
    <w:rsid w:val="00E379F9"/>
    <w:rsid w:val="00E37C45"/>
    <w:rsid w:val="00E40AAA"/>
    <w:rsid w:val="00E41A59"/>
    <w:rsid w:val="00E42070"/>
    <w:rsid w:val="00E42444"/>
    <w:rsid w:val="00E438CF"/>
    <w:rsid w:val="00E43B06"/>
    <w:rsid w:val="00E43C41"/>
    <w:rsid w:val="00E4500E"/>
    <w:rsid w:val="00E450CE"/>
    <w:rsid w:val="00E45703"/>
    <w:rsid w:val="00E45A00"/>
    <w:rsid w:val="00E45CE7"/>
    <w:rsid w:val="00E4631F"/>
    <w:rsid w:val="00E46A4A"/>
    <w:rsid w:val="00E4793B"/>
    <w:rsid w:val="00E47CB8"/>
    <w:rsid w:val="00E522BB"/>
    <w:rsid w:val="00E52A3D"/>
    <w:rsid w:val="00E533B7"/>
    <w:rsid w:val="00E539E4"/>
    <w:rsid w:val="00E53C14"/>
    <w:rsid w:val="00E549AC"/>
    <w:rsid w:val="00E569C7"/>
    <w:rsid w:val="00E571F2"/>
    <w:rsid w:val="00E57429"/>
    <w:rsid w:val="00E60FCE"/>
    <w:rsid w:val="00E61EA8"/>
    <w:rsid w:val="00E62A33"/>
    <w:rsid w:val="00E63221"/>
    <w:rsid w:val="00E63EC6"/>
    <w:rsid w:val="00E64AE4"/>
    <w:rsid w:val="00E64CFF"/>
    <w:rsid w:val="00E64EA1"/>
    <w:rsid w:val="00E6582D"/>
    <w:rsid w:val="00E662D1"/>
    <w:rsid w:val="00E663A1"/>
    <w:rsid w:val="00E669C7"/>
    <w:rsid w:val="00E6737F"/>
    <w:rsid w:val="00E67611"/>
    <w:rsid w:val="00E70400"/>
    <w:rsid w:val="00E70510"/>
    <w:rsid w:val="00E710C7"/>
    <w:rsid w:val="00E71262"/>
    <w:rsid w:val="00E71A58"/>
    <w:rsid w:val="00E72FBF"/>
    <w:rsid w:val="00E737F6"/>
    <w:rsid w:val="00E7568F"/>
    <w:rsid w:val="00E764AE"/>
    <w:rsid w:val="00E7724B"/>
    <w:rsid w:val="00E80E31"/>
    <w:rsid w:val="00E81130"/>
    <w:rsid w:val="00E813C1"/>
    <w:rsid w:val="00E81A9E"/>
    <w:rsid w:val="00E81E1E"/>
    <w:rsid w:val="00E83DAB"/>
    <w:rsid w:val="00E840CA"/>
    <w:rsid w:val="00E84119"/>
    <w:rsid w:val="00E84A6B"/>
    <w:rsid w:val="00E84AAD"/>
    <w:rsid w:val="00E84CAB"/>
    <w:rsid w:val="00E84F21"/>
    <w:rsid w:val="00E8618A"/>
    <w:rsid w:val="00E868D4"/>
    <w:rsid w:val="00E90A4B"/>
    <w:rsid w:val="00E90D67"/>
    <w:rsid w:val="00E90F73"/>
    <w:rsid w:val="00E910A7"/>
    <w:rsid w:val="00E910C5"/>
    <w:rsid w:val="00E91607"/>
    <w:rsid w:val="00E921C7"/>
    <w:rsid w:val="00E92995"/>
    <w:rsid w:val="00E930C0"/>
    <w:rsid w:val="00E9446C"/>
    <w:rsid w:val="00E94612"/>
    <w:rsid w:val="00E95797"/>
    <w:rsid w:val="00E9682F"/>
    <w:rsid w:val="00E96A8D"/>
    <w:rsid w:val="00E972BA"/>
    <w:rsid w:val="00E97FA2"/>
    <w:rsid w:val="00EA06CB"/>
    <w:rsid w:val="00EA0AF3"/>
    <w:rsid w:val="00EA0C68"/>
    <w:rsid w:val="00EA19E2"/>
    <w:rsid w:val="00EA1CFB"/>
    <w:rsid w:val="00EA2169"/>
    <w:rsid w:val="00EA2BC9"/>
    <w:rsid w:val="00EA3CD4"/>
    <w:rsid w:val="00EA3EBE"/>
    <w:rsid w:val="00EA3FAC"/>
    <w:rsid w:val="00EA4153"/>
    <w:rsid w:val="00EA421A"/>
    <w:rsid w:val="00EA5CD6"/>
    <w:rsid w:val="00EA76FD"/>
    <w:rsid w:val="00EA77CA"/>
    <w:rsid w:val="00EA78FE"/>
    <w:rsid w:val="00EB03D4"/>
    <w:rsid w:val="00EB0555"/>
    <w:rsid w:val="00EB0F82"/>
    <w:rsid w:val="00EB20A0"/>
    <w:rsid w:val="00EB2CE9"/>
    <w:rsid w:val="00EB30B6"/>
    <w:rsid w:val="00EB4FA4"/>
    <w:rsid w:val="00EB5146"/>
    <w:rsid w:val="00EB522B"/>
    <w:rsid w:val="00EB55E9"/>
    <w:rsid w:val="00EB5641"/>
    <w:rsid w:val="00EB5CA9"/>
    <w:rsid w:val="00EB5ED4"/>
    <w:rsid w:val="00EB6537"/>
    <w:rsid w:val="00EB70E1"/>
    <w:rsid w:val="00EB78D5"/>
    <w:rsid w:val="00EB7EB5"/>
    <w:rsid w:val="00EC0860"/>
    <w:rsid w:val="00EC0EC1"/>
    <w:rsid w:val="00EC3608"/>
    <w:rsid w:val="00EC398B"/>
    <w:rsid w:val="00EC424C"/>
    <w:rsid w:val="00EC439A"/>
    <w:rsid w:val="00EC454B"/>
    <w:rsid w:val="00EC4941"/>
    <w:rsid w:val="00EC53DE"/>
    <w:rsid w:val="00EC6153"/>
    <w:rsid w:val="00EC7360"/>
    <w:rsid w:val="00EC7918"/>
    <w:rsid w:val="00EC7F92"/>
    <w:rsid w:val="00ED00A8"/>
    <w:rsid w:val="00ED04FA"/>
    <w:rsid w:val="00ED0A79"/>
    <w:rsid w:val="00ED2670"/>
    <w:rsid w:val="00ED2989"/>
    <w:rsid w:val="00ED2B0B"/>
    <w:rsid w:val="00ED2CA5"/>
    <w:rsid w:val="00ED336F"/>
    <w:rsid w:val="00ED3A94"/>
    <w:rsid w:val="00ED40F0"/>
    <w:rsid w:val="00ED4AC0"/>
    <w:rsid w:val="00ED4C05"/>
    <w:rsid w:val="00ED54D6"/>
    <w:rsid w:val="00ED5726"/>
    <w:rsid w:val="00ED7C3C"/>
    <w:rsid w:val="00EE0113"/>
    <w:rsid w:val="00EE0298"/>
    <w:rsid w:val="00EE0384"/>
    <w:rsid w:val="00EE043A"/>
    <w:rsid w:val="00EE0473"/>
    <w:rsid w:val="00EE1057"/>
    <w:rsid w:val="00EE10AA"/>
    <w:rsid w:val="00EE1637"/>
    <w:rsid w:val="00EE3547"/>
    <w:rsid w:val="00EE3B7A"/>
    <w:rsid w:val="00EE3E78"/>
    <w:rsid w:val="00EE4534"/>
    <w:rsid w:val="00EE495A"/>
    <w:rsid w:val="00EE5E02"/>
    <w:rsid w:val="00EE617D"/>
    <w:rsid w:val="00EE61BF"/>
    <w:rsid w:val="00EE6538"/>
    <w:rsid w:val="00EE6748"/>
    <w:rsid w:val="00EE6C6B"/>
    <w:rsid w:val="00EF0916"/>
    <w:rsid w:val="00EF0E75"/>
    <w:rsid w:val="00EF1D92"/>
    <w:rsid w:val="00EF1F5A"/>
    <w:rsid w:val="00EF28C5"/>
    <w:rsid w:val="00EF3486"/>
    <w:rsid w:val="00EF3CF0"/>
    <w:rsid w:val="00EF416C"/>
    <w:rsid w:val="00EF4685"/>
    <w:rsid w:val="00EF5397"/>
    <w:rsid w:val="00EF67A9"/>
    <w:rsid w:val="00EF6BE3"/>
    <w:rsid w:val="00EF74D3"/>
    <w:rsid w:val="00F00D0E"/>
    <w:rsid w:val="00F00D3C"/>
    <w:rsid w:val="00F020EA"/>
    <w:rsid w:val="00F02A72"/>
    <w:rsid w:val="00F04811"/>
    <w:rsid w:val="00F0488C"/>
    <w:rsid w:val="00F0496E"/>
    <w:rsid w:val="00F04D10"/>
    <w:rsid w:val="00F053EA"/>
    <w:rsid w:val="00F0625B"/>
    <w:rsid w:val="00F068A8"/>
    <w:rsid w:val="00F06944"/>
    <w:rsid w:val="00F06C6F"/>
    <w:rsid w:val="00F0732D"/>
    <w:rsid w:val="00F101FF"/>
    <w:rsid w:val="00F104DF"/>
    <w:rsid w:val="00F10A33"/>
    <w:rsid w:val="00F10B64"/>
    <w:rsid w:val="00F1186C"/>
    <w:rsid w:val="00F11AD5"/>
    <w:rsid w:val="00F126D0"/>
    <w:rsid w:val="00F12A83"/>
    <w:rsid w:val="00F13E89"/>
    <w:rsid w:val="00F14ACD"/>
    <w:rsid w:val="00F15309"/>
    <w:rsid w:val="00F15BEF"/>
    <w:rsid w:val="00F160EC"/>
    <w:rsid w:val="00F172BE"/>
    <w:rsid w:val="00F1776C"/>
    <w:rsid w:val="00F17A82"/>
    <w:rsid w:val="00F2037E"/>
    <w:rsid w:val="00F20D17"/>
    <w:rsid w:val="00F2103E"/>
    <w:rsid w:val="00F214FC"/>
    <w:rsid w:val="00F21C31"/>
    <w:rsid w:val="00F21F9E"/>
    <w:rsid w:val="00F23825"/>
    <w:rsid w:val="00F2389A"/>
    <w:rsid w:val="00F23F6C"/>
    <w:rsid w:val="00F23FFF"/>
    <w:rsid w:val="00F2441D"/>
    <w:rsid w:val="00F2490D"/>
    <w:rsid w:val="00F24FAA"/>
    <w:rsid w:val="00F25226"/>
    <w:rsid w:val="00F253C6"/>
    <w:rsid w:val="00F25860"/>
    <w:rsid w:val="00F26197"/>
    <w:rsid w:val="00F273D4"/>
    <w:rsid w:val="00F307DD"/>
    <w:rsid w:val="00F30C2E"/>
    <w:rsid w:val="00F30CB4"/>
    <w:rsid w:val="00F30EBF"/>
    <w:rsid w:val="00F318FC"/>
    <w:rsid w:val="00F31D53"/>
    <w:rsid w:val="00F31F76"/>
    <w:rsid w:val="00F325A3"/>
    <w:rsid w:val="00F3364D"/>
    <w:rsid w:val="00F339D0"/>
    <w:rsid w:val="00F353AE"/>
    <w:rsid w:val="00F35ACD"/>
    <w:rsid w:val="00F365BF"/>
    <w:rsid w:val="00F36BF8"/>
    <w:rsid w:val="00F375BA"/>
    <w:rsid w:val="00F37760"/>
    <w:rsid w:val="00F403D1"/>
    <w:rsid w:val="00F42FF2"/>
    <w:rsid w:val="00F43432"/>
    <w:rsid w:val="00F43921"/>
    <w:rsid w:val="00F44E1B"/>
    <w:rsid w:val="00F4524F"/>
    <w:rsid w:val="00F45530"/>
    <w:rsid w:val="00F4591F"/>
    <w:rsid w:val="00F47321"/>
    <w:rsid w:val="00F4736B"/>
    <w:rsid w:val="00F47804"/>
    <w:rsid w:val="00F47997"/>
    <w:rsid w:val="00F47D05"/>
    <w:rsid w:val="00F50030"/>
    <w:rsid w:val="00F502F5"/>
    <w:rsid w:val="00F5053A"/>
    <w:rsid w:val="00F50B9D"/>
    <w:rsid w:val="00F51FC9"/>
    <w:rsid w:val="00F529EE"/>
    <w:rsid w:val="00F52AE1"/>
    <w:rsid w:val="00F53243"/>
    <w:rsid w:val="00F541ED"/>
    <w:rsid w:val="00F54B31"/>
    <w:rsid w:val="00F54FD3"/>
    <w:rsid w:val="00F554F9"/>
    <w:rsid w:val="00F55605"/>
    <w:rsid w:val="00F56375"/>
    <w:rsid w:val="00F57CD7"/>
    <w:rsid w:val="00F6080A"/>
    <w:rsid w:val="00F6187C"/>
    <w:rsid w:val="00F61BFE"/>
    <w:rsid w:val="00F62F02"/>
    <w:rsid w:val="00F6339F"/>
    <w:rsid w:val="00F63DDE"/>
    <w:rsid w:val="00F63FB7"/>
    <w:rsid w:val="00F64726"/>
    <w:rsid w:val="00F64F44"/>
    <w:rsid w:val="00F6561A"/>
    <w:rsid w:val="00F65A44"/>
    <w:rsid w:val="00F66243"/>
    <w:rsid w:val="00F67BDA"/>
    <w:rsid w:val="00F67CF0"/>
    <w:rsid w:val="00F70309"/>
    <w:rsid w:val="00F7078A"/>
    <w:rsid w:val="00F70E45"/>
    <w:rsid w:val="00F727D5"/>
    <w:rsid w:val="00F72F44"/>
    <w:rsid w:val="00F73A0C"/>
    <w:rsid w:val="00F73AED"/>
    <w:rsid w:val="00F7593B"/>
    <w:rsid w:val="00F759DC"/>
    <w:rsid w:val="00F76217"/>
    <w:rsid w:val="00F76563"/>
    <w:rsid w:val="00F76870"/>
    <w:rsid w:val="00F7717C"/>
    <w:rsid w:val="00F771A5"/>
    <w:rsid w:val="00F80D1E"/>
    <w:rsid w:val="00F815A8"/>
    <w:rsid w:val="00F817A4"/>
    <w:rsid w:val="00F81C3A"/>
    <w:rsid w:val="00F83573"/>
    <w:rsid w:val="00F835E1"/>
    <w:rsid w:val="00F835FC"/>
    <w:rsid w:val="00F8373A"/>
    <w:rsid w:val="00F83E21"/>
    <w:rsid w:val="00F83FA4"/>
    <w:rsid w:val="00F8410C"/>
    <w:rsid w:val="00F84E18"/>
    <w:rsid w:val="00F852E5"/>
    <w:rsid w:val="00F853A5"/>
    <w:rsid w:val="00F863B7"/>
    <w:rsid w:val="00F8752F"/>
    <w:rsid w:val="00F90350"/>
    <w:rsid w:val="00F91E9E"/>
    <w:rsid w:val="00F91EAF"/>
    <w:rsid w:val="00F925B7"/>
    <w:rsid w:val="00F92FE6"/>
    <w:rsid w:val="00F9310A"/>
    <w:rsid w:val="00F94231"/>
    <w:rsid w:val="00F94681"/>
    <w:rsid w:val="00F95117"/>
    <w:rsid w:val="00F96648"/>
    <w:rsid w:val="00F97ED2"/>
    <w:rsid w:val="00FA05D7"/>
    <w:rsid w:val="00FA16BD"/>
    <w:rsid w:val="00FA1992"/>
    <w:rsid w:val="00FA1C6C"/>
    <w:rsid w:val="00FA2447"/>
    <w:rsid w:val="00FA2A4A"/>
    <w:rsid w:val="00FA2BDE"/>
    <w:rsid w:val="00FA2C2A"/>
    <w:rsid w:val="00FA309A"/>
    <w:rsid w:val="00FA3844"/>
    <w:rsid w:val="00FA3A11"/>
    <w:rsid w:val="00FA3AB1"/>
    <w:rsid w:val="00FA4730"/>
    <w:rsid w:val="00FA4BFF"/>
    <w:rsid w:val="00FA5A3E"/>
    <w:rsid w:val="00FA6B3F"/>
    <w:rsid w:val="00FA7644"/>
    <w:rsid w:val="00FB0A9A"/>
    <w:rsid w:val="00FB16AD"/>
    <w:rsid w:val="00FB1F21"/>
    <w:rsid w:val="00FB2A9D"/>
    <w:rsid w:val="00FB332E"/>
    <w:rsid w:val="00FB36E3"/>
    <w:rsid w:val="00FB3763"/>
    <w:rsid w:val="00FB4708"/>
    <w:rsid w:val="00FB483B"/>
    <w:rsid w:val="00FB56F1"/>
    <w:rsid w:val="00FB5FD4"/>
    <w:rsid w:val="00FB6398"/>
    <w:rsid w:val="00FB67F3"/>
    <w:rsid w:val="00FB6AF4"/>
    <w:rsid w:val="00FC0894"/>
    <w:rsid w:val="00FC0D8A"/>
    <w:rsid w:val="00FC0E5F"/>
    <w:rsid w:val="00FC135D"/>
    <w:rsid w:val="00FC18ED"/>
    <w:rsid w:val="00FC26FB"/>
    <w:rsid w:val="00FC2CF4"/>
    <w:rsid w:val="00FC3C84"/>
    <w:rsid w:val="00FC4660"/>
    <w:rsid w:val="00FC540C"/>
    <w:rsid w:val="00FC56DE"/>
    <w:rsid w:val="00FC5E01"/>
    <w:rsid w:val="00FC605E"/>
    <w:rsid w:val="00FC6140"/>
    <w:rsid w:val="00FC6DB5"/>
    <w:rsid w:val="00FD10BC"/>
    <w:rsid w:val="00FD1261"/>
    <w:rsid w:val="00FD1627"/>
    <w:rsid w:val="00FD1B51"/>
    <w:rsid w:val="00FD1BBD"/>
    <w:rsid w:val="00FD300F"/>
    <w:rsid w:val="00FD38B2"/>
    <w:rsid w:val="00FD43A0"/>
    <w:rsid w:val="00FD473D"/>
    <w:rsid w:val="00FD55BA"/>
    <w:rsid w:val="00FD61C8"/>
    <w:rsid w:val="00FD63CE"/>
    <w:rsid w:val="00FD7D49"/>
    <w:rsid w:val="00FE058B"/>
    <w:rsid w:val="00FE1251"/>
    <w:rsid w:val="00FE16E6"/>
    <w:rsid w:val="00FE2889"/>
    <w:rsid w:val="00FE2F78"/>
    <w:rsid w:val="00FE3510"/>
    <w:rsid w:val="00FE371D"/>
    <w:rsid w:val="00FE375F"/>
    <w:rsid w:val="00FE3D8B"/>
    <w:rsid w:val="00FE4FCB"/>
    <w:rsid w:val="00FE53F0"/>
    <w:rsid w:val="00FE688F"/>
    <w:rsid w:val="00FE6E67"/>
    <w:rsid w:val="00FE705E"/>
    <w:rsid w:val="00FF02EB"/>
    <w:rsid w:val="00FF288B"/>
    <w:rsid w:val="00FF28E0"/>
    <w:rsid w:val="00FF2FB4"/>
    <w:rsid w:val="00FF30B3"/>
    <w:rsid w:val="00FF3DF3"/>
    <w:rsid w:val="00FF4027"/>
    <w:rsid w:val="00FF45A2"/>
    <w:rsid w:val="00FF55B1"/>
    <w:rsid w:val="00FF5899"/>
    <w:rsid w:val="00FF6014"/>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s>
</file>

<file path=word/webSettings.xml><?xml version="1.0" encoding="utf-8"?>
<w:webSettings xmlns:r="http://schemas.openxmlformats.org/officeDocument/2006/relationships" xmlns:w="http://schemas.openxmlformats.org/wordprocessingml/2006/main">
  <w:divs>
    <w:div w:id="181818228">
      <w:bodyDiv w:val="1"/>
      <w:marLeft w:val="0"/>
      <w:marRight w:val="0"/>
      <w:marTop w:val="0"/>
      <w:marBottom w:val="0"/>
      <w:divBdr>
        <w:top w:val="none" w:sz="0" w:space="0" w:color="auto"/>
        <w:left w:val="none" w:sz="0" w:space="0" w:color="auto"/>
        <w:bottom w:val="none" w:sz="0" w:space="0" w:color="auto"/>
        <w:right w:val="none" w:sz="0" w:space="0" w:color="auto"/>
      </w:divBdr>
    </w:div>
    <w:div w:id="196507420">
      <w:bodyDiv w:val="1"/>
      <w:marLeft w:val="0"/>
      <w:marRight w:val="0"/>
      <w:marTop w:val="0"/>
      <w:marBottom w:val="0"/>
      <w:divBdr>
        <w:top w:val="none" w:sz="0" w:space="0" w:color="auto"/>
        <w:left w:val="none" w:sz="0" w:space="0" w:color="auto"/>
        <w:bottom w:val="none" w:sz="0" w:space="0" w:color="auto"/>
        <w:right w:val="none" w:sz="0" w:space="0" w:color="auto"/>
      </w:divBdr>
    </w:div>
    <w:div w:id="380591470">
      <w:bodyDiv w:val="1"/>
      <w:marLeft w:val="0"/>
      <w:marRight w:val="0"/>
      <w:marTop w:val="0"/>
      <w:marBottom w:val="0"/>
      <w:divBdr>
        <w:top w:val="none" w:sz="0" w:space="0" w:color="auto"/>
        <w:left w:val="none" w:sz="0" w:space="0" w:color="auto"/>
        <w:bottom w:val="none" w:sz="0" w:space="0" w:color="auto"/>
        <w:right w:val="none" w:sz="0" w:space="0" w:color="auto"/>
      </w:divBdr>
    </w:div>
    <w:div w:id="718675857">
      <w:bodyDiv w:val="1"/>
      <w:marLeft w:val="0"/>
      <w:marRight w:val="0"/>
      <w:marTop w:val="0"/>
      <w:marBottom w:val="0"/>
      <w:divBdr>
        <w:top w:val="none" w:sz="0" w:space="0" w:color="auto"/>
        <w:left w:val="none" w:sz="0" w:space="0" w:color="auto"/>
        <w:bottom w:val="none" w:sz="0" w:space="0" w:color="auto"/>
        <w:right w:val="none" w:sz="0" w:space="0" w:color="auto"/>
      </w:divBdr>
    </w:div>
    <w:div w:id="836965494">
      <w:bodyDiv w:val="1"/>
      <w:marLeft w:val="0"/>
      <w:marRight w:val="0"/>
      <w:marTop w:val="0"/>
      <w:marBottom w:val="0"/>
      <w:divBdr>
        <w:top w:val="none" w:sz="0" w:space="0" w:color="auto"/>
        <w:left w:val="none" w:sz="0" w:space="0" w:color="auto"/>
        <w:bottom w:val="none" w:sz="0" w:space="0" w:color="auto"/>
        <w:right w:val="none" w:sz="0" w:space="0" w:color="auto"/>
      </w:divBdr>
    </w:div>
    <w:div w:id="842355999">
      <w:bodyDiv w:val="1"/>
      <w:marLeft w:val="0"/>
      <w:marRight w:val="0"/>
      <w:marTop w:val="0"/>
      <w:marBottom w:val="0"/>
      <w:divBdr>
        <w:top w:val="none" w:sz="0" w:space="0" w:color="auto"/>
        <w:left w:val="none" w:sz="0" w:space="0" w:color="auto"/>
        <w:bottom w:val="none" w:sz="0" w:space="0" w:color="auto"/>
        <w:right w:val="none" w:sz="0" w:space="0" w:color="auto"/>
      </w:divBdr>
    </w:div>
    <w:div w:id="858011097">
      <w:bodyDiv w:val="1"/>
      <w:marLeft w:val="50"/>
      <w:marRight w:val="50"/>
      <w:marTop w:val="50"/>
      <w:marBottom w:val="13"/>
      <w:divBdr>
        <w:top w:val="none" w:sz="0" w:space="0" w:color="auto"/>
        <w:left w:val="none" w:sz="0" w:space="0" w:color="auto"/>
        <w:bottom w:val="none" w:sz="0" w:space="0" w:color="auto"/>
        <w:right w:val="none" w:sz="0" w:space="0" w:color="auto"/>
      </w:divBdr>
      <w:divsChild>
        <w:div w:id="727414442">
          <w:marLeft w:val="0"/>
          <w:marRight w:val="0"/>
          <w:marTop w:val="0"/>
          <w:marBottom w:val="0"/>
          <w:divBdr>
            <w:top w:val="none" w:sz="0" w:space="0" w:color="auto"/>
            <w:left w:val="none" w:sz="0" w:space="0" w:color="auto"/>
            <w:bottom w:val="none" w:sz="0" w:space="0" w:color="auto"/>
            <w:right w:val="none" w:sz="0" w:space="0" w:color="auto"/>
          </w:divBdr>
        </w:div>
        <w:div w:id="1946301921">
          <w:marLeft w:val="0"/>
          <w:marRight w:val="0"/>
          <w:marTop w:val="0"/>
          <w:marBottom w:val="0"/>
          <w:divBdr>
            <w:top w:val="none" w:sz="0" w:space="0" w:color="auto"/>
            <w:left w:val="none" w:sz="0" w:space="0" w:color="auto"/>
            <w:bottom w:val="none" w:sz="0" w:space="0" w:color="auto"/>
            <w:right w:val="none" w:sz="0" w:space="0" w:color="auto"/>
          </w:divBdr>
        </w:div>
        <w:div w:id="1820540680">
          <w:marLeft w:val="0"/>
          <w:marRight w:val="0"/>
          <w:marTop w:val="0"/>
          <w:marBottom w:val="0"/>
          <w:divBdr>
            <w:top w:val="none" w:sz="0" w:space="0" w:color="auto"/>
            <w:left w:val="none" w:sz="0" w:space="0" w:color="auto"/>
            <w:bottom w:val="none" w:sz="0" w:space="0" w:color="auto"/>
            <w:right w:val="none" w:sz="0" w:space="0" w:color="auto"/>
          </w:divBdr>
          <w:divsChild>
            <w:div w:id="2134322281">
              <w:marLeft w:val="0"/>
              <w:marRight w:val="0"/>
              <w:marTop w:val="0"/>
              <w:marBottom w:val="0"/>
              <w:divBdr>
                <w:top w:val="none" w:sz="0" w:space="0" w:color="auto"/>
                <w:left w:val="none" w:sz="0" w:space="0" w:color="auto"/>
                <w:bottom w:val="none" w:sz="0" w:space="0" w:color="auto"/>
                <w:right w:val="none" w:sz="0" w:space="0" w:color="auto"/>
              </w:divBdr>
            </w:div>
            <w:div w:id="523054529">
              <w:marLeft w:val="0"/>
              <w:marRight w:val="0"/>
              <w:marTop w:val="0"/>
              <w:marBottom w:val="0"/>
              <w:divBdr>
                <w:top w:val="none" w:sz="0" w:space="0" w:color="auto"/>
                <w:left w:val="none" w:sz="0" w:space="0" w:color="auto"/>
                <w:bottom w:val="none" w:sz="0" w:space="0" w:color="auto"/>
                <w:right w:val="none" w:sz="0" w:space="0" w:color="auto"/>
              </w:divBdr>
              <w:divsChild>
                <w:div w:id="1558934058">
                  <w:marLeft w:val="0"/>
                  <w:marRight w:val="0"/>
                  <w:marTop w:val="0"/>
                  <w:marBottom w:val="0"/>
                  <w:divBdr>
                    <w:top w:val="none" w:sz="0" w:space="0" w:color="auto"/>
                    <w:left w:val="none" w:sz="0" w:space="0" w:color="auto"/>
                    <w:bottom w:val="none" w:sz="0" w:space="0" w:color="auto"/>
                    <w:right w:val="none" w:sz="0" w:space="0" w:color="auto"/>
                  </w:divBdr>
                </w:div>
                <w:div w:id="1850876401">
                  <w:marLeft w:val="0"/>
                  <w:marRight w:val="0"/>
                  <w:marTop w:val="0"/>
                  <w:marBottom w:val="0"/>
                  <w:divBdr>
                    <w:top w:val="none" w:sz="0" w:space="0" w:color="auto"/>
                    <w:left w:val="none" w:sz="0" w:space="0" w:color="auto"/>
                    <w:bottom w:val="none" w:sz="0" w:space="0" w:color="auto"/>
                    <w:right w:val="none" w:sz="0" w:space="0" w:color="auto"/>
                  </w:divBdr>
                </w:div>
                <w:div w:id="797725160">
                  <w:marLeft w:val="0"/>
                  <w:marRight w:val="0"/>
                  <w:marTop w:val="0"/>
                  <w:marBottom w:val="0"/>
                  <w:divBdr>
                    <w:top w:val="none" w:sz="0" w:space="0" w:color="auto"/>
                    <w:left w:val="none" w:sz="0" w:space="0" w:color="auto"/>
                    <w:bottom w:val="none" w:sz="0" w:space="0" w:color="auto"/>
                    <w:right w:val="none" w:sz="0" w:space="0" w:color="auto"/>
                  </w:divBdr>
                </w:div>
                <w:div w:id="14808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847">
          <w:marLeft w:val="0"/>
          <w:marRight w:val="0"/>
          <w:marTop w:val="0"/>
          <w:marBottom w:val="0"/>
          <w:divBdr>
            <w:top w:val="none" w:sz="0" w:space="0" w:color="auto"/>
            <w:left w:val="none" w:sz="0" w:space="0" w:color="auto"/>
            <w:bottom w:val="none" w:sz="0" w:space="0" w:color="auto"/>
            <w:right w:val="none" w:sz="0" w:space="0" w:color="auto"/>
          </w:divBdr>
        </w:div>
      </w:divsChild>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019697639">
      <w:bodyDiv w:val="1"/>
      <w:marLeft w:val="0"/>
      <w:marRight w:val="0"/>
      <w:marTop w:val="0"/>
      <w:marBottom w:val="0"/>
      <w:divBdr>
        <w:top w:val="none" w:sz="0" w:space="0" w:color="auto"/>
        <w:left w:val="none" w:sz="0" w:space="0" w:color="auto"/>
        <w:bottom w:val="none" w:sz="0" w:space="0" w:color="auto"/>
        <w:right w:val="none" w:sz="0" w:space="0" w:color="auto"/>
      </w:divBdr>
    </w:div>
    <w:div w:id="1188449491">
      <w:bodyDiv w:val="1"/>
      <w:marLeft w:val="0"/>
      <w:marRight w:val="0"/>
      <w:marTop w:val="0"/>
      <w:marBottom w:val="0"/>
      <w:divBdr>
        <w:top w:val="none" w:sz="0" w:space="0" w:color="auto"/>
        <w:left w:val="none" w:sz="0" w:space="0" w:color="auto"/>
        <w:bottom w:val="none" w:sz="0" w:space="0" w:color="auto"/>
        <w:right w:val="none" w:sz="0" w:space="0" w:color="auto"/>
      </w:divBdr>
    </w:div>
    <w:div w:id="1531840409">
      <w:bodyDiv w:val="1"/>
      <w:marLeft w:val="0"/>
      <w:marRight w:val="0"/>
      <w:marTop w:val="0"/>
      <w:marBottom w:val="0"/>
      <w:divBdr>
        <w:top w:val="none" w:sz="0" w:space="0" w:color="auto"/>
        <w:left w:val="none" w:sz="0" w:space="0" w:color="auto"/>
        <w:bottom w:val="none" w:sz="0" w:space="0" w:color="auto"/>
        <w:right w:val="none" w:sz="0" w:space="0" w:color="auto"/>
      </w:divBdr>
    </w:div>
    <w:div w:id="1644196240">
      <w:bodyDiv w:val="1"/>
      <w:marLeft w:val="40"/>
      <w:marRight w:val="40"/>
      <w:marTop w:val="40"/>
      <w:marBottom w:val="10"/>
      <w:divBdr>
        <w:top w:val="none" w:sz="0" w:space="0" w:color="auto"/>
        <w:left w:val="none" w:sz="0" w:space="0" w:color="auto"/>
        <w:bottom w:val="none" w:sz="0" w:space="0" w:color="auto"/>
        <w:right w:val="none" w:sz="0" w:space="0" w:color="auto"/>
      </w:divBdr>
      <w:divsChild>
        <w:div w:id="808862537">
          <w:marLeft w:val="0"/>
          <w:marRight w:val="0"/>
          <w:marTop w:val="0"/>
          <w:marBottom w:val="0"/>
          <w:divBdr>
            <w:top w:val="none" w:sz="0" w:space="0" w:color="auto"/>
            <w:left w:val="none" w:sz="0" w:space="0" w:color="auto"/>
            <w:bottom w:val="none" w:sz="0" w:space="0" w:color="auto"/>
            <w:right w:val="none" w:sz="0" w:space="0" w:color="auto"/>
          </w:divBdr>
        </w:div>
      </w:divsChild>
    </w:div>
    <w:div w:id="1896620124">
      <w:bodyDiv w:val="1"/>
      <w:marLeft w:val="0"/>
      <w:marRight w:val="0"/>
      <w:marTop w:val="0"/>
      <w:marBottom w:val="0"/>
      <w:divBdr>
        <w:top w:val="none" w:sz="0" w:space="0" w:color="auto"/>
        <w:left w:val="none" w:sz="0" w:space="0" w:color="auto"/>
        <w:bottom w:val="none" w:sz="0" w:space="0" w:color="auto"/>
        <w:right w:val="none" w:sz="0" w:space="0" w:color="auto"/>
      </w:divBdr>
    </w:div>
    <w:div w:id="1938098484">
      <w:bodyDiv w:val="1"/>
      <w:marLeft w:val="0"/>
      <w:marRight w:val="0"/>
      <w:marTop w:val="0"/>
      <w:marBottom w:val="0"/>
      <w:divBdr>
        <w:top w:val="none" w:sz="0" w:space="0" w:color="auto"/>
        <w:left w:val="none" w:sz="0" w:space="0" w:color="auto"/>
        <w:bottom w:val="none" w:sz="0" w:space="0" w:color="auto"/>
        <w:right w:val="none" w:sz="0" w:space="0" w:color="auto"/>
      </w:divBdr>
    </w:div>
    <w:div w:id="2081900207">
      <w:bodyDiv w:val="1"/>
      <w:marLeft w:val="0"/>
      <w:marRight w:val="0"/>
      <w:marTop w:val="0"/>
      <w:marBottom w:val="0"/>
      <w:divBdr>
        <w:top w:val="none" w:sz="0" w:space="0" w:color="auto"/>
        <w:left w:val="none" w:sz="0" w:space="0" w:color="auto"/>
        <w:bottom w:val="none" w:sz="0" w:space="0" w:color="auto"/>
        <w:right w:val="none" w:sz="0" w:space="0" w:color="auto"/>
      </w:divBdr>
    </w:div>
    <w:div w:id="20906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55"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Desktop\Anal&#253;za\2017Q2\Makroanal&#253;za%20grafy_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Desktop\Anal&#253;za\2017Q2\Makroanal&#253;za%20grafy_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Desktop\Anal&#253;za\2017Q2\Makroanal&#253;za%20grafy_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Desktop\Anal&#253;za\2017Q2\Makroanal&#253;za%20grafy_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8568840579710145E-2"/>
          <c:y val="2.1811315924219879E-2"/>
          <c:w val="0.92237743255066085"/>
          <c:h val="0.73318107621299478"/>
        </c:manualLayout>
      </c:layout>
      <c:barChart>
        <c:barDir val="col"/>
        <c:grouping val="clustered"/>
        <c:ser>
          <c:idx val="0"/>
          <c:order val="0"/>
          <c:tx>
            <c:strRef>
              <c:f>'Ceny 2'!$C$5</c:f>
              <c:strCache>
                <c:ptCount val="1"/>
                <c:pt idx="0">
                  <c:v>Total</c:v>
                </c:pt>
              </c:strCache>
            </c:strRef>
          </c:tx>
          <c:spPr>
            <a:solidFill>
              <a:schemeClr val="bg1">
                <a:lumMod val="65000"/>
              </a:schemeClr>
            </a:solidFill>
            <a:ln w="19050">
              <a:noFill/>
            </a:ln>
          </c:spPr>
          <c:cat>
            <c:multiLvlStrRef>
              <c:f>'Ceny 2'!$A$10:$B$27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2'!$C$10:$C$27</c:f>
              <c:numCache>
                <c:formatCode>0.0</c:formatCode>
                <c:ptCount val="18"/>
                <c:pt idx="0">
                  <c:v>1.7999999999999914</c:v>
                </c:pt>
                <c:pt idx="1">
                  <c:v>1.5</c:v>
                </c:pt>
                <c:pt idx="2">
                  <c:v>1.2000000000000028</c:v>
                </c:pt>
                <c:pt idx="3">
                  <c:v>1.0999999999999894</c:v>
                </c:pt>
                <c:pt idx="4">
                  <c:v>0.20000000000000284</c:v>
                </c:pt>
                <c:pt idx="5">
                  <c:v>0.20000000000000284</c:v>
                </c:pt>
                <c:pt idx="6">
                  <c:v>0.59999999999999432</c:v>
                </c:pt>
                <c:pt idx="7">
                  <c:v>0.5</c:v>
                </c:pt>
                <c:pt idx="8">
                  <c:v>9.9999999999994732E-2</c:v>
                </c:pt>
                <c:pt idx="9">
                  <c:v>0.70000000000000284</c:v>
                </c:pt>
                <c:pt idx="10">
                  <c:v>0.40000000000000568</c:v>
                </c:pt>
                <c:pt idx="11">
                  <c:v>9.9999999999994732E-2</c:v>
                </c:pt>
                <c:pt idx="12">
                  <c:v>0.5</c:v>
                </c:pt>
                <c:pt idx="13">
                  <c:v>0.20000000000000284</c:v>
                </c:pt>
                <c:pt idx="14">
                  <c:v>0.5</c:v>
                </c:pt>
                <c:pt idx="15">
                  <c:v>1.4000000000000057</c:v>
                </c:pt>
                <c:pt idx="16" formatCode="General">
                  <c:v>2.4000000000000057</c:v>
                </c:pt>
                <c:pt idx="17" formatCode="General">
                  <c:v>2.2000000000000042</c:v>
                </c:pt>
              </c:numCache>
            </c:numRef>
          </c:val>
        </c:ser>
        <c:gapWidth val="95"/>
        <c:axId val="101591296"/>
        <c:axId val="101670272"/>
      </c:barChart>
      <c:lineChart>
        <c:grouping val="standard"/>
        <c:ser>
          <c:idx val="1"/>
          <c:order val="1"/>
          <c:tx>
            <c:strRef>
              <c:f>'Ceny 2'!$D$5</c:f>
              <c:strCache>
                <c:ptCount val="1"/>
                <c:pt idx="0">
                  <c:v>Food</c:v>
                </c:pt>
              </c:strCache>
            </c:strRef>
          </c:tx>
          <c:spPr>
            <a:ln w="19050">
              <a:solidFill>
                <a:srgbClr val="0071BC"/>
              </a:solidFill>
            </a:ln>
          </c:spPr>
          <c:marker>
            <c:symbol val="none"/>
          </c:marker>
          <c:cat>
            <c:multiLvlStrRef>
              <c:f>'Ceny 2'!$A$10:$B$27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2'!$D$10:$D$27</c:f>
              <c:numCache>
                <c:formatCode>0.0</c:formatCode>
                <c:ptCount val="18"/>
                <c:pt idx="0">
                  <c:v>4.9000000000000083</c:v>
                </c:pt>
                <c:pt idx="1">
                  <c:v>5.4000000000000083</c:v>
                </c:pt>
                <c:pt idx="2">
                  <c:v>5.2999999999999972</c:v>
                </c:pt>
                <c:pt idx="3">
                  <c:v>4.0999999999999943</c:v>
                </c:pt>
                <c:pt idx="4">
                  <c:v>3.9000000000000057</c:v>
                </c:pt>
                <c:pt idx="5">
                  <c:v>1.5</c:v>
                </c:pt>
                <c:pt idx="6">
                  <c:v>1.4000000000000057</c:v>
                </c:pt>
                <c:pt idx="7">
                  <c:v>1.2000000000000028</c:v>
                </c:pt>
                <c:pt idx="8">
                  <c:v>-1.5999999999999894</c:v>
                </c:pt>
                <c:pt idx="9">
                  <c:v>-9.9999999999994732E-2</c:v>
                </c:pt>
                <c:pt idx="10">
                  <c:v>-0.90000000000000568</c:v>
                </c:pt>
                <c:pt idx="11">
                  <c:v>-1.5999999999999894</c:v>
                </c:pt>
                <c:pt idx="12">
                  <c:v>-1.7000000000000028</c:v>
                </c:pt>
                <c:pt idx="13">
                  <c:v>-2.4000000000000057</c:v>
                </c:pt>
                <c:pt idx="14">
                  <c:v>-0.7999999999999976</c:v>
                </c:pt>
                <c:pt idx="15">
                  <c:v>1.2000000000000028</c:v>
                </c:pt>
                <c:pt idx="16" formatCode="General">
                  <c:v>4.2000000000000028</c:v>
                </c:pt>
                <c:pt idx="17" formatCode="General">
                  <c:v>4.5</c:v>
                </c:pt>
              </c:numCache>
            </c:numRef>
          </c:val>
        </c:ser>
        <c:ser>
          <c:idx val="2"/>
          <c:order val="2"/>
          <c:tx>
            <c:strRef>
              <c:f>'Ceny 2'!$E$5</c:f>
              <c:strCache>
                <c:ptCount val="1"/>
                <c:pt idx="0">
                  <c:v>Alcoholic beverages and tobacco</c:v>
                </c:pt>
              </c:strCache>
            </c:strRef>
          </c:tx>
          <c:spPr>
            <a:ln w="19050">
              <a:solidFill>
                <a:srgbClr val="BD1B21"/>
              </a:solidFill>
            </a:ln>
          </c:spPr>
          <c:marker>
            <c:symbol val="none"/>
          </c:marker>
          <c:cat>
            <c:multiLvlStrRef>
              <c:f>'Ceny 2'!$A$10:$B$26</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'Ceny 2'!$E$10:$E$27</c:f>
              <c:numCache>
                <c:formatCode>0.0</c:formatCode>
                <c:ptCount val="18"/>
                <c:pt idx="0">
                  <c:v>3.5999999999999943</c:v>
                </c:pt>
                <c:pt idx="1">
                  <c:v>4.2000000000000028</c:v>
                </c:pt>
                <c:pt idx="2">
                  <c:v>3.4000000000000057</c:v>
                </c:pt>
                <c:pt idx="3">
                  <c:v>3.2000000000000042</c:v>
                </c:pt>
                <c:pt idx="4">
                  <c:v>4.0999999999999943</c:v>
                </c:pt>
                <c:pt idx="5">
                  <c:v>2.9000000000000057</c:v>
                </c:pt>
                <c:pt idx="6">
                  <c:v>2.7000000000000042</c:v>
                </c:pt>
                <c:pt idx="7">
                  <c:v>1.4000000000000057</c:v>
                </c:pt>
                <c:pt idx="8">
                  <c:v>3.4000000000000057</c:v>
                </c:pt>
                <c:pt idx="9">
                  <c:v>5.4000000000000083</c:v>
                </c:pt>
                <c:pt idx="10">
                  <c:v>5.2000000000000028</c:v>
                </c:pt>
                <c:pt idx="11">
                  <c:v>4.7000000000000028</c:v>
                </c:pt>
                <c:pt idx="12">
                  <c:v>3.5</c:v>
                </c:pt>
                <c:pt idx="13">
                  <c:v>4.4000000000000083</c:v>
                </c:pt>
                <c:pt idx="14">
                  <c:v>4.5</c:v>
                </c:pt>
                <c:pt idx="15">
                  <c:v>5.2000000000000028</c:v>
                </c:pt>
                <c:pt idx="16" formatCode="General">
                  <c:v>3.4000000000000057</c:v>
                </c:pt>
                <c:pt idx="17" formatCode="General">
                  <c:v>0.7999999999999976</c:v>
                </c:pt>
              </c:numCache>
            </c:numRef>
          </c:val>
        </c:ser>
        <c:ser>
          <c:idx val="3"/>
          <c:order val="3"/>
          <c:tx>
            <c:strRef>
              <c:f>'Ceny 2'!$F$5</c:f>
              <c:strCache>
                <c:ptCount val="1"/>
                <c:pt idx="0">
                  <c:v>Housing and energy</c:v>
                </c:pt>
              </c:strCache>
            </c:strRef>
          </c:tx>
          <c:spPr>
            <a:ln w="19050">
              <a:solidFill>
                <a:srgbClr val="7DBB2D"/>
              </a:solidFill>
            </a:ln>
          </c:spPr>
          <c:marker>
            <c:symbol val="none"/>
          </c:marker>
          <c:cat>
            <c:multiLvlStrRef>
              <c:f>'Ceny 2'!$A$10:$B$26</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'Ceny 2'!$F$10:$F$27</c:f>
              <c:numCache>
                <c:formatCode>0.0</c:formatCode>
                <c:ptCount val="18"/>
                <c:pt idx="0">
                  <c:v>2.5999999999999943</c:v>
                </c:pt>
                <c:pt idx="1">
                  <c:v>2</c:v>
                </c:pt>
                <c:pt idx="2">
                  <c:v>1.2000000000000028</c:v>
                </c:pt>
                <c:pt idx="3">
                  <c:v>1.2000000000000028</c:v>
                </c:pt>
                <c:pt idx="4">
                  <c:v>-2.4000000000000057</c:v>
                </c:pt>
                <c:pt idx="5">
                  <c:v>-1.7000000000000028</c:v>
                </c:pt>
                <c:pt idx="6">
                  <c:v>-0.70000000000000284</c:v>
                </c:pt>
                <c:pt idx="7">
                  <c:v>-0.59999999999999432</c:v>
                </c:pt>
                <c:pt idx="8">
                  <c:v>1.0999999999999894</c:v>
                </c:pt>
                <c:pt idx="9">
                  <c:v>1.2000000000000028</c:v>
                </c:pt>
                <c:pt idx="10">
                  <c:v>0.7999999999999976</c:v>
                </c:pt>
                <c:pt idx="11">
                  <c:v>0.90000000000000568</c:v>
                </c:pt>
                <c:pt idx="12">
                  <c:v>0.90000000000000568</c:v>
                </c:pt>
                <c:pt idx="13">
                  <c:v>0.5</c:v>
                </c:pt>
                <c:pt idx="14">
                  <c:v>0.40000000000000568</c:v>
                </c:pt>
                <c:pt idx="15">
                  <c:v>0.59999999999999432</c:v>
                </c:pt>
                <c:pt idx="16" formatCode="General">
                  <c:v>0.7999999999999976</c:v>
                </c:pt>
                <c:pt idx="17" formatCode="General">
                  <c:v>1.5</c:v>
                </c:pt>
              </c:numCache>
            </c:numRef>
          </c:val>
        </c:ser>
        <c:ser>
          <c:idx val="4"/>
          <c:order val="4"/>
          <c:tx>
            <c:strRef>
              <c:f>'Ceny 2'!$G$5</c:f>
              <c:strCache>
                <c:ptCount val="1"/>
                <c:pt idx="0">
                  <c:v>Transportation</c:v>
                </c:pt>
              </c:strCache>
            </c:strRef>
          </c:tx>
          <c:spPr>
            <a:ln w="19050">
              <a:solidFill>
                <a:srgbClr val="FFC000"/>
              </a:solidFill>
            </a:ln>
          </c:spPr>
          <c:marker>
            <c:symbol val="none"/>
          </c:marker>
          <c:val>
            <c:numRef>
              <c:f>'Ceny 2'!$G$10:$G$27</c:f>
              <c:numCache>
                <c:formatCode>General</c:formatCode>
                <c:ptCount val="18"/>
                <c:pt idx="0">
                  <c:v>-0.7999999999999976</c:v>
                </c:pt>
                <c:pt idx="1">
                  <c:v>-1.2000000000000028</c:v>
                </c:pt>
                <c:pt idx="2">
                  <c:v>-0.40000000000000568</c:v>
                </c:pt>
                <c:pt idx="3">
                  <c:v>-0.20000000000000284</c:v>
                </c:pt>
                <c:pt idx="4">
                  <c:v>9.9999999999994732E-2</c:v>
                </c:pt>
                <c:pt idx="5">
                  <c:v>0.29999999999999888</c:v>
                </c:pt>
                <c:pt idx="6">
                  <c:v>0.5</c:v>
                </c:pt>
                <c:pt idx="7">
                  <c:v>0</c:v>
                </c:pt>
                <c:pt idx="8">
                  <c:v>-4.9000000000000083</c:v>
                </c:pt>
                <c:pt idx="9">
                  <c:v>-3.2999999999999972</c:v>
                </c:pt>
                <c:pt idx="10">
                  <c:v>-3.7999999999999972</c:v>
                </c:pt>
                <c:pt idx="11">
                  <c:v>-4.7000000000000028</c:v>
                </c:pt>
                <c:pt idx="12">
                  <c:v>-2.7000000000000042</c:v>
                </c:pt>
                <c:pt idx="13">
                  <c:v>-2.9000000000000057</c:v>
                </c:pt>
                <c:pt idx="14">
                  <c:v>-2.2999999999999972</c:v>
                </c:pt>
                <c:pt idx="15">
                  <c:v>1.0999999999999894</c:v>
                </c:pt>
                <c:pt idx="16">
                  <c:v>6</c:v>
                </c:pt>
                <c:pt idx="17">
                  <c:v>3.9000000000000057</c:v>
                </c:pt>
              </c:numCache>
            </c:numRef>
          </c:val>
        </c:ser>
        <c:marker val="1"/>
        <c:axId val="101591296"/>
        <c:axId val="101670272"/>
      </c:lineChart>
      <c:catAx>
        <c:axId val="101591296"/>
        <c:scaling>
          <c:orientation val="minMax"/>
        </c:scaling>
        <c:axPos val="b"/>
        <c:tickLblPos val="low"/>
        <c:spPr>
          <a:ln>
            <a:solidFill>
              <a:schemeClr val="tx1"/>
            </a:solidFill>
          </a:ln>
        </c:spPr>
        <c:txPr>
          <a:bodyPr rot="0" vert="horz"/>
          <a:lstStyle/>
          <a:p>
            <a:pPr>
              <a:defRPr/>
            </a:pPr>
            <a:endParaRPr lang="cs-CZ"/>
          </a:p>
        </c:txPr>
        <c:crossAx val="101670272"/>
        <c:crosses val="autoZero"/>
        <c:auto val="1"/>
        <c:lblAlgn val="ctr"/>
        <c:lblOffset val="100"/>
      </c:catAx>
      <c:valAx>
        <c:axId val="101670272"/>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01591296"/>
        <c:crosses val="autoZero"/>
        <c:crossBetween val="between"/>
        <c:majorUnit val="1"/>
      </c:valAx>
      <c:spPr>
        <a:ln>
          <a:solidFill>
            <a:schemeClr val="tx1"/>
          </a:solidFill>
        </a:ln>
      </c:spPr>
    </c:plotArea>
    <c:legend>
      <c:legendPos val="b"/>
      <c:layout>
        <c:manualLayout>
          <c:xMode val="edge"/>
          <c:yMode val="edge"/>
          <c:x val="5.6562767491901512E-2"/>
          <c:y val="0.87255825734549752"/>
          <c:w val="0.92162152703885536"/>
          <c:h val="0.1055099628503884"/>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9258203189717562E-2"/>
          <c:y val="2.9569886214146503E-2"/>
          <c:w val="0.92637856314472322"/>
          <c:h val="0.73556653157716956"/>
        </c:manualLayout>
      </c:layout>
      <c:barChart>
        <c:barDir val="col"/>
        <c:grouping val="clustered"/>
        <c:ser>
          <c:idx val="0"/>
          <c:order val="0"/>
          <c:tx>
            <c:strRef>
              <c:f>'Ceny 1'!$C$5</c:f>
              <c:strCache>
                <c:ptCount val="1"/>
                <c:pt idx="0">
                  <c:v>Realised prices of older flats, the CR</c:v>
                </c:pt>
              </c:strCache>
            </c:strRef>
          </c:tx>
          <c:spPr>
            <a:solidFill>
              <a:schemeClr val="bg1">
                <a:lumMod val="65000"/>
              </a:schemeClr>
            </a:solidFill>
            <a:ln w="19050">
              <a:noFill/>
            </a:ln>
          </c:spPr>
          <c:cat>
            <c:multiLvlStrRef>
              <c:f>'Ceny 1'!$A$10:$B$27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1'!$C$10:$C$27</c:f>
              <c:numCache>
                <c:formatCode>General</c:formatCode>
                <c:ptCount val="18"/>
                <c:pt idx="0">
                  <c:v>-5.0999999999999943</c:v>
                </c:pt>
                <c:pt idx="1">
                  <c:v>-3.5999999999999943</c:v>
                </c:pt>
                <c:pt idx="2">
                  <c:v>-2.5</c:v>
                </c:pt>
                <c:pt idx="3">
                  <c:v>-1.7000000000000028</c:v>
                </c:pt>
                <c:pt idx="4">
                  <c:v>1.2000000000000028</c:v>
                </c:pt>
                <c:pt idx="5">
                  <c:v>2.5</c:v>
                </c:pt>
                <c:pt idx="6">
                  <c:v>4.5</c:v>
                </c:pt>
                <c:pt idx="7">
                  <c:v>5.7000000000000028</c:v>
                </c:pt>
                <c:pt idx="8">
                  <c:v>4.2999999999999972</c:v>
                </c:pt>
                <c:pt idx="9">
                  <c:v>4.9000000000000083</c:v>
                </c:pt>
                <c:pt idx="10">
                  <c:v>6</c:v>
                </c:pt>
                <c:pt idx="11">
                  <c:v>6.7999999999999972</c:v>
                </c:pt>
                <c:pt idx="12">
                  <c:v>8.9000000000000057</c:v>
                </c:pt>
                <c:pt idx="13">
                  <c:v>10.3</c:v>
                </c:pt>
                <c:pt idx="14">
                  <c:v>12.3</c:v>
                </c:pt>
                <c:pt idx="15">
                  <c:v>14.600000000000001</c:v>
                </c:pt>
                <c:pt idx="16">
                  <c:v>17.200000000000003</c:v>
                </c:pt>
                <c:pt idx="17">
                  <c:v>18.700000000000003</c:v>
                </c:pt>
              </c:numCache>
            </c:numRef>
          </c:val>
        </c:ser>
        <c:ser>
          <c:idx val="1"/>
          <c:order val="1"/>
          <c:tx>
            <c:strRef>
              <c:f>'Ceny 1'!$D$5</c:f>
              <c:strCache>
                <c:ptCount val="1"/>
                <c:pt idx="0">
                  <c:v>Realised prices of older flats, Prague</c:v>
                </c:pt>
              </c:strCache>
            </c:strRef>
          </c:tx>
          <c:spPr>
            <a:solidFill>
              <a:prstClr val="black">
                <a:lumMod val="50000"/>
                <a:lumOff val="50000"/>
              </a:prstClr>
            </a:solidFill>
            <a:ln w="19050">
              <a:noFill/>
            </a:ln>
          </c:spPr>
          <c:cat>
            <c:multiLvlStrRef>
              <c:f>'Ceny 1'!$A$10:$B$27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1'!$D$10:$D$27</c:f>
              <c:numCache>
                <c:formatCode>General</c:formatCode>
                <c:ptCount val="18"/>
                <c:pt idx="0">
                  <c:v>0</c:v>
                </c:pt>
                <c:pt idx="1">
                  <c:v>0.70000000000000284</c:v>
                </c:pt>
                <c:pt idx="2">
                  <c:v>2.0999999999999943</c:v>
                </c:pt>
                <c:pt idx="3">
                  <c:v>0.5</c:v>
                </c:pt>
                <c:pt idx="4">
                  <c:v>2</c:v>
                </c:pt>
                <c:pt idx="5">
                  <c:v>2.0999999999999943</c:v>
                </c:pt>
                <c:pt idx="6">
                  <c:v>3.2000000000000042</c:v>
                </c:pt>
                <c:pt idx="7">
                  <c:v>5.2000000000000028</c:v>
                </c:pt>
                <c:pt idx="8">
                  <c:v>5</c:v>
                </c:pt>
                <c:pt idx="9">
                  <c:v>5.9000000000000083</c:v>
                </c:pt>
                <c:pt idx="10">
                  <c:v>5.5999999999999943</c:v>
                </c:pt>
                <c:pt idx="11">
                  <c:v>4.5999999999999943</c:v>
                </c:pt>
                <c:pt idx="12">
                  <c:v>5.7999999999999972</c:v>
                </c:pt>
                <c:pt idx="13">
                  <c:v>7.5</c:v>
                </c:pt>
                <c:pt idx="14">
                  <c:v>9.4000000000000057</c:v>
                </c:pt>
                <c:pt idx="15">
                  <c:v>13.900000000000006</c:v>
                </c:pt>
                <c:pt idx="16">
                  <c:v>16.200000000000003</c:v>
                </c:pt>
                <c:pt idx="17">
                  <c:v>18</c:v>
                </c:pt>
              </c:numCache>
            </c:numRef>
          </c:val>
        </c:ser>
        <c:gapWidth val="95"/>
        <c:axId val="102640256"/>
        <c:axId val="102652544"/>
      </c:barChart>
      <c:lineChart>
        <c:grouping val="standard"/>
        <c:ser>
          <c:idx val="2"/>
          <c:order val="2"/>
          <c:tx>
            <c:strRef>
              <c:f>'Ceny 1'!$E$5</c:f>
              <c:strCache>
                <c:ptCount val="1"/>
                <c:pt idx="0">
                  <c:v>Catalogue prices of flats, the CR</c:v>
                </c:pt>
              </c:strCache>
            </c:strRef>
          </c:tx>
          <c:spPr>
            <a:ln w="19050">
              <a:solidFill>
                <a:schemeClr val="accent2"/>
              </a:solidFill>
            </a:ln>
          </c:spPr>
          <c:marker>
            <c:symbol val="none"/>
          </c:marker>
          <c:cat>
            <c:multiLvlStrRef>
              <c:f>'Ceny 1'!$A$10:$B$27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1'!$E$10:$E$27</c:f>
              <c:numCache>
                <c:formatCode>0.0</c:formatCode>
                <c:ptCount val="18"/>
                <c:pt idx="0">
                  <c:v>1.5806111696522696</c:v>
                </c:pt>
                <c:pt idx="1">
                  <c:v>-0.20661157024793683</c:v>
                </c:pt>
                <c:pt idx="2">
                  <c:v>1.4583333333333393</c:v>
                </c:pt>
                <c:pt idx="3">
                  <c:v>1.9668737060041468</c:v>
                </c:pt>
                <c:pt idx="4">
                  <c:v>3.0082987551867202</c:v>
                </c:pt>
                <c:pt idx="5">
                  <c:v>4.1407867494823956</c:v>
                </c:pt>
                <c:pt idx="6">
                  <c:v>4.6201232032853996</c:v>
                </c:pt>
                <c:pt idx="7">
                  <c:v>2.7411167512690495</c:v>
                </c:pt>
                <c:pt idx="8">
                  <c:v>3.6253776435045406</c:v>
                </c:pt>
                <c:pt idx="9">
                  <c:v>4.9701789264413518</c:v>
                </c:pt>
                <c:pt idx="10">
                  <c:v>6.0843964671246233</c:v>
                </c:pt>
                <c:pt idx="11">
                  <c:v>9.5849802371541557</c:v>
                </c:pt>
                <c:pt idx="12">
                  <c:v>10.204081632653049</c:v>
                </c:pt>
                <c:pt idx="13">
                  <c:v>10.321969696969704</c:v>
                </c:pt>
                <c:pt idx="14">
                  <c:v>9.8982423681776162</c:v>
                </c:pt>
                <c:pt idx="15">
                  <c:v>9.9188458070333638</c:v>
                </c:pt>
                <c:pt idx="16">
                  <c:v>9.5238095238095202</c:v>
                </c:pt>
                <c:pt idx="17" formatCode="General">
                  <c:v>9.5278969957081507</c:v>
                </c:pt>
              </c:numCache>
            </c:numRef>
          </c:val>
        </c:ser>
        <c:ser>
          <c:idx val="3"/>
          <c:order val="3"/>
          <c:tx>
            <c:strRef>
              <c:f>'Ceny 1'!$F$5</c:f>
              <c:strCache>
                <c:ptCount val="1"/>
                <c:pt idx="0">
                  <c:v>Catalogue prices of flats, Prague</c:v>
                </c:pt>
              </c:strCache>
            </c:strRef>
          </c:tx>
          <c:spPr>
            <a:ln>
              <a:solidFill>
                <a:schemeClr val="accent1"/>
              </a:solidFill>
            </a:ln>
          </c:spPr>
          <c:marker>
            <c:symbol val="none"/>
          </c:marker>
          <c:cat>
            <c:multiLvlStrRef>
              <c:f>'Ceny 1'!$A$10:$B$27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1'!$F$10:$F$27</c:f>
              <c:numCache>
                <c:formatCode>0.0</c:formatCode>
                <c:ptCount val="18"/>
                <c:pt idx="0">
                  <c:v>6.1522419186652666</c:v>
                </c:pt>
                <c:pt idx="1">
                  <c:v>1.8924302788844536</c:v>
                </c:pt>
                <c:pt idx="2">
                  <c:v>2.6812313803376471</c:v>
                </c:pt>
                <c:pt idx="3">
                  <c:v>3.4482758620689653</c:v>
                </c:pt>
                <c:pt idx="4">
                  <c:v>3.8310412573674002</c:v>
                </c:pt>
                <c:pt idx="5">
                  <c:v>5.2785923753665784</c:v>
                </c:pt>
                <c:pt idx="6">
                  <c:v>6.6731141199226212</c:v>
                </c:pt>
                <c:pt idx="7">
                  <c:v>5.1428571428571486</c:v>
                </c:pt>
                <c:pt idx="8">
                  <c:v>5.7710501419110827</c:v>
                </c:pt>
                <c:pt idx="9">
                  <c:v>6.4995357474466076</c:v>
                </c:pt>
                <c:pt idx="10">
                  <c:v>6.7089755213055255</c:v>
                </c:pt>
                <c:pt idx="11">
                  <c:v>8.7862318840579601</c:v>
                </c:pt>
                <c:pt idx="12">
                  <c:v>10.196779964221831</c:v>
                </c:pt>
                <c:pt idx="13">
                  <c:v>10.549258936355701</c:v>
                </c:pt>
                <c:pt idx="14">
                  <c:v>9.7706032285471505</c:v>
                </c:pt>
                <c:pt idx="15">
                  <c:v>11.323896752706107</c:v>
                </c:pt>
                <c:pt idx="16">
                  <c:v>13.636363636363633</c:v>
                </c:pt>
                <c:pt idx="17" formatCode="General">
                  <c:v>14.589905362776037</c:v>
                </c:pt>
              </c:numCache>
            </c:numRef>
          </c:val>
        </c:ser>
        <c:marker val="1"/>
        <c:axId val="102640256"/>
        <c:axId val="102652544"/>
      </c:lineChart>
      <c:catAx>
        <c:axId val="102640256"/>
        <c:scaling>
          <c:orientation val="minMax"/>
        </c:scaling>
        <c:axPos val="b"/>
        <c:tickLblPos val="low"/>
        <c:spPr>
          <a:ln>
            <a:solidFill>
              <a:schemeClr val="tx1"/>
            </a:solidFill>
          </a:ln>
        </c:spPr>
        <c:txPr>
          <a:bodyPr rot="0" vert="horz"/>
          <a:lstStyle/>
          <a:p>
            <a:pPr>
              <a:defRPr/>
            </a:pPr>
            <a:endParaRPr lang="cs-CZ"/>
          </a:p>
        </c:txPr>
        <c:crossAx val="102652544"/>
        <c:crosses val="autoZero"/>
        <c:auto val="1"/>
        <c:lblAlgn val="ctr"/>
        <c:lblOffset val="100"/>
      </c:catAx>
      <c:valAx>
        <c:axId val="102652544"/>
        <c:scaling>
          <c:orientation val="minMax"/>
          <c:min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102640256"/>
        <c:crosses val="autoZero"/>
        <c:crossBetween val="between"/>
        <c:majorUnit val="2"/>
      </c:valAx>
      <c:spPr>
        <a:ln>
          <a:solidFill>
            <a:schemeClr val="tx1"/>
          </a:solidFill>
        </a:ln>
      </c:spPr>
    </c:plotArea>
    <c:legend>
      <c:legendPos val="b"/>
      <c:layout>
        <c:manualLayout>
          <c:xMode val="edge"/>
          <c:yMode val="edge"/>
          <c:x val="4.6528021206651497E-2"/>
          <c:y val="0.88817854328492629"/>
          <c:w val="0.92679973142892591"/>
          <c:h val="9.838061465721031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1707738197712412E-2"/>
          <c:y val="2.1811315924220007E-2"/>
          <c:w val="0.89142432050272657"/>
          <c:h val="0.7059096026117343"/>
        </c:manualLayout>
      </c:layout>
      <c:barChart>
        <c:barDir val="col"/>
        <c:grouping val="clustered"/>
        <c:ser>
          <c:idx val="0"/>
          <c:order val="0"/>
          <c:tx>
            <c:strRef>
              <c:f>'Ceny 4'!$C$5</c:f>
              <c:strCache>
                <c:ptCount val="1"/>
                <c:pt idx="0">
                  <c:v>Total</c:v>
                </c:pt>
              </c:strCache>
            </c:strRef>
          </c:tx>
          <c:spPr>
            <a:solidFill>
              <a:schemeClr val="bg1">
                <a:lumMod val="65000"/>
              </a:schemeClr>
            </a:solidFill>
            <a:ln w="19050">
              <a:noFill/>
            </a:ln>
          </c:spPr>
          <c:cat>
            <c:multiLvlStrRef>
              <c:f>'Ceny 4'!$A$6:$B$59</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'Ceny 4'!$C$6:$C$59</c:f>
              <c:numCache>
                <c:formatCode>0.0</c:formatCode>
                <c:ptCount val="54"/>
                <c:pt idx="0">
                  <c:v>1.4000000000000057</c:v>
                </c:pt>
                <c:pt idx="1">
                  <c:v>1.2999999999999914</c:v>
                </c:pt>
                <c:pt idx="2">
                  <c:v>1</c:v>
                </c:pt>
                <c:pt idx="3">
                  <c:v>0.5</c:v>
                </c:pt>
                <c:pt idx="4">
                  <c:v>0.29999999999999888</c:v>
                </c:pt>
                <c:pt idx="5">
                  <c:v>0.70000000000000284</c:v>
                </c:pt>
                <c:pt idx="6">
                  <c:v>1.0999999999999894</c:v>
                </c:pt>
                <c:pt idx="7">
                  <c:v>0.5</c:v>
                </c:pt>
                <c:pt idx="8">
                  <c:v>0.59999999999999432</c:v>
                </c:pt>
                <c:pt idx="9">
                  <c:v>0</c:v>
                </c:pt>
                <c:pt idx="10">
                  <c:v>0.70000000000000284</c:v>
                </c:pt>
                <c:pt idx="11">
                  <c:v>1.7000000000000028</c:v>
                </c:pt>
                <c:pt idx="12">
                  <c:v>-0.70000000000000284</c:v>
                </c:pt>
                <c:pt idx="13">
                  <c:v>-0.70000000000000284</c:v>
                </c:pt>
                <c:pt idx="14">
                  <c:v>-0.7999999999999976</c:v>
                </c:pt>
                <c:pt idx="15">
                  <c:v>-0.29999999999999888</c:v>
                </c:pt>
                <c:pt idx="16">
                  <c:v>-9.9999999999994732E-2</c:v>
                </c:pt>
                <c:pt idx="17">
                  <c:v>-0.20000000000000284</c:v>
                </c:pt>
                <c:pt idx="18">
                  <c:v>-9.9999999999994732E-2</c:v>
                </c:pt>
                <c:pt idx="19">
                  <c:v>0</c:v>
                </c:pt>
                <c:pt idx="20">
                  <c:v>-0.29999999999999888</c:v>
                </c:pt>
                <c:pt idx="21">
                  <c:v>-0.29999999999999888</c:v>
                </c:pt>
                <c:pt idx="22">
                  <c:v>-1.7000000000000028</c:v>
                </c:pt>
                <c:pt idx="23">
                  <c:v>-3.7000000000000042</c:v>
                </c:pt>
                <c:pt idx="24">
                  <c:v>-3.5</c:v>
                </c:pt>
                <c:pt idx="25">
                  <c:v>-3.5999999999999943</c:v>
                </c:pt>
                <c:pt idx="26">
                  <c:v>-2.9000000000000057</c:v>
                </c:pt>
                <c:pt idx="27">
                  <c:v>-2.5999999999999943</c:v>
                </c:pt>
                <c:pt idx="28">
                  <c:v>-2.0999999999999943</c:v>
                </c:pt>
                <c:pt idx="29">
                  <c:v>-2.2999999999999972</c:v>
                </c:pt>
                <c:pt idx="30">
                  <c:v>-3</c:v>
                </c:pt>
                <c:pt idx="31">
                  <c:v>-3.7000000000000042</c:v>
                </c:pt>
                <c:pt idx="32">
                  <c:v>-4.2000000000000028</c:v>
                </c:pt>
                <c:pt idx="33">
                  <c:v>-3.9000000000000057</c:v>
                </c:pt>
                <c:pt idx="34">
                  <c:v>-3.7000000000000042</c:v>
                </c:pt>
                <c:pt idx="35">
                  <c:v>-2.9000000000000057</c:v>
                </c:pt>
                <c:pt idx="36">
                  <c:v>-3.4000000000000057</c:v>
                </c:pt>
                <c:pt idx="37">
                  <c:v>-4</c:v>
                </c:pt>
                <c:pt idx="38">
                  <c:v>-4.5</c:v>
                </c:pt>
                <c:pt idx="39">
                  <c:v>-4.7000000000000028</c:v>
                </c:pt>
                <c:pt idx="40">
                  <c:v>-4.7999999999999972</c:v>
                </c:pt>
                <c:pt idx="41">
                  <c:v>-4.4000000000000083</c:v>
                </c:pt>
                <c:pt idx="42">
                  <c:v>-4</c:v>
                </c:pt>
                <c:pt idx="43">
                  <c:v>-3.4000000000000057</c:v>
                </c:pt>
                <c:pt idx="44">
                  <c:v>-2.4000000000000057</c:v>
                </c:pt>
                <c:pt idx="45">
                  <c:v>-1.7000000000000028</c:v>
                </c:pt>
                <c:pt idx="46">
                  <c:v>-1.2999999999999914</c:v>
                </c:pt>
                <c:pt idx="47">
                  <c:v>-0.40000000000000568</c:v>
                </c:pt>
                <c:pt idx="48" formatCode="General">
                  <c:v>2.0999999999999943</c:v>
                </c:pt>
                <c:pt idx="49" formatCode="General">
                  <c:v>3.0999999999999943</c:v>
                </c:pt>
                <c:pt idx="50">
                  <c:v>3</c:v>
                </c:pt>
                <c:pt idx="51">
                  <c:v>3.2000000000000042</c:v>
                </c:pt>
                <c:pt idx="52" formatCode="General">
                  <c:v>2.2999999999999972</c:v>
                </c:pt>
                <c:pt idx="53" formatCode="General">
                  <c:v>1.2999999999999914</c:v>
                </c:pt>
              </c:numCache>
            </c:numRef>
          </c:val>
        </c:ser>
        <c:gapWidth val="96"/>
        <c:axId val="163409920"/>
        <c:axId val="163411840"/>
      </c:barChart>
      <c:lineChart>
        <c:grouping val="standard"/>
        <c:ser>
          <c:idx val="1"/>
          <c:order val="1"/>
          <c:tx>
            <c:strRef>
              <c:f>'Ceny 4'!$D$5</c:f>
              <c:strCache>
                <c:ptCount val="1"/>
                <c:pt idx="0">
                  <c:v>Mining and quarrying,</c:v>
                </c:pt>
              </c:strCache>
            </c:strRef>
          </c:tx>
          <c:spPr>
            <a:ln w="19050">
              <a:solidFill>
                <a:srgbClr val="7DBB2D"/>
              </a:solidFill>
            </a:ln>
          </c:spPr>
          <c:marker>
            <c:symbol val="none"/>
          </c:marker>
          <c:cat>
            <c:multiLvlStrRef>
              <c:f>'Ceny 4'!$A$6:$B$59</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'Ceny 4'!$D$6:$D$59</c:f>
              <c:numCache>
                <c:formatCode>0.0</c:formatCode>
                <c:ptCount val="54"/>
                <c:pt idx="0">
                  <c:v>-2.7000000000000042</c:v>
                </c:pt>
                <c:pt idx="1">
                  <c:v>-3.0999999999999943</c:v>
                </c:pt>
                <c:pt idx="2">
                  <c:v>-2.4000000000000057</c:v>
                </c:pt>
                <c:pt idx="3">
                  <c:v>0.5</c:v>
                </c:pt>
                <c:pt idx="4">
                  <c:v>0.5</c:v>
                </c:pt>
                <c:pt idx="5">
                  <c:v>0.20000000000000284</c:v>
                </c:pt>
                <c:pt idx="6">
                  <c:v>-1.2999999999999914</c:v>
                </c:pt>
                <c:pt idx="7">
                  <c:v>-1.2000000000000028</c:v>
                </c:pt>
                <c:pt idx="8">
                  <c:v>-3.5999999999999943</c:v>
                </c:pt>
                <c:pt idx="9">
                  <c:v>-3</c:v>
                </c:pt>
                <c:pt idx="10">
                  <c:v>0.20000000000000284</c:v>
                </c:pt>
                <c:pt idx="11">
                  <c:v>0.29999999999999888</c:v>
                </c:pt>
                <c:pt idx="12">
                  <c:v>-3</c:v>
                </c:pt>
                <c:pt idx="13">
                  <c:v>-3.0999999999999943</c:v>
                </c:pt>
                <c:pt idx="14">
                  <c:v>-4</c:v>
                </c:pt>
                <c:pt idx="15">
                  <c:v>-4.0999999999999943</c:v>
                </c:pt>
                <c:pt idx="16">
                  <c:v>-4.5999999999999943</c:v>
                </c:pt>
                <c:pt idx="17">
                  <c:v>-4.7999999999999972</c:v>
                </c:pt>
                <c:pt idx="18">
                  <c:v>-3</c:v>
                </c:pt>
                <c:pt idx="19">
                  <c:v>-3.5999999999999943</c:v>
                </c:pt>
                <c:pt idx="20">
                  <c:v>-1.9000000000000061</c:v>
                </c:pt>
                <c:pt idx="21">
                  <c:v>-2.0999999999999943</c:v>
                </c:pt>
                <c:pt idx="22">
                  <c:v>-2.2999999999999972</c:v>
                </c:pt>
                <c:pt idx="23">
                  <c:v>-2.7999999999999972</c:v>
                </c:pt>
                <c:pt idx="24">
                  <c:v>-0.90000000000000568</c:v>
                </c:pt>
                <c:pt idx="25">
                  <c:v>-1.5</c:v>
                </c:pt>
                <c:pt idx="26">
                  <c:v>-0.90000000000000568</c:v>
                </c:pt>
                <c:pt idx="27">
                  <c:v>-0.90000000000000568</c:v>
                </c:pt>
                <c:pt idx="28">
                  <c:v>0.29999999999999888</c:v>
                </c:pt>
                <c:pt idx="29">
                  <c:v>0.59999999999999432</c:v>
                </c:pt>
                <c:pt idx="30">
                  <c:v>0.40000000000000568</c:v>
                </c:pt>
                <c:pt idx="31">
                  <c:v>-0.29999999999999888</c:v>
                </c:pt>
                <c:pt idx="32">
                  <c:v>-1.7000000000000028</c:v>
                </c:pt>
                <c:pt idx="33">
                  <c:v>-1.4000000000000057</c:v>
                </c:pt>
                <c:pt idx="34">
                  <c:v>-0.59999999999999432</c:v>
                </c:pt>
                <c:pt idx="35">
                  <c:v>-0.5</c:v>
                </c:pt>
                <c:pt idx="36">
                  <c:v>-6.5999999999999943</c:v>
                </c:pt>
                <c:pt idx="37">
                  <c:v>-6.0999999999999943</c:v>
                </c:pt>
                <c:pt idx="38">
                  <c:v>-6.5</c:v>
                </c:pt>
                <c:pt idx="39">
                  <c:v>-7</c:v>
                </c:pt>
                <c:pt idx="40">
                  <c:v>-7.0999999999999943</c:v>
                </c:pt>
                <c:pt idx="41">
                  <c:v>-7.2999999999999972</c:v>
                </c:pt>
                <c:pt idx="42">
                  <c:v>-6.5999999999999943</c:v>
                </c:pt>
                <c:pt idx="43">
                  <c:v>-6</c:v>
                </c:pt>
                <c:pt idx="44">
                  <c:v>-4.9000000000000083</c:v>
                </c:pt>
                <c:pt idx="45">
                  <c:v>-5.2000000000000028</c:v>
                </c:pt>
                <c:pt idx="46">
                  <c:v>-5.2999999999999972</c:v>
                </c:pt>
                <c:pt idx="47">
                  <c:v>-5.0999999999999943</c:v>
                </c:pt>
                <c:pt idx="48" formatCode="General">
                  <c:v>2.2999999999999972</c:v>
                </c:pt>
                <c:pt idx="49" formatCode="General">
                  <c:v>5.7999999999999972</c:v>
                </c:pt>
                <c:pt idx="50">
                  <c:v>6.2000000000000028</c:v>
                </c:pt>
                <c:pt idx="51">
                  <c:v>6.4000000000000083</c:v>
                </c:pt>
                <c:pt idx="52" formatCode="General">
                  <c:v>4.2999999999999972</c:v>
                </c:pt>
                <c:pt idx="53" formatCode="General">
                  <c:v>4.0999999999999943</c:v>
                </c:pt>
              </c:numCache>
            </c:numRef>
          </c:val>
        </c:ser>
        <c:ser>
          <c:idx val="2"/>
          <c:order val="2"/>
          <c:tx>
            <c:strRef>
              <c:f>'Ceny 4'!$E$5</c:f>
              <c:strCache>
                <c:ptCount val="1"/>
                <c:pt idx="0">
                  <c:v>Manufacturing</c:v>
                </c:pt>
              </c:strCache>
            </c:strRef>
          </c:tx>
          <c:spPr>
            <a:ln w="19050">
              <a:solidFill>
                <a:srgbClr val="BD1B21"/>
              </a:solidFill>
            </a:ln>
          </c:spPr>
          <c:marker>
            <c:symbol val="none"/>
          </c:marker>
          <c:cat>
            <c:multiLvlStrRef>
              <c:f>'Ceny 4'!$A$6:$B$59</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'Ceny 4'!$E$6:$E$59</c:f>
              <c:numCache>
                <c:formatCode>0.0</c:formatCode>
                <c:ptCount val="54"/>
                <c:pt idx="0">
                  <c:v>1</c:v>
                </c:pt>
                <c:pt idx="1">
                  <c:v>0.90000000000000568</c:v>
                </c:pt>
                <c:pt idx="2">
                  <c:v>0.5</c:v>
                </c:pt>
                <c:pt idx="3">
                  <c:v>-0.29999999999999888</c:v>
                </c:pt>
                <c:pt idx="4">
                  <c:v>-0.40000000000000568</c:v>
                </c:pt>
                <c:pt idx="5">
                  <c:v>0</c:v>
                </c:pt>
                <c:pt idx="6">
                  <c:v>0.59999999999999432</c:v>
                </c:pt>
                <c:pt idx="7">
                  <c:v>-0.29999999999999888</c:v>
                </c:pt>
                <c:pt idx="8">
                  <c:v>0</c:v>
                </c:pt>
                <c:pt idx="9">
                  <c:v>-0.7999999999999976</c:v>
                </c:pt>
                <c:pt idx="10">
                  <c:v>-0.20000000000000284</c:v>
                </c:pt>
                <c:pt idx="11">
                  <c:v>1.2999999999999914</c:v>
                </c:pt>
                <c:pt idx="12">
                  <c:v>1.0999999999999894</c:v>
                </c:pt>
                <c:pt idx="13">
                  <c:v>1.2000000000000028</c:v>
                </c:pt>
                <c:pt idx="14">
                  <c:v>1</c:v>
                </c:pt>
                <c:pt idx="15">
                  <c:v>1.5999999999999894</c:v>
                </c:pt>
                <c:pt idx="16">
                  <c:v>1.9000000000000061</c:v>
                </c:pt>
                <c:pt idx="17">
                  <c:v>1.9000000000000061</c:v>
                </c:pt>
                <c:pt idx="18">
                  <c:v>1.7999999999999914</c:v>
                </c:pt>
                <c:pt idx="19">
                  <c:v>2.0999999999999943</c:v>
                </c:pt>
                <c:pt idx="20">
                  <c:v>1.5</c:v>
                </c:pt>
                <c:pt idx="21">
                  <c:v>1.5</c:v>
                </c:pt>
                <c:pt idx="22">
                  <c:v>-9.9999999999994732E-2</c:v>
                </c:pt>
                <c:pt idx="23">
                  <c:v>-2.7999999999999972</c:v>
                </c:pt>
                <c:pt idx="24">
                  <c:v>-4.2999999999999972</c:v>
                </c:pt>
                <c:pt idx="25">
                  <c:v>-4.4000000000000083</c:v>
                </c:pt>
                <c:pt idx="26">
                  <c:v>-3.5</c:v>
                </c:pt>
                <c:pt idx="27">
                  <c:v>-3.0999999999999943</c:v>
                </c:pt>
                <c:pt idx="28">
                  <c:v>-2.7000000000000042</c:v>
                </c:pt>
                <c:pt idx="29">
                  <c:v>-2.7999999999999972</c:v>
                </c:pt>
                <c:pt idx="30">
                  <c:v>-3.5999999999999943</c:v>
                </c:pt>
                <c:pt idx="31">
                  <c:v>-4.7000000000000028</c:v>
                </c:pt>
                <c:pt idx="32">
                  <c:v>-5.2000000000000028</c:v>
                </c:pt>
                <c:pt idx="33">
                  <c:v>-4.9000000000000083</c:v>
                </c:pt>
                <c:pt idx="34">
                  <c:v>-4.5999999999999943</c:v>
                </c:pt>
                <c:pt idx="35">
                  <c:v>-3.5</c:v>
                </c:pt>
                <c:pt idx="36">
                  <c:v>-3.2999999999999972</c:v>
                </c:pt>
                <c:pt idx="37">
                  <c:v>-4.0999999999999943</c:v>
                </c:pt>
                <c:pt idx="38">
                  <c:v>-4.5999999999999943</c:v>
                </c:pt>
                <c:pt idx="39">
                  <c:v>-4.9000000000000083</c:v>
                </c:pt>
                <c:pt idx="40">
                  <c:v>-5</c:v>
                </c:pt>
                <c:pt idx="41">
                  <c:v>-4.5</c:v>
                </c:pt>
                <c:pt idx="42">
                  <c:v>-4</c:v>
                </c:pt>
                <c:pt idx="43">
                  <c:v>-3.2000000000000042</c:v>
                </c:pt>
                <c:pt idx="44">
                  <c:v>-2</c:v>
                </c:pt>
                <c:pt idx="45">
                  <c:v>-1.0999999999999894</c:v>
                </c:pt>
                <c:pt idx="46">
                  <c:v>-0.59999999999999432</c:v>
                </c:pt>
                <c:pt idx="47">
                  <c:v>0.59999999999999432</c:v>
                </c:pt>
                <c:pt idx="48" formatCode="General">
                  <c:v>2.5999999999999943</c:v>
                </c:pt>
                <c:pt idx="49" formatCode="General">
                  <c:v>4</c:v>
                </c:pt>
                <c:pt idx="50">
                  <c:v>3.7999999999999972</c:v>
                </c:pt>
                <c:pt idx="51">
                  <c:v>4</c:v>
                </c:pt>
                <c:pt idx="52" formatCode="General">
                  <c:v>2.7999999999999972</c:v>
                </c:pt>
                <c:pt idx="53" formatCode="General">
                  <c:v>1.5</c:v>
                </c:pt>
              </c:numCache>
            </c:numRef>
          </c:val>
        </c:ser>
        <c:ser>
          <c:idx val="3"/>
          <c:order val="3"/>
          <c:tx>
            <c:strRef>
              <c:f>'Ceny 4'!$F$5</c:f>
              <c:strCache>
                <c:ptCount val="1"/>
                <c:pt idx="0">
                  <c:v>Electricity, gas, steam and air conditioning supply</c:v>
                </c:pt>
              </c:strCache>
            </c:strRef>
          </c:tx>
          <c:spPr>
            <a:ln w="19050">
              <a:solidFill>
                <a:srgbClr val="F8A124"/>
              </a:solidFill>
            </a:ln>
          </c:spPr>
          <c:marker>
            <c:symbol val="none"/>
          </c:marker>
          <c:cat>
            <c:multiLvlStrRef>
              <c:f>'Ceny 4'!$A$6:$B$59</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'Ceny 4'!$F$6:$F$59</c:f>
              <c:numCache>
                <c:formatCode>0.0</c:formatCode>
                <c:ptCount val="54"/>
                <c:pt idx="0">
                  <c:v>3.7000000000000042</c:v>
                </c:pt>
                <c:pt idx="1">
                  <c:v>3.7000000000000042</c:v>
                </c:pt>
                <c:pt idx="2">
                  <c:v>3.7000000000000042</c:v>
                </c:pt>
                <c:pt idx="3">
                  <c:v>3.5</c:v>
                </c:pt>
                <c:pt idx="4">
                  <c:v>3.5</c:v>
                </c:pt>
                <c:pt idx="5">
                  <c:v>3.5999999999999943</c:v>
                </c:pt>
                <c:pt idx="6">
                  <c:v>3.5999999999999943</c:v>
                </c:pt>
                <c:pt idx="7">
                  <c:v>3.5999999999999943</c:v>
                </c:pt>
                <c:pt idx="8">
                  <c:v>3.5999999999999943</c:v>
                </c:pt>
                <c:pt idx="9">
                  <c:v>3.7999999999999972</c:v>
                </c:pt>
                <c:pt idx="10">
                  <c:v>3.7999999999999972</c:v>
                </c:pt>
                <c:pt idx="11">
                  <c:v>3.5</c:v>
                </c:pt>
                <c:pt idx="12">
                  <c:v>-8.8000000000000025</c:v>
                </c:pt>
                <c:pt idx="13">
                  <c:v>-8.8000000000000025</c:v>
                </c:pt>
                <c:pt idx="14">
                  <c:v>-8.8000000000000025</c:v>
                </c:pt>
                <c:pt idx="15">
                  <c:v>-8.6000000000000014</c:v>
                </c:pt>
                <c:pt idx="16">
                  <c:v>-8.6000000000000014</c:v>
                </c:pt>
                <c:pt idx="17">
                  <c:v>-8.7000000000000011</c:v>
                </c:pt>
                <c:pt idx="18">
                  <c:v>-8.7000000000000011</c:v>
                </c:pt>
                <c:pt idx="19">
                  <c:v>-8.6000000000000014</c:v>
                </c:pt>
                <c:pt idx="20">
                  <c:v>-8.6000000000000014</c:v>
                </c:pt>
                <c:pt idx="21">
                  <c:v>-8.9000000000000057</c:v>
                </c:pt>
                <c:pt idx="22">
                  <c:v>-8.9000000000000057</c:v>
                </c:pt>
                <c:pt idx="23">
                  <c:v>-8.6000000000000014</c:v>
                </c:pt>
                <c:pt idx="24">
                  <c:v>-0.7999999999999976</c:v>
                </c:pt>
                <c:pt idx="25">
                  <c:v>-0.7999999999999976</c:v>
                </c:pt>
                <c:pt idx="26">
                  <c:v>-0.7999999999999976</c:v>
                </c:pt>
                <c:pt idx="27">
                  <c:v>-0.70000000000000284</c:v>
                </c:pt>
                <c:pt idx="28">
                  <c:v>-0.70000000000000284</c:v>
                </c:pt>
                <c:pt idx="29">
                  <c:v>-0.70000000000000284</c:v>
                </c:pt>
                <c:pt idx="30">
                  <c:v>-0.70000000000000284</c:v>
                </c:pt>
                <c:pt idx="31">
                  <c:v>-0.7999999999999976</c:v>
                </c:pt>
                <c:pt idx="32">
                  <c:v>-0.7999999999999976</c:v>
                </c:pt>
                <c:pt idx="33">
                  <c:v>-0.90000000000000568</c:v>
                </c:pt>
                <c:pt idx="34">
                  <c:v>-0.90000000000000568</c:v>
                </c:pt>
                <c:pt idx="35">
                  <c:v>-0.90000000000000568</c:v>
                </c:pt>
                <c:pt idx="36">
                  <c:v>-4</c:v>
                </c:pt>
                <c:pt idx="37">
                  <c:v>-4.0999999999999943</c:v>
                </c:pt>
                <c:pt idx="38">
                  <c:v>-4.0999999999999943</c:v>
                </c:pt>
                <c:pt idx="39">
                  <c:v>-4</c:v>
                </c:pt>
                <c:pt idx="40">
                  <c:v>-4</c:v>
                </c:pt>
                <c:pt idx="41">
                  <c:v>-4.0999999999999943</c:v>
                </c:pt>
                <c:pt idx="42">
                  <c:v>-4</c:v>
                </c:pt>
                <c:pt idx="43">
                  <c:v>-4</c:v>
                </c:pt>
                <c:pt idx="44">
                  <c:v>-4.0999999999999943</c:v>
                </c:pt>
                <c:pt idx="45">
                  <c:v>-4.0999999999999943</c:v>
                </c:pt>
                <c:pt idx="46">
                  <c:v>-4.0999999999999943</c:v>
                </c:pt>
                <c:pt idx="47">
                  <c:v>-4.0999999999999943</c:v>
                </c:pt>
                <c:pt idx="48" formatCode="General">
                  <c:v>-1.0999999999999894</c:v>
                </c:pt>
                <c:pt idx="49" formatCode="General">
                  <c:v>-1.2000000000000028</c:v>
                </c:pt>
                <c:pt idx="50">
                  <c:v>-1.2000000000000028</c:v>
                </c:pt>
                <c:pt idx="51">
                  <c:v>-1.4000000000000057</c:v>
                </c:pt>
                <c:pt idx="52" formatCode="General">
                  <c:v>-1.2999999999999914</c:v>
                </c:pt>
                <c:pt idx="53" formatCode="General">
                  <c:v>-1.0999999999999894</c:v>
                </c:pt>
              </c:numCache>
            </c:numRef>
          </c:val>
        </c:ser>
        <c:ser>
          <c:idx val="4"/>
          <c:order val="4"/>
          <c:tx>
            <c:strRef>
              <c:f>'Ceny 4'!$G$5</c:f>
              <c:strCache>
                <c:ptCount val="1"/>
                <c:pt idx="0">
                  <c:v>Water supply, sewerage</c:v>
                </c:pt>
              </c:strCache>
            </c:strRef>
          </c:tx>
          <c:spPr>
            <a:ln w="19050">
              <a:solidFill>
                <a:schemeClr val="accent1"/>
              </a:solidFill>
            </a:ln>
          </c:spPr>
          <c:marker>
            <c:symbol val="none"/>
          </c:marker>
          <c:cat>
            <c:multiLvlStrRef>
              <c:f>'Ceny 4'!$A$6:$B$59</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'Ceny 4'!$G$6:$G$59</c:f>
              <c:numCache>
                <c:formatCode>General</c:formatCode>
                <c:ptCount val="54"/>
                <c:pt idx="0">
                  <c:v>5.9000000000000083</c:v>
                </c:pt>
                <c:pt idx="1">
                  <c:v>5.7999999999999972</c:v>
                </c:pt>
                <c:pt idx="2">
                  <c:v>5.7000000000000028</c:v>
                </c:pt>
                <c:pt idx="3">
                  <c:v>5.7000000000000028</c:v>
                </c:pt>
                <c:pt idx="4">
                  <c:v>5.7000000000000028</c:v>
                </c:pt>
                <c:pt idx="5">
                  <c:v>5.7000000000000028</c:v>
                </c:pt>
                <c:pt idx="6">
                  <c:v>5.7000000000000028</c:v>
                </c:pt>
                <c:pt idx="7">
                  <c:v>5.7000000000000028</c:v>
                </c:pt>
                <c:pt idx="8">
                  <c:v>5.7000000000000028</c:v>
                </c:pt>
                <c:pt idx="9">
                  <c:v>5.7000000000000028</c:v>
                </c:pt>
                <c:pt idx="10">
                  <c:v>5.7000000000000028</c:v>
                </c:pt>
                <c:pt idx="11">
                  <c:v>5.7000000000000028</c:v>
                </c:pt>
                <c:pt idx="12">
                  <c:v>3.4000000000000057</c:v>
                </c:pt>
                <c:pt idx="13">
                  <c:v>3.4000000000000057</c:v>
                </c:pt>
                <c:pt idx="14">
                  <c:v>3.4000000000000057</c:v>
                </c:pt>
                <c:pt idx="15">
                  <c:v>3.4000000000000057</c:v>
                </c:pt>
                <c:pt idx="16">
                  <c:v>3.4000000000000057</c:v>
                </c:pt>
                <c:pt idx="17">
                  <c:v>3.4000000000000057</c:v>
                </c:pt>
                <c:pt idx="18">
                  <c:v>3.4000000000000057</c:v>
                </c:pt>
                <c:pt idx="19">
                  <c:v>3.4000000000000057</c:v>
                </c:pt>
                <c:pt idx="20">
                  <c:v>3.4000000000000057</c:v>
                </c:pt>
                <c:pt idx="21">
                  <c:v>3.4000000000000057</c:v>
                </c:pt>
                <c:pt idx="22">
                  <c:v>3.4000000000000057</c:v>
                </c:pt>
                <c:pt idx="23">
                  <c:v>3.4000000000000057</c:v>
                </c:pt>
                <c:pt idx="24">
                  <c:v>3.4000000000000057</c:v>
                </c:pt>
                <c:pt idx="25">
                  <c:v>3.4000000000000057</c:v>
                </c:pt>
                <c:pt idx="26">
                  <c:v>3.4000000000000057</c:v>
                </c:pt>
                <c:pt idx="27">
                  <c:v>3.4000000000000057</c:v>
                </c:pt>
                <c:pt idx="28">
                  <c:v>3.4000000000000057</c:v>
                </c:pt>
                <c:pt idx="29">
                  <c:v>3.4000000000000057</c:v>
                </c:pt>
                <c:pt idx="30">
                  <c:v>3.4000000000000057</c:v>
                </c:pt>
                <c:pt idx="31">
                  <c:v>3.4000000000000057</c:v>
                </c:pt>
                <c:pt idx="32">
                  <c:v>3.4000000000000057</c:v>
                </c:pt>
                <c:pt idx="33">
                  <c:v>3.4000000000000057</c:v>
                </c:pt>
                <c:pt idx="34">
                  <c:v>3.4000000000000057</c:v>
                </c:pt>
                <c:pt idx="35">
                  <c:v>3.4000000000000057</c:v>
                </c:pt>
                <c:pt idx="36">
                  <c:v>0.5</c:v>
                </c:pt>
                <c:pt idx="37">
                  <c:v>0.5</c:v>
                </c:pt>
                <c:pt idx="38">
                  <c:v>0.5</c:v>
                </c:pt>
                <c:pt idx="39">
                  <c:v>1.5999999999999894</c:v>
                </c:pt>
                <c:pt idx="40">
                  <c:v>1.5999999999999894</c:v>
                </c:pt>
                <c:pt idx="41">
                  <c:v>1.5999999999999894</c:v>
                </c:pt>
                <c:pt idx="42">
                  <c:v>1.5999999999999894</c:v>
                </c:pt>
                <c:pt idx="43">
                  <c:v>1.5999999999999894</c:v>
                </c:pt>
                <c:pt idx="44">
                  <c:v>1.5999999999999894</c:v>
                </c:pt>
                <c:pt idx="45">
                  <c:v>1.5999999999999894</c:v>
                </c:pt>
                <c:pt idx="46">
                  <c:v>1.5999999999999894</c:v>
                </c:pt>
                <c:pt idx="47">
                  <c:v>1.5999999999999894</c:v>
                </c:pt>
                <c:pt idx="48">
                  <c:v>2.0999999999999943</c:v>
                </c:pt>
                <c:pt idx="49">
                  <c:v>2.0999999999999943</c:v>
                </c:pt>
                <c:pt idx="50" formatCode="0.0">
                  <c:v>2.0999999999999943</c:v>
                </c:pt>
                <c:pt idx="51" formatCode="0.0">
                  <c:v>1</c:v>
                </c:pt>
                <c:pt idx="52">
                  <c:v>1</c:v>
                </c:pt>
                <c:pt idx="53">
                  <c:v>1</c:v>
                </c:pt>
              </c:numCache>
            </c:numRef>
          </c:val>
        </c:ser>
        <c:marker val="1"/>
        <c:axId val="163409920"/>
        <c:axId val="163411840"/>
      </c:lineChart>
      <c:catAx>
        <c:axId val="163409920"/>
        <c:scaling>
          <c:orientation val="minMax"/>
        </c:scaling>
        <c:axPos val="b"/>
        <c:tickLblPos val="low"/>
        <c:spPr>
          <a:ln>
            <a:solidFill>
              <a:schemeClr val="tx1"/>
            </a:solidFill>
          </a:ln>
        </c:spPr>
        <c:crossAx val="163411840"/>
        <c:crosses val="autoZero"/>
        <c:auto val="1"/>
        <c:lblAlgn val="ctr"/>
        <c:lblOffset val="100"/>
      </c:catAx>
      <c:valAx>
        <c:axId val="163411840"/>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63409920"/>
        <c:crosses val="autoZero"/>
        <c:crossBetween val="between"/>
      </c:valAx>
      <c:spPr>
        <a:ln>
          <a:solidFill>
            <a:schemeClr val="tx1"/>
          </a:solidFill>
        </a:ln>
      </c:spPr>
    </c:plotArea>
    <c:legend>
      <c:legendPos val="b"/>
      <c:layout>
        <c:manualLayout>
          <c:xMode val="edge"/>
          <c:yMode val="edge"/>
          <c:x val="5.059628213264214E-2"/>
          <c:y val="0.84079393223010745"/>
          <c:w val="0.89560705842620769"/>
          <c:h val="0.14253940110323177"/>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4942586963863574E-2"/>
          <c:y val="2.8593943487560749E-2"/>
          <c:w val="0.92629263762242564"/>
          <c:h val="0.75790048407069865"/>
        </c:manualLayout>
      </c:layout>
      <c:barChart>
        <c:barDir val="col"/>
        <c:grouping val="clustered"/>
        <c:ser>
          <c:idx val="3"/>
          <c:order val="3"/>
          <c:tx>
            <c:strRef>
              <c:f>'Ceny 3'!$H$5</c:f>
              <c:strCache>
                <c:ptCount val="1"/>
                <c:pt idx="0">
                  <c:v>Terms of trade</c:v>
                </c:pt>
              </c:strCache>
            </c:strRef>
          </c:tx>
          <c:spPr>
            <a:solidFill>
              <a:schemeClr val="bg1">
                <a:lumMod val="65000"/>
              </a:schemeClr>
            </a:solidFill>
          </c:spPr>
          <c:val>
            <c:numRef>
              <c:f>'Ceny 3'!$H$10:$H$27</c:f>
              <c:numCache>
                <c:formatCode>0.0</c:formatCode>
                <c:ptCount val="18"/>
                <c:pt idx="0">
                  <c:v>0.72086874091794806</c:v>
                </c:pt>
                <c:pt idx="1">
                  <c:v>0.66492115250875805</c:v>
                </c:pt>
                <c:pt idx="2">
                  <c:v>1.3267678006503587</c:v>
                </c:pt>
                <c:pt idx="3">
                  <c:v>1.2283581212725827</c:v>
                </c:pt>
                <c:pt idx="4">
                  <c:v>1.7793365680396958</c:v>
                </c:pt>
                <c:pt idx="5">
                  <c:v>2.1121774956172437</c:v>
                </c:pt>
                <c:pt idx="6">
                  <c:v>1.6039707571559432</c:v>
                </c:pt>
                <c:pt idx="7">
                  <c:v>0.65769164867339847</c:v>
                </c:pt>
                <c:pt idx="8">
                  <c:v>0.6687514491261809</c:v>
                </c:pt>
                <c:pt idx="9">
                  <c:v>-5.2195141937815513E-2</c:v>
                </c:pt>
                <c:pt idx="10">
                  <c:v>0.25811822159073472</c:v>
                </c:pt>
                <c:pt idx="11">
                  <c:v>0.70048196058132817</c:v>
                </c:pt>
                <c:pt idx="12">
                  <c:v>1.503445792050637</c:v>
                </c:pt>
                <c:pt idx="13">
                  <c:v>1.5316445359934219</c:v>
                </c:pt>
                <c:pt idx="14">
                  <c:v>1.1309975684205724</c:v>
                </c:pt>
                <c:pt idx="15">
                  <c:v>6.2910265216473304E-2</c:v>
                </c:pt>
                <c:pt idx="16">
                  <c:v>-1.8857390401630312</c:v>
                </c:pt>
                <c:pt idx="17">
                  <c:v>-1.6543501748548342</c:v>
                </c:pt>
              </c:numCache>
            </c:numRef>
          </c:val>
        </c:ser>
        <c:gapWidth val="95"/>
        <c:axId val="164935168"/>
        <c:axId val="164936704"/>
      </c:barChart>
      <c:lineChart>
        <c:grouping val="standard"/>
        <c:ser>
          <c:idx val="1"/>
          <c:order val="0"/>
          <c:tx>
            <c:strRef>
              <c:f>'Ceny 3'!$E$5</c:f>
              <c:strCache>
                <c:ptCount val="1"/>
                <c:pt idx="0">
                  <c:v>GDP</c:v>
                </c:pt>
              </c:strCache>
            </c:strRef>
          </c:tx>
          <c:spPr>
            <a:ln w="19050">
              <a:solidFill>
                <a:sysClr val="windowText" lastClr="000000"/>
              </a:solidFill>
            </a:ln>
          </c:spPr>
          <c:marker>
            <c:symbol val="none"/>
          </c:marker>
          <c:cat>
            <c:multiLvlStrRef>
              <c:f>'Ceny 3'!$A$10:$B$26</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'Ceny 3'!$E$10:$E$27</c:f>
              <c:numCache>
                <c:formatCode>#,##0.0</c:formatCode>
                <c:ptCount val="18"/>
                <c:pt idx="0">
                  <c:v>1.2999708970934809</c:v>
                </c:pt>
                <c:pt idx="1">
                  <c:v>1.1220533709485967</c:v>
                </c:pt>
                <c:pt idx="2">
                  <c:v>1.3013982471865508</c:v>
                </c:pt>
                <c:pt idx="3">
                  <c:v>1.9705982643273221</c:v>
                </c:pt>
                <c:pt idx="4">
                  <c:v>2.3138763904869237</c:v>
                </c:pt>
                <c:pt idx="5">
                  <c:v>2.7748292282439451</c:v>
                </c:pt>
                <c:pt idx="6">
                  <c:v>2.7588595129771818</c:v>
                </c:pt>
                <c:pt idx="7">
                  <c:v>2.0601986396608538</c:v>
                </c:pt>
                <c:pt idx="8">
                  <c:v>1.5369337674784158</c:v>
                </c:pt>
                <c:pt idx="9">
                  <c:v>1.344899624212232</c:v>
                </c:pt>
                <c:pt idx="10">
                  <c:v>1.0394166136579301</c:v>
                </c:pt>
                <c:pt idx="11">
                  <c:v>0.76946574896925257</c:v>
                </c:pt>
                <c:pt idx="12">
                  <c:v>1.4770885012742809</c:v>
                </c:pt>
                <c:pt idx="13">
                  <c:v>1.0859617317946506</c:v>
                </c:pt>
                <c:pt idx="14">
                  <c:v>1.2927847129702457</c:v>
                </c:pt>
                <c:pt idx="15">
                  <c:v>1.1135418002644391</c:v>
                </c:pt>
                <c:pt idx="16" formatCode="General">
                  <c:v>0.53721988241845564</c:v>
                </c:pt>
                <c:pt idx="17" formatCode="General">
                  <c:v>0.9988124786041368</c:v>
                </c:pt>
              </c:numCache>
            </c:numRef>
          </c:val>
        </c:ser>
        <c:ser>
          <c:idx val="0"/>
          <c:order val="1"/>
          <c:tx>
            <c:strRef>
              <c:f>'Ceny 3'!$C$5</c:f>
              <c:strCache>
                <c:ptCount val="1"/>
                <c:pt idx="0">
                  <c:v>Final consumption expenditure</c:v>
                </c:pt>
              </c:strCache>
            </c:strRef>
          </c:tx>
          <c:spPr>
            <a:ln w="19050">
              <a:solidFill>
                <a:srgbClr val="0071BC"/>
              </a:solidFill>
            </a:ln>
          </c:spPr>
          <c:marker>
            <c:symbol val="none"/>
          </c:marker>
          <c:cat>
            <c:multiLvlStrRef>
              <c:f>'Ceny 3'!$A$10:$B$27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3'!$C$10:$C$27</c:f>
              <c:numCache>
                <c:formatCode>0.0</c:formatCode>
                <c:ptCount val="18"/>
                <c:pt idx="0">
                  <c:v>0.7039308107789729</c:v>
                </c:pt>
                <c:pt idx="1">
                  <c:v>0.6460903683416036</c:v>
                </c:pt>
                <c:pt idx="2">
                  <c:v>0.5078022322107647</c:v>
                </c:pt>
                <c:pt idx="3">
                  <c:v>0.76412283599242414</c:v>
                </c:pt>
                <c:pt idx="4">
                  <c:v>0.58981800757618463</c:v>
                </c:pt>
                <c:pt idx="5">
                  <c:v>0.73002869006748716</c:v>
                </c:pt>
                <c:pt idx="6">
                  <c:v>0.9627234351177667</c:v>
                </c:pt>
                <c:pt idx="7">
                  <c:v>1.371359354161328</c:v>
                </c:pt>
                <c:pt idx="8">
                  <c:v>0.68976772600146319</c:v>
                </c:pt>
                <c:pt idx="9">
                  <c:v>0.98805285803847265</c:v>
                </c:pt>
                <c:pt idx="10">
                  <c:v>0.80963604805681655</c:v>
                </c:pt>
                <c:pt idx="11">
                  <c:v>0.11766427409598675</c:v>
                </c:pt>
                <c:pt idx="12">
                  <c:v>0.59228639059519139</c:v>
                </c:pt>
                <c:pt idx="13">
                  <c:v>0.57477319622762479</c:v>
                </c:pt>
                <c:pt idx="14">
                  <c:v>0.95921467327970533</c:v>
                </c:pt>
                <c:pt idx="15">
                  <c:v>1.4791806391940838</c:v>
                </c:pt>
                <c:pt idx="16" formatCode="General">
                  <c:v>2.4150093648891509</c:v>
                </c:pt>
                <c:pt idx="17" formatCode="General">
                  <c:v>2.7033943161741072</c:v>
                </c:pt>
              </c:numCache>
            </c:numRef>
          </c:val>
        </c:ser>
        <c:ser>
          <c:idx val="2"/>
          <c:order val="2"/>
          <c:tx>
            <c:strRef>
              <c:f>'Ceny 3'!$D$5</c:f>
              <c:strCache>
                <c:ptCount val="1"/>
                <c:pt idx="0">
                  <c:v>Gross capital formation</c:v>
                </c:pt>
              </c:strCache>
            </c:strRef>
          </c:tx>
          <c:spPr>
            <a:ln w="19050">
              <a:solidFill>
                <a:srgbClr val="BD1B21"/>
              </a:solidFill>
            </a:ln>
          </c:spPr>
          <c:marker>
            <c:symbol val="none"/>
          </c:marker>
          <c:cat>
            <c:multiLvlStrRef>
              <c:f>'Ceny 3'!$A$10:$B$27</c:f>
              <c:multiLvlStrCache>
                <c:ptCount val="1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lvl>
                <c:lvl>
                  <c:pt idx="0">
                    <c:v>2013</c:v>
                  </c:pt>
                  <c:pt idx="4">
                    <c:v>2014</c:v>
                  </c:pt>
                  <c:pt idx="8">
                    <c:v>2015</c:v>
                  </c:pt>
                  <c:pt idx="12">
                    <c:v>2016</c:v>
                  </c:pt>
                  <c:pt idx="16">
                    <c:v>2017</c:v>
                  </c:pt>
                </c:lvl>
              </c:multiLvlStrCache>
            </c:multiLvlStrRef>
          </c:cat>
          <c:val>
            <c:numRef>
              <c:f>'Ceny 3'!$D$10:$D$27</c:f>
              <c:numCache>
                <c:formatCode>0.0</c:formatCode>
                <c:ptCount val="18"/>
                <c:pt idx="0">
                  <c:v>0.93237675467136649</c:v>
                </c:pt>
                <c:pt idx="1">
                  <c:v>0.55587160422214765</c:v>
                </c:pt>
                <c:pt idx="2">
                  <c:v>-0.14502990088750828</c:v>
                </c:pt>
                <c:pt idx="3">
                  <c:v>1.3523234836422091</c:v>
                </c:pt>
                <c:pt idx="4">
                  <c:v>1.1262607990310585</c:v>
                </c:pt>
                <c:pt idx="5">
                  <c:v>1.6967817745947584</c:v>
                </c:pt>
                <c:pt idx="6">
                  <c:v>2.2944262174508632</c:v>
                </c:pt>
                <c:pt idx="7">
                  <c:v>1.7668000014469527</c:v>
                </c:pt>
                <c:pt idx="8">
                  <c:v>2.1227689478053282</c:v>
                </c:pt>
                <c:pt idx="9">
                  <c:v>2.5283893947638467</c:v>
                </c:pt>
                <c:pt idx="10">
                  <c:v>1.5895921078529938</c:v>
                </c:pt>
                <c:pt idx="11">
                  <c:v>1.3230345075879726</c:v>
                </c:pt>
                <c:pt idx="12">
                  <c:v>0.68131620837630158</c:v>
                </c:pt>
                <c:pt idx="13">
                  <c:v>-0.4703066090746712</c:v>
                </c:pt>
                <c:pt idx="14">
                  <c:v>-3.1665506301493451E-2</c:v>
                </c:pt>
                <c:pt idx="15">
                  <c:v>0.48648204884011648</c:v>
                </c:pt>
                <c:pt idx="16" formatCode="General">
                  <c:v>0.99259795512071458</c:v>
                </c:pt>
                <c:pt idx="17" formatCode="General">
                  <c:v>1.6498395161239898</c:v>
                </c:pt>
              </c:numCache>
            </c:numRef>
          </c:val>
        </c:ser>
        <c:marker val="1"/>
        <c:axId val="164935168"/>
        <c:axId val="164936704"/>
      </c:lineChart>
      <c:catAx>
        <c:axId val="164935168"/>
        <c:scaling>
          <c:orientation val="minMax"/>
        </c:scaling>
        <c:axPos val="b"/>
        <c:tickLblPos val="low"/>
        <c:spPr>
          <a:ln>
            <a:solidFill>
              <a:schemeClr val="tx1"/>
            </a:solidFill>
          </a:ln>
        </c:spPr>
        <c:txPr>
          <a:bodyPr rot="0" vert="horz"/>
          <a:lstStyle/>
          <a:p>
            <a:pPr>
              <a:defRPr/>
            </a:pPr>
            <a:endParaRPr lang="cs-CZ"/>
          </a:p>
        </c:txPr>
        <c:crossAx val="164936704"/>
        <c:crossesAt val="0"/>
        <c:auto val="1"/>
        <c:lblAlgn val="ctr"/>
        <c:lblOffset val="100"/>
      </c:catAx>
      <c:valAx>
        <c:axId val="164936704"/>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64935168"/>
        <c:crosses val="autoZero"/>
        <c:crossBetween val="between"/>
      </c:valAx>
      <c:spPr>
        <a:ln>
          <a:solidFill>
            <a:schemeClr val="tx1"/>
          </a:solidFill>
        </a:ln>
      </c:spPr>
    </c:plotArea>
    <c:legend>
      <c:legendPos val="b"/>
      <c:layout>
        <c:manualLayout>
          <c:xMode val="edge"/>
          <c:yMode val="edge"/>
          <c:x val="5.1257598784194246E-2"/>
          <c:y val="0.9105279747832935"/>
          <c:w val="0.92611385511651467"/>
          <c:h val="7.215158167285828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C34B1-B23C-4D10-9CD8-C321ADF05B7D}">
  <ds:schemaRefs>
    <ds:schemaRef ds:uri="http://schemas.openxmlformats.org/officeDocument/2006/bibliography"/>
  </ds:schemaRefs>
</ds:datastoreItem>
</file>

<file path=customXml/itemProps2.xml><?xml version="1.0" encoding="utf-8"?>
<ds:datastoreItem xmlns:ds="http://schemas.openxmlformats.org/officeDocument/2006/customXml" ds:itemID="{A95F0BAF-9528-485F-92B9-7014177B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3</TotalTime>
  <Pages>5</Pages>
  <Words>1888</Words>
  <Characters>11146</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13008</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2017-10-18T06:36:00Z</cp:lastPrinted>
  <dcterms:created xsi:type="dcterms:W3CDTF">2017-10-23T14:19:00Z</dcterms:created>
  <dcterms:modified xsi:type="dcterms:W3CDTF">2017-10-23T14:23:00Z</dcterms:modified>
</cp:coreProperties>
</file>