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83" w:rsidRPr="007B0353" w:rsidRDefault="007B0353" w:rsidP="00855990">
      <w:pPr>
        <w:pStyle w:val="Nadpis1"/>
        <w:numPr>
          <w:ilvl w:val="0"/>
          <w:numId w:val="24"/>
        </w:numPr>
        <w:jc w:val="both"/>
        <w:rPr>
          <w:lang w:val="en-GB"/>
        </w:rPr>
      </w:pPr>
      <w:bookmarkStart w:id="0" w:name="_Toc454185150"/>
      <w:bookmarkStart w:id="1" w:name="_Toc493683635"/>
      <w:r w:rsidRPr="007B0353">
        <w:rPr>
          <w:lang w:val="en-GB"/>
        </w:rPr>
        <w:t>Branches Performance</w:t>
      </w:r>
      <w:bookmarkEnd w:id="0"/>
      <w:bookmarkEnd w:id="1"/>
    </w:p>
    <w:tbl>
      <w:tblPr>
        <w:tblW w:w="4986" w:type="pct"/>
        <w:tblInd w:w="107" w:type="dxa"/>
        <w:tblLayout w:type="fixed"/>
        <w:tblLook w:val="00A0"/>
      </w:tblPr>
      <w:tblGrid>
        <w:gridCol w:w="1997"/>
        <w:gridCol w:w="283"/>
        <w:gridCol w:w="7546"/>
      </w:tblGrid>
      <w:tr w:rsidR="00654093" w:rsidRPr="007B0353" w:rsidTr="00853C0F">
        <w:trPr>
          <w:trHeight w:val="145"/>
        </w:trPr>
        <w:tc>
          <w:tcPr>
            <w:tcW w:w="1016" w:type="pct"/>
          </w:tcPr>
          <w:p w:rsidR="00654093" w:rsidRPr="007B0353" w:rsidRDefault="009C560D" w:rsidP="00853C0F">
            <w:pPr>
              <w:spacing w:line="240" w:lineRule="auto"/>
              <w:rPr>
                <w:spacing w:val="-2"/>
                <w:sz w:val="16"/>
                <w:szCs w:val="16"/>
                <w:lang w:val="en-GB"/>
              </w:rPr>
            </w:pPr>
            <w:r w:rsidRPr="007B0353">
              <w:rPr>
                <w:spacing w:val="-2"/>
                <w:sz w:val="16"/>
                <w:szCs w:val="16"/>
                <w:lang w:val="en-GB"/>
              </w:rPr>
              <w:t>Rate of growth of the GVA markedly accelerated in the first half of the year. All main</w:t>
            </w:r>
            <w:r w:rsidR="00310C41">
              <w:rPr>
                <w:spacing w:val="-2"/>
                <w:sz w:val="16"/>
                <w:szCs w:val="16"/>
                <w:lang w:val="en-GB"/>
              </w:rPr>
              <w:t xml:space="preserve"> branches</w:t>
            </w:r>
            <w:r w:rsidRPr="007B0353">
              <w:rPr>
                <w:spacing w:val="-2"/>
                <w:sz w:val="16"/>
                <w:szCs w:val="16"/>
                <w:lang w:val="en-GB"/>
              </w:rPr>
              <w:t xml:space="preserve"> prospered – agriculture, forestry and fishing the most and also manufacturing. </w:t>
            </w:r>
          </w:p>
        </w:tc>
        <w:tc>
          <w:tcPr>
            <w:tcW w:w="144" w:type="pct"/>
          </w:tcPr>
          <w:p w:rsidR="00654093" w:rsidRPr="007B0353" w:rsidRDefault="00654093" w:rsidP="00853C0F">
            <w:pPr>
              <w:pStyle w:val="Textpoznpodarou"/>
              <w:jc w:val="both"/>
              <w:rPr>
                <w:lang w:val="en-GB"/>
              </w:rPr>
            </w:pPr>
          </w:p>
        </w:tc>
        <w:tc>
          <w:tcPr>
            <w:tcW w:w="3840" w:type="pct"/>
          </w:tcPr>
          <w:p w:rsidR="00654093" w:rsidRPr="007B0353" w:rsidRDefault="009C560D" w:rsidP="00853C0F">
            <w:pPr>
              <w:pStyle w:val="Textpoznpodarou"/>
              <w:jc w:val="both"/>
              <w:rPr>
                <w:spacing w:val="-8"/>
                <w:lang w:val="en-GB"/>
              </w:rPr>
            </w:pPr>
            <w:r w:rsidRPr="007B0353">
              <w:rPr>
                <w:spacing w:val="-4"/>
                <w:lang w:val="en-GB"/>
              </w:rPr>
              <w:t xml:space="preserve">Gross value added </w:t>
            </w:r>
            <w:r w:rsidR="00654093" w:rsidRPr="007B0353">
              <w:rPr>
                <w:spacing w:val="-4"/>
                <w:lang w:val="en-GB"/>
              </w:rPr>
              <w:t>(</w:t>
            </w:r>
            <w:r w:rsidRPr="007B0353">
              <w:rPr>
                <w:spacing w:val="-4"/>
                <w:lang w:val="en-GB"/>
              </w:rPr>
              <w:t>GVA</w:t>
            </w:r>
            <w:r w:rsidR="00654093" w:rsidRPr="007B0353">
              <w:rPr>
                <w:spacing w:val="-4"/>
                <w:lang w:val="en-GB"/>
              </w:rPr>
              <w:t>)</w:t>
            </w:r>
            <w:r w:rsidR="00654093" w:rsidRPr="007B0353">
              <w:rPr>
                <w:rStyle w:val="Znakapoznpodarou"/>
                <w:spacing w:val="-4"/>
                <w:lang w:val="en-GB"/>
              </w:rPr>
              <w:footnoteReference w:id="1"/>
            </w:r>
            <w:r w:rsidR="00654093" w:rsidRPr="007B0353">
              <w:rPr>
                <w:spacing w:val="-4"/>
                <w:lang w:val="en-GB"/>
              </w:rPr>
              <w:t xml:space="preserve"> </w:t>
            </w:r>
            <w:r w:rsidRPr="007B0353">
              <w:rPr>
                <w:spacing w:val="-4"/>
                <w:lang w:val="en-GB"/>
              </w:rPr>
              <w:t>strengthened by 3.8</w:t>
            </w:r>
            <w:r w:rsidR="00954C8E">
              <w:rPr>
                <w:spacing w:val="-4"/>
                <w:lang w:val="en-GB"/>
              </w:rPr>
              <w:t>%</w:t>
            </w:r>
            <w:r w:rsidRPr="007B0353">
              <w:rPr>
                <w:spacing w:val="-4"/>
                <w:lang w:val="en-GB"/>
              </w:rPr>
              <w:t xml:space="preserve"> in all economic</w:t>
            </w:r>
            <w:r w:rsidR="00310C41">
              <w:rPr>
                <w:spacing w:val="-4"/>
                <w:lang w:val="en-GB"/>
              </w:rPr>
              <w:t xml:space="preserve"> branches </w:t>
            </w:r>
            <w:r w:rsidRPr="007B0353">
              <w:rPr>
                <w:spacing w:val="-4"/>
                <w:lang w:val="en-GB"/>
              </w:rPr>
              <w:t xml:space="preserve">year-on-year in H1. </w:t>
            </w:r>
            <w:r w:rsidR="00B310A1" w:rsidRPr="007B0353">
              <w:rPr>
                <w:spacing w:val="-4"/>
                <w:lang w:val="en-GB"/>
              </w:rPr>
              <w:t xml:space="preserve">The quarter-on-quarter rates of growth illustrated the acceleration of performance. </w:t>
            </w:r>
            <w:r w:rsidR="00ED04FA" w:rsidRPr="007B0353">
              <w:rPr>
                <w:spacing w:val="-4"/>
                <w:lang w:val="en-GB"/>
              </w:rPr>
              <w:t>While a growth of 0.5</w:t>
            </w:r>
            <w:r w:rsidR="00954C8E">
              <w:rPr>
                <w:spacing w:val="-4"/>
                <w:lang w:val="en-GB"/>
              </w:rPr>
              <w:t>%</w:t>
            </w:r>
            <w:r w:rsidR="00ED04FA" w:rsidRPr="007B0353">
              <w:rPr>
                <w:spacing w:val="-4"/>
                <w:lang w:val="en-GB"/>
              </w:rPr>
              <w:t xml:space="preserve"> was registered towards the end of the last year, it was then 1.6</w:t>
            </w:r>
            <w:r w:rsidR="00954C8E">
              <w:rPr>
                <w:spacing w:val="-4"/>
                <w:lang w:val="en-GB"/>
              </w:rPr>
              <w:t>%</w:t>
            </w:r>
            <w:r w:rsidR="00ED04FA" w:rsidRPr="007B0353">
              <w:rPr>
                <w:spacing w:val="-4"/>
                <w:lang w:val="en-GB"/>
              </w:rPr>
              <w:t xml:space="preserve"> in Q1 2017 and already 2.3</w:t>
            </w:r>
            <w:r w:rsidR="00954C8E">
              <w:rPr>
                <w:spacing w:val="-4"/>
                <w:lang w:val="en-GB"/>
              </w:rPr>
              <w:t>%</w:t>
            </w:r>
            <w:r w:rsidR="00ED04FA" w:rsidRPr="007B0353">
              <w:rPr>
                <w:spacing w:val="-4"/>
                <w:lang w:val="en-GB"/>
              </w:rPr>
              <w:t xml:space="preserve"> in the following three months (the largest quarter-on-quarter addition in more than twenty years</w:t>
            </w:r>
            <w:r w:rsidR="00310C41">
              <w:rPr>
                <w:spacing w:val="-4"/>
                <w:lang w:val="en-GB"/>
              </w:rPr>
              <w:t>´</w:t>
            </w:r>
            <w:r w:rsidR="00ED04FA" w:rsidRPr="007B0353">
              <w:rPr>
                <w:spacing w:val="-4"/>
                <w:lang w:val="en-GB"/>
              </w:rPr>
              <w:t xml:space="preserve"> history of </w:t>
            </w:r>
            <w:r w:rsidR="0062130B" w:rsidRPr="007B0353">
              <w:rPr>
                <w:spacing w:val="-4"/>
                <w:lang w:val="en-GB"/>
              </w:rPr>
              <w:t xml:space="preserve">monitoring). The GVA was expanding already the seventeenth quarter in a row – the performance </w:t>
            </w:r>
            <w:r w:rsidR="0007413C" w:rsidRPr="007B0353">
              <w:rPr>
                <w:spacing w:val="-4"/>
                <w:lang w:val="en-GB"/>
              </w:rPr>
              <w:t xml:space="preserve">of all </w:t>
            </w:r>
            <w:r w:rsidR="00310C41">
              <w:rPr>
                <w:spacing w:val="-4"/>
                <w:lang w:val="en-GB"/>
              </w:rPr>
              <w:t>branches</w:t>
            </w:r>
            <w:r w:rsidR="0007413C" w:rsidRPr="007B0353">
              <w:rPr>
                <w:spacing w:val="-4"/>
                <w:lang w:val="en-GB"/>
              </w:rPr>
              <w:t xml:space="preserve"> in total thus strengthened by whole one sixth. All ten main branch groupings held a merit on the year-on-year growth of the GVA in H1. Traditionally, manufacturing contributed by the highest extent (2.0 p. p.). The GVA was increasing the most dynamically this year, similarly to the whole last year, in the branch agriculture, forestry and fishing (by </w:t>
            </w:r>
            <w:r w:rsidR="002B7937" w:rsidRPr="007B0353">
              <w:rPr>
                <w:spacing w:val="-4"/>
                <w:lang w:val="en-GB"/>
              </w:rPr>
              <w:t>+7</w:t>
            </w:r>
            <w:r w:rsidR="0007413C" w:rsidRPr="007B0353">
              <w:rPr>
                <w:spacing w:val="-4"/>
                <w:lang w:val="en-GB"/>
              </w:rPr>
              <w:t>.</w:t>
            </w:r>
            <w:r w:rsidR="002B7937" w:rsidRPr="007B0353">
              <w:rPr>
                <w:spacing w:val="-4"/>
                <w:lang w:val="en-GB"/>
              </w:rPr>
              <w:t>9</w:t>
            </w:r>
            <w:r w:rsidR="00954C8E">
              <w:rPr>
                <w:spacing w:val="-4"/>
                <w:lang w:val="en-GB"/>
              </w:rPr>
              <w:t>%</w:t>
            </w:r>
            <w:r w:rsidR="00654093" w:rsidRPr="007B0353">
              <w:rPr>
                <w:spacing w:val="-4"/>
                <w:lang w:val="en-GB"/>
              </w:rPr>
              <w:t xml:space="preserve"> </w:t>
            </w:r>
            <w:proofErr w:type="gramStart"/>
            <w:r w:rsidR="0007413C" w:rsidRPr="007B0353">
              <w:rPr>
                <w:spacing w:val="-4"/>
                <w:lang w:val="en-GB"/>
              </w:rPr>
              <w:t>year-on-year</w:t>
            </w:r>
            <w:proofErr w:type="gramEnd"/>
            <w:r w:rsidR="0007413C" w:rsidRPr="007B0353">
              <w:rPr>
                <w:spacing w:val="-4"/>
                <w:lang w:val="en-GB"/>
              </w:rPr>
              <w:t xml:space="preserve"> in H1, even by 31</w:t>
            </w:r>
            <w:r w:rsidR="00954C8E">
              <w:rPr>
                <w:spacing w:val="-4"/>
                <w:lang w:val="en-GB"/>
              </w:rPr>
              <w:t>%</w:t>
            </w:r>
            <w:r w:rsidR="0007413C" w:rsidRPr="007B0353">
              <w:rPr>
                <w:spacing w:val="-4"/>
                <w:lang w:val="en-GB"/>
              </w:rPr>
              <w:t xml:space="preserve"> in </w:t>
            </w:r>
            <w:r w:rsidR="00405D51" w:rsidRPr="007B0353">
              <w:rPr>
                <w:spacing w:val="-4"/>
                <w:lang w:val="en-GB"/>
              </w:rPr>
              <w:t>total for</w:t>
            </w:r>
            <w:r w:rsidR="0007413C" w:rsidRPr="007B0353">
              <w:rPr>
                <w:spacing w:val="-4"/>
                <w:lang w:val="en-GB"/>
              </w:rPr>
              <w:t xml:space="preserve"> the last four years</w:t>
            </w:r>
            <w:r w:rsidR="00654093" w:rsidRPr="007B0353">
              <w:rPr>
                <w:spacing w:val="-4"/>
                <w:lang w:val="en-GB"/>
              </w:rPr>
              <w:t xml:space="preserve">). </w:t>
            </w:r>
          </w:p>
          <w:p w:rsidR="00654093" w:rsidRPr="007B0353" w:rsidRDefault="00654093" w:rsidP="00853C0F">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32318D" w:rsidRDefault="0032318D" w:rsidP="00853C0F">
            <w:pPr>
              <w:spacing w:line="240" w:lineRule="auto"/>
              <w:rPr>
                <w:spacing w:val="-2"/>
                <w:sz w:val="16"/>
                <w:szCs w:val="16"/>
                <w:lang w:val="en-GB"/>
              </w:rPr>
            </w:pPr>
            <w:r w:rsidRPr="0032318D">
              <w:rPr>
                <w:spacing w:val="-2"/>
                <w:sz w:val="16"/>
                <w:szCs w:val="16"/>
                <w:lang w:val="en-GB"/>
              </w:rPr>
              <w:t>Favourable economic situation in the main export territories together with growing domestic demand contributed to nearly 7</w:t>
            </w:r>
            <w:r w:rsidR="00954C8E">
              <w:rPr>
                <w:spacing w:val="-2"/>
                <w:sz w:val="16"/>
                <w:szCs w:val="16"/>
                <w:lang w:val="en-GB"/>
              </w:rPr>
              <w:t>%</w:t>
            </w:r>
            <w:r w:rsidRPr="0032318D">
              <w:rPr>
                <w:spacing w:val="-2"/>
                <w:sz w:val="16"/>
                <w:szCs w:val="16"/>
                <w:lang w:val="en-GB"/>
              </w:rPr>
              <w:t xml:space="preserve"> growth of the industrial production in Q2. </w:t>
            </w:r>
            <w:r w:rsidR="00654093" w:rsidRPr="0032318D">
              <w:rPr>
                <w:spacing w:val="-2"/>
                <w:sz w:val="16"/>
                <w:szCs w:val="16"/>
                <w:lang w:val="en-GB"/>
              </w:rPr>
              <w:t xml:space="preserve"> </w:t>
            </w:r>
          </w:p>
        </w:tc>
        <w:tc>
          <w:tcPr>
            <w:tcW w:w="144" w:type="pct"/>
          </w:tcPr>
          <w:p w:rsidR="00654093" w:rsidRPr="0032318D" w:rsidRDefault="00654093" w:rsidP="00853C0F">
            <w:pPr>
              <w:pStyle w:val="Textpoznpodarou"/>
              <w:jc w:val="both"/>
              <w:rPr>
                <w:lang w:val="en-GB"/>
              </w:rPr>
            </w:pPr>
          </w:p>
        </w:tc>
        <w:tc>
          <w:tcPr>
            <w:tcW w:w="3840" w:type="pct"/>
          </w:tcPr>
          <w:p w:rsidR="00654093" w:rsidRDefault="009C5821" w:rsidP="00B06E35">
            <w:pPr>
              <w:pStyle w:val="Textpoznpodarou"/>
              <w:jc w:val="both"/>
              <w:rPr>
                <w:color w:val="000000" w:themeColor="text1"/>
                <w:spacing w:val="-4"/>
                <w:lang w:val="en-GB"/>
              </w:rPr>
            </w:pPr>
            <w:r>
              <w:rPr>
                <w:spacing w:val="-4"/>
                <w:lang w:val="en-GB"/>
              </w:rPr>
              <w:t>More detail data from the business statistics prov</w:t>
            </w:r>
            <w:r w:rsidR="008D009F">
              <w:rPr>
                <w:spacing w:val="-4"/>
                <w:lang w:val="en-GB"/>
              </w:rPr>
              <w:t>id</w:t>
            </w:r>
            <w:r>
              <w:rPr>
                <w:spacing w:val="-4"/>
                <w:lang w:val="en-GB"/>
              </w:rPr>
              <w:t>ed evidence of a very good condition of the industry. Its performance (based on the index of the industrial production</w:t>
            </w:r>
            <w:r w:rsidR="00654093" w:rsidRPr="0032318D">
              <w:rPr>
                <w:color w:val="000000" w:themeColor="text1"/>
                <w:spacing w:val="-4"/>
                <w:lang w:val="en-GB"/>
              </w:rPr>
              <w:t>)</w:t>
            </w:r>
            <w:r w:rsidR="00654093" w:rsidRPr="0032318D">
              <w:rPr>
                <w:color w:val="000000" w:themeColor="text1"/>
                <w:spacing w:val="-4"/>
                <w:vertAlign w:val="superscript"/>
                <w:lang w:val="en-GB"/>
              </w:rPr>
              <w:footnoteReference w:id="2"/>
            </w:r>
            <w:r w:rsidR="00654093" w:rsidRPr="0032318D">
              <w:rPr>
                <w:color w:val="000000" w:themeColor="text1"/>
                <w:spacing w:val="-4"/>
                <w:lang w:val="en-GB"/>
              </w:rPr>
              <w:t xml:space="preserve"> </w:t>
            </w:r>
            <w:r>
              <w:rPr>
                <w:color w:val="000000" w:themeColor="text1"/>
                <w:spacing w:val="-4"/>
                <w:lang w:val="en-GB"/>
              </w:rPr>
              <w:t>strengthened by further 1.8</w:t>
            </w:r>
            <w:r w:rsidR="00954C8E">
              <w:rPr>
                <w:color w:val="000000" w:themeColor="text1"/>
                <w:spacing w:val="-4"/>
                <w:lang w:val="en-GB"/>
              </w:rPr>
              <w:t>%</w:t>
            </w:r>
            <w:r>
              <w:rPr>
                <w:color w:val="000000" w:themeColor="text1"/>
                <w:spacing w:val="-4"/>
                <w:lang w:val="en-GB"/>
              </w:rPr>
              <w:t xml:space="preserve"> during Q2, following the strong quarter-on-quarter growth at the beginning of the year </w:t>
            </w:r>
            <w:r w:rsidR="00B77FB7" w:rsidRPr="0032318D">
              <w:rPr>
                <w:color w:val="000000" w:themeColor="text1"/>
                <w:spacing w:val="-4"/>
                <w:lang w:val="en-GB"/>
              </w:rPr>
              <w:t>(+3</w:t>
            </w:r>
            <w:r>
              <w:rPr>
                <w:color w:val="000000" w:themeColor="text1"/>
                <w:spacing w:val="-4"/>
                <w:lang w:val="en-GB"/>
              </w:rPr>
              <w:t>.</w:t>
            </w:r>
            <w:r w:rsidR="00B77FB7" w:rsidRPr="0032318D">
              <w:rPr>
                <w:color w:val="000000" w:themeColor="text1"/>
                <w:spacing w:val="-4"/>
                <w:lang w:val="en-GB"/>
              </w:rPr>
              <w:t>4</w:t>
            </w:r>
            <w:r w:rsidR="00954C8E">
              <w:rPr>
                <w:color w:val="000000" w:themeColor="text1"/>
                <w:spacing w:val="-4"/>
                <w:lang w:val="en-GB"/>
              </w:rPr>
              <w:t>%</w:t>
            </w:r>
            <w:r w:rsidR="00654093" w:rsidRPr="0032318D">
              <w:rPr>
                <w:color w:val="000000" w:themeColor="text1"/>
                <w:spacing w:val="-4"/>
                <w:lang w:val="en-GB"/>
              </w:rPr>
              <w:t xml:space="preserve">, </w:t>
            </w:r>
            <w:r>
              <w:rPr>
                <w:color w:val="000000" w:themeColor="text1"/>
                <w:spacing w:val="-4"/>
                <w:lang w:val="en-GB"/>
              </w:rPr>
              <w:t xml:space="preserve">the highest since the end of year </w:t>
            </w:r>
            <w:r w:rsidR="00654093" w:rsidRPr="0032318D">
              <w:rPr>
                <w:color w:val="000000" w:themeColor="text1"/>
                <w:spacing w:val="-4"/>
                <w:lang w:val="en-GB"/>
              </w:rPr>
              <w:t>2014)</w:t>
            </w:r>
            <w:r>
              <w:rPr>
                <w:color w:val="000000" w:themeColor="text1"/>
                <w:spacing w:val="-4"/>
                <w:lang w:val="en-GB"/>
              </w:rPr>
              <w:t xml:space="preserve">. It thus grew by nearly doubled pace than in the EU and it also mildly overtook the strengthening industry in Germany </w:t>
            </w:r>
            <w:r w:rsidR="00654093" w:rsidRPr="0032318D">
              <w:rPr>
                <w:color w:val="000000" w:themeColor="text1"/>
                <w:spacing w:val="-4"/>
                <w:lang w:val="en-GB"/>
              </w:rPr>
              <w:t>(+</w:t>
            </w:r>
            <w:r w:rsidR="008D009F">
              <w:rPr>
                <w:color w:val="000000" w:themeColor="text1"/>
                <w:spacing w:val="-4"/>
                <w:lang w:val="en-GB"/>
              </w:rPr>
              <w:t xml:space="preserve"> </w:t>
            </w:r>
            <w:r w:rsidR="00654093" w:rsidRPr="0032318D">
              <w:rPr>
                <w:color w:val="000000" w:themeColor="text1"/>
                <w:spacing w:val="-4"/>
                <w:lang w:val="en-GB"/>
              </w:rPr>
              <w:t>1</w:t>
            </w:r>
            <w:r>
              <w:rPr>
                <w:color w:val="000000" w:themeColor="text1"/>
                <w:spacing w:val="-4"/>
                <w:lang w:val="en-GB"/>
              </w:rPr>
              <w:t>.</w:t>
            </w:r>
            <w:r w:rsidR="00654093" w:rsidRPr="0032318D">
              <w:rPr>
                <w:color w:val="000000" w:themeColor="text1"/>
                <w:spacing w:val="-4"/>
                <w:lang w:val="en-GB"/>
              </w:rPr>
              <w:t>7</w:t>
            </w:r>
            <w:r w:rsidR="00954C8E">
              <w:rPr>
                <w:color w:val="000000" w:themeColor="text1"/>
                <w:spacing w:val="-4"/>
                <w:lang w:val="en-GB"/>
              </w:rPr>
              <w:t>%</w:t>
            </w:r>
            <w:r w:rsidR="00654093" w:rsidRPr="0032318D">
              <w:rPr>
                <w:color w:val="000000" w:themeColor="text1"/>
                <w:spacing w:val="-4"/>
                <w:lang w:val="en-GB"/>
              </w:rPr>
              <w:t xml:space="preserve">). </w:t>
            </w:r>
            <w:r w:rsidR="002D2B94">
              <w:rPr>
                <w:color w:val="000000" w:themeColor="text1"/>
                <w:spacing w:val="-4"/>
                <w:lang w:val="en-GB"/>
              </w:rPr>
              <w:t>Year-on-year performance</w:t>
            </w:r>
            <w:r w:rsidR="00654093" w:rsidRPr="0032318D">
              <w:rPr>
                <w:rStyle w:val="Znakapoznpodarou"/>
                <w:color w:val="000000" w:themeColor="text1"/>
                <w:spacing w:val="-4"/>
                <w:lang w:val="en-GB"/>
              </w:rPr>
              <w:footnoteReference w:id="3"/>
            </w:r>
            <w:r w:rsidR="00654093" w:rsidRPr="0032318D">
              <w:rPr>
                <w:color w:val="000000" w:themeColor="text1"/>
                <w:spacing w:val="-4"/>
                <w:lang w:val="en-GB"/>
              </w:rPr>
              <w:t xml:space="preserve"> </w:t>
            </w:r>
            <w:r w:rsidR="00B06E35">
              <w:rPr>
                <w:color w:val="000000" w:themeColor="text1"/>
                <w:spacing w:val="-4"/>
                <w:lang w:val="en-GB"/>
              </w:rPr>
              <w:t xml:space="preserve">of industry in the CR thus climbed from </w:t>
            </w:r>
            <w:r w:rsidR="00654093" w:rsidRPr="0032318D">
              <w:rPr>
                <w:color w:val="000000" w:themeColor="text1"/>
                <w:spacing w:val="-4"/>
                <w:lang w:val="en-GB"/>
              </w:rPr>
              <w:t>4</w:t>
            </w:r>
            <w:r w:rsidR="00B06E35">
              <w:rPr>
                <w:color w:val="000000" w:themeColor="text1"/>
                <w:spacing w:val="-4"/>
                <w:lang w:val="en-GB"/>
              </w:rPr>
              <w:t>.</w:t>
            </w:r>
            <w:r w:rsidR="00654093" w:rsidRPr="0032318D">
              <w:rPr>
                <w:color w:val="000000" w:themeColor="text1"/>
                <w:spacing w:val="-4"/>
                <w:lang w:val="en-GB"/>
              </w:rPr>
              <w:t>9</w:t>
            </w:r>
            <w:r w:rsidR="00954C8E">
              <w:rPr>
                <w:color w:val="000000" w:themeColor="text1"/>
                <w:spacing w:val="-4"/>
                <w:lang w:val="en-GB"/>
              </w:rPr>
              <w:t>%</w:t>
            </w:r>
            <w:r w:rsidR="00654093" w:rsidRPr="0032318D">
              <w:rPr>
                <w:color w:val="000000" w:themeColor="text1"/>
                <w:spacing w:val="-4"/>
                <w:lang w:val="en-GB"/>
              </w:rPr>
              <w:t xml:space="preserve"> </w:t>
            </w:r>
            <w:r w:rsidR="00B06E35">
              <w:rPr>
                <w:color w:val="000000" w:themeColor="text1"/>
                <w:spacing w:val="-4"/>
                <w:lang w:val="en-GB"/>
              </w:rPr>
              <w:t>in Q</w:t>
            </w:r>
            <w:r w:rsidR="00654093" w:rsidRPr="0032318D">
              <w:rPr>
                <w:color w:val="000000" w:themeColor="text1"/>
                <w:spacing w:val="-4"/>
                <w:lang w:val="en-GB"/>
              </w:rPr>
              <w:t>1</w:t>
            </w:r>
            <w:r w:rsidR="00B06E35">
              <w:rPr>
                <w:color w:val="000000" w:themeColor="text1"/>
                <w:spacing w:val="-4"/>
                <w:lang w:val="en-GB"/>
              </w:rPr>
              <w:t xml:space="preserve"> to </w:t>
            </w:r>
            <w:r w:rsidR="00654093" w:rsidRPr="0032318D">
              <w:rPr>
                <w:color w:val="000000" w:themeColor="text1"/>
                <w:spacing w:val="-4"/>
                <w:lang w:val="en-GB"/>
              </w:rPr>
              <w:t>6</w:t>
            </w:r>
            <w:r w:rsidR="008D009F">
              <w:rPr>
                <w:color w:val="000000" w:themeColor="text1"/>
                <w:spacing w:val="-4"/>
                <w:lang w:val="en-GB"/>
              </w:rPr>
              <w:t>.</w:t>
            </w:r>
            <w:r w:rsidR="00654093" w:rsidRPr="0032318D">
              <w:rPr>
                <w:color w:val="000000" w:themeColor="text1"/>
                <w:spacing w:val="-4"/>
                <w:lang w:val="en-GB"/>
              </w:rPr>
              <w:t>8</w:t>
            </w:r>
            <w:r w:rsidR="00954C8E">
              <w:rPr>
                <w:color w:val="000000" w:themeColor="text1"/>
                <w:spacing w:val="-4"/>
                <w:lang w:val="en-GB"/>
              </w:rPr>
              <w:t>%</w:t>
            </w:r>
            <w:r w:rsidR="00654093" w:rsidRPr="0032318D">
              <w:rPr>
                <w:color w:val="000000" w:themeColor="text1"/>
                <w:spacing w:val="-4"/>
                <w:lang w:val="en-GB"/>
              </w:rPr>
              <w:t xml:space="preserve"> </w:t>
            </w:r>
            <w:r w:rsidR="00B06E35">
              <w:rPr>
                <w:color w:val="000000" w:themeColor="text1"/>
                <w:spacing w:val="-4"/>
                <w:lang w:val="en-GB"/>
              </w:rPr>
              <w:t xml:space="preserve">in the subsequent quarter and thus achieved the best rate of growth since half of year 2011, when it was </w:t>
            </w:r>
            <w:r w:rsidR="000C57C5" w:rsidRPr="0032318D">
              <w:rPr>
                <w:color w:val="000000" w:themeColor="text1"/>
                <w:spacing w:val="-4"/>
                <w:lang w:val="en-GB"/>
              </w:rPr>
              <w:t>„</w:t>
            </w:r>
            <w:r w:rsidR="002321D8">
              <w:rPr>
                <w:color w:val="000000" w:themeColor="text1"/>
                <w:spacing w:val="-4"/>
                <w:lang w:val="en-GB"/>
              </w:rPr>
              <w:t>recuperating</w:t>
            </w:r>
            <w:proofErr w:type="gramStart"/>
            <w:r w:rsidR="002321D8" w:rsidRPr="0032318D">
              <w:rPr>
                <w:color w:val="000000" w:themeColor="text1"/>
                <w:spacing w:val="-4"/>
                <w:lang w:val="en-GB"/>
              </w:rPr>
              <w:t>“</w:t>
            </w:r>
            <w:r w:rsidR="002321D8">
              <w:rPr>
                <w:color w:val="000000" w:themeColor="text1"/>
                <w:spacing w:val="-4"/>
                <w:lang w:val="en-GB"/>
              </w:rPr>
              <w:t xml:space="preserve"> from</w:t>
            </w:r>
            <w:proofErr w:type="gramEnd"/>
            <w:r w:rsidR="00B06E35">
              <w:rPr>
                <w:color w:val="000000" w:themeColor="text1"/>
                <w:spacing w:val="-4"/>
                <w:lang w:val="en-GB"/>
              </w:rPr>
              <w:t xml:space="preserve"> the aftermath of deep recession. Good economic situation in the main export territories, but also the strengthening domestic demand stood behind these results. </w:t>
            </w:r>
          </w:p>
          <w:p w:rsidR="00B06E35" w:rsidRPr="0032318D" w:rsidRDefault="00B06E35" w:rsidP="00B06E35">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32318D" w:rsidRDefault="0032318D" w:rsidP="00853C0F">
            <w:pPr>
              <w:spacing w:line="240" w:lineRule="auto"/>
              <w:rPr>
                <w:sz w:val="16"/>
                <w:szCs w:val="16"/>
                <w:lang w:val="en-GB"/>
              </w:rPr>
            </w:pPr>
            <w:r w:rsidRPr="0032318D">
              <w:rPr>
                <w:sz w:val="16"/>
                <w:szCs w:val="16"/>
                <w:lang w:val="en-GB"/>
              </w:rPr>
              <w:t>Strong growth of the</w:t>
            </w:r>
            <w:r>
              <w:rPr>
                <w:sz w:val="16"/>
                <w:szCs w:val="16"/>
                <w:lang w:val="en-GB"/>
              </w:rPr>
              <w:t xml:space="preserve"> motor vehicle industry</w:t>
            </w:r>
            <w:r w:rsidR="00DA7B54">
              <w:rPr>
                <w:sz w:val="16"/>
                <w:szCs w:val="16"/>
                <w:lang w:val="en-GB"/>
              </w:rPr>
              <w:t xml:space="preserve"> as well as its main</w:t>
            </w:r>
            <w:r w:rsidR="002321D8">
              <w:rPr>
                <w:sz w:val="16"/>
                <w:szCs w:val="16"/>
                <w:lang w:val="en-GB"/>
              </w:rPr>
              <w:t xml:space="preserve"> subcontractors </w:t>
            </w:r>
            <w:r>
              <w:rPr>
                <w:sz w:val="16"/>
                <w:szCs w:val="16"/>
                <w:lang w:val="en-GB"/>
              </w:rPr>
              <w:t>persisted</w:t>
            </w:r>
            <w:r w:rsidR="00DA7B54">
              <w:rPr>
                <w:sz w:val="16"/>
                <w:szCs w:val="16"/>
                <w:lang w:val="en-GB"/>
              </w:rPr>
              <w:t xml:space="preserve">. </w:t>
            </w:r>
          </w:p>
        </w:tc>
        <w:tc>
          <w:tcPr>
            <w:tcW w:w="144" w:type="pct"/>
          </w:tcPr>
          <w:p w:rsidR="00654093" w:rsidRPr="0032318D" w:rsidRDefault="00654093" w:rsidP="00853C0F">
            <w:pPr>
              <w:pStyle w:val="Textpoznpodarou"/>
              <w:jc w:val="both"/>
              <w:rPr>
                <w:spacing w:val="-2"/>
                <w:lang w:val="en-GB"/>
              </w:rPr>
            </w:pPr>
          </w:p>
        </w:tc>
        <w:tc>
          <w:tcPr>
            <w:tcW w:w="3840" w:type="pct"/>
          </w:tcPr>
          <w:p w:rsidR="00654093" w:rsidRPr="0032318D" w:rsidRDefault="005742F9" w:rsidP="00853C0F">
            <w:pPr>
              <w:pStyle w:val="Textpoznpodarou"/>
              <w:jc w:val="both"/>
              <w:rPr>
                <w:spacing w:val="-4"/>
                <w:lang w:val="en-GB"/>
              </w:rPr>
            </w:pPr>
            <w:r>
              <w:rPr>
                <w:spacing w:val="-4"/>
                <w:lang w:val="en-GB"/>
              </w:rPr>
              <w:t xml:space="preserve">The traditional “driving branches” of the Czech industry still maintained their key role – the manufacture of motor vehicles </w:t>
            </w:r>
            <w:r w:rsidR="002321D8">
              <w:rPr>
                <w:spacing w:val="-4"/>
                <w:lang w:val="en-GB"/>
              </w:rPr>
              <w:t>together</w:t>
            </w:r>
            <w:r>
              <w:rPr>
                <w:spacing w:val="-4"/>
                <w:lang w:val="en-GB"/>
              </w:rPr>
              <w:t xml:space="preserve"> with the nearest </w:t>
            </w:r>
            <w:r w:rsidR="002321D8">
              <w:rPr>
                <w:spacing w:val="-4"/>
                <w:lang w:val="en-GB"/>
              </w:rPr>
              <w:t>associated fields</w:t>
            </w:r>
            <w:r w:rsidR="00654093" w:rsidRPr="0032318D">
              <w:rPr>
                <w:spacing w:val="-4"/>
                <w:lang w:val="en-GB"/>
              </w:rPr>
              <w:t xml:space="preserve">. </w:t>
            </w:r>
            <w:r>
              <w:rPr>
                <w:spacing w:val="-4"/>
                <w:lang w:val="en-GB"/>
              </w:rPr>
              <w:t xml:space="preserve">Output of the motor vehicle industry was by one tenth higher in both this year´s quarters. </w:t>
            </w:r>
            <w:r w:rsidR="00677CA8">
              <w:rPr>
                <w:spacing w:val="-4"/>
                <w:lang w:val="en-GB"/>
              </w:rPr>
              <w:t>It can be derived from the data about s</w:t>
            </w:r>
            <w:r w:rsidR="00DC7F3C">
              <w:rPr>
                <w:spacing w:val="-4"/>
                <w:lang w:val="en-GB"/>
              </w:rPr>
              <w:t>a</w:t>
            </w:r>
            <w:r w:rsidR="00677CA8">
              <w:rPr>
                <w:spacing w:val="-4"/>
                <w:lang w:val="en-GB"/>
              </w:rPr>
              <w:t xml:space="preserve">les as well as </w:t>
            </w:r>
            <w:proofErr w:type="gramStart"/>
            <w:r w:rsidR="00677CA8">
              <w:rPr>
                <w:spacing w:val="-4"/>
                <w:lang w:val="en-GB"/>
              </w:rPr>
              <w:t>orders, that</w:t>
            </w:r>
            <w:proofErr w:type="gramEnd"/>
            <w:r w:rsidR="00677CA8">
              <w:rPr>
                <w:spacing w:val="-4"/>
                <w:lang w:val="en-GB"/>
              </w:rPr>
              <w:t xml:space="preserve"> the foreign demand grew faster. The growth of the physical amount of manufactured motor vehicles</w:t>
            </w:r>
            <w:r w:rsidR="00654093" w:rsidRPr="0032318D">
              <w:rPr>
                <w:rStyle w:val="Znakapoznpodarou"/>
                <w:spacing w:val="-4"/>
                <w:lang w:val="en-GB"/>
              </w:rPr>
              <w:footnoteReference w:id="4"/>
            </w:r>
            <w:r w:rsidR="00677CA8">
              <w:rPr>
                <w:spacing w:val="-4"/>
                <w:lang w:val="en-GB"/>
              </w:rPr>
              <w:t xml:space="preserve"> grew further</w:t>
            </w:r>
            <w:r w:rsidR="00DC7F3C">
              <w:rPr>
                <w:spacing w:val="-4"/>
                <w:lang w:val="en-GB"/>
              </w:rPr>
              <w:t xml:space="preserve">. The manufacture of electrical appliances </w:t>
            </w:r>
            <w:r w:rsidR="00654093" w:rsidRPr="0032318D">
              <w:rPr>
                <w:spacing w:val="-4"/>
                <w:lang w:val="en-GB"/>
              </w:rPr>
              <w:t>(+8</w:t>
            </w:r>
            <w:r w:rsidR="00DC7F3C">
              <w:rPr>
                <w:spacing w:val="-4"/>
                <w:lang w:val="en-GB"/>
              </w:rPr>
              <w:t>.</w:t>
            </w:r>
            <w:r w:rsidR="00654093" w:rsidRPr="0032318D">
              <w:rPr>
                <w:spacing w:val="-4"/>
                <w:lang w:val="en-GB"/>
              </w:rPr>
              <w:t>4</w:t>
            </w:r>
            <w:r w:rsidR="00954C8E">
              <w:rPr>
                <w:spacing w:val="-4"/>
                <w:lang w:val="en-GB"/>
              </w:rPr>
              <w:t>%</w:t>
            </w:r>
            <w:r w:rsidR="00654093" w:rsidRPr="0032318D">
              <w:rPr>
                <w:spacing w:val="-4"/>
                <w:lang w:val="en-GB"/>
              </w:rPr>
              <w:t>)</w:t>
            </w:r>
            <w:r w:rsidR="00DC7F3C">
              <w:rPr>
                <w:spacing w:val="-4"/>
                <w:lang w:val="en-GB"/>
              </w:rPr>
              <w:t xml:space="preserve">, as well as the </w:t>
            </w:r>
            <w:r w:rsidR="002321D8">
              <w:rPr>
                <w:spacing w:val="-4"/>
                <w:lang w:val="en-GB"/>
              </w:rPr>
              <w:t xml:space="preserve">manufacture of plastic and rubber products </w:t>
            </w:r>
            <w:r w:rsidR="00DC7F3C" w:rsidRPr="0032318D">
              <w:rPr>
                <w:spacing w:val="-4"/>
                <w:lang w:val="en-GB"/>
              </w:rPr>
              <w:t>(+9</w:t>
            </w:r>
            <w:r w:rsidR="00537FA2">
              <w:rPr>
                <w:spacing w:val="-4"/>
                <w:lang w:val="en-GB"/>
              </w:rPr>
              <w:t>.</w:t>
            </w:r>
            <w:r w:rsidR="00DC7F3C" w:rsidRPr="0032318D">
              <w:rPr>
                <w:spacing w:val="-4"/>
                <w:lang w:val="en-GB"/>
              </w:rPr>
              <w:t>2</w:t>
            </w:r>
            <w:r w:rsidR="00954C8E">
              <w:rPr>
                <w:spacing w:val="-4"/>
                <w:lang w:val="en-GB"/>
              </w:rPr>
              <w:t>%</w:t>
            </w:r>
            <w:r w:rsidR="00DC7F3C" w:rsidRPr="0032318D">
              <w:rPr>
                <w:spacing w:val="-4"/>
                <w:lang w:val="en-GB"/>
              </w:rPr>
              <w:t>)</w:t>
            </w:r>
            <w:r w:rsidR="00DC7F3C">
              <w:rPr>
                <w:spacing w:val="-4"/>
                <w:lang w:val="en-GB"/>
              </w:rPr>
              <w:t xml:space="preserve"> </w:t>
            </w:r>
            <w:r w:rsidR="00D66368">
              <w:rPr>
                <w:spacing w:val="-4"/>
                <w:lang w:val="en-GB"/>
              </w:rPr>
              <w:t xml:space="preserve">were riding the wave of the development of the motor vehicle industry in H1. The rate of growth of output markedly increased in the manufacture of computers, electronic and optical </w:t>
            </w:r>
            <w:r w:rsidR="00537FA2">
              <w:rPr>
                <w:spacing w:val="-4"/>
                <w:lang w:val="en-GB"/>
              </w:rPr>
              <w:t>products</w:t>
            </w:r>
            <w:r w:rsidR="00D66368">
              <w:rPr>
                <w:spacing w:val="-4"/>
                <w:lang w:val="en-GB"/>
              </w:rPr>
              <w:t xml:space="preserve"> </w:t>
            </w:r>
            <w:r w:rsidR="00DC7F3C">
              <w:rPr>
                <w:spacing w:val="-4"/>
                <w:lang w:val="en-GB"/>
              </w:rPr>
              <w:t>(</w:t>
            </w:r>
            <w:r w:rsidR="00D66368">
              <w:rPr>
                <w:spacing w:val="-4"/>
                <w:lang w:val="en-GB"/>
              </w:rPr>
              <w:t xml:space="preserve">from </w:t>
            </w:r>
            <w:r w:rsidR="00654093" w:rsidRPr="0032318D">
              <w:rPr>
                <w:spacing w:val="-4"/>
                <w:lang w:val="en-GB"/>
              </w:rPr>
              <w:t>7</w:t>
            </w:r>
            <w:r w:rsidR="00D66368">
              <w:rPr>
                <w:spacing w:val="-4"/>
                <w:lang w:val="en-GB"/>
              </w:rPr>
              <w:t>.</w:t>
            </w:r>
            <w:r w:rsidR="00654093" w:rsidRPr="0032318D">
              <w:rPr>
                <w:spacing w:val="-4"/>
                <w:lang w:val="en-GB"/>
              </w:rPr>
              <w:t>5</w:t>
            </w:r>
            <w:r w:rsidR="00954C8E">
              <w:rPr>
                <w:spacing w:val="-4"/>
                <w:lang w:val="en-GB"/>
              </w:rPr>
              <w:t>%</w:t>
            </w:r>
            <w:r w:rsidR="00D66368">
              <w:rPr>
                <w:spacing w:val="-4"/>
                <w:lang w:val="en-GB"/>
              </w:rPr>
              <w:t xml:space="preserve"> from the beginning of the year to 1</w:t>
            </w:r>
            <w:r w:rsidR="00654093" w:rsidRPr="0032318D">
              <w:rPr>
                <w:spacing w:val="-4"/>
                <w:lang w:val="en-GB"/>
              </w:rPr>
              <w:t>8</w:t>
            </w:r>
            <w:r w:rsidR="00D66368">
              <w:rPr>
                <w:spacing w:val="-4"/>
                <w:lang w:val="en-GB"/>
              </w:rPr>
              <w:t>.</w:t>
            </w:r>
            <w:r w:rsidR="00654093" w:rsidRPr="0032318D">
              <w:rPr>
                <w:spacing w:val="-4"/>
                <w:lang w:val="en-GB"/>
              </w:rPr>
              <w:t>1</w:t>
            </w:r>
            <w:r w:rsidR="00954C8E">
              <w:rPr>
                <w:spacing w:val="-4"/>
                <w:lang w:val="en-GB"/>
              </w:rPr>
              <w:t>%</w:t>
            </w:r>
            <w:r w:rsidR="00654093" w:rsidRPr="0032318D">
              <w:rPr>
                <w:spacing w:val="-4"/>
                <w:lang w:val="en-GB"/>
              </w:rPr>
              <w:t xml:space="preserve"> </w:t>
            </w:r>
            <w:r w:rsidR="00D66368">
              <w:rPr>
                <w:spacing w:val="-4"/>
                <w:lang w:val="en-GB"/>
              </w:rPr>
              <w:t>in the following quarter</w:t>
            </w:r>
            <w:r w:rsidR="00654093" w:rsidRPr="0032318D">
              <w:rPr>
                <w:spacing w:val="-4"/>
                <w:lang w:val="en-GB"/>
              </w:rPr>
              <w:t xml:space="preserve">). </w:t>
            </w:r>
            <w:r w:rsidR="005F23BB">
              <w:rPr>
                <w:spacing w:val="-4"/>
                <w:lang w:val="en-GB"/>
              </w:rPr>
              <w:t xml:space="preserve">The revival of the domestic demand also assisted this result </w:t>
            </w:r>
            <w:r w:rsidR="00654093" w:rsidRPr="0032318D">
              <w:rPr>
                <w:spacing w:val="-4"/>
                <w:lang w:val="en-GB"/>
              </w:rPr>
              <w:t>(</w:t>
            </w:r>
            <w:r w:rsidR="005F23BB">
              <w:rPr>
                <w:spacing w:val="-4"/>
                <w:lang w:val="en-GB"/>
              </w:rPr>
              <w:t>the value of domestic orders increased by 22</w:t>
            </w:r>
            <w:r w:rsidR="00954C8E">
              <w:rPr>
                <w:spacing w:val="-4"/>
                <w:lang w:val="en-GB"/>
              </w:rPr>
              <w:t>%</w:t>
            </w:r>
            <w:r w:rsidR="005F23BB">
              <w:rPr>
                <w:spacing w:val="-4"/>
                <w:lang w:val="en-GB"/>
              </w:rPr>
              <w:t xml:space="preserve"> year-on-year in Q2</w:t>
            </w:r>
            <w:r w:rsidR="00654093" w:rsidRPr="0032318D">
              <w:rPr>
                <w:spacing w:val="-4"/>
                <w:lang w:val="en-GB"/>
              </w:rPr>
              <w:t>).</w:t>
            </w:r>
          </w:p>
          <w:p w:rsidR="00654093" w:rsidRPr="0032318D" w:rsidRDefault="00654093" w:rsidP="00853C0F">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0C2529" w:rsidRDefault="000C2529" w:rsidP="00853C0F">
            <w:pPr>
              <w:spacing w:line="240" w:lineRule="auto"/>
              <w:rPr>
                <w:spacing w:val="-2"/>
                <w:sz w:val="16"/>
                <w:szCs w:val="16"/>
                <w:lang w:val="en-GB"/>
              </w:rPr>
            </w:pPr>
            <w:r w:rsidRPr="000C2529">
              <w:rPr>
                <w:spacing w:val="-2"/>
                <w:sz w:val="16"/>
                <w:szCs w:val="16"/>
                <w:lang w:val="en-GB"/>
              </w:rPr>
              <w:t xml:space="preserve">Output of machinery quickened to the highest pace in the last six years. Fully renewed capacities of the chemical industry enabled to exceed the level of output before the accidents. </w:t>
            </w:r>
          </w:p>
        </w:tc>
        <w:tc>
          <w:tcPr>
            <w:tcW w:w="144" w:type="pct"/>
          </w:tcPr>
          <w:p w:rsidR="00654093" w:rsidRPr="000C2529" w:rsidRDefault="00654093" w:rsidP="00853C0F">
            <w:pPr>
              <w:rPr>
                <w:color w:val="000000" w:themeColor="text1"/>
                <w:szCs w:val="16"/>
                <w:lang w:val="en-GB"/>
              </w:rPr>
            </w:pPr>
          </w:p>
        </w:tc>
        <w:tc>
          <w:tcPr>
            <w:tcW w:w="3840" w:type="pct"/>
          </w:tcPr>
          <w:p w:rsidR="00654093" w:rsidRPr="000C2529" w:rsidRDefault="003F244B" w:rsidP="00853C0F">
            <w:pPr>
              <w:pStyle w:val="Textpoznpodarou"/>
              <w:jc w:val="both"/>
              <w:rPr>
                <w:spacing w:val="-4"/>
                <w:lang w:val="en-GB"/>
              </w:rPr>
            </w:pPr>
            <w:r>
              <w:rPr>
                <w:spacing w:val="-4"/>
                <w:lang w:val="en-GB"/>
              </w:rPr>
              <w:t xml:space="preserve">It was favourable for the whole economy, that the significant industrial branches, which are to a higher extent interconnected also to the domestic demand, revived this year. Output of machinery increased by the highest rate of growth in H1 </w:t>
            </w:r>
            <w:r w:rsidR="00654093" w:rsidRPr="000C2529">
              <w:rPr>
                <w:spacing w:val="-4"/>
                <w:lang w:val="en-GB"/>
              </w:rPr>
              <w:t>(7</w:t>
            </w:r>
            <w:r>
              <w:rPr>
                <w:spacing w:val="-4"/>
                <w:lang w:val="en-GB"/>
              </w:rPr>
              <w:t>.</w:t>
            </w:r>
            <w:r w:rsidR="00654093" w:rsidRPr="000C2529">
              <w:rPr>
                <w:spacing w:val="-4"/>
                <w:lang w:val="en-GB"/>
              </w:rPr>
              <w:t>7</w:t>
            </w:r>
            <w:r w:rsidR="00954C8E">
              <w:rPr>
                <w:spacing w:val="-4"/>
                <w:lang w:val="en-GB"/>
              </w:rPr>
              <w:t>%</w:t>
            </w:r>
            <w:r w:rsidR="00654093" w:rsidRPr="000C2529">
              <w:rPr>
                <w:spacing w:val="-4"/>
                <w:lang w:val="en-GB"/>
              </w:rPr>
              <w:t xml:space="preserve">) </w:t>
            </w:r>
            <w:r>
              <w:rPr>
                <w:spacing w:val="-4"/>
                <w:lang w:val="en-GB"/>
              </w:rPr>
              <w:t xml:space="preserve">in the last six years. </w:t>
            </w:r>
            <w:r w:rsidR="009B4764">
              <w:rPr>
                <w:spacing w:val="-4"/>
                <w:lang w:val="en-GB"/>
              </w:rPr>
              <w:t xml:space="preserve">Essential was also the full renewal of production capacities in the chemical industry, which was reflected both in orders </w:t>
            </w:r>
            <w:r w:rsidR="00654093" w:rsidRPr="000C2529">
              <w:rPr>
                <w:spacing w:val="-4"/>
                <w:lang w:val="en-GB"/>
              </w:rPr>
              <w:t>(+25</w:t>
            </w:r>
            <w:r w:rsidR="00954C8E">
              <w:rPr>
                <w:spacing w:val="-4"/>
                <w:lang w:val="en-GB"/>
              </w:rPr>
              <w:t>%</w:t>
            </w:r>
            <w:r w:rsidR="00654093" w:rsidRPr="000C2529">
              <w:rPr>
                <w:spacing w:val="-4"/>
                <w:lang w:val="en-GB"/>
              </w:rPr>
              <w:t>)</w:t>
            </w:r>
            <w:r w:rsidR="009B4764">
              <w:rPr>
                <w:spacing w:val="-4"/>
                <w:lang w:val="en-GB"/>
              </w:rPr>
              <w:t xml:space="preserve"> and in the increased output </w:t>
            </w:r>
            <w:r w:rsidR="00654093" w:rsidRPr="000C2529">
              <w:rPr>
                <w:spacing w:val="-4"/>
                <w:lang w:val="en-GB"/>
              </w:rPr>
              <w:t>(21</w:t>
            </w:r>
            <w:r w:rsidR="00954C8E">
              <w:rPr>
                <w:spacing w:val="-4"/>
                <w:lang w:val="en-GB"/>
              </w:rPr>
              <w:t>%</w:t>
            </w:r>
            <w:r w:rsidR="00654093" w:rsidRPr="000C2529">
              <w:rPr>
                <w:spacing w:val="-4"/>
                <w:lang w:val="en-GB"/>
              </w:rPr>
              <w:t xml:space="preserve">), </w:t>
            </w:r>
            <w:r w:rsidR="009B4764">
              <w:rPr>
                <w:spacing w:val="-4"/>
                <w:lang w:val="en-GB"/>
              </w:rPr>
              <w:t xml:space="preserve">which already exceeded the level before the crashes </w:t>
            </w:r>
            <w:r w:rsidR="00654093" w:rsidRPr="000C2529">
              <w:rPr>
                <w:spacing w:val="-4"/>
                <w:lang w:val="en-GB"/>
              </w:rPr>
              <w:t>(</w:t>
            </w:r>
            <w:r w:rsidR="009B4764">
              <w:rPr>
                <w:spacing w:val="-4"/>
                <w:lang w:val="en-GB"/>
              </w:rPr>
              <w:t>Q</w:t>
            </w:r>
            <w:r w:rsidR="00654093" w:rsidRPr="000C2529">
              <w:rPr>
                <w:spacing w:val="-4"/>
                <w:lang w:val="en-GB"/>
              </w:rPr>
              <w:t>2</w:t>
            </w:r>
            <w:r w:rsidR="009B4764">
              <w:rPr>
                <w:spacing w:val="-4"/>
                <w:lang w:val="en-GB"/>
              </w:rPr>
              <w:t xml:space="preserve"> </w:t>
            </w:r>
            <w:r w:rsidR="00654093" w:rsidRPr="000C2529">
              <w:rPr>
                <w:spacing w:val="-4"/>
                <w:lang w:val="en-GB"/>
              </w:rPr>
              <w:t xml:space="preserve">2015). </w:t>
            </w:r>
            <w:proofErr w:type="gramStart"/>
            <w:r w:rsidR="00775512">
              <w:rPr>
                <w:spacing w:val="-4"/>
                <w:lang w:val="en-GB"/>
              </w:rPr>
              <w:t>Increase of the temporarily limited production capacities as well as the relatively colde</w:t>
            </w:r>
            <w:r w:rsidR="007B6176">
              <w:rPr>
                <w:spacing w:val="-4"/>
                <w:lang w:val="en-GB"/>
              </w:rPr>
              <w:t>r</w:t>
            </w:r>
            <w:r w:rsidR="00775512">
              <w:rPr>
                <w:spacing w:val="-4"/>
                <w:lang w:val="en-GB"/>
              </w:rPr>
              <w:t xml:space="preserve"> winter were</w:t>
            </w:r>
            <w:proofErr w:type="gramEnd"/>
            <w:r w:rsidR="00775512">
              <w:rPr>
                <w:spacing w:val="-4"/>
                <w:lang w:val="en-GB"/>
              </w:rPr>
              <w:t xml:space="preserve"> reflected in the higher output of </w:t>
            </w:r>
            <w:proofErr w:type="spellStart"/>
            <w:r w:rsidR="00775512">
              <w:rPr>
                <w:spacing w:val="-4"/>
                <w:lang w:val="en-GB"/>
              </w:rPr>
              <w:t>energetics</w:t>
            </w:r>
            <w:proofErr w:type="spellEnd"/>
            <w:r w:rsidR="00775512">
              <w:rPr>
                <w:spacing w:val="-4"/>
                <w:lang w:val="en-GB"/>
              </w:rPr>
              <w:t xml:space="preserve"> </w:t>
            </w:r>
            <w:r w:rsidR="00B77FB7" w:rsidRPr="000C2529">
              <w:rPr>
                <w:spacing w:val="-4"/>
                <w:lang w:val="en-GB"/>
              </w:rPr>
              <w:t>(</w:t>
            </w:r>
            <w:r w:rsidR="00775512">
              <w:rPr>
                <w:spacing w:val="-4"/>
                <w:lang w:val="en-GB"/>
              </w:rPr>
              <w:t>by</w:t>
            </w:r>
            <w:r w:rsidR="00B77FB7" w:rsidRPr="000C2529">
              <w:rPr>
                <w:spacing w:val="-4"/>
                <w:lang w:val="en-GB"/>
              </w:rPr>
              <w:t xml:space="preserve"> 2</w:t>
            </w:r>
            <w:r w:rsidR="00775512">
              <w:rPr>
                <w:spacing w:val="-4"/>
                <w:lang w:val="en-GB"/>
              </w:rPr>
              <w:t>.</w:t>
            </w:r>
            <w:r w:rsidR="009D77CF">
              <w:rPr>
                <w:spacing w:val="-4"/>
                <w:lang w:val="en-GB"/>
              </w:rPr>
              <w:t>6</w:t>
            </w:r>
            <w:r w:rsidR="00954C8E">
              <w:rPr>
                <w:spacing w:val="-4"/>
                <w:lang w:val="en-GB"/>
              </w:rPr>
              <w:t>%</w:t>
            </w:r>
            <w:r w:rsidR="00654093" w:rsidRPr="000C2529">
              <w:rPr>
                <w:spacing w:val="-4"/>
                <w:lang w:val="en-GB"/>
              </w:rPr>
              <w:t xml:space="preserve">). </w:t>
            </w:r>
            <w:r w:rsidR="0071156F">
              <w:rPr>
                <w:spacing w:val="-4"/>
                <w:lang w:val="en-GB"/>
              </w:rPr>
              <w:t>The second most significant branch with regards to the weight o</w:t>
            </w:r>
            <w:r w:rsidR="008D3594">
              <w:rPr>
                <w:spacing w:val="-4"/>
                <w:lang w:val="en-GB"/>
              </w:rPr>
              <w:t>f</w:t>
            </w:r>
            <w:r w:rsidR="0071156F">
              <w:rPr>
                <w:spacing w:val="-4"/>
                <w:lang w:val="en-GB"/>
              </w:rPr>
              <w:t xml:space="preserve"> the output – </w:t>
            </w:r>
            <w:r w:rsidR="008D3594">
              <w:rPr>
                <w:spacing w:val="-4"/>
                <w:lang w:val="en-GB"/>
              </w:rPr>
              <w:t>manufacture of metal products</w:t>
            </w:r>
            <w:r w:rsidR="0071156F">
              <w:rPr>
                <w:spacing w:val="-4"/>
                <w:lang w:val="en-GB"/>
              </w:rPr>
              <w:t xml:space="preserve"> – grew by 5.4</w:t>
            </w:r>
            <w:r w:rsidR="00954C8E">
              <w:rPr>
                <w:spacing w:val="-4"/>
                <w:lang w:val="en-GB"/>
              </w:rPr>
              <w:t>%</w:t>
            </w:r>
            <w:r w:rsidR="0071156F">
              <w:rPr>
                <w:spacing w:val="-4"/>
                <w:lang w:val="en-GB"/>
              </w:rPr>
              <w:t xml:space="preserve"> this year (the output increased by more than 8</w:t>
            </w:r>
            <w:r w:rsidR="00954C8E">
              <w:rPr>
                <w:spacing w:val="-4"/>
                <w:lang w:val="en-GB"/>
              </w:rPr>
              <w:t>%</w:t>
            </w:r>
            <w:r w:rsidR="0071156F">
              <w:rPr>
                <w:spacing w:val="-4"/>
                <w:lang w:val="en-GB"/>
              </w:rPr>
              <w:t xml:space="preserve"> in Q2 itself</w:t>
            </w:r>
            <w:r w:rsidR="00654093" w:rsidRPr="000C2529">
              <w:rPr>
                <w:spacing w:val="-4"/>
                <w:lang w:val="en-GB"/>
              </w:rPr>
              <w:t xml:space="preserve">). </w:t>
            </w:r>
            <w:r w:rsidR="00585AD5">
              <w:rPr>
                <w:spacing w:val="-4"/>
                <w:lang w:val="en-GB"/>
              </w:rPr>
              <w:t xml:space="preserve">Among the smaller branches, especially the export oriented pharmaceutical industry, whose output increased by one tenth year-on-year and by more than one quarter in four </w:t>
            </w:r>
            <w:r w:rsidR="00585AD5">
              <w:rPr>
                <w:spacing w:val="-4"/>
                <w:lang w:val="en-GB"/>
              </w:rPr>
              <w:lastRenderedPageBreak/>
              <w:t xml:space="preserve">years, fared well. </w:t>
            </w:r>
            <w:r w:rsidR="001D1876">
              <w:rPr>
                <w:spacing w:val="-4"/>
                <w:lang w:val="en-GB"/>
              </w:rPr>
              <w:t>The paper, furniture and textile industries also continuously grow since the last recession.</w:t>
            </w:r>
          </w:p>
          <w:p w:rsidR="00654093" w:rsidRPr="000C2529" w:rsidRDefault="00654093" w:rsidP="00853C0F">
            <w:pPr>
              <w:pStyle w:val="Textpoznpodarou"/>
              <w:jc w:val="both"/>
              <w:rPr>
                <w:color w:val="000000" w:themeColor="text1"/>
                <w:spacing w:val="-4"/>
                <w:sz w:val="15"/>
                <w:szCs w:val="15"/>
                <w:lang w:val="en-GB"/>
              </w:rPr>
            </w:pPr>
          </w:p>
        </w:tc>
      </w:tr>
      <w:tr w:rsidR="00654093" w:rsidRPr="003F0293" w:rsidTr="00853C0F">
        <w:trPr>
          <w:trHeight w:val="145"/>
        </w:trPr>
        <w:tc>
          <w:tcPr>
            <w:tcW w:w="1016" w:type="pct"/>
            <w:shd w:val="clear" w:color="auto" w:fill="auto"/>
          </w:tcPr>
          <w:p w:rsidR="00654093" w:rsidRPr="000C2529" w:rsidRDefault="00E72FBF" w:rsidP="00853C0F">
            <w:pPr>
              <w:spacing w:line="240" w:lineRule="auto"/>
              <w:rPr>
                <w:spacing w:val="-2"/>
                <w:sz w:val="16"/>
                <w:szCs w:val="16"/>
                <w:lang w:val="en-GB"/>
              </w:rPr>
            </w:pPr>
            <w:r>
              <w:rPr>
                <w:spacing w:val="-2"/>
                <w:sz w:val="16"/>
                <w:szCs w:val="16"/>
                <w:lang w:val="en-GB"/>
              </w:rPr>
              <w:lastRenderedPageBreak/>
              <w:t xml:space="preserve">Output in the mining industry fell quarter-on-quarter already for the seventh time in a row, the performance decreased in metallurgy and </w:t>
            </w:r>
            <w:r w:rsidR="006B2D5B">
              <w:rPr>
                <w:spacing w:val="-2"/>
                <w:sz w:val="16"/>
                <w:szCs w:val="16"/>
                <w:lang w:val="en-GB"/>
              </w:rPr>
              <w:t>foundry industry</w:t>
            </w:r>
            <w:r>
              <w:rPr>
                <w:spacing w:val="-2"/>
                <w:sz w:val="16"/>
                <w:szCs w:val="16"/>
                <w:lang w:val="en-GB"/>
              </w:rPr>
              <w:t xml:space="preserve"> after the last year´s </w:t>
            </w:r>
            <w:r w:rsidR="009D77CF">
              <w:rPr>
                <w:spacing w:val="-2"/>
                <w:sz w:val="16"/>
                <w:szCs w:val="16"/>
                <w:lang w:val="en-GB"/>
              </w:rPr>
              <w:t xml:space="preserve">mild </w:t>
            </w:r>
            <w:r>
              <w:rPr>
                <w:spacing w:val="-2"/>
                <w:sz w:val="16"/>
                <w:szCs w:val="16"/>
                <w:lang w:val="en-GB"/>
              </w:rPr>
              <w:t>revival</w:t>
            </w:r>
            <w:r w:rsidR="00654093" w:rsidRPr="000C2529">
              <w:rPr>
                <w:spacing w:val="-2"/>
                <w:sz w:val="16"/>
                <w:szCs w:val="16"/>
                <w:lang w:val="en-GB"/>
              </w:rPr>
              <w:t>.</w:t>
            </w:r>
          </w:p>
          <w:p w:rsidR="00654093" w:rsidRPr="000C2529" w:rsidRDefault="00654093" w:rsidP="00853C0F">
            <w:pPr>
              <w:spacing w:line="240" w:lineRule="auto"/>
              <w:rPr>
                <w:spacing w:val="-2"/>
                <w:sz w:val="16"/>
                <w:szCs w:val="16"/>
                <w:lang w:val="en-GB"/>
              </w:rPr>
            </w:pPr>
          </w:p>
          <w:p w:rsidR="00654093" w:rsidRPr="000C2529" w:rsidRDefault="00654093"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654093" w:rsidRPr="000C2529" w:rsidRDefault="000747C6" w:rsidP="00853C0F">
            <w:pPr>
              <w:spacing w:line="240" w:lineRule="auto"/>
              <w:rPr>
                <w:spacing w:val="-2"/>
                <w:sz w:val="16"/>
                <w:szCs w:val="16"/>
                <w:lang w:val="en-GB"/>
              </w:rPr>
            </w:pPr>
            <w:r>
              <w:rPr>
                <w:spacing w:val="-2"/>
                <w:sz w:val="16"/>
                <w:szCs w:val="16"/>
                <w:lang w:val="en-GB"/>
              </w:rPr>
              <w:t xml:space="preserve">The drop of the volume of domestic orders </w:t>
            </w:r>
            <w:r w:rsidR="009D77CF">
              <w:rPr>
                <w:spacing w:val="-2"/>
                <w:sz w:val="16"/>
                <w:szCs w:val="16"/>
                <w:lang w:val="en-GB"/>
              </w:rPr>
              <w:t>mirrored</w:t>
            </w:r>
            <w:r>
              <w:rPr>
                <w:spacing w:val="-2"/>
                <w:sz w:val="16"/>
                <w:szCs w:val="16"/>
                <w:lang w:val="en-GB"/>
              </w:rPr>
              <w:t xml:space="preserve"> the lower performance of manufacturers of other (mostly rail) transport vehicles. </w:t>
            </w:r>
          </w:p>
        </w:tc>
        <w:tc>
          <w:tcPr>
            <w:tcW w:w="144" w:type="pct"/>
          </w:tcPr>
          <w:p w:rsidR="00654093" w:rsidRPr="000C2529" w:rsidRDefault="00654093" w:rsidP="00853C0F">
            <w:pPr>
              <w:rPr>
                <w:color w:val="000000" w:themeColor="text1"/>
                <w:szCs w:val="16"/>
                <w:lang w:val="en-GB"/>
              </w:rPr>
            </w:pPr>
          </w:p>
        </w:tc>
        <w:tc>
          <w:tcPr>
            <w:tcW w:w="3840" w:type="pct"/>
          </w:tcPr>
          <w:p w:rsidR="00654093" w:rsidRPr="000C2529" w:rsidRDefault="00FE2889" w:rsidP="00F23F6C">
            <w:pPr>
              <w:pStyle w:val="Textpoznpodarou"/>
              <w:jc w:val="both"/>
              <w:rPr>
                <w:color w:val="000000" w:themeColor="text1"/>
                <w:spacing w:val="-4"/>
                <w:lang w:val="en-GB"/>
              </w:rPr>
            </w:pPr>
            <w:r>
              <w:rPr>
                <w:color w:val="000000" w:themeColor="text1"/>
                <w:spacing w:val="-4"/>
                <w:lang w:val="en-GB"/>
              </w:rPr>
              <w:t>Despite favourable development of industry as a</w:t>
            </w:r>
            <w:r w:rsidR="00FE53F0">
              <w:rPr>
                <w:color w:val="000000" w:themeColor="text1"/>
                <w:spacing w:val="-4"/>
                <w:lang w:val="en-GB"/>
              </w:rPr>
              <w:t xml:space="preserve"> </w:t>
            </w:r>
            <w:r>
              <w:rPr>
                <w:color w:val="000000" w:themeColor="text1"/>
                <w:spacing w:val="-4"/>
                <w:lang w:val="en-GB"/>
              </w:rPr>
              <w:t>whole, branches which showed negative tendencies still existed.</w:t>
            </w:r>
            <w:r w:rsidR="00654093" w:rsidRPr="000C2529">
              <w:rPr>
                <w:color w:val="000000" w:themeColor="text1"/>
                <w:spacing w:val="-4"/>
                <w:lang w:val="en-GB"/>
              </w:rPr>
              <w:t xml:space="preserve"> </w:t>
            </w:r>
            <w:r w:rsidR="00FE53F0">
              <w:rPr>
                <w:color w:val="000000" w:themeColor="text1"/>
                <w:spacing w:val="-4"/>
                <w:lang w:val="en-GB"/>
              </w:rPr>
              <w:t xml:space="preserve">The output was decreasing quarter-on-quarter in the mining industry, impacted by the slump of the mining of the black coal, </w:t>
            </w:r>
            <w:r w:rsidR="00DF22BA">
              <w:rPr>
                <w:color w:val="000000" w:themeColor="text1"/>
                <w:spacing w:val="-4"/>
                <w:lang w:val="en-GB"/>
              </w:rPr>
              <w:t xml:space="preserve">already for the seventh time in a row. </w:t>
            </w:r>
            <w:r w:rsidR="005E5F0B">
              <w:rPr>
                <w:color w:val="000000" w:themeColor="text1"/>
                <w:spacing w:val="-4"/>
                <w:lang w:val="en-GB"/>
              </w:rPr>
              <w:t>It thus reduced in total by nearly 20</w:t>
            </w:r>
            <w:r w:rsidR="00954C8E">
              <w:rPr>
                <w:color w:val="000000" w:themeColor="text1"/>
                <w:spacing w:val="-4"/>
                <w:lang w:val="en-GB"/>
              </w:rPr>
              <w:t>%</w:t>
            </w:r>
            <w:r w:rsidR="005E5F0B">
              <w:rPr>
                <w:color w:val="000000" w:themeColor="text1"/>
                <w:spacing w:val="-4"/>
                <w:lang w:val="en-GB"/>
              </w:rPr>
              <w:t xml:space="preserve"> under two years. </w:t>
            </w:r>
            <w:r w:rsidR="00405D51">
              <w:rPr>
                <w:color w:val="000000" w:themeColor="text1"/>
                <w:spacing w:val="-4"/>
                <w:lang w:val="en-GB"/>
              </w:rPr>
              <w:t>Partial</w:t>
            </w:r>
            <w:r w:rsidR="00B741FD">
              <w:rPr>
                <w:color w:val="000000" w:themeColor="text1"/>
                <w:spacing w:val="-4"/>
                <w:lang w:val="en-GB"/>
              </w:rPr>
              <w:t xml:space="preserve"> stabilisation occurred in metallurgy and </w:t>
            </w:r>
            <w:r w:rsidR="006B2D5B">
              <w:rPr>
                <w:color w:val="000000" w:themeColor="text1"/>
                <w:spacing w:val="-4"/>
                <w:lang w:val="en-GB"/>
              </w:rPr>
              <w:t>foundry industry</w:t>
            </w:r>
            <w:r w:rsidR="00B741FD">
              <w:rPr>
                <w:color w:val="000000" w:themeColor="text1"/>
                <w:spacing w:val="-4"/>
                <w:lang w:val="en-GB"/>
              </w:rPr>
              <w:t xml:space="preserve"> during the last year (also due to the introduction of the anti-dumping duty on the import of some products from steel from China into the EU)</w:t>
            </w:r>
            <w:r w:rsidR="00654093" w:rsidRPr="000C2529">
              <w:rPr>
                <w:color w:val="000000" w:themeColor="text1"/>
                <w:spacing w:val="-4"/>
                <w:lang w:val="en-GB"/>
              </w:rPr>
              <w:t xml:space="preserve">. </w:t>
            </w:r>
            <w:r w:rsidR="00222C66">
              <w:rPr>
                <w:color w:val="000000" w:themeColor="text1"/>
                <w:spacing w:val="-4"/>
                <w:lang w:val="en-GB"/>
              </w:rPr>
              <w:t xml:space="preserve">The output was however </w:t>
            </w:r>
            <w:r w:rsidR="00CA64FD">
              <w:rPr>
                <w:color w:val="000000" w:themeColor="text1"/>
                <w:spacing w:val="-4"/>
                <w:lang w:val="en-GB"/>
              </w:rPr>
              <w:t>again decreasing quarter-on</w:t>
            </w:r>
            <w:r w:rsidR="00CD2F7F">
              <w:rPr>
                <w:color w:val="000000" w:themeColor="text1"/>
                <w:spacing w:val="-4"/>
                <w:lang w:val="en-GB"/>
              </w:rPr>
              <w:t>-</w:t>
            </w:r>
            <w:r w:rsidR="00CA64FD">
              <w:rPr>
                <w:color w:val="000000" w:themeColor="text1"/>
                <w:spacing w:val="-4"/>
                <w:lang w:val="en-GB"/>
              </w:rPr>
              <w:t>quarter in the CR this year (in contrast to the EU)</w:t>
            </w:r>
            <w:proofErr w:type="gramStart"/>
            <w:r w:rsidR="00CA64FD">
              <w:rPr>
                <w:color w:val="000000" w:themeColor="text1"/>
                <w:spacing w:val="-4"/>
                <w:lang w:val="en-GB"/>
              </w:rPr>
              <w:t>,</w:t>
            </w:r>
            <w:proofErr w:type="gramEnd"/>
            <w:r w:rsidR="00CA64FD">
              <w:rPr>
                <w:color w:val="000000" w:themeColor="text1"/>
                <w:spacing w:val="-4"/>
                <w:lang w:val="en-GB"/>
              </w:rPr>
              <w:t xml:space="preserve"> the employment also kept slightly declining.  </w:t>
            </w:r>
            <w:r w:rsidR="00CD2F7F">
              <w:rPr>
                <w:color w:val="000000" w:themeColor="text1"/>
                <w:spacing w:val="-4"/>
                <w:lang w:val="en-GB"/>
              </w:rPr>
              <w:t xml:space="preserve">Following a short recovery in years 2015 and 2016, the output again fell in the </w:t>
            </w:r>
            <w:r w:rsidR="006B2D5B">
              <w:rPr>
                <w:color w:val="000000" w:themeColor="text1"/>
                <w:spacing w:val="-4"/>
                <w:lang w:val="en-GB"/>
              </w:rPr>
              <w:t xml:space="preserve">manufacture of </w:t>
            </w:r>
            <w:r w:rsidR="00CD2F7F">
              <w:rPr>
                <w:color w:val="000000" w:themeColor="text1"/>
                <w:spacing w:val="-4"/>
                <w:lang w:val="en-GB"/>
              </w:rPr>
              <w:t>cloth</w:t>
            </w:r>
            <w:r w:rsidR="006B2D5B">
              <w:rPr>
                <w:color w:val="000000" w:themeColor="text1"/>
                <w:spacing w:val="-4"/>
                <w:lang w:val="en-GB"/>
              </w:rPr>
              <w:t>es</w:t>
            </w:r>
            <w:r w:rsidR="00CD2F7F">
              <w:rPr>
                <w:color w:val="000000" w:themeColor="text1"/>
                <w:spacing w:val="-4"/>
                <w:lang w:val="en-GB"/>
              </w:rPr>
              <w:t xml:space="preserve"> this year </w:t>
            </w:r>
            <w:r w:rsidR="00B77FB7" w:rsidRPr="000C2529">
              <w:rPr>
                <w:color w:val="000000" w:themeColor="text1"/>
                <w:spacing w:val="-4"/>
                <w:lang w:val="en-GB"/>
              </w:rPr>
              <w:t>(</w:t>
            </w:r>
            <w:r w:rsidR="00CD2F7F">
              <w:rPr>
                <w:color w:val="000000" w:themeColor="text1"/>
                <w:spacing w:val="-4"/>
                <w:lang w:val="en-GB"/>
              </w:rPr>
              <w:t>by</w:t>
            </w:r>
            <w:r w:rsidR="00B77FB7" w:rsidRPr="000C2529">
              <w:rPr>
                <w:color w:val="000000" w:themeColor="text1"/>
                <w:spacing w:val="-4"/>
                <w:lang w:val="en-GB"/>
              </w:rPr>
              <w:t xml:space="preserve"> 4</w:t>
            </w:r>
            <w:r w:rsidR="00CD2F7F">
              <w:rPr>
                <w:color w:val="000000" w:themeColor="text1"/>
                <w:spacing w:val="-4"/>
                <w:lang w:val="en-GB"/>
              </w:rPr>
              <w:t>.</w:t>
            </w:r>
            <w:r w:rsidR="00B77FB7" w:rsidRPr="000C2529">
              <w:rPr>
                <w:color w:val="000000" w:themeColor="text1"/>
                <w:spacing w:val="-4"/>
                <w:lang w:val="en-GB"/>
              </w:rPr>
              <w:t>5</w:t>
            </w:r>
            <w:r w:rsidR="00954C8E">
              <w:rPr>
                <w:color w:val="000000" w:themeColor="text1"/>
                <w:spacing w:val="-4"/>
                <w:lang w:val="en-GB"/>
              </w:rPr>
              <w:t>%</w:t>
            </w:r>
            <w:r w:rsidR="00654093" w:rsidRPr="000C2529">
              <w:rPr>
                <w:color w:val="000000" w:themeColor="text1"/>
                <w:spacing w:val="-4"/>
                <w:lang w:val="en-GB"/>
              </w:rPr>
              <w:t xml:space="preserve"> </w:t>
            </w:r>
            <w:r w:rsidR="00CD2F7F">
              <w:rPr>
                <w:color w:val="000000" w:themeColor="text1"/>
                <w:spacing w:val="-4"/>
                <w:lang w:val="en-GB"/>
              </w:rPr>
              <w:t>year-on-year</w:t>
            </w:r>
            <w:r w:rsidR="00654093" w:rsidRPr="000C2529">
              <w:rPr>
                <w:color w:val="000000" w:themeColor="text1"/>
                <w:spacing w:val="-4"/>
                <w:lang w:val="en-GB"/>
              </w:rPr>
              <w:t xml:space="preserve">). </w:t>
            </w:r>
            <w:r w:rsidR="005B52D0">
              <w:rPr>
                <w:color w:val="000000" w:themeColor="text1"/>
                <w:spacing w:val="-4"/>
                <w:lang w:val="en-GB"/>
              </w:rPr>
              <w:t xml:space="preserve">While the domestic demand still kept growing, the volume of foreign orders as well as the sales from the direct exports to clothing business was falling. </w:t>
            </w:r>
            <w:r w:rsidR="00096091">
              <w:rPr>
                <w:color w:val="000000" w:themeColor="text1"/>
                <w:spacing w:val="-4"/>
                <w:lang w:val="en-GB"/>
              </w:rPr>
              <w:t>The repair and installation of machinery and equipment recorded by 7</w:t>
            </w:r>
            <w:r w:rsidR="00954C8E">
              <w:rPr>
                <w:color w:val="000000" w:themeColor="text1"/>
                <w:spacing w:val="-4"/>
                <w:lang w:val="en-GB"/>
              </w:rPr>
              <w:t>%</w:t>
            </w:r>
            <w:r w:rsidR="00096091">
              <w:rPr>
                <w:color w:val="000000" w:themeColor="text1"/>
                <w:spacing w:val="-4"/>
                <w:lang w:val="en-GB"/>
              </w:rPr>
              <w:t xml:space="preserve"> lower </w:t>
            </w:r>
            <w:proofErr w:type="gramStart"/>
            <w:r w:rsidR="00096091">
              <w:rPr>
                <w:color w:val="000000" w:themeColor="text1"/>
                <w:spacing w:val="-4"/>
                <w:lang w:val="en-GB"/>
              </w:rPr>
              <w:t>output</w:t>
            </w:r>
            <w:proofErr w:type="gramEnd"/>
            <w:r w:rsidR="00096091">
              <w:rPr>
                <w:color w:val="000000" w:themeColor="text1"/>
                <w:spacing w:val="-4"/>
                <w:lang w:val="en-GB"/>
              </w:rPr>
              <w:t xml:space="preserve">. </w:t>
            </w:r>
            <w:r w:rsidR="001B2F7E">
              <w:rPr>
                <w:color w:val="000000" w:themeColor="text1"/>
                <w:spacing w:val="-4"/>
                <w:lang w:val="en-GB"/>
              </w:rPr>
              <w:t xml:space="preserve">At the same time, it represented the only manufacturing activity, whose output was compared to the end of the last recession (H1 2013) lower. </w:t>
            </w:r>
            <w:r w:rsidR="00D627C7">
              <w:rPr>
                <w:color w:val="000000" w:themeColor="text1"/>
                <w:spacing w:val="-4"/>
                <w:lang w:val="en-GB"/>
              </w:rPr>
              <w:t xml:space="preserve">The output of </w:t>
            </w:r>
            <w:r w:rsidR="00027D04">
              <w:rPr>
                <w:color w:val="000000" w:themeColor="text1"/>
                <w:spacing w:val="-4"/>
                <w:lang w:val="en-GB"/>
              </w:rPr>
              <w:t xml:space="preserve">manufacturers of </w:t>
            </w:r>
            <w:r w:rsidR="00D627C7">
              <w:rPr>
                <w:color w:val="000000" w:themeColor="text1"/>
                <w:spacing w:val="-4"/>
                <w:lang w:val="en-GB"/>
              </w:rPr>
              <w:t>other (mostly rail) transportation vehicles also decre</w:t>
            </w:r>
            <w:r w:rsidR="00FD10BC">
              <w:rPr>
                <w:color w:val="000000" w:themeColor="text1"/>
                <w:spacing w:val="-4"/>
                <w:lang w:val="en-GB"/>
              </w:rPr>
              <w:t>a</w:t>
            </w:r>
            <w:r w:rsidR="00D627C7">
              <w:rPr>
                <w:color w:val="000000" w:themeColor="text1"/>
                <w:spacing w:val="-4"/>
                <w:lang w:val="en-GB"/>
              </w:rPr>
              <w:t xml:space="preserve">sed by one tenth this year. </w:t>
            </w:r>
            <w:r w:rsidR="00FD10BC">
              <w:rPr>
                <w:color w:val="000000" w:themeColor="text1"/>
                <w:spacing w:val="-4"/>
                <w:lang w:val="en-GB"/>
              </w:rPr>
              <w:t>It is however traditionally given the character of the orders considerably volatile.</w:t>
            </w:r>
            <w:r w:rsidR="00654093" w:rsidRPr="000C2529">
              <w:rPr>
                <w:color w:val="000000" w:themeColor="text1"/>
                <w:spacing w:val="-4"/>
                <w:lang w:val="en-GB"/>
              </w:rPr>
              <w:t xml:space="preserve"> </w:t>
            </w:r>
            <w:r w:rsidR="00FD10BC">
              <w:rPr>
                <w:color w:val="000000" w:themeColor="text1"/>
                <w:spacing w:val="-4"/>
                <w:lang w:val="en-GB"/>
              </w:rPr>
              <w:t xml:space="preserve">The lower volume of domestic orders affected the result. </w:t>
            </w:r>
          </w:p>
        </w:tc>
      </w:tr>
    </w:tbl>
    <w:p w:rsidR="00214DB7" w:rsidRPr="006B2F92" w:rsidRDefault="00214DB7" w:rsidP="00654093">
      <w:pPr>
        <w:pStyle w:val="Textpoznpodarou"/>
        <w:jc w:val="both"/>
        <w:rPr>
          <w:sz w:val="15"/>
          <w:szCs w:val="15"/>
        </w:rPr>
      </w:pPr>
    </w:p>
    <w:tbl>
      <w:tblPr>
        <w:tblW w:w="4963" w:type="pct"/>
        <w:tblInd w:w="108" w:type="dxa"/>
        <w:tblLayout w:type="fixed"/>
        <w:tblLook w:val="00A0"/>
      </w:tblPr>
      <w:tblGrid>
        <w:gridCol w:w="1997"/>
        <w:gridCol w:w="284"/>
        <w:gridCol w:w="1121"/>
        <w:gridCol w:w="6379"/>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3" w:type="pct"/>
          </w:tcPr>
          <w:p w:rsidR="00654093" w:rsidRPr="00540CB3" w:rsidRDefault="00775512" w:rsidP="00853C0F">
            <w:pPr>
              <w:pStyle w:val="Textpoznpodarou"/>
              <w:jc w:val="both"/>
              <w:rPr>
                <w:highlight w:val="yellow"/>
              </w:rPr>
            </w:pPr>
            <w:r>
              <w:rPr>
                <w:color w:val="000000"/>
              </w:rPr>
              <w:t xml:space="preserve">Chart </w:t>
            </w:r>
            <w:r w:rsidR="00654093" w:rsidRPr="00540CB3">
              <w:rPr>
                <w:color w:val="000000"/>
              </w:rPr>
              <w:t>5</w:t>
            </w:r>
          </w:p>
        </w:tc>
        <w:tc>
          <w:tcPr>
            <w:tcW w:w="3261" w:type="pct"/>
          </w:tcPr>
          <w:p w:rsidR="009B1D9A" w:rsidRPr="008D0462" w:rsidRDefault="009B1D9A" w:rsidP="009B1D9A">
            <w:pPr>
              <w:pStyle w:val="Textpoznpodarou"/>
              <w:rPr>
                <w:b/>
                <w:lang w:val="en-GB"/>
              </w:rPr>
            </w:pPr>
            <w:r w:rsidRPr="008D0462">
              <w:rPr>
                <w:b/>
                <w:lang w:val="en-GB"/>
              </w:rPr>
              <w:t xml:space="preserve">Production in industry and selected manufacturing branches </w:t>
            </w:r>
          </w:p>
          <w:p w:rsidR="00654093" w:rsidRPr="003C6DB9" w:rsidRDefault="009B1D9A" w:rsidP="009B1D9A">
            <w:pPr>
              <w:pStyle w:val="Textpoznpodarou"/>
              <w:rPr>
                <w:b/>
              </w:rPr>
            </w:pPr>
            <w:r>
              <w:t xml:space="preserve"> </w:t>
            </w:r>
            <w:r w:rsidR="00654093">
              <w:t>(</w:t>
            </w:r>
            <w:proofErr w:type="spellStart"/>
            <w:r w:rsidR="00654093">
              <w:t>re</w:t>
            </w:r>
            <w:r>
              <w:t>al</w:t>
            </w:r>
            <w:proofErr w:type="spellEnd"/>
            <w:r w:rsidR="00654093">
              <w:t xml:space="preserve">, </w:t>
            </w:r>
            <w:r w:rsidRPr="008D0462">
              <w:rPr>
                <w:lang w:val="en-GB"/>
              </w:rPr>
              <w:t xml:space="preserve">adjusted for calendar effects, </w:t>
            </w:r>
            <w:r w:rsidR="00954C8E">
              <w:rPr>
                <w:lang w:val="en-GB"/>
              </w:rPr>
              <w:t>in %</w:t>
            </w:r>
            <w:r w:rsidRPr="008D0462">
              <w:rPr>
                <w:lang w:val="en-GB"/>
              </w:rPr>
              <w:t>)</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9976A2" w:rsidRDefault="009976A2" w:rsidP="00853C0F">
            <w:pPr>
              <w:pStyle w:val="Textpoznpodarou"/>
              <w:ind w:left="-124"/>
              <w:jc w:val="right"/>
              <w:rPr>
                <w:sz w:val="14"/>
                <w:szCs w:val="14"/>
              </w:rPr>
            </w:pPr>
            <w:r>
              <w:rPr>
                <w:noProof/>
              </w:rPr>
              <w:t xml:space="preserve"> </w:t>
            </w:r>
            <w:r w:rsidR="00486640">
              <w:rPr>
                <w:noProof/>
              </w:rPr>
              <w:drawing>
                <wp:inline distT="0" distB="0" distL="0" distR="0">
                  <wp:extent cx="4769902" cy="3553200"/>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6640" w:rsidRDefault="00911C6A">
            <w:pPr>
              <w:pStyle w:val="Textpoznpodarou"/>
              <w:ind w:left="-124"/>
              <w:jc w:val="right"/>
              <w:rPr>
                <w:sz w:val="16"/>
                <w:szCs w:val="16"/>
              </w:rPr>
            </w:pPr>
            <w:proofErr w:type="spellStart"/>
            <w:r>
              <w:rPr>
                <w:sz w:val="14"/>
                <w:szCs w:val="14"/>
              </w:rPr>
              <w:t>Source</w:t>
            </w:r>
            <w:proofErr w:type="spellEnd"/>
            <w:r w:rsidR="00654093" w:rsidRPr="00540CB3">
              <w:rPr>
                <w:sz w:val="14"/>
                <w:szCs w:val="14"/>
              </w:rPr>
              <w:t xml:space="preserve">: </w:t>
            </w:r>
            <w:r>
              <w:rPr>
                <w:sz w:val="14"/>
                <w:szCs w:val="14"/>
              </w:rPr>
              <w:t>CZSO</w:t>
            </w:r>
          </w:p>
        </w:tc>
      </w:tr>
    </w:tbl>
    <w:p w:rsidR="00654093" w:rsidRPr="006B2F92"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A74192" w:rsidTr="00853C0F">
        <w:trPr>
          <w:trHeight w:val="145"/>
        </w:trPr>
        <w:tc>
          <w:tcPr>
            <w:tcW w:w="1016" w:type="pct"/>
            <w:shd w:val="clear" w:color="auto" w:fill="auto"/>
          </w:tcPr>
          <w:p w:rsidR="00654093" w:rsidRPr="00F13E89" w:rsidRDefault="00AE63AB" w:rsidP="00853C0F">
            <w:pPr>
              <w:spacing w:line="240" w:lineRule="auto"/>
              <w:rPr>
                <w:spacing w:val="-2"/>
                <w:sz w:val="16"/>
                <w:szCs w:val="16"/>
                <w:lang w:val="en-GB"/>
              </w:rPr>
            </w:pPr>
            <w:r w:rsidRPr="00F13E89">
              <w:rPr>
                <w:spacing w:val="-2"/>
                <w:sz w:val="16"/>
                <w:szCs w:val="16"/>
                <w:lang w:val="en-GB"/>
              </w:rPr>
              <w:t xml:space="preserve">The growth of volume of new orders continued in most monitored industrial branches. </w:t>
            </w:r>
            <w:r w:rsidR="0027172E" w:rsidRPr="00F13E89">
              <w:rPr>
                <w:spacing w:val="-2"/>
                <w:sz w:val="16"/>
                <w:szCs w:val="16"/>
                <w:lang w:val="en-GB"/>
              </w:rPr>
              <w:t>The renewal of production capacities</w:t>
            </w:r>
            <w:r w:rsidR="00F13E89" w:rsidRPr="00F13E89">
              <w:rPr>
                <w:spacing w:val="-2"/>
                <w:sz w:val="16"/>
                <w:szCs w:val="16"/>
                <w:lang w:val="en-GB"/>
              </w:rPr>
              <w:t xml:space="preserve"> manifested in the chemical industry. </w:t>
            </w:r>
          </w:p>
          <w:p w:rsidR="00654093" w:rsidRPr="00F13E89" w:rsidRDefault="00654093" w:rsidP="00853C0F">
            <w:pPr>
              <w:spacing w:line="240" w:lineRule="auto"/>
              <w:rPr>
                <w:sz w:val="16"/>
                <w:szCs w:val="16"/>
                <w:lang w:val="en-GB"/>
              </w:rPr>
            </w:pPr>
            <w:r w:rsidRPr="00F13E89">
              <w:rPr>
                <w:sz w:val="16"/>
                <w:szCs w:val="16"/>
                <w:lang w:val="en-GB"/>
              </w:rPr>
              <w:t xml:space="preserve"> </w:t>
            </w:r>
          </w:p>
        </w:tc>
        <w:tc>
          <w:tcPr>
            <w:tcW w:w="144" w:type="pct"/>
          </w:tcPr>
          <w:p w:rsidR="00654093" w:rsidRPr="00F13E89" w:rsidRDefault="00654093" w:rsidP="00853C0F">
            <w:pPr>
              <w:pStyle w:val="Textpoznpodarou"/>
              <w:jc w:val="both"/>
              <w:rPr>
                <w:spacing w:val="-2"/>
                <w:lang w:val="en-GB"/>
              </w:rPr>
            </w:pPr>
          </w:p>
        </w:tc>
        <w:tc>
          <w:tcPr>
            <w:tcW w:w="3840" w:type="pct"/>
          </w:tcPr>
          <w:p w:rsidR="00654093" w:rsidRPr="00F13E89" w:rsidRDefault="00AE63AB" w:rsidP="00853C0F">
            <w:pPr>
              <w:pStyle w:val="Textpoznpodarou"/>
              <w:jc w:val="both"/>
              <w:rPr>
                <w:spacing w:val="-4"/>
                <w:lang w:val="en-GB"/>
              </w:rPr>
            </w:pPr>
            <w:r w:rsidRPr="00F13E89">
              <w:rPr>
                <w:spacing w:val="-4"/>
                <w:lang w:val="en-GB"/>
              </w:rPr>
              <w:t>Stock of work in the form of new industrial orders</w:t>
            </w:r>
            <w:r w:rsidR="00654093" w:rsidRPr="00F13E89">
              <w:rPr>
                <w:rStyle w:val="Znakapoznpodarou"/>
                <w:spacing w:val="-4"/>
                <w:lang w:val="en-GB"/>
              </w:rPr>
              <w:footnoteReference w:id="5"/>
            </w:r>
            <w:r w:rsidR="00654093" w:rsidRPr="00F13E89">
              <w:rPr>
                <w:spacing w:val="-4"/>
                <w:lang w:val="en-GB"/>
              </w:rPr>
              <w:t xml:space="preserve"> </w:t>
            </w:r>
            <w:r w:rsidRPr="00F13E89">
              <w:rPr>
                <w:spacing w:val="-4"/>
                <w:lang w:val="en-GB"/>
              </w:rPr>
              <w:t xml:space="preserve">kept growing. </w:t>
            </w:r>
            <w:r w:rsidR="003A0B39" w:rsidRPr="00F13E89">
              <w:rPr>
                <w:spacing w:val="-4"/>
                <w:lang w:val="en-GB"/>
              </w:rPr>
              <w:t xml:space="preserve">Its year-on-year dynamics was for the whole half-year </w:t>
            </w:r>
            <w:r w:rsidR="008215A1" w:rsidRPr="00F13E89">
              <w:rPr>
                <w:spacing w:val="-4"/>
                <w:lang w:val="en-GB"/>
              </w:rPr>
              <w:t>comparable</w:t>
            </w:r>
            <w:r w:rsidR="003A0B39" w:rsidRPr="00F13E89">
              <w:rPr>
                <w:spacing w:val="-4"/>
                <w:lang w:val="en-GB"/>
              </w:rPr>
              <w:t xml:space="preserve"> with the pace reached in the first half of year 2016. </w:t>
            </w:r>
            <w:r w:rsidR="008215A1">
              <w:rPr>
                <w:spacing w:val="-4"/>
                <w:lang w:val="en-GB"/>
              </w:rPr>
              <w:t>While the number of orders increased by one tenth at the beginning of this year, it was by 3.6</w:t>
            </w:r>
            <w:r w:rsidR="00954C8E">
              <w:rPr>
                <w:spacing w:val="-4"/>
                <w:lang w:val="en-GB"/>
              </w:rPr>
              <w:t>%</w:t>
            </w:r>
            <w:r w:rsidR="008215A1">
              <w:rPr>
                <w:spacing w:val="-4"/>
                <w:lang w:val="en-GB"/>
              </w:rPr>
              <w:t xml:space="preserve"> in the subsequent quarter. The majority of the twelve monitored branches recorded year-on-year growth in both quarters. </w:t>
            </w:r>
            <w:r w:rsidR="00AA3BB6">
              <w:rPr>
                <w:spacing w:val="-4"/>
                <w:lang w:val="en-GB"/>
              </w:rPr>
              <w:t xml:space="preserve">Manufacture of textiles as well as the manufacturers of transportation vehicles experienced worse results. </w:t>
            </w:r>
            <w:r w:rsidR="00B56A48">
              <w:rPr>
                <w:spacing w:val="-4"/>
                <w:lang w:val="en-GB"/>
              </w:rPr>
              <w:t xml:space="preserve">Mild decrease in the manufacture of motor vehicle in Q2 </w:t>
            </w:r>
            <w:r w:rsidR="00F23F6C" w:rsidRPr="00F13E89">
              <w:rPr>
                <w:spacing w:val="-4"/>
                <w:lang w:val="en-GB"/>
              </w:rPr>
              <w:t>(</w:t>
            </w:r>
            <w:r w:rsidR="00B56A48">
              <w:rPr>
                <w:spacing w:val="-4"/>
                <w:lang w:val="en-GB"/>
              </w:rPr>
              <w:t xml:space="preserve">by </w:t>
            </w:r>
            <w:r w:rsidR="00F23F6C" w:rsidRPr="00F13E89">
              <w:rPr>
                <w:spacing w:val="-4"/>
                <w:lang w:val="en-GB"/>
              </w:rPr>
              <w:t>2</w:t>
            </w:r>
            <w:r w:rsidR="00954C8E">
              <w:rPr>
                <w:spacing w:val="-4"/>
                <w:lang w:val="en-GB"/>
              </w:rPr>
              <w:t>%</w:t>
            </w:r>
            <w:r w:rsidR="00F23F6C" w:rsidRPr="00F13E89">
              <w:rPr>
                <w:spacing w:val="-4"/>
                <w:lang w:val="en-GB"/>
              </w:rPr>
              <w:t xml:space="preserve">) </w:t>
            </w:r>
            <w:r w:rsidR="00B56A48">
              <w:rPr>
                <w:spacing w:val="-4"/>
                <w:lang w:val="en-GB"/>
              </w:rPr>
              <w:t xml:space="preserve">was connected to the very high last year´s basis </w:t>
            </w:r>
            <w:r w:rsidR="00654093" w:rsidRPr="00F13E89">
              <w:rPr>
                <w:spacing w:val="-4"/>
                <w:lang w:val="en-GB"/>
              </w:rPr>
              <w:t>(</w:t>
            </w:r>
            <w:r w:rsidR="00B56A48">
              <w:rPr>
                <w:spacing w:val="-4"/>
                <w:lang w:val="en-GB"/>
              </w:rPr>
              <w:t xml:space="preserve">growth by </w:t>
            </w:r>
            <w:r w:rsidR="00654093" w:rsidRPr="00F13E89">
              <w:rPr>
                <w:spacing w:val="-4"/>
                <w:lang w:val="en-GB"/>
              </w:rPr>
              <w:t>32</w:t>
            </w:r>
            <w:r w:rsidR="00954C8E">
              <w:rPr>
                <w:spacing w:val="-4"/>
                <w:lang w:val="en-GB"/>
              </w:rPr>
              <w:t>%</w:t>
            </w:r>
            <w:r w:rsidR="00654093" w:rsidRPr="00F13E89">
              <w:rPr>
                <w:spacing w:val="-4"/>
                <w:lang w:val="en-GB"/>
              </w:rPr>
              <w:t xml:space="preserve">). </w:t>
            </w:r>
            <w:r w:rsidR="00B56A48">
              <w:rPr>
                <w:spacing w:val="-4"/>
                <w:lang w:val="en-GB"/>
              </w:rPr>
              <w:t xml:space="preserve">The rate of growth of the domestic orders exceeded similar rates for the foreign demand in both this year´s </w:t>
            </w:r>
            <w:r w:rsidR="00B56A48">
              <w:rPr>
                <w:spacing w:val="-4"/>
                <w:lang w:val="en-GB"/>
              </w:rPr>
              <w:lastRenderedPageBreak/>
              <w:t xml:space="preserve">quarters. </w:t>
            </w:r>
            <w:r w:rsidR="00031DAB">
              <w:rPr>
                <w:spacing w:val="-4"/>
                <w:lang w:val="en-GB"/>
              </w:rPr>
              <w:t xml:space="preserve">The full renewal of the production capacities of the chemical industry manifested here, as the industry could again accept the growing demand of the domestic businesses to higher extent. </w:t>
            </w:r>
          </w:p>
          <w:p w:rsidR="00654093" w:rsidRPr="00F13E89" w:rsidRDefault="00654093" w:rsidP="00853C0F">
            <w:pPr>
              <w:pStyle w:val="Textpoznpodarou"/>
              <w:jc w:val="both"/>
              <w:rPr>
                <w:spacing w:val="-4"/>
                <w:sz w:val="15"/>
                <w:szCs w:val="15"/>
                <w:lang w:val="en-GB"/>
              </w:rPr>
            </w:pPr>
          </w:p>
        </w:tc>
      </w:tr>
      <w:tr w:rsidR="00654093" w:rsidRPr="000B2BE9" w:rsidTr="00853C0F">
        <w:trPr>
          <w:trHeight w:val="145"/>
        </w:trPr>
        <w:tc>
          <w:tcPr>
            <w:tcW w:w="1016" w:type="pct"/>
            <w:shd w:val="clear" w:color="auto" w:fill="auto"/>
          </w:tcPr>
          <w:p w:rsidR="00654093" w:rsidRPr="00F13E89" w:rsidRDefault="00763498" w:rsidP="00763498">
            <w:pPr>
              <w:spacing w:line="240" w:lineRule="auto"/>
              <w:rPr>
                <w:spacing w:val="-2"/>
                <w:sz w:val="16"/>
                <w:szCs w:val="16"/>
                <w:lang w:val="en-GB"/>
              </w:rPr>
            </w:pPr>
            <w:r>
              <w:rPr>
                <w:sz w:val="16"/>
                <w:szCs w:val="16"/>
                <w:lang w:val="en-GB"/>
              </w:rPr>
              <w:lastRenderedPageBreak/>
              <w:t xml:space="preserve">Business confidence in industry remained despite slight worsening still positive in the last six months. </w:t>
            </w:r>
          </w:p>
        </w:tc>
        <w:tc>
          <w:tcPr>
            <w:tcW w:w="144" w:type="pct"/>
          </w:tcPr>
          <w:p w:rsidR="00654093" w:rsidRPr="00F13E89" w:rsidRDefault="00654093" w:rsidP="00853C0F">
            <w:pPr>
              <w:rPr>
                <w:color w:val="000000" w:themeColor="text1"/>
                <w:szCs w:val="16"/>
                <w:lang w:val="en-GB"/>
              </w:rPr>
            </w:pPr>
          </w:p>
        </w:tc>
        <w:tc>
          <w:tcPr>
            <w:tcW w:w="3840" w:type="pct"/>
          </w:tcPr>
          <w:p w:rsidR="00654093" w:rsidRPr="00F13E89" w:rsidRDefault="004F4004" w:rsidP="003A33DF">
            <w:pPr>
              <w:pStyle w:val="Textpoznpodarou"/>
              <w:jc w:val="both"/>
              <w:rPr>
                <w:color w:val="000000" w:themeColor="text1"/>
                <w:spacing w:val="-4"/>
                <w:lang w:val="en-GB"/>
              </w:rPr>
            </w:pPr>
            <w:r>
              <w:rPr>
                <w:spacing w:val="-4"/>
                <w:lang w:val="en-GB"/>
              </w:rPr>
              <w:t xml:space="preserve">Business confidence in industry (according to the </w:t>
            </w:r>
            <w:r w:rsidR="00031DAB">
              <w:rPr>
                <w:spacing w:val="-4"/>
                <w:lang w:val="en-GB"/>
              </w:rPr>
              <w:t>seasonally</w:t>
            </w:r>
            <w:r>
              <w:rPr>
                <w:spacing w:val="-4"/>
                <w:lang w:val="en-GB"/>
              </w:rPr>
              <w:t xml:space="preserve"> adjusted balance of the confidence indicator) still remained slightly positive. </w:t>
            </w:r>
            <w:r w:rsidR="005C2E13">
              <w:rPr>
                <w:spacing w:val="-4"/>
                <w:lang w:val="en-GB"/>
              </w:rPr>
              <w:t>However, it mildly dropped during the year 2017 and it reached the lowest value for the past nineteen months in May. The growth of the production activity within the upcoming three months anticipated 24</w:t>
            </w:r>
            <w:r w:rsidR="00954C8E">
              <w:rPr>
                <w:spacing w:val="-4"/>
                <w:lang w:val="en-GB"/>
              </w:rPr>
              <w:t>%</w:t>
            </w:r>
            <w:r w:rsidR="005C2E13">
              <w:rPr>
                <w:spacing w:val="-4"/>
                <w:lang w:val="en-GB"/>
              </w:rPr>
              <w:t xml:space="preserve"> of industrial businesses during August (40</w:t>
            </w:r>
            <w:r w:rsidR="00954C8E">
              <w:rPr>
                <w:spacing w:val="-4"/>
                <w:lang w:val="en-GB"/>
              </w:rPr>
              <w:t>%</w:t>
            </w:r>
            <w:r w:rsidR="005C2E13">
              <w:rPr>
                <w:spacing w:val="-4"/>
                <w:lang w:val="en-GB"/>
              </w:rPr>
              <w:t xml:space="preserve"> in </w:t>
            </w:r>
            <w:proofErr w:type="spellStart"/>
            <w:r w:rsidR="005C2E13">
              <w:rPr>
                <w:spacing w:val="-4"/>
                <w:lang w:val="en-GB"/>
              </w:rPr>
              <w:t>energetics</w:t>
            </w:r>
            <w:proofErr w:type="spellEnd"/>
            <w:r w:rsidR="005C2E13">
              <w:rPr>
                <w:spacing w:val="-4"/>
                <w:lang w:val="en-GB"/>
              </w:rPr>
              <w:t xml:space="preserve"> itself).</w:t>
            </w:r>
            <w:r w:rsidR="00654093" w:rsidRPr="00F13E89">
              <w:rPr>
                <w:color w:val="000000" w:themeColor="text1"/>
                <w:spacing w:val="-4"/>
                <w:lang w:val="en-GB"/>
              </w:rPr>
              <w:t xml:space="preserve"> </w:t>
            </w:r>
            <w:r w:rsidR="0089169B">
              <w:rPr>
                <w:color w:val="000000" w:themeColor="text1"/>
                <w:spacing w:val="-4"/>
                <w:lang w:val="en-GB"/>
              </w:rPr>
              <w:t xml:space="preserve">The proportion of businesses contemplating the increase of employment within the same time horizon slightly rose year-on-year </w:t>
            </w:r>
            <w:r w:rsidR="00654093" w:rsidRPr="00F13E89">
              <w:rPr>
                <w:color w:val="000000" w:themeColor="text1"/>
                <w:spacing w:val="-4"/>
                <w:lang w:val="en-GB"/>
              </w:rPr>
              <w:t>(</w:t>
            </w:r>
            <w:r w:rsidR="0089169B">
              <w:rPr>
                <w:color w:val="000000" w:themeColor="text1"/>
                <w:spacing w:val="-4"/>
                <w:lang w:val="en-GB"/>
              </w:rPr>
              <w:t xml:space="preserve">from </w:t>
            </w:r>
            <w:r w:rsidR="00654093" w:rsidRPr="00F13E89">
              <w:rPr>
                <w:color w:val="000000" w:themeColor="text1"/>
                <w:spacing w:val="-4"/>
                <w:lang w:val="en-GB"/>
              </w:rPr>
              <w:t>16</w:t>
            </w:r>
            <w:r w:rsidR="00954C8E">
              <w:rPr>
                <w:color w:val="000000" w:themeColor="text1"/>
                <w:spacing w:val="-4"/>
                <w:lang w:val="en-GB"/>
              </w:rPr>
              <w:t>%</w:t>
            </w:r>
            <w:r w:rsidR="00654093" w:rsidRPr="00F13E89">
              <w:rPr>
                <w:color w:val="000000" w:themeColor="text1"/>
                <w:spacing w:val="-4"/>
                <w:lang w:val="en-GB"/>
              </w:rPr>
              <w:t xml:space="preserve"> </w:t>
            </w:r>
            <w:r w:rsidR="0089169B">
              <w:rPr>
                <w:color w:val="000000" w:themeColor="text1"/>
                <w:spacing w:val="-4"/>
                <w:lang w:val="en-GB"/>
              </w:rPr>
              <w:t xml:space="preserve">to </w:t>
            </w:r>
            <w:r w:rsidR="00654093" w:rsidRPr="00F13E89">
              <w:rPr>
                <w:color w:val="000000" w:themeColor="text1"/>
                <w:spacing w:val="-4"/>
                <w:lang w:val="en-GB"/>
              </w:rPr>
              <w:t>20</w:t>
            </w:r>
            <w:r w:rsidR="00954C8E">
              <w:rPr>
                <w:color w:val="000000" w:themeColor="text1"/>
                <w:spacing w:val="-4"/>
                <w:lang w:val="en-GB"/>
              </w:rPr>
              <w:t>%</w:t>
            </w:r>
            <w:r w:rsidR="00654093" w:rsidRPr="00F13E89">
              <w:rPr>
                <w:color w:val="000000" w:themeColor="text1"/>
                <w:spacing w:val="-4"/>
                <w:lang w:val="en-GB"/>
              </w:rPr>
              <w:t xml:space="preserve">), </w:t>
            </w:r>
            <w:r w:rsidR="0089169B">
              <w:rPr>
                <w:color w:val="000000" w:themeColor="text1"/>
                <w:spacing w:val="-4"/>
                <w:lang w:val="en-GB"/>
              </w:rPr>
              <w:t xml:space="preserve">specifically mostly in manufacturing. </w:t>
            </w:r>
            <w:r w:rsidR="00D237C7">
              <w:rPr>
                <w:color w:val="000000" w:themeColor="text1"/>
                <w:spacing w:val="-4"/>
                <w:lang w:val="en-GB"/>
              </w:rPr>
              <w:t>Businesses in the mining industry signalled possible higher stabilization of employment. The share of businesses considering the lack of labour force to be the barrier to their growth climbed to record 41</w:t>
            </w:r>
            <w:r w:rsidR="00954C8E">
              <w:rPr>
                <w:color w:val="000000" w:themeColor="text1"/>
                <w:spacing w:val="-4"/>
                <w:lang w:val="en-GB"/>
              </w:rPr>
              <w:t>%</w:t>
            </w:r>
            <w:r w:rsidR="00D237C7">
              <w:rPr>
                <w:color w:val="000000" w:themeColor="text1"/>
                <w:spacing w:val="-4"/>
                <w:lang w:val="en-GB"/>
              </w:rPr>
              <w:t xml:space="preserve"> at the beginning of Q</w:t>
            </w:r>
            <w:r w:rsidR="00654093" w:rsidRPr="00F13E89">
              <w:rPr>
                <w:color w:val="000000" w:themeColor="text1"/>
                <w:spacing w:val="-4"/>
                <w:lang w:val="en-GB"/>
              </w:rPr>
              <w:t xml:space="preserve">3. </w:t>
            </w:r>
            <w:r w:rsidR="003A33DF">
              <w:rPr>
                <w:color w:val="000000" w:themeColor="text1"/>
                <w:spacing w:val="-4"/>
                <w:lang w:val="en-GB"/>
              </w:rPr>
              <w:t>It overtook the impact of the inadequate demand for the first time since Q</w:t>
            </w:r>
            <w:r w:rsidR="00654093" w:rsidRPr="00F13E89">
              <w:rPr>
                <w:color w:val="000000" w:themeColor="text1"/>
                <w:spacing w:val="-4"/>
                <w:lang w:val="en-GB"/>
              </w:rPr>
              <w:t>1</w:t>
            </w:r>
            <w:r w:rsidR="003A33DF">
              <w:rPr>
                <w:color w:val="000000" w:themeColor="text1"/>
                <w:spacing w:val="-4"/>
                <w:lang w:val="en-GB"/>
              </w:rPr>
              <w:t xml:space="preserve"> </w:t>
            </w:r>
            <w:r w:rsidR="00654093" w:rsidRPr="00F13E89">
              <w:rPr>
                <w:color w:val="000000" w:themeColor="text1"/>
                <w:spacing w:val="-4"/>
                <w:lang w:val="en-GB"/>
              </w:rPr>
              <w:t>2008</w:t>
            </w:r>
            <w:r w:rsidR="003A33DF">
              <w:rPr>
                <w:color w:val="000000" w:themeColor="text1"/>
                <w:spacing w:val="-4"/>
                <w:lang w:val="en-GB"/>
              </w:rPr>
              <w:t xml:space="preserve"> and thus it became the most significant limiting factor of further development of industrial businesses. </w:t>
            </w:r>
          </w:p>
        </w:tc>
      </w:tr>
    </w:tbl>
    <w:p w:rsidR="00654093" w:rsidRDefault="00654093" w:rsidP="00654093">
      <w:pPr>
        <w:pStyle w:val="Textpoznpodarou"/>
        <w:jc w:val="both"/>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540CB3" w:rsidRDefault="00AE63AB" w:rsidP="00853C0F">
            <w:pPr>
              <w:pStyle w:val="Textpoznpodarou"/>
              <w:jc w:val="both"/>
              <w:rPr>
                <w:spacing w:val="-4"/>
                <w:highlight w:val="yellow"/>
              </w:rPr>
            </w:pPr>
            <w:r>
              <w:rPr>
                <w:color w:val="000000"/>
                <w:spacing w:val="-4"/>
              </w:rPr>
              <w:t>Chart</w:t>
            </w:r>
            <w:r w:rsidR="00654093" w:rsidRPr="00540CB3">
              <w:rPr>
                <w:color w:val="000000"/>
                <w:spacing w:val="-4"/>
              </w:rPr>
              <w:t xml:space="preserve"> 6</w:t>
            </w:r>
          </w:p>
        </w:tc>
        <w:tc>
          <w:tcPr>
            <w:tcW w:w="3333" w:type="pct"/>
          </w:tcPr>
          <w:p w:rsidR="001F4DAE" w:rsidRDefault="006A23E1" w:rsidP="00AE63AB">
            <w:pPr>
              <w:pStyle w:val="Textpoznpodarou"/>
              <w:rPr>
                <w:b/>
                <w:spacing w:val="-4"/>
                <w:lang w:val="en-GB"/>
              </w:rPr>
            </w:pPr>
            <w:r w:rsidRPr="004D2174">
              <w:rPr>
                <w:b/>
                <w:spacing w:val="-4"/>
                <w:lang w:val="en-GB"/>
              </w:rPr>
              <w:t xml:space="preserve">New orders in manufacture of motor vehicles, </w:t>
            </w:r>
            <w:r w:rsidR="009D77CF">
              <w:rPr>
                <w:b/>
                <w:spacing w:val="-4"/>
                <w:lang w:val="en-GB"/>
              </w:rPr>
              <w:t xml:space="preserve">in </w:t>
            </w:r>
            <w:r w:rsidRPr="004D2174">
              <w:rPr>
                <w:b/>
                <w:spacing w:val="-4"/>
                <w:lang w:val="en-GB"/>
              </w:rPr>
              <w:t xml:space="preserve">industry in total </w:t>
            </w:r>
          </w:p>
          <w:p w:rsidR="00654093" w:rsidRPr="004D2174" w:rsidRDefault="00654093" w:rsidP="00AE63AB">
            <w:pPr>
              <w:pStyle w:val="Textpoznpodarou"/>
              <w:rPr>
                <w:bCs/>
                <w:lang w:val="en-GB"/>
              </w:rPr>
            </w:pPr>
            <w:r w:rsidRPr="004D2174">
              <w:rPr>
                <w:bCs/>
                <w:spacing w:val="-2"/>
                <w:lang w:val="en-GB"/>
              </w:rPr>
              <w:t>(</w:t>
            </w:r>
            <w:r w:rsidR="00AE63AB" w:rsidRPr="004D2174">
              <w:rPr>
                <w:bCs/>
                <w:spacing w:val="-2"/>
                <w:lang w:val="en-GB"/>
              </w:rPr>
              <w:t>in current prices</w:t>
            </w:r>
            <w:r w:rsidRPr="004D2174">
              <w:rPr>
                <w:bCs/>
                <w:spacing w:val="-2"/>
                <w:lang w:val="en-GB"/>
              </w:rPr>
              <w:t xml:space="preserve">, </w:t>
            </w:r>
            <w:r w:rsidR="00AE63AB" w:rsidRPr="004D2174">
              <w:rPr>
                <w:bCs/>
                <w:spacing w:val="-2"/>
                <w:lang w:val="en-GB"/>
              </w:rPr>
              <w:t xml:space="preserve">year-on-year </w:t>
            </w:r>
            <w:r w:rsidR="00954C8E">
              <w:rPr>
                <w:bCs/>
                <w:spacing w:val="-2"/>
                <w:lang w:val="en-GB"/>
              </w:rPr>
              <w:t>in %</w:t>
            </w:r>
            <w:r w:rsidRPr="004D2174">
              <w:rPr>
                <w:bCs/>
                <w:spacing w:val="-2"/>
                <w:lang w:val="en-GB"/>
              </w:rPr>
              <w:t xml:space="preserve">) </w:t>
            </w:r>
            <w:r w:rsidRPr="004D2174">
              <w:rPr>
                <w:b/>
                <w:spacing w:val="-2"/>
                <w:lang w:val="en-GB"/>
              </w:rPr>
              <w:t>a</w:t>
            </w:r>
            <w:r w:rsidR="00AE63AB" w:rsidRPr="004D2174">
              <w:rPr>
                <w:b/>
                <w:spacing w:val="-2"/>
                <w:lang w:val="en-GB"/>
              </w:rPr>
              <w:t>nd balance of confidence indicator in industry</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486640" w:rsidRDefault="00486640">
            <w:pPr>
              <w:pStyle w:val="Textpoznpodarou"/>
              <w:ind w:left="-124"/>
              <w:jc w:val="right"/>
              <w:rPr>
                <w:sz w:val="16"/>
                <w:szCs w:val="16"/>
              </w:rPr>
            </w:pPr>
            <w:r>
              <w:rPr>
                <w:noProof/>
                <w:sz w:val="14"/>
                <w:szCs w:val="14"/>
              </w:rPr>
              <w:drawing>
                <wp:inline distT="0" distB="0" distL="0" distR="0">
                  <wp:extent cx="4731960"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2490D" w:rsidRPr="00F2490D">
              <w:rPr>
                <w:sz w:val="14"/>
                <w:szCs w:val="14"/>
              </w:rPr>
              <w:t xml:space="preserve"> </w:t>
            </w:r>
            <w:proofErr w:type="spellStart"/>
            <w:r w:rsidR="00157307">
              <w:rPr>
                <w:sz w:val="14"/>
                <w:szCs w:val="14"/>
              </w:rPr>
              <w:t>Source</w:t>
            </w:r>
            <w:proofErr w:type="spellEnd"/>
            <w:r w:rsidR="00654093" w:rsidRPr="00540CB3">
              <w:rPr>
                <w:sz w:val="14"/>
                <w:szCs w:val="14"/>
              </w:rPr>
              <w:t xml:space="preserve">: </w:t>
            </w:r>
            <w:r w:rsidR="00157307">
              <w:rPr>
                <w:sz w:val="14"/>
                <w:szCs w:val="14"/>
              </w:rPr>
              <w:t>CZSO</w:t>
            </w:r>
          </w:p>
        </w:tc>
      </w:tr>
    </w:tbl>
    <w:p w:rsidR="00654093" w:rsidRPr="00FF58EC" w:rsidRDefault="00654093" w:rsidP="00654093">
      <w:pPr>
        <w:pStyle w:val="Textpoznpodarou"/>
        <w:jc w:val="both"/>
        <w:rPr>
          <w:sz w:val="14"/>
          <w:szCs w:val="14"/>
        </w:rPr>
      </w:pPr>
    </w:p>
    <w:tbl>
      <w:tblPr>
        <w:tblW w:w="4986" w:type="pct"/>
        <w:tblInd w:w="107" w:type="dxa"/>
        <w:tblLayout w:type="fixed"/>
        <w:tblLook w:val="00A0"/>
      </w:tblPr>
      <w:tblGrid>
        <w:gridCol w:w="1997"/>
        <w:gridCol w:w="283"/>
        <w:gridCol w:w="7546"/>
      </w:tblGrid>
      <w:tr w:rsidR="00654093" w:rsidRPr="00656A4E" w:rsidTr="00853C0F">
        <w:tc>
          <w:tcPr>
            <w:tcW w:w="1016" w:type="pct"/>
            <w:shd w:val="clear" w:color="auto" w:fill="auto"/>
          </w:tcPr>
          <w:p w:rsidR="00654093" w:rsidRPr="00D14A40" w:rsidRDefault="00405D51" w:rsidP="00853C0F">
            <w:pPr>
              <w:spacing w:line="240" w:lineRule="auto"/>
              <w:rPr>
                <w:color w:val="0D0D0D" w:themeColor="text1" w:themeTint="F2"/>
                <w:spacing w:val="-2"/>
                <w:sz w:val="16"/>
                <w:szCs w:val="16"/>
                <w:lang w:val="en-GB"/>
              </w:rPr>
            </w:pPr>
            <w:r w:rsidRPr="00D14A40">
              <w:rPr>
                <w:color w:val="0D0D0D" w:themeColor="text1" w:themeTint="F2"/>
                <w:spacing w:val="-2"/>
                <w:sz w:val="16"/>
                <w:szCs w:val="16"/>
                <w:lang w:val="en-GB"/>
              </w:rPr>
              <w:t>Construction production revived in Q2</w:t>
            </w:r>
            <w:r w:rsidR="00654093" w:rsidRPr="00D14A40">
              <w:rPr>
                <w:color w:val="0D0D0D" w:themeColor="text1" w:themeTint="F2"/>
                <w:spacing w:val="-2"/>
                <w:sz w:val="16"/>
                <w:szCs w:val="16"/>
                <w:lang w:val="en-GB"/>
              </w:rPr>
              <w:t xml:space="preserve">. </w:t>
            </w:r>
            <w:r w:rsidR="00D14A40" w:rsidRPr="00D14A40">
              <w:rPr>
                <w:color w:val="0D0D0D" w:themeColor="text1" w:themeTint="F2"/>
                <w:spacing w:val="-2"/>
                <w:sz w:val="16"/>
                <w:szCs w:val="16"/>
                <w:lang w:val="en-GB"/>
              </w:rPr>
              <w:t xml:space="preserve">It </w:t>
            </w:r>
            <w:r w:rsidR="0068331B" w:rsidRPr="00D14A40">
              <w:rPr>
                <w:color w:val="0D0D0D" w:themeColor="text1" w:themeTint="F2"/>
                <w:spacing w:val="-2"/>
                <w:sz w:val="16"/>
                <w:szCs w:val="16"/>
                <w:lang w:val="en-GB"/>
              </w:rPr>
              <w:t>strengthened</w:t>
            </w:r>
            <w:r w:rsidR="00D14A40" w:rsidRPr="00D14A40">
              <w:rPr>
                <w:color w:val="0D0D0D" w:themeColor="text1" w:themeTint="F2"/>
                <w:spacing w:val="-2"/>
                <w:sz w:val="16"/>
                <w:szCs w:val="16"/>
                <w:lang w:val="en-GB"/>
              </w:rPr>
              <w:t xml:space="preserve"> quarter-on-quarter the most since the beginning of year 2</w:t>
            </w:r>
            <w:r w:rsidR="00654093" w:rsidRPr="00D14A40">
              <w:rPr>
                <w:color w:val="0D0D0D" w:themeColor="text1" w:themeTint="F2"/>
                <w:spacing w:val="-2"/>
                <w:sz w:val="16"/>
                <w:szCs w:val="16"/>
                <w:lang w:val="en-GB"/>
              </w:rPr>
              <w:t xml:space="preserve">015.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FE058B"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Civil engineering construction</w:t>
            </w:r>
            <w:r w:rsidR="00654093" w:rsidRPr="00D14A40">
              <w:rPr>
                <w:color w:val="0D0D0D" w:themeColor="text1" w:themeTint="F2"/>
                <w:spacing w:val="-2"/>
                <w:sz w:val="16"/>
                <w:szCs w:val="16"/>
                <w:lang w:val="en-GB"/>
              </w:rPr>
              <w:t xml:space="preserve"> </w:t>
            </w:r>
            <w:r w:rsidR="002B1253">
              <w:rPr>
                <w:color w:val="0D0D0D" w:themeColor="text1" w:themeTint="F2"/>
                <w:spacing w:val="-2"/>
                <w:sz w:val="16"/>
                <w:szCs w:val="16"/>
                <w:lang w:val="en-GB"/>
              </w:rPr>
              <w:t xml:space="preserve">has not contributed to the revival of </w:t>
            </w:r>
            <w:r w:rsidR="00157307">
              <w:rPr>
                <w:color w:val="0D0D0D" w:themeColor="text1" w:themeTint="F2"/>
                <w:spacing w:val="-2"/>
                <w:sz w:val="16"/>
                <w:szCs w:val="16"/>
                <w:lang w:val="en-GB"/>
              </w:rPr>
              <w:t>construction</w:t>
            </w:r>
            <w:r w:rsidR="002B1253">
              <w:rPr>
                <w:color w:val="0D0D0D" w:themeColor="text1" w:themeTint="F2"/>
                <w:spacing w:val="-2"/>
                <w:sz w:val="16"/>
                <w:szCs w:val="16"/>
                <w:lang w:val="en-GB"/>
              </w:rPr>
              <w:t xml:space="preserve"> so far. Its output is limited by the low volume of public investment.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4"/>
                <w:sz w:val="16"/>
                <w:szCs w:val="16"/>
                <w:lang w:val="en-GB"/>
              </w:rPr>
            </w:pPr>
            <w:r w:rsidRPr="00D14A40">
              <w:rPr>
                <w:color w:val="0D0D0D" w:themeColor="text1" w:themeTint="F2"/>
                <w:spacing w:val="-4"/>
                <w:sz w:val="16"/>
                <w:szCs w:val="16"/>
                <w:lang w:val="en-GB"/>
              </w:rPr>
              <w:t>M</w:t>
            </w:r>
            <w:r w:rsidR="009751C0">
              <w:rPr>
                <w:color w:val="0D0D0D" w:themeColor="text1" w:themeTint="F2"/>
                <w:spacing w:val="-4"/>
                <w:sz w:val="16"/>
                <w:szCs w:val="16"/>
                <w:lang w:val="en-GB"/>
              </w:rPr>
              <w:t xml:space="preserve">ild revival of the commenced </w:t>
            </w:r>
            <w:r w:rsidR="00FE058B">
              <w:rPr>
                <w:color w:val="0D0D0D" w:themeColor="text1" w:themeTint="F2"/>
                <w:spacing w:val="-4"/>
                <w:sz w:val="16"/>
                <w:szCs w:val="16"/>
                <w:lang w:val="en-GB"/>
              </w:rPr>
              <w:t xml:space="preserve">residential building construction </w:t>
            </w:r>
            <w:r w:rsidR="009751C0">
              <w:rPr>
                <w:color w:val="0D0D0D" w:themeColor="text1" w:themeTint="F2"/>
                <w:spacing w:val="-4"/>
                <w:sz w:val="16"/>
                <w:szCs w:val="16"/>
                <w:lang w:val="en-GB"/>
              </w:rPr>
              <w:t xml:space="preserve">at the turn of years </w:t>
            </w:r>
            <w:r w:rsidRPr="00D14A40">
              <w:rPr>
                <w:color w:val="0D0D0D" w:themeColor="text1" w:themeTint="F2"/>
                <w:spacing w:val="-4"/>
                <w:sz w:val="16"/>
                <w:szCs w:val="16"/>
                <w:lang w:val="en-GB"/>
              </w:rPr>
              <w:t>2016 a</w:t>
            </w:r>
            <w:r w:rsidR="009751C0">
              <w:rPr>
                <w:color w:val="0D0D0D" w:themeColor="text1" w:themeTint="F2"/>
                <w:spacing w:val="-4"/>
                <w:sz w:val="16"/>
                <w:szCs w:val="16"/>
                <w:lang w:val="en-GB"/>
              </w:rPr>
              <w:t>nd</w:t>
            </w:r>
            <w:r w:rsidRPr="00D14A40">
              <w:rPr>
                <w:color w:val="0D0D0D" w:themeColor="text1" w:themeTint="F2"/>
                <w:spacing w:val="-4"/>
                <w:sz w:val="16"/>
                <w:szCs w:val="16"/>
                <w:lang w:val="en-GB"/>
              </w:rPr>
              <w:t xml:space="preserve"> 2017</w:t>
            </w:r>
            <w:r w:rsidR="009751C0">
              <w:rPr>
                <w:color w:val="0D0D0D" w:themeColor="text1" w:themeTint="F2"/>
                <w:spacing w:val="-4"/>
                <w:sz w:val="16"/>
                <w:szCs w:val="16"/>
                <w:lang w:val="en-GB"/>
              </w:rPr>
              <w:t xml:space="preserve"> however has not affected the growing tension between supply and demand much so far. </w:t>
            </w:r>
            <w:r w:rsidRPr="00D14A40">
              <w:rPr>
                <w:color w:val="0D0D0D" w:themeColor="text1" w:themeTint="F2"/>
                <w:spacing w:val="-4"/>
                <w:sz w:val="16"/>
                <w:szCs w:val="16"/>
                <w:lang w:val="en-GB"/>
              </w:rPr>
              <w:t xml:space="preserve">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sz w:val="16"/>
                <w:szCs w:val="16"/>
                <w:lang w:val="en-GB"/>
              </w:rPr>
            </w:pPr>
          </w:p>
        </w:tc>
        <w:tc>
          <w:tcPr>
            <w:tcW w:w="144" w:type="pct"/>
          </w:tcPr>
          <w:p w:rsidR="00654093" w:rsidRPr="00D14A40" w:rsidRDefault="00654093" w:rsidP="00853C0F">
            <w:pPr>
              <w:rPr>
                <w:spacing w:val="-4"/>
                <w:szCs w:val="20"/>
                <w:lang w:val="en-GB"/>
              </w:rPr>
            </w:pPr>
          </w:p>
        </w:tc>
        <w:tc>
          <w:tcPr>
            <w:tcW w:w="3840" w:type="pct"/>
          </w:tcPr>
          <w:p w:rsidR="00654093" w:rsidRPr="00D14A40" w:rsidRDefault="00260FBE" w:rsidP="00853C0F">
            <w:pPr>
              <w:pStyle w:val="Textpoznpodarou"/>
              <w:jc w:val="both"/>
              <w:rPr>
                <w:spacing w:val="-4"/>
                <w:lang w:val="en-GB"/>
              </w:rPr>
            </w:pPr>
            <w:r w:rsidRPr="00D14A40">
              <w:rPr>
                <w:spacing w:val="-4"/>
                <w:lang w:val="en-GB"/>
              </w:rPr>
              <w:t xml:space="preserve">The construction output mildly improved following the last year’s strong slump, caused by </w:t>
            </w:r>
            <w:r w:rsidR="0068331B">
              <w:rPr>
                <w:spacing w:val="-4"/>
                <w:lang w:val="en-GB"/>
              </w:rPr>
              <w:t xml:space="preserve">the drop out of </w:t>
            </w:r>
            <w:r w:rsidRPr="00D14A40">
              <w:rPr>
                <w:spacing w:val="-4"/>
                <w:lang w:val="en-GB"/>
              </w:rPr>
              <w:t xml:space="preserve">the extraordinary growth factors </w:t>
            </w:r>
            <w:r w:rsidR="0068331B">
              <w:rPr>
                <w:spacing w:val="-4"/>
                <w:lang w:val="en-GB"/>
              </w:rPr>
              <w:t xml:space="preserve">mildly improved in the first half of 2017. </w:t>
            </w:r>
            <w:r w:rsidR="005832AD">
              <w:rPr>
                <w:spacing w:val="-4"/>
                <w:lang w:val="en-GB"/>
              </w:rPr>
              <w:t xml:space="preserve">The construction output stagnated in the quarter-on-quarter expression at the beginning of the </w:t>
            </w:r>
            <w:proofErr w:type="gramStart"/>
            <w:r w:rsidR="005832AD">
              <w:rPr>
                <w:spacing w:val="-4"/>
                <w:lang w:val="en-GB"/>
              </w:rPr>
              <w:t>year,</w:t>
            </w:r>
            <w:proofErr w:type="gramEnd"/>
            <w:r w:rsidR="005832AD">
              <w:rPr>
                <w:spacing w:val="-4"/>
                <w:lang w:val="en-GB"/>
              </w:rPr>
              <w:t xml:space="preserve"> however it already strengthened by 3.6</w:t>
            </w:r>
            <w:r w:rsidR="00954C8E">
              <w:rPr>
                <w:spacing w:val="-4"/>
                <w:lang w:val="en-GB"/>
              </w:rPr>
              <w:t>%</w:t>
            </w:r>
            <w:r w:rsidR="005832AD">
              <w:rPr>
                <w:spacing w:val="-4"/>
                <w:lang w:val="en-GB"/>
              </w:rPr>
              <w:t xml:space="preserve"> in Q</w:t>
            </w:r>
            <w:r w:rsidR="00654093" w:rsidRPr="00D14A40">
              <w:rPr>
                <w:spacing w:val="-4"/>
                <w:lang w:val="en-GB"/>
              </w:rPr>
              <w:t>2</w:t>
            </w:r>
            <w:r w:rsidR="005832AD">
              <w:rPr>
                <w:spacing w:val="-4"/>
                <w:lang w:val="en-GB"/>
              </w:rPr>
              <w:t xml:space="preserve"> </w:t>
            </w:r>
            <w:r w:rsidR="00654093" w:rsidRPr="00D14A40">
              <w:rPr>
                <w:spacing w:val="-4"/>
                <w:lang w:val="en-GB"/>
              </w:rPr>
              <w:t>(</w:t>
            </w:r>
            <w:r w:rsidR="005832AD">
              <w:rPr>
                <w:spacing w:val="-4"/>
                <w:lang w:val="en-GB"/>
              </w:rPr>
              <w:t xml:space="preserve">the most since the beginning of year </w:t>
            </w:r>
            <w:r w:rsidR="00654093" w:rsidRPr="00D14A40">
              <w:rPr>
                <w:spacing w:val="-4"/>
                <w:lang w:val="en-GB"/>
              </w:rPr>
              <w:t xml:space="preserve">2015). </w:t>
            </w:r>
            <w:r w:rsidR="00157307">
              <w:rPr>
                <w:spacing w:val="-4"/>
                <w:lang w:val="en-GB"/>
              </w:rPr>
              <w:t>The year-on-year fall of the production halted after five quarters, with its pace increasing by 7.7</w:t>
            </w:r>
            <w:r w:rsidR="00954C8E">
              <w:rPr>
                <w:spacing w:val="-4"/>
                <w:lang w:val="en-GB"/>
              </w:rPr>
              <w:t>%</w:t>
            </w:r>
            <w:r w:rsidR="00654093" w:rsidRPr="00D14A40">
              <w:rPr>
                <w:rStyle w:val="Znakapoznpodarou"/>
                <w:spacing w:val="-4"/>
                <w:lang w:val="en-GB"/>
              </w:rPr>
              <w:footnoteReference w:id="6"/>
            </w:r>
            <w:r w:rsidR="00157307">
              <w:rPr>
                <w:spacing w:val="-4"/>
                <w:lang w:val="en-GB"/>
              </w:rPr>
              <w:t xml:space="preserve"> in Q2</w:t>
            </w:r>
            <w:r w:rsidR="00654093" w:rsidRPr="00D14A40">
              <w:rPr>
                <w:spacing w:val="-4"/>
                <w:lang w:val="en-GB"/>
              </w:rPr>
              <w:t xml:space="preserve">. </w:t>
            </w:r>
            <w:r w:rsidR="00614A9F">
              <w:rPr>
                <w:spacing w:val="-4"/>
                <w:lang w:val="en-GB"/>
              </w:rPr>
              <w:t xml:space="preserve">However, it was the result of contribution by only the more significant by weight </w:t>
            </w:r>
            <w:r w:rsidR="00FE058B">
              <w:rPr>
                <w:spacing w:val="-4"/>
                <w:lang w:val="en-GB"/>
              </w:rPr>
              <w:t>building construction</w:t>
            </w:r>
            <w:r w:rsidR="00654093" w:rsidRPr="00D14A40">
              <w:rPr>
                <w:spacing w:val="-4"/>
                <w:lang w:val="en-GB"/>
              </w:rPr>
              <w:t xml:space="preserve"> (</w:t>
            </w:r>
            <w:r w:rsidR="00614A9F">
              <w:rPr>
                <w:spacing w:val="-4"/>
                <w:lang w:val="en-GB"/>
              </w:rPr>
              <w:t>with growth by 1</w:t>
            </w:r>
            <w:r w:rsidR="00654093" w:rsidRPr="00D14A40">
              <w:rPr>
                <w:spacing w:val="-4"/>
                <w:lang w:val="en-GB"/>
              </w:rPr>
              <w:t>3</w:t>
            </w:r>
            <w:r w:rsidR="00614A9F">
              <w:rPr>
                <w:spacing w:val="-4"/>
                <w:lang w:val="en-GB"/>
              </w:rPr>
              <w:t>.</w:t>
            </w:r>
            <w:r w:rsidR="00654093" w:rsidRPr="00D14A40">
              <w:rPr>
                <w:spacing w:val="-4"/>
                <w:lang w:val="en-GB"/>
              </w:rPr>
              <w:t>4</w:t>
            </w:r>
            <w:r w:rsidR="00954C8E">
              <w:rPr>
                <w:spacing w:val="-4"/>
                <w:lang w:val="en-GB"/>
              </w:rPr>
              <w:t>%</w:t>
            </w:r>
            <w:r w:rsidR="00654093" w:rsidRPr="00D14A40">
              <w:rPr>
                <w:spacing w:val="-4"/>
                <w:lang w:val="en-GB"/>
              </w:rPr>
              <w:t xml:space="preserve">), </w:t>
            </w:r>
            <w:r w:rsidR="00614A9F">
              <w:rPr>
                <w:spacing w:val="-4"/>
                <w:lang w:val="en-GB"/>
              </w:rPr>
              <w:t xml:space="preserve">since the performance of </w:t>
            </w:r>
            <w:r w:rsidR="00FE058B">
              <w:rPr>
                <w:spacing w:val="-4"/>
                <w:lang w:val="en-GB"/>
              </w:rPr>
              <w:t>civil engineering construction</w:t>
            </w:r>
            <w:r w:rsidR="00654093" w:rsidRPr="00D14A40">
              <w:rPr>
                <w:spacing w:val="-4"/>
                <w:lang w:val="en-GB"/>
              </w:rPr>
              <w:t xml:space="preserve"> </w:t>
            </w:r>
            <w:r w:rsidR="00614A9F">
              <w:rPr>
                <w:spacing w:val="-4"/>
                <w:lang w:val="en-GB"/>
              </w:rPr>
              <w:t xml:space="preserve">kept further </w:t>
            </w:r>
            <w:proofErr w:type="gramStart"/>
            <w:r w:rsidR="00614A9F">
              <w:rPr>
                <w:spacing w:val="-4"/>
                <w:lang w:val="en-GB"/>
              </w:rPr>
              <w:t>falling</w:t>
            </w:r>
            <w:r w:rsidR="009D77CF">
              <w:rPr>
                <w:spacing w:val="-4"/>
                <w:lang w:val="en-GB"/>
              </w:rPr>
              <w:t xml:space="preserve"> </w:t>
            </w:r>
            <w:r w:rsidR="00614A9F">
              <w:rPr>
                <w:spacing w:val="-4"/>
                <w:lang w:val="en-GB"/>
              </w:rPr>
              <w:t xml:space="preserve"> </w:t>
            </w:r>
            <w:r w:rsidR="00654093" w:rsidRPr="00D14A40">
              <w:rPr>
                <w:spacing w:val="-4"/>
                <w:lang w:val="en-GB"/>
              </w:rPr>
              <w:t>(</w:t>
            </w:r>
            <w:proofErr w:type="gramEnd"/>
            <w:r w:rsidR="00654093" w:rsidRPr="00D14A40">
              <w:rPr>
                <w:spacing w:val="-4"/>
                <w:lang w:val="en-GB"/>
              </w:rPr>
              <w:t>-4</w:t>
            </w:r>
            <w:r w:rsidR="00614A9F">
              <w:rPr>
                <w:spacing w:val="-4"/>
                <w:lang w:val="en-GB"/>
              </w:rPr>
              <w:t>.</w:t>
            </w:r>
            <w:r w:rsidR="00F5053A">
              <w:rPr>
                <w:spacing w:val="-4"/>
                <w:lang w:val="en-GB"/>
              </w:rPr>
              <w:t>5</w:t>
            </w:r>
            <w:r w:rsidR="00954C8E">
              <w:rPr>
                <w:spacing w:val="-4"/>
                <w:lang w:val="en-GB"/>
              </w:rPr>
              <w:t>%</w:t>
            </w:r>
            <w:r w:rsidR="00F5053A">
              <w:rPr>
                <w:spacing w:val="-4"/>
                <w:lang w:val="en-GB"/>
              </w:rPr>
              <w:t>). Compared to Q</w:t>
            </w:r>
            <w:r w:rsidR="00654093" w:rsidRPr="00D14A40">
              <w:rPr>
                <w:spacing w:val="-4"/>
                <w:lang w:val="en-GB"/>
              </w:rPr>
              <w:t>2</w:t>
            </w:r>
            <w:r w:rsidR="00F5053A">
              <w:rPr>
                <w:spacing w:val="-4"/>
                <w:lang w:val="en-GB"/>
              </w:rPr>
              <w:t xml:space="preserve"> </w:t>
            </w:r>
            <w:r w:rsidR="00654093" w:rsidRPr="00D14A40">
              <w:rPr>
                <w:spacing w:val="-4"/>
                <w:lang w:val="en-GB"/>
              </w:rPr>
              <w:t xml:space="preserve">2013, </w:t>
            </w:r>
            <w:r w:rsidR="00F5053A">
              <w:rPr>
                <w:spacing w:val="-4"/>
                <w:lang w:val="en-GB"/>
              </w:rPr>
              <w:t>when the whole construction accomplished the lowe</w:t>
            </w:r>
            <w:r w:rsidR="00316708">
              <w:rPr>
                <w:spacing w:val="-4"/>
                <w:lang w:val="en-GB"/>
              </w:rPr>
              <w:t>st</w:t>
            </w:r>
            <w:r w:rsidR="00F5053A">
              <w:rPr>
                <w:spacing w:val="-4"/>
                <w:lang w:val="en-GB"/>
              </w:rPr>
              <w:t xml:space="preserve"> performance since the accession of the CR into the EU, this year´s production was by </w:t>
            </w:r>
            <w:r w:rsidR="00654093" w:rsidRPr="00D14A40">
              <w:rPr>
                <w:spacing w:val="-4"/>
                <w:lang w:val="en-GB"/>
              </w:rPr>
              <w:t>14</w:t>
            </w:r>
            <w:r w:rsidR="00F5053A">
              <w:rPr>
                <w:spacing w:val="-4"/>
                <w:lang w:val="en-GB"/>
              </w:rPr>
              <w:t>.</w:t>
            </w:r>
            <w:r w:rsidR="00AC69CA" w:rsidRPr="00D14A40">
              <w:rPr>
                <w:spacing w:val="-4"/>
                <w:lang w:val="en-GB"/>
              </w:rPr>
              <w:t>1</w:t>
            </w:r>
            <w:r w:rsidR="00954C8E">
              <w:rPr>
                <w:spacing w:val="-4"/>
                <w:lang w:val="en-GB"/>
              </w:rPr>
              <w:t>%</w:t>
            </w:r>
            <w:r w:rsidR="00654093" w:rsidRPr="00D14A40">
              <w:rPr>
                <w:spacing w:val="-4"/>
                <w:lang w:val="en-GB"/>
              </w:rPr>
              <w:t xml:space="preserve"> </w:t>
            </w:r>
            <w:r w:rsidR="00F5053A">
              <w:rPr>
                <w:spacing w:val="-4"/>
                <w:lang w:val="en-GB"/>
              </w:rPr>
              <w:t>higher</w:t>
            </w:r>
            <w:r w:rsidR="00654093" w:rsidRPr="00D14A40">
              <w:rPr>
                <w:spacing w:val="-4"/>
                <w:lang w:val="en-GB"/>
              </w:rPr>
              <w:t xml:space="preserve">. </w:t>
            </w:r>
            <w:r w:rsidR="00872922">
              <w:rPr>
                <w:spacing w:val="-4"/>
                <w:lang w:val="en-GB"/>
              </w:rPr>
              <w:t xml:space="preserve">It still lagged behind the absolute peak (Q4 </w:t>
            </w:r>
            <w:r w:rsidR="00AC69CA" w:rsidRPr="00D14A40">
              <w:rPr>
                <w:spacing w:val="-4"/>
                <w:lang w:val="en-GB"/>
              </w:rPr>
              <w:t>200</w:t>
            </w:r>
            <w:r w:rsidR="00F23F6C" w:rsidRPr="00D14A40">
              <w:rPr>
                <w:spacing w:val="-4"/>
                <w:lang w:val="en-GB"/>
              </w:rPr>
              <w:t xml:space="preserve">7) </w:t>
            </w:r>
            <w:r w:rsidR="00872922">
              <w:rPr>
                <w:spacing w:val="-4"/>
                <w:lang w:val="en-GB"/>
              </w:rPr>
              <w:t xml:space="preserve">by nearly one fifth. The recovery of the </w:t>
            </w:r>
            <w:r w:rsidR="00FE058B">
              <w:rPr>
                <w:spacing w:val="-4"/>
                <w:lang w:val="en-GB"/>
              </w:rPr>
              <w:t>residential buildings construction</w:t>
            </w:r>
            <w:r w:rsidR="00872922">
              <w:rPr>
                <w:spacing w:val="-4"/>
                <w:lang w:val="en-GB"/>
              </w:rPr>
              <w:t xml:space="preserve"> also assisted the more favourable results of </w:t>
            </w:r>
            <w:r w:rsidR="00FE058B">
              <w:rPr>
                <w:spacing w:val="-4"/>
                <w:lang w:val="en-GB"/>
              </w:rPr>
              <w:t>building construction</w:t>
            </w:r>
            <w:r w:rsidR="00FE058B" w:rsidRPr="00D14A40">
              <w:rPr>
                <w:spacing w:val="-4"/>
                <w:lang w:val="en-GB"/>
              </w:rPr>
              <w:t xml:space="preserve"> </w:t>
            </w:r>
            <w:r w:rsidR="00872922">
              <w:rPr>
                <w:spacing w:val="-4"/>
                <w:lang w:val="en-GB"/>
              </w:rPr>
              <w:t>in the first half of the year</w:t>
            </w:r>
            <w:r w:rsidR="00654093" w:rsidRPr="00D14A40">
              <w:rPr>
                <w:spacing w:val="-4"/>
                <w:lang w:val="en-GB"/>
              </w:rPr>
              <w:t xml:space="preserve">. </w:t>
            </w:r>
            <w:r w:rsidR="00872922">
              <w:rPr>
                <w:spacing w:val="-4"/>
                <w:lang w:val="en-GB"/>
              </w:rPr>
              <w:t xml:space="preserve">The number of </w:t>
            </w:r>
            <w:r w:rsidR="00872922">
              <w:rPr>
                <w:spacing w:val="-4"/>
                <w:lang w:val="en-GB"/>
              </w:rPr>
              <w:lastRenderedPageBreak/>
              <w:t xml:space="preserve">commenced </w:t>
            </w:r>
            <w:r w:rsidR="00FE058B">
              <w:rPr>
                <w:spacing w:val="-4"/>
                <w:lang w:val="en-GB"/>
              </w:rPr>
              <w:t>flats</w:t>
            </w:r>
            <w:r w:rsidR="00872922">
              <w:rPr>
                <w:spacing w:val="-4"/>
                <w:lang w:val="en-GB"/>
              </w:rPr>
              <w:t xml:space="preserve"> increased by one fifth year-on-year, with the highest share of family houses </w:t>
            </w:r>
            <w:r w:rsidR="00654093" w:rsidRPr="00D14A40">
              <w:rPr>
                <w:spacing w:val="-4"/>
                <w:lang w:val="en-GB"/>
              </w:rPr>
              <w:t>(+1</w:t>
            </w:r>
            <w:r w:rsidR="00872922">
              <w:rPr>
                <w:spacing w:val="-4"/>
                <w:lang w:val="en-GB"/>
              </w:rPr>
              <w:t>.</w:t>
            </w:r>
            <w:r w:rsidR="00654093" w:rsidRPr="00D14A40">
              <w:rPr>
                <w:spacing w:val="-4"/>
                <w:lang w:val="en-GB"/>
              </w:rPr>
              <w:t>3 t</w:t>
            </w:r>
            <w:r w:rsidR="00872922">
              <w:rPr>
                <w:spacing w:val="-4"/>
                <w:lang w:val="en-GB"/>
              </w:rPr>
              <w:t>housand</w:t>
            </w:r>
            <w:r w:rsidR="00654093" w:rsidRPr="00D14A40">
              <w:rPr>
                <w:spacing w:val="-4"/>
                <w:lang w:val="en-GB"/>
              </w:rPr>
              <w:t xml:space="preserve">). </w:t>
            </w:r>
            <w:r w:rsidR="002051C3">
              <w:rPr>
                <w:spacing w:val="-4"/>
                <w:lang w:val="en-GB"/>
              </w:rPr>
              <w:t xml:space="preserve">The number of </w:t>
            </w:r>
            <w:r w:rsidR="00FE058B">
              <w:rPr>
                <w:spacing w:val="-4"/>
                <w:lang w:val="en-GB"/>
              </w:rPr>
              <w:t xml:space="preserve">flats in the residential buildings </w:t>
            </w:r>
            <w:r w:rsidR="007F0DF6" w:rsidRPr="00D14A40">
              <w:rPr>
                <w:spacing w:val="-4"/>
                <w:lang w:val="en-GB"/>
              </w:rPr>
              <w:t>(</w:t>
            </w:r>
            <w:r w:rsidR="00FE058B">
              <w:rPr>
                <w:spacing w:val="-4"/>
                <w:lang w:val="en-GB"/>
              </w:rPr>
              <w:t>RB</w:t>
            </w:r>
            <w:r w:rsidR="007F0DF6" w:rsidRPr="00D14A40">
              <w:rPr>
                <w:spacing w:val="-4"/>
                <w:lang w:val="en-GB"/>
              </w:rPr>
              <w:t>)</w:t>
            </w:r>
            <w:r w:rsidR="002051C3">
              <w:rPr>
                <w:spacing w:val="-4"/>
                <w:lang w:val="en-GB"/>
              </w:rPr>
              <w:t xml:space="preserve"> increased more notably against the very low last year basis</w:t>
            </w:r>
            <w:r w:rsidR="007F0DF6" w:rsidRPr="00D14A40">
              <w:rPr>
                <w:spacing w:val="-4"/>
                <w:lang w:val="en-GB"/>
              </w:rPr>
              <w:t>.</w:t>
            </w:r>
            <w:r w:rsidR="002051C3">
              <w:rPr>
                <w:spacing w:val="-4"/>
                <w:lang w:val="en-GB"/>
              </w:rPr>
              <w:t xml:space="preserve"> Their number </w:t>
            </w:r>
            <w:r w:rsidR="007F0DF6" w:rsidRPr="00D14A40">
              <w:rPr>
                <w:spacing w:val="-4"/>
                <w:lang w:val="en-GB"/>
              </w:rPr>
              <w:t>(3</w:t>
            </w:r>
            <w:r w:rsidR="002051C3">
              <w:rPr>
                <w:spacing w:val="-4"/>
                <w:lang w:val="en-GB"/>
              </w:rPr>
              <w:t>.</w:t>
            </w:r>
            <w:r w:rsidR="007F0DF6" w:rsidRPr="00D14A40">
              <w:rPr>
                <w:spacing w:val="-4"/>
                <w:lang w:val="en-GB"/>
              </w:rPr>
              <w:t>6 </w:t>
            </w:r>
            <w:r w:rsidR="00654093" w:rsidRPr="00D14A40">
              <w:rPr>
                <w:spacing w:val="-4"/>
                <w:lang w:val="en-GB"/>
              </w:rPr>
              <w:t>t</w:t>
            </w:r>
            <w:r w:rsidR="002051C3">
              <w:rPr>
                <w:spacing w:val="-4"/>
                <w:lang w:val="en-GB"/>
              </w:rPr>
              <w:t>housand</w:t>
            </w:r>
            <w:r w:rsidR="00654093" w:rsidRPr="00D14A40">
              <w:rPr>
                <w:spacing w:val="-4"/>
                <w:lang w:val="en-GB"/>
              </w:rPr>
              <w:t xml:space="preserve">) </w:t>
            </w:r>
            <w:r w:rsidR="002051C3">
              <w:rPr>
                <w:spacing w:val="-4"/>
                <w:lang w:val="en-GB"/>
              </w:rPr>
              <w:t xml:space="preserve">however did not </w:t>
            </w:r>
            <w:r w:rsidR="009D77CF">
              <w:rPr>
                <w:spacing w:val="-4"/>
                <w:lang w:val="en-GB"/>
              </w:rPr>
              <w:t>significantly</w:t>
            </w:r>
            <w:r w:rsidR="002051C3">
              <w:rPr>
                <w:spacing w:val="-4"/>
                <w:lang w:val="en-GB"/>
              </w:rPr>
              <w:t xml:space="preserve"> differ against H1 of both years </w:t>
            </w:r>
            <w:r w:rsidR="00654093" w:rsidRPr="00D14A40">
              <w:rPr>
                <w:spacing w:val="-4"/>
                <w:lang w:val="en-GB"/>
              </w:rPr>
              <w:t xml:space="preserve">2014 </w:t>
            </w:r>
            <w:r w:rsidR="002051C3">
              <w:rPr>
                <w:spacing w:val="-4"/>
                <w:lang w:val="en-GB"/>
              </w:rPr>
              <w:t>and</w:t>
            </w:r>
            <w:r w:rsidR="00654093" w:rsidRPr="00D14A40">
              <w:rPr>
                <w:spacing w:val="-4"/>
                <w:lang w:val="en-GB"/>
              </w:rPr>
              <w:t xml:space="preserve"> 2015</w:t>
            </w:r>
            <w:r w:rsidR="002051C3">
              <w:rPr>
                <w:spacing w:val="-4"/>
                <w:lang w:val="en-GB"/>
              </w:rPr>
              <w:t xml:space="preserve"> and did not reach even one half in relation to the record level (H1 2008) so far. </w:t>
            </w:r>
            <w:r w:rsidR="00C84154">
              <w:rPr>
                <w:spacing w:val="-4"/>
                <w:lang w:val="en-GB"/>
              </w:rPr>
              <w:t xml:space="preserve">Mostly the construction in the Olomouc region and also in Prague participated on the higher number of </w:t>
            </w:r>
            <w:r w:rsidR="00316708">
              <w:rPr>
                <w:spacing w:val="-4"/>
                <w:lang w:val="en-GB"/>
              </w:rPr>
              <w:t>RB</w:t>
            </w:r>
            <w:r w:rsidR="00654093" w:rsidRPr="00D14A40">
              <w:rPr>
                <w:color w:val="0D0D0D" w:themeColor="text1" w:themeTint="F2"/>
                <w:spacing w:val="-4"/>
                <w:lang w:val="en-GB"/>
              </w:rPr>
              <w:t xml:space="preserve"> </w:t>
            </w:r>
            <w:r w:rsidR="00C84154">
              <w:rPr>
                <w:color w:val="0D0D0D" w:themeColor="text1" w:themeTint="F2"/>
                <w:spacing w:val="-4"/>
                <w:lang w:val="en-GB"/>
              </w:rPr>
              <w:t>year-on-year</w:t>
            </w:r>
            <w:r w:rsidR="007F0DF6" w:rsidRPr="00D14A40">
              <w:rPr>
                <w:color w:val="0D0D0D" w:themeColor="text1" w:themeTint="F2"/>
                <w:spacing w:val="-4"/>
                <w:lang w:val="en-GB"/>
              </w:rPr>
              <w:t xml:space="preserve">, </w:t>
            </w:r>
            <w:r w:rsidR="00C84154">
              <w:rPr>
                <w:color w:val="0D0D0D" w:themeColor="text1" w:themeTint="F2"/>
                <w:spacing w:val="-4"/>
                <w:lang w:val="en-GB"/>
              </w:rPr>
              <w:t xml:space="preserve">when the number of </w:t>
            </w:r>
            <w:r w:rsidR="00316708">
              <w:rPr>
                <w:color w:val="0D0D0D" w:themeColor="text1" w:themeTint="F2"/>
                <w:spacing w:val="-4"/>
                <w:lang w:val="en-GB"/>
              </w:rPr>
              <w:t xml:space="preserve">RB </w:t>
            </w:r>
            <w:r w:rsidR="00C84154">
              <w:rPr>
                <w:color w:val="0D0D0D" w:themeColor="text1" w:themeTint="F2"/>
                <w:spacing w:val="-4"/>
                <w:lang w:val="en-GB"/>
              </w:rPr>
              <w:t xml:space="preserve">grew from </w:t>
            </w:r>
            <w:r w:rsidR="007F0DF6" w:rsidRPr="00D14A40">
              <w:rPr>
                <w:color w:val="0D0D0D" w:themeColor="text1" w:themeTint="F2"/>
                <w:spacing w:val="-4"/>
                <w:lang w:val="en-GB"/>
              </w:rPr>
              <w:t xml:space="preserve">522 </w:t>
            </w:r>
            <w:r w:rsidR="00C84154">
              <w:rPr>
                <w:color w:val="0D0D0D" w:themeColor="text1" w:themeTint="F2"/>
                <w:spacing w:val="-4"/>
                <w:lang w:val="en-GB"/>
              </w:rPr>
              <w:t>to 1</w:t>
            </w:r>
            <w:r w:rsidR="007F0DF6" w:rsidRPr="00D14A40">
              <w:rPr>
                <w:color w:val="0D0D0D" w:themeColor="text1" w:themeTint="F2"/>
                <w:spacing w:val="-4"/>
                <w:lang w:val="en-GB"/>
              </w:rPr>
              <w:t xml:space="preserve">022 </w:t>
            </w:r>
            <w:r w:rsidR="00C84154">
              <w:rPr>
                <w:color w:val="0D0D0D" w:themeColor="text1" w:themeTint="F2"/>
                <w:spacing w:val="-4"/>
                <w:lang w:val="en-GB"/>
              </w:rPr>
              <w:t xml:space="preserve">in Prague </w:t>
            </w:r>
            <w:r w:rsidR="007F0DF6" w:rsidRPr="00D14A40">
              <w:rPr>
                <w:color w:val="0D0D0D" w:themeColor="text1" w:themeTint="F2"/>
                <w:spacing w:val="-4"/>
                <w:lang w:val="en-GB"/>
              </w:rPr>
              <w:t>(</w:t>
            </w:r>
            <w:r w:rsidR="00C84154">
              <w:rPr>
                <w:color w:val="0D0D0D" w:themeColor="text1" w:themeTint="F2"/>
                <w:spacing w:val="-4"/>
                <w:lang w:val="en-GB"/>
              </w:rPr>
              <w:t xml:space="preserve">it still represented the second lowest number of </w:t>
            </w:r>
            <w:r w:rsidR="00FE058B">
              <w:rPr>
                <w:color w:val="0D0D0D" w:themeColor="text1" w:themeTint="F2"/>
                <w:spacing w:val="-4"/>
                <w:lang w:val="en-GB"/>
              </w:rPr>
              <w:t>commenced flats</w:t>
            </w:r>
            <w:r w:rsidR="007F0DF6" w:rsidRPr="00D14A40">
              <w:rPr>
                <w:color w:val="0D0D0D" w:themeColor="text1" w:themeTint="F2"/>
                <w:spacing w:val="-4"/>
                <w:lang w:val="en-GB"/>
              </w:rPr>
              <w:t xml:space="preserve"> </w:t>
            </w:r>
            <w:r w:rsidR="00C84154">
              <w:rPr>
                <w:color w:val="0D0D0D" w:themeColor="text1" w:themeTint="F2"/>
                <w:spacing w:val="-4"/>
                <w:lang w:val="en-GB"/>
              </w:rPr>
              <w:t xml:space="preserve">after year </w:t>
            </w:r>
            <w:r w:rsidR="007F0DF6" w:rsidRPr="00D14A40">
              <w:rPr>
                <w:color w:val="0D0D0D" w:themeColor="text1" w:themeTint="F2"/>
                <w:spacing w:val="-4"/>
                <w:lang w:val="en-GB"/>
              </w:rPr>
              <w:t>2001</w:t>
            </w:r>
            <w:r w:rsidR="00C84154">
              <w:rPr>
                <w:color w:val="0D0D0D" w:themeColor="text1" w:themeTint="F2"/>
                <w:spacing w:val="-4"/>
                <w:lang w:val="en-GB"/>
              </w:rPr>
              <w:t xml:space="preserve"> in this period</w:t>
            </w:r>
            <w:r w:rsidR="007F0DF6" w:rsidRPr="00D14A40">
              <w:rPr>
                <w:color w:val="0D0D0D" w:themeColor="text1" w:themeTint="F2"/>
                <w:spacing w:val="-4"/>
                <w:lang w:val="en-GB"/>
              </w:rPr>
              <w:t>).</w:t>
            </w:r>
            <w:r w:rsidR="00654093" w:rsidRPr="00D14A40">
              <w:rPr>
                <w:color w:val="0D0D0D" w:themeColor="text1" w:themeTint="F2"/>
                <w:spacing w:val="-4"/>
                <w:lang w:val="en-GB"/>
              </w:rPr>
              <w:t xml:space="preserve"> </w:t>
            </w:r>
            <w:r w:rsidR="00C84154">
              <w:rPr>
                <w:color w:val="0D0D0D" w:themeColor="text1" w:themeTint="F2"/>
                <w:spacing w:val="-4"/>
                <w:lang w:val="en-GB"/>
              </w:rPr>
              <w:t>The prevailing low volume of construction further escalated the tension between the supply and demand (strengthened by the growing incomes of households as well as the still low interest rates on mortgages</w:t>
            </w:r>
            <w:r w:rsidR="00654093" w:rsidRPr="00D14A40">
              <w:rPr>
                <w:spacing w:val="-4"/>
                <w:lang w:val="en-GB"/>
              </w:rPr>
              <w:t>) a</w:t>
            </w:r>
            <w:r w:rsidR="00C84154">
              <w:rPr>
                <w:spacing w:val="-4"/>
                <w:lang w:val="en-GB"/>
              </w:rPr>
              <w:t xml:space="preserve">nd contributed to the strong growth of the prices of residential real estate in Prague, but also in other regions. </w:t>
            </w:r>
          </w:p>
          <w:p w:rsidR="00654093" w:rsidRPr="00D14A40" w:rsidRDefault="00654093" w:rsidP="00853C0F">
            <w:pPr>
              <w:pStyle w:val="Textpoznpodarou"/>
              <w:jc w:val="both"/>
              <w:rPr>
                <w:spacing w:val="-4"/>
                <w:sz w:val="14"/>
                <w:szCs w:val="14"/>
                <w:lang w:val="en-GB"/>
              </w:rPr>
            </w:pPr>
          </w:p>
        </w:tc>
      </w:tr>
      <w:tr w:rsidR="00654093" w:rsidRPr="00156294" w:rsidTr="00853C0F">
        <w:tc>
          <w:tcPr>
            <w:tcW w:w="1016" w:type="pct"/>
            <w:shd w:val="clear" w:color="auto" w:fill="auto"/>
          </w:tcPr>
          <w:p w:rsidR="00654093" w:rsidRPr="004634F3" w:rsidRDefault="00975217" w:rsidP="00853C0F">
            <w:pPr>
              <w:spacing w:line="240" w:lineRule="auto"/>
              <w:rPr>
                <w:color w:val="0D0D0D" w:themeColor="text1" w:themeTint="F2"/>
                <w:spacing w:val="-4"/>
                <w:sz w:val="16"/>
                <w:szCs w:val="16"/>
                <w:lang w:val="en-GB"/>
              </w:rPr>
            </w:pPr>
            <w:r w:rsidRPr="004634F3">
              <w:rPr>
                <w:color w:val="0D0D0D" w:themeColor="text1" w:themeTint="F2"/>
                <w:spacing w:val="-4"/>
                <w:sz w:val="16"/>
                <w:szCs w:val="16"/>
                <w:lang w:val="en-GB"/>
              </w:rPr>
              <w:lastRenderedPageBreak/>
              <w:t xml:space="preserve">The value of new domestic orders </w:t>
            </w:r>
            <w:r w:rsidR="004634F3" w:rsidRPr="004634F3">
              <w:rPr>
                <w:color w:val="0D0D0D" w:themeColor="text1" w:themeTint="F2"/>
                <w:spacing w:val="-4"/>
                <w:sz w:val="16"/>
                <w:szCs w:val="16"/>
                <w:lang w:val="en-GB"/>
              </w:rPr>
              <w:t>strengthened</w:t>
            </w:r>
            <w:r w:rsidRPr="004634F3">
              <w:rPr>
                <w:color w:val="0D0D0D" w:themeColor="text1" w:themeTint="F2"/>
                <w:spacing w:val="-4"/>
                <w:sz w:val="16"/>
                <w:szCs w:val="16"/>
                <w:lang w:val="en-GB"/>
              </w:rPr>
              <w:t xml:space="preserve"> year-on-year for already third quarter in a row</w:t>
            </w:r>
            <w:r w:rsidR="00316708">
              <w:rPr>
                <w:color w:val="0D0D0D" w:themeColor="text1" w:themeTint="F2"/>
                <w:spacing w:val="-4"/>
                <w:sz w:val="16"/>
                <w:szCs w:val="16"/>
                <w:lang w:val="en-GB"/>
              </w:rPr>
              <w:t>. Th</w:t>
            </w:r>
            <w:r w:rsidRPr="004634F3">
              <w:rPr>
                <w:color w:val="0D0D0D" w:themeColor="text1" w:themeTint="F2"/>
                <w:spacing w:val="-4"/>
                <w:sz w:val="16"/>
                <w:szCs w:val="16"/>
                <w:lang w:val="en-GB"/>
              </w:rPr>
              <w:t xml:space="preserve">e </w:t>
            </w:r>
            <w:r w:rsidR="00121A1C">
              <w:rPr>
                <w:color w:val="0D0D0D" w:themeColor="text1" w:themeTint="F2"/>
                <w:spacing w:val="-4"/>
                <w:sz w:val="16"/>
                <w:szCs w:val="16"/>
                <w:lang w:val="en-GB"/>
              </w:rPr>
              <w:t>civil engineering construction</w:t>
            </w:r>
            <w:r w:rsidRPr="004634F3">
              <w:rPr>
                <w:color w:val="0D0D0D" w:themeColor="text1" w:themeTint="F2"/>
                <w:spacing w:val="-4"/>
                <w:sz w:val="16"/>
                <w:szCs w:val="16"/>
                <w:lang w:val="en-GB"/>
              </w:rPr>
              <w:t xml:space="preserve"> also contributed</w:t>
            </w:r>
            <w:r w:rsidR="00654093" w:rsidRPr="004634F3">
              <w:rPr>
                <w:color w:val="0D0D0D" w:themeColor="text1" w:themeTint="F2"/>
                <w:spacing w:val="-4"/>
                <w:sz w:val="16"/>
                <w:szCs w:val="16"/>
                <w:lang w:val="en-GB"/>
              </w:rPr>
              <w:t xml:space="preserve">. </w:t>
            </w: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975217" w:rsidP="00853C0F">
            <w:pPr>
              <w:spacing w:line="240" w:lineRule="auto"/>
              <w:rPr>
                <w:color w:val="0D0D0D" w:themeColor="text1" w:themeTint="F2"/>
                <w:spacing w:val="-4"/>
                <w:sz w:val="16"/>
                <w:szCs w:val="16"/>
                <w:lang w:val="en-GB"/>
              </w:rPr>
            </w:pPr>
            <w:r w:rsidRPr="004634F3">
              <w:rPr>
                <w:color w:val="0D0D0D" w:themeColor="text1" w:themeTint="F2"/>
                <w:spacing w:val="-4"/>
                <w:sz w:val="16"/>
                <w:szCs w:val="16"/>
                <w:lang w:val="en-GB"/>
              </w:rPr>
              <w:t xml:space="preserve">However, construction still lacked larger orders. Business confidence </w:t>
            </w:r>
            <w:r w:rsidR="00E549AC">
              <w:rPr>
                <w:color w:val="0D0D0D" w:themeColor="text1" w:themeTint="F2"/>
                <w:spacing w:val="-4"/>
                <w:sz w:val="16"/>
                <w:szCs w:val="16"/>
                <w:lang w:val="en-GB"/>
              </w:rPr>
              <w:t>in construction has been mildly increasing since the end of year 2016,</w:t>
            </w:r>
            <w:r w:rsidR="00654093" w:rsidRPr="004634F3">
              <w:rPr>
                <w:color w:val="0D0D0D" w:themeColor="text1" w:themeTint="F2"/>
                <w:spacing w:val="-4"/>
                <w:sz w:val="16"/>
                <w:szCs w:val="16"/>
                <w:lang w:val="en-GB"/>
              </w:rPr>
              <w:t xml:space="preserve"> </w:t>
            </w:r>
            <w:r w:rsidR="00E549AC">
              <w:rPr>
                <w:color w:val="0D0D0D" w:themeColor="text1" w:themeTint="F2"/>
                <w:spacing w:val="-4"/>
                <w:sz w:val="16"/>
                <w:szCs w:val="16"/>
                <w:lang w:val="en-GB"/>
              </w:rPr>
              <w:t xml:space="preserve">it still however moved in the deeply negative range. </w:t>
            </w: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CC3FAB" w:rsidP="00853C0F">
            <w:pPr>
              <w:spacing w:line="240" w:lineRule="auto"/>
              <w:rPr>
                <w:color w:val="0D0D0D" w:themeColor="text1" w:themeTint="F2"/>
                <w:spacing w:val="-4"/>
                <w:sz w:val="16"/>
                <w:szCs w:val="16"/>
                <w:lang w:val="en-GB"/>
              </w:rPr>
            </w:pPr>
            <w:r>
              <w:rPr>
                <w:color w:val="0D0D0D" w:themeColor="text1" w:themeTint="F2"/>
                <w:spacing w:val="-4"/>
                <w:sz w:val="16"/>
                <w:szCs w:val="16"/>
                <w:lang w:val="en-GB"/>
              </w:rPr>
              <w:t>Perception of the lack of demand as a barrier to growth decreased for the last year. The factor of the lack of employees on the contrary strengthened threefold.</w:t>
            </w:r>
          </w:p>
          <w:p w:rsidR="00654093" w:rsidRPr="004634F3" w:rsidRDefault="00654093" w:rsidP="00853C0F">
            <w:pPr>
              <w:spacing w:line="240" w:lineRule="auto"/>
              <w:rPr>
                <w:color w:val="0D0D0D" w:themeColor="text1" w:themeTint="F2"/>
                <w:spacing w:val="-2"/>
                <w:sz w:val="16"/>
                <w:szCs w:val="16"/>
                <w:lang w:val="en-GB"/>
              </w:rPr>
            </w:pPr>
          </w:p>
        </w:tc>
        <w:tc>
          <w:tcPr>
            <w:tcW w:w="144" w:type="pct"/>
          </w:tcPr>
          <w:p w:rsidR="00654093" w:rsidRPr="004634F3" w:rsidRDefault="00654093" w:rsidP="00853C0F">
            <w:pPr>
              <w:rPr>
                <w:spacing w:val="-4"/>
                <w:szCs w:val="20"/>
                <w:lang w:val="en-GB"/>
              </w:rPr>
            </w:pPr>
          </w:p>
        </w:tc>
        <w:tc>
          <w:tcPr>
            <w:tcW w:w="3840" w:type="pct"/>
          </w:tcPr>
          <w:p w:rsidR="00654093" w:rsidRPr="004634F3" w:rsidRDefault="004634F3" w:rsidP="00B008A0">
            <w:pPr>
              <w:pStyle w:val="Textpoznpodarou"/>
              <w:spacing w:before="20"/>
              <w:jc w:val="both"/>
              <w:rPr>
                <w:color w:val="000000" w:themeColor="text1"/>
                <w:spacing w:val="-4"/>
                <w:lang w:val="en-GB"/>
              </w:rPr>
            </w:pPr>
            <w:r>
              <w:rPr>
                <w:spacing w:val="-4"/>
                <w:lang w:val="en-GB"/>
              </w:rPr>
              <w:t>The demand for construction works revived. The value of new domestic orders</w:t>
            </w:r>
            <w:r w:rsidR="00654093" w:rsidRPr="004634F3">
              <w:rPr>
                <w:rStyle w:val="Znakapoznpodarou"/>
                <w:spacing w:val="-4"/>
                <w:lang w:val="en-GB"/>
              </w:rPr>
              <w:footnoteReference w:id="7"/>
            </w:r>
            <w:r w:rsidR="00654093" w:rsidRPr="004634F3">
              <w:rPr>
                <w:spacing w:val="-4"/>
                <w:lang w:val="en-GB"/>
              </w:rPr>
              <w:t xml:space="preserve"> </w:t>
            </w:r>
            <w:r w:rsidR="00B40FC9">
              <w:rPr>
                <w:spacing w:val="-4"/>
                <w:lang w:val="en-GB"/>
              </w:rPr>
              <w:t>increased already for the third quarter in a row. It strengthened in total by one eighth year-on-year in H</w:t>
            </w:r>
            <w:r w:rsidR="00654093" w:rsidRPr="004634F3">
              <w:rPr>
                <w:spacing w:val="-4"/>
                <w:lang w:val="en-GB"/>
              </w:rPr>
              <w:t>1</w:t>
            </w:r>
            <w:r w:rsidR="00B40FC9">
              <w:rPr>
                <w:spacing w:val="-4"/>
                <w:lang w:val="en-GB"/>
              </w:rPr>
              <w:t xml:space="preserve"> </w:t>
            </w:r>
            <w:r w:rsidR="00654093" w:rsidRPr="004634F3">
              <w:rPr>
                <w:spacing w:val="-4"/>
                <w:lang w:val="en-GB"/>
              </w:rPr>
              <w:t xml:space="preserve">2017. </w:t>
            </w:r>
            <w:r w:rsidR="001E4854">
              <w:rPr>
                <w:spacing w:val="-4"/>
                <w:lang w:val="en-GB"/>
              </w:rPr>
              <w:t xml:space="preserve">Important fact was, that both the </w:t>
            </w:r>
            <w:r w:rsidR="00121A1C">
              <w:rPr>
                <w:spacing w:val="-4"/>
                <w:lang w:val="en-GB"/>
              </w:rPr>
              <w:t xml:space="preserve">building </w:t>
            </w:r>
            <w:r w:rsidR="00654093" w:rsidRPr="004634F3">
              <w:rPr>
                <w:spacing w:val="-4"/>
                <w:lang w:val="en-GB"/>
              </w:rPr>
              <w:t>(+5</w:t>
            </w:r>
            <w:r w:rsidR="00587FDB">
              <w:rPr>
                <w:spacing w:val="-4"/>
                <w:lang w:val="en-GB"/>
              </w:rPr>
              <w:t>.</w:t>
            </w:r>
            <w:r w:rsidR="00654093" w:rsidRPr="004634F3">
              <w:rPr>
                <w:spacing w:val="-4"/>
                <w:lang w:val="en-GB"/>
              </w:rPr>
              <w:t>3</w:t>
            </w:r>
            <w:r w:rsidR="00954C8E">
              <w:rPr>
                <w:spacing w:val="-4"/>
                <w:lang w:val="en-GB"/>
              </w:rPr>
              <w:t>%</w:t>
            </w:r>
            <w:r w:rsidR="00654093" w:rsidRPr="004634F3">
              <w:rPr>
                <w:spacing w:val="-4"/>
                <w:lang w:val="en-GB"/>
              </w:rPr>
              <w:t>)</w:t>
            </w:r>
            <w:r w:rsidR="00587FDB">
              <w:rPr>
                <w:spacing w:val="-4"/>
                <w:lang w:val="en-GB"/>
              </w:rPr>
              <w:t xml:space="preserve"> and </w:t>
            </w:r>
            <w:r w:rsidR="00121A1C">
              <w:rPr>
                <w:spacing w:val="-4"/>
                <w:lang w:val="en-GB"/>
              </w:rPr>
              <w:t>civil engineering</w:t>
            </w:r>
            <w:r w:rsidR="00654093" w:rsidRPr="004634F3">
              <w:rPr>
                <w:spacing w:val="-4"/>
                <w:lang w:val="en-GB"/>
              </w:rPr>
              <w:t xml:space="preserve"> (+18</w:t>
            </w:r>
            <w:r w:rsidR="00587FDB">
              <w:rPr>
                <w:spacing w:val="-4"/>
                <w:lang w:val="en-GB"/>
              </w:rPr>
              <w:t>.</w:t>
            </w:r>
            <w:r w:rsidR="00654093" w:rsidRPr="004634F3">
              <w:rPr>
                <w:spacing w:val="-4"/>
                <w:lang w:val="en-GB"/>
              </w:rPr>
              <w:t>9</w:t>
            </w:r>
            <w:r w:rsidR="00954C8E">
              <w:rPr>
                <w:spacing w:val="-4"/>
                <w:lang w:val="en-GB"/>
              </w:rPr>
              <w:t>%</w:t>
            </w:r>
            <w:r w:rsidR="00654093" w:rsidRPr="004634F3">
              <w:rPr>
                <w:spacing w:val="-4"/>
                <w:lang w:val="en-GB"/>
              </w:rPr>
              <w:t>)</w:t>
            </w:r>
            <w:r w:rsidR="001E4854">
              <w:rPr>
                <w:spacing w:val="-4"/>
                <w:lang w:val="en-GB"/>
              </w:rPr>
              <w:t xml:space="preserve"> </w:t>
            </w:r>
            <w:r w:rsidR="00684C41">
              <w:rPr>
                <w:spacing w:val="-4"/>
                <w:lang w:val="en-GB"/>
              </w:rPr>
              <w:t xml:space="preserve">construction </w:t>
            </w:r>
            <w:r w:rsidR="001E4854">
              <w:rPr>
                <w:spacing w:val="-4"/>
                <w:lang w:val="en-GB"/>
              </w:rPr>
              <w:t>signalled positive development</w:t>
            </w:r>
            <w:r w:rsidR="00654093" w:rsidRPr="004634F3">
              <w:rPr>
                <w:spacing w:val="-4"/>
                <w:lang w:val="en-GB"/>
              </w:rPr>
              <w:t xml:space="preserve">. </w:t>
            </w:r>
            <w:r w:rsidR="001E4854">
              <w:rPr>
                <w:spacing w:val="-4"/>
                <w:lang w:val="en-GB"/>
              </w:rPr>
              <w:t>Half-yearly growth was in both main construction fields last recorded in year 2014</w:t>
            </w:r>
            <w:r w:rsidR="00654093" w:rsidRPr="004634F3">
              <w:rPr>
                <w:spacing w:val="-4"/>
                <w:lang w:val="en-GB"/>
              </w:rPr>
              <w:t xml:space="preserve">. </w:t>
            </w:r>
            <w:r w:rsidR="001E4854">
              <w:rPr>
                <w:spacing w:val="-4"/>
                <w:lang w:val="en-GB"/>
              </w:rPr>
              <w:t>Despite partial recovery, the construction still la</w:t>
            </w:r>
            <w:r w:rsidR="00684C41">
              <w:rPr>
                <w:spacing w:val="-4"/>
                <w:lang w:val="en-GB"/>
              </w:rPr>
              <w:t>cked</w:t>
            </w:r>
            <w:r w:rsidR="001E4854">
              <w:rPr>
                <w:spacing w:val="-4"/>
                <w:lang w:val="en-GB"/>
              </w:rPr>
              <w:t xml:space="preserve"> larger constructions. The average value of newly closed order</w:t>
            </w:r>
            <w:r w:rsidR="00684C41">
              <w:rPr>
                <w:spacing w:val="-4"/>
                <w:lang w:val="en-GB"/>
              </w:rPr>
              <w:t>s</w:t>
            </w:r>
            <w:r w:rsidR="001E4854">
              <w:rPr>
                <w:spacing w:val="-4"/>
                <w:lang w:val="en-GB"/>
              </w:rPr>
              <w:t xml:space="preserve"> did increase by one tenth to 3.2 mil crowns against the very low last year basis </w:t>
            </w:r>
            <w:r w:rsidR="00F23F6C" w:rsidRPr="004634F3">
              <w:rPr>
                <w:spacing w:val="-4"/>
                <w:lang w:val="en-GB"/>
              </w:rPr>
              <w:t>(</w:t>
            </w:r>
            <w:r w:rsidR="001E4854">
              <w:rPr>
                <w:spacing w:val="-4"/>
                <w:lang w:val="en-GB"/>
              </w:rPr>
              <w:t xml:space="preserve">it neared however 4 </w:t>
            </w:r>
            <w:proofErr w:type="spellStart"/>
            <w:r w:rsidR="00FA3A11">
              <w:rPr>
                <w:spacing w:val="-4"/>
                <w:lang w:val="en-GB"/>
              </w:rPr>
              <w:t>mils</w:t>
            </w:r>
            <w:proofErr w:type="spellEnd"/>
            <w:r w:rsidR="001E4854">
              <w:rPr>
                <w:spacing w:val="-4"/>
                <w:lang w:val="en-GB"/>
              </w:rPr>
              <w:t xml:space="preserve"> in </w:t>
            </w:r>
            <w:r w:rsidR="00654093" w:rsidRPr="004634F3">
              <w:rPr>
                <w:spacing w:val="-4"/>
                <w:lang w:val="en-GB"/>
              </w:rPr>
              <w:t>2014</w:t>
            </w:r>
            <w:r w:rsidR="00F23F6C" w:rsidRPr="004634F3">
              <w:rPr>
                <w:spacing w:val="-4"/>
                <w:lang w:val="en-GB"/>
              </w:rPr>
              <w:t>)</w:t>
            </w:r>
            <w:r w:rsidR="00654093" w:rsidRPr="004634F3">
              <w:rPr>
                <w:spacing w:val="-4"/>
                <w:lang w:val="en-GB"/>
              </w:rPr>
              <w:t xml:space="preserve">. </w:t>
            </w:r>
            <w:r w:rsidR="00587FDB">
              <w:rPr>
                <w:spacing w:val="-4"/>
                <w:lang w:val="en-GB"/>
              </w:rPr>
              <w:t xml:space="preserve">The total stock of work including all so far not yet realised orders amounted to 142 </w:t>
            </w:r>
            <w:r w:rsidR="00467B4F">
              <w:rPr>
                <w:spacing w:val="-4"/>
                <w:lang w:val="en-GB"/>
              </w:rPr>
              <w:t xml:space="preserve">CZK </w:t>
            </w:r>
            <w:proofErr w:type="spellStart"/>
            <w:r w:rsidR="00467B4F">
              <w:rPr>
                <w:spacing w:val="-4"/>
                <w:lang w:val="en-GB"/>
              </w:rPr>
              <w:t>bn</w:t>
            </w:r>
            <w:proofErr w:type="spellEnd"/>
            <w:r w:rsidR="00587FDB">
              <w:rPr>
                <w:spacing w:val="-4"/>
                <w:lang w:val="en-GB"/>
              </w:rPr>
              <w:t xml:space="preserve"> at the end of Q2. </w:t>
            </w:r>
            <w:r w:rsidR="000E1CD8">
              <w:rPr>
                <w:spacing w:val="-4"/>
                <w:lang w:val="en-GB"/>
              </w:rPr>
              <w:t xml:space="preserve">Its year-on-year fall </w:t>
            </w:r>
            <w:r w:rsidR="00AC69CA" w:rsidRPr="004634F3">
              <w:rPr>
                <w:spacing w:val="-4"/>
                <w:lang w:val="en-GB"/>
              </w:rPr>
              <w:t>(</w:t>
            </w:r>
            <w:r w:rsidR="000E1CD8">
              <w:rPr>
                <w:spacing w:val="-4"/>
                <w:lang w:val="en-GB"/>
              </w:rPr>
              <w:t xml:space="preserve">by </w:t>
            </w:r>
            <w:r w:rsidR="00AC69CA" w:rsidRPr="004634F3">
              <w:rPr>
                <w:spacing w:val="-4"/>
                <w:lang w:val="en-GB"/>
              </w:rPr>
              <w:t>3</w:t>
            </w:r>
            <w:r w:rsidR="000E1CD8">
              <w:rPr>
                <w:spacing w:val="-4"/>
                <w:lang w:val="en-GB"/>
              </w:rPr>
              <w:t>.</w:t>
            </w:r>
            <w:r w:rsidR="00AC69CA" w:rsidRPr="004634F3">
              <w:rPr>
                <w:spacing w:val="-4"/>
                <w:lang w:val="en-GB"/>
              </w:rPr>
              <w:t>6</w:t>
            </w:r>
            <w:r w:rsidR="00954C8E">
              <w:rPr>
                <w:spacing w:val="-4"/>
                <w:lang w:val="en-GB"/>
              </w:rPr>
              <w:t>%</w:t>
            </w:r>
            <w:r w:rsidR="00654093" w:rsidRPr="004634F3">
              <w:rPr>
                <w:spacing w:val="-4"/>
                <w:lang w:val="en-GB"/>
              </w:rPr>
              <w:t xml:space="preserve">) </w:t>
            </w:r>
            <w:r w:rsidR="000E1CD8">
              <w:rPr>
                <w:spacing w:val="-4"/>
                <w:lang w:val="en-GB"/>
              </w:rPr>
              <w:t>was nearly exclusively affected by the orders abroad, whose weight in the total stock of work of construction firms dropped to lower value (12.4</w:t>
            </w:r>
            <w:r w:rsidR="00954C8E">
              <w:rPr>
                <w:spacing w:val="-4"/>
                <w:lang w:val="en-GB"/>
              </w:rPr>
              <w:t>%</w:t>
            </w:r>
            <w:r w:rsidR="000E1CD8">
              <w:rPr>
                <w:spacing w:val="-4"/>
                <w:lang w:val="en-GB"/>
              </w:rPr>
              <w:t xml:space="preserve">) in the past four years during </w:t>
            </w:r>
            <w:r w:rsidR="00654093" w:rsidRPr="004634F3">
              <w:rPr>
                <w:spacing w:val="-4"/>
                <w:lang w:val="en-GB"/>
              </w:rPr>
              <w:t xml:space="preserve">2017. </w:t>
            </w:r>
            <w:r w:rsidR="00500DCA">
              <w:rPr>
                <w:spacing w:val="-4"/>
                <w:lang w:val="en-GB"/>
              </w:rPr>
              <w:t xml:space="preserve">The growth of the indicative value </w:t>
            </w:r>
            <w:r w:rsidR="00500DCA" w:rsidRPr="00684C41">
              <w:rPr>
                <w:spacing w:val="-4"/>
                <w:lang w:val="en-GB"/>
              </w:rPr>
              <w:t xml:space="preserve">of </w:t>
            </w:r>
            <w:r w:rsidR="00684C41" w:rsidRPr="00684C41">
              <w:rPr>
                <w:rFonts w:cs="Arial"/>
                <w:lang w:val="en-GB"/>
              </w:rPr>
              <w:t>granted building</w:t>
            </w:r>
            <w:r w:rsidR="00684C41" w:rsidRPr="00684C41">
              <w:rPr>
                <w:spacing w:val="-4"/>
                <w:lang w:val="en-GB"/>
              </w:rPr>
              <w:t xml:space="preserve"> </w:t>
            </w:r>
            <w:r w:rsidR="00684C41" w:rsidRPr="00684C41">
              <w:rPr>
                <w:rFonts w:cs="Arial"/>
                <w:lang w:val="en-GB"/>
              </w:rPr>
              <w:t>permits</w:t>
            </w:r>
            <w:r w:rsidR="00684C41" w:rsidRPr="00684C41">
              <w:rPr>
                <w:spacing w:val="-4"/>
                <w:lang w:val="en-GB"/>
              </w:rPr>
              <w:t xml:space="preserve"> </w:t>
            </w:r>
            <w:r w:rsidR="00500DCA" w:rsidRPr="00684C41">
              <w:rPr>
                <w:spacing w:val="-4"/>
                <w:lang w:val="en-GB"/>
              </w:rPr>
              <w:t xml:space="preserve">continued already four half-years in a row – the new </w:t>
            </w:r>
            <w:r w:rsidR="00684C41" w:rsidRPr="00684C41">
              <w:rPr>
                <w:spacing w:val="-4"/>
                <w:lang w:val="en-GB"/>
              </w:rPr>
              <w:t xml:space="preserve">construction of non-residential buildings </w:t>
            </w:r>
            <w:r w:rsidR="00500DCA" w:rsidRPr="00684C41">
              <w:rPr>
                <w:spacing w:val="-4"/>
                <w:lang w:val="en-GB"/>
              </w:rPr>
              <w:t>reached the highest rates of growth</w:t>
            </w:r>
            <w:r w:rsidR="00500DCA">
              <w:rPr>
                <w:spacing w:val="-4"/>
                <w:lang w:val="en-GB"/>
              </w:rPr>
              <w:t xml:space="preserve"> this year, similarly to last year. </w:t>
            </w:r>
            <w:r w:rsidR="00C7121E">
              <w:rPr>
                <w:spacing w:val="-4"/>
                <w:lang w:val="en-GB"/>
              </w:rPr>
              <w:t xml:space="preserve">The seasonally adjusted balance of business confidence was mildly improving in construction during the first half of the year and </w:t>
            </w:r>
            <w:r w:rsidR="00BC4795">
              <w:rPr>
                <w:spacing w:val="-4"/>
                <w:lang w:val="en-GB"/>
              </w:rPr>
              <w:t xml:space="preserve">it reached the best result since February 2016 in June, when the </w:t>
            </w:r>
            <w:r w:rsidR="00C022BC">
              <w:rPr>
                <w:spacing w:val="-4"/>
                <w:lang w:val="en-GB"/>
              </w:rPr>
              <w:t>extraordinary</w:t>
            </w:r>
            <w:r w:rsidR="00BC4795">
              <w:rPr>
                <w:spacing w:val="-4"/>
                <w:lang w:val="en-GB"/>
              </w:rPr>
              <w:t xml:space="preserve"> influence of the finalisation of drawing on the European funds on the infrastructure projects was still felt. </w:t>
            </w:r>
            <w:r w:rsidR="006846B0">
              <w:rPr>
                <w:spacing w:val="-4"/>
                <w:lang w:val="en-GB"/>
              </w:rPr>
              <w:t xml:space="preserve">The confidence indicator balance still however stayed deep in the negative range. Based on the latest August data, nearly one sixth of businesses anticipated growth of the production activity in the upcoming three months and </w:t>
            </w:r>
            <w:r w:rsidR="00C44B63">
              <w:rPr>
                <w:spacing w:val="-4"/>
                <w:lang w:val="en-GB"/>
              </w:rPr>
              <w:t xml:space="preserve">only a slightly smaller proportion predicted fall. One tenth of businesses planned to acquire employees. The anticipations of the total demand, construction activity as well as the employment did not change considerably in comparison to the last August. </w:t>
            </w:r>
            <w:r w:rsidR="00D25C8A">
              <w:rPr>
                <w:spacing w:val="-4"/>
                <w:lang w:val="en-GB"/>
              </w:rPr>
              <w:t>One half of construction businesses indicated the inadequate demand as the barrier for growth (the least since April 2009</w:t>
            </w:r>
            <w:r w:rsidR="00654093" w:rsidRPr="004634F3">
              <w:rPr>
                <w:color w:val="000000" w:themeColor="text1"/>
                <w:spacing w:val="-4"/>
                <w:lang w:val="en-GB"/>
              </w:rPr>
              <w:t xml:space="preserve">). </w:t>
            </w:r>
            <w:r w:rsidR="00B008A0">
              <w:rPr>
                <w:color w:val="000000" w:themeColor="text1"/>
                <w:spacing w:val="-4"/>
                <w:lang w:val="en-GB"/>
              </w:rPr>
              <w:t xml:space="preserve">On the other hand, the factor of the lack of employees was mentioned three times more often in August 2017 compared to the previous year </w:t>
            </w:r>
            <w:r w:rsidR="00654093" w:rsidRPr="004634F3">
              <w:rPr>
                <w:color w:val="000000" w:themeColor="text1"/>
                <w:spacing w:val="-4"/>
                <w:lang w:val="en-GB"/>
              </w:rPr>
              <w:t>(8</w:t>
            </w:r>
            <w:r w:rsidR="00954C8E">
              <w:rPr>
                <w:color w:val="000000" w:themeColor="text1"/>
                <w:spacing w:val="-4"/>
                <w:lang w:val="en-GB"/>
              </w:rPr>
              <w:t>%</w:t>
            </w:r>
            <w:r w:rsidR="00654093" w:rsidRPr="004634F3">
              <w:rPr>
                <w:color w:val="000000" w:themeColor="text1"/>
                <w:spacing w:val="-4"/>
                <w:lang w:val="en-GB"/>
              </w:rPr>
              <w:t>).</w:t>
            </w:r>
          </w:p>
        </w:tc>
      </w:tr>
    </w:tbl>
    <w:p w:rsidR="00654093" w:rsidRDefault="00654093"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Default="00855990" w:rsidP="00654093">
      <w:pPr>
        <w:pStyle w:val="Textpoznpodarou"/>
        <w:jc w:val="both"/>
        <w:rPr>
          <w:sz w:val="15"/>
          <w:szCs w:val="15"/>
        </w:rPr>
      </w:pPr>
    </w:p>
    <w:p w:rsidR="00855990" w:rsidRPr="00A61C04" w:rsidRDefault="00855990" w:rsidP="00654093">
      <w:pPr>
        <w:pStyle w:val="Textpoznpodarou"/>
        <w:jc w:val="both"/>
        <w:rPr>
          <w:sz w:val="15"/>
          <w:szCs w:val="15"/>
        </w:rPr>
      </w:pPr>
    </w:p>
    <w:tbl>
      <w:tblPr>
        <w:tblW w:w="4963" w:type="pct"/>
        <w:tblInd w:w="108" w:type="dxa"/>
        <w:tblLayout w:type="fixed"/>
        <w:tblLook w:val="00A0"/>
      </w:tblPr>
      <w:tblGrid>
        <w:gridCol w:w="1997"/>
        <w:gridCol w:w="284"/>
        <w:gridCol w:w="1119"/>
        <w:gridCol w:w="6381"/>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2" w:type="pct"/>
          </w:tcPr>
          <w:p w:rsidR="00654093" w:rsidRPr="00AA4A76" w:rsidRDefault="00E549AC" w:rsidP="00E549AC">
            <w:pPr>
              <w:pStyle w:val="Textpoznpodarou"/>
              <w:jc w:val="both"/>
              <w:rPr>
                <w:highlight w:val="yellow"/>
              </w:rPr>
            </w:pPr>
            <w:r>
              <w:rPr>
                <w:color w:val="000000"/>
              </w:rPr>
              <w:t xml:space="preserve">Chart </w:t>
            </w:r>
            <w:r w:rsidR="00654093">
              <w:rPr>
                <w:color w:val="000000"/>
              </w:rPr>
              <w:t>7</w:t>
            </w:r>
          </w:p>
        </w:tc>
        <w:tc>
          <w:tcPr>
            <w:tcW w:w="3262" w:type="pct"/>
          </w:tcPr>
          <w:p w:rsidR="00654093" w:rsidRPr="0042376B" w:rsidRDefault="00E549AC" w:rsidP="00853C0F">
            <w:pPr>
              <w:pStyle w:val="Textpoznpodarou"/>
              <w:rPr>
                <w:bCs/>
                <w:lang w:val="en-GB"/>
              </w:rPr>
            </w:pPr>
            <w:r w:rsidRPr="0042376B">
              <w:rPr>
                <w:b/>
                <w:lang w:val="en-GB"/>
              </w:rPr>
              <w:t>Construction out</w:t>
            </w:r>
            <w:r w:rsidR="0042376B" w:rsidRPr="0042376B">
              <w:rPr>
                <w:b/>
                <w:lang w:val="en-GB"/>
              </w:rPr>
              <w:t>put</w:t>
            </w:r>
            <w:r w:rsidR="00654093" w:rsidRPr="0042376B">
              <w:rPr>
                <w:b/>
                <w:lang w:val="en-GB"/>
              </w:rPr>
              <w:t xml:space="preserve">*, </w:t>
            </w:r>
            <w:r w:rsidR="0042376B" w:rsidRPr="0042376B">
              <w:rPr>
                <w:b/>
                <w:lang w:val="en-GB"/>
              </w:rPr>
              <w:t xml:space="preserve">value of new orders </w:t>
            </w:r>
            <w:r w:rsidR="00654093" w:rsidRPr="0042376B">
              <w:rPr>
                <w:bCs/>
                <w:lang w:val="en-GB"/>
              </w:rPr>
              <w:t>(</w:t>
            </w:r>
            <w:r w:rsidR="0042376B" w:rsidRPr="0042376B">
              <w:rPr>
                <w:bCs/>
                <w:lang w:val="en-GB"/>
              </w:rPr>
              <w:t xml:space="preserve">year-on-year </w:t>
            </w:r>
            <w:r w:rsidR="00954C8E">
              <w:rPr>
                <w:bCs/>
                <w:lang w:val="en-GB"/>
              </w:rPr>
              <w:t>in %</w:t>
            </w:r>
            <w:r w:rsidR="00654093" w:rsidRPr="0042376B">
              <w:rPr>
                <w:bCs/>
                <w:spacing w:val="-2"/>
                <w:lang w:val="en-GB"/>
              </w:rPr>
              <w:t>)</w:t>
            </w:r>
            <w:r w:rsidR="00654093" w:rsidRPr="0042376B">
              <w:rPr>
                <w:bCs/>
                <w:lang w:val="en-GB"/>
              </w:rPr>
              <w:t xml:space="preserve"> </w:t>
            </w:r>
          </w:p>
          <w:p w:rsidR="00654093" w:rsidRPr="00886A8F" w:rsidRDefault="0042376B" w:rsidP="0042376B">
            <w:pPr>
              <w:pStyle w:val="Textpoznpodarou"/>
              <w:rPr>
                <w:spacing w:val="-2"/>
                <w:lang w:eastAsia="en-US"/>
              </w:rPr>
            </w:pPr>
            <w:r w:rsidRPr="0042376B">
              <w:rPr>
                <w:b/>
                <w:lang w:val="en-GB"/>
              </w:rPr>
              <w:t>and balance of confidence indicator in construction</w:t>
            </w:r>
          </w:p>
        </w:tc>
      </w:tr>
      <w:tr w:rsidR="00654093" w:rsidRPr="00A94152" w:rsidTr="00853C0F">
        <w:trPr>
          <w:trHeight w:val="145"/>
        </w:trPr>
        <w:tc>
          <w:tcPr>
            <w:tcW w:w="1021" w:type="pct"/>
            <w:shd w:val="clear" w:color="auto" w:fill="auto"/>
          </w:tcPr>
          <w:p w:rsidR="00654093" w:rsidRPr="00A94152" w:rsidRDefault="00654093" w:rsidP="00853C0F">
            <w:pPr>
              <w:spacing w:line="240" w:lineRule="auto"/>
              <w:rPr>
                <w:color w:val="000000"/>
                <w:sz w:val="16"/>
                <w:szCs w:val="16"/>
                <w:highlight w:val="yellow"/>
                <w:lang w:val="en-GB"/>
              </w:rPr>
            </w:pPr>
          </w:p>
        </w:tc>
        <w:tc>
          <w:tcPr>
            <w:tcW w:w="145" w:type="pct"/>
          </w:tcPr>
          <w:p w:rsidR="00654093" w:rsidRPr="00A94152" w:rsidRDefault="00654093" w:rsidP="00853C0F">
            <w:pPr>
              <w:pStyle w:val="Textpoznpodarou"/>
              <w:jc w:val="both"/>
              <w:rPr>
                <w:lang w:val="en-GB"/>
              </w:rPr>
            </w:pPr>
          </w:p>
        </w:tc>
        <w:tc>
          <w:tcPr>
            <w:tcW w:w="3833" w:type="pct"/>
            <w:gridSpan w:val="2"/>
          </w:tcPr>
          <w:p w:rsidR="00C44B63" w:rsidRPr="00C44B63" w:rsidRDefault="00315E64" w:rsidP="00214DB7">
            <w:pPr>
              <w:pStyle w:val="Textpoznpodarou"/>
              <w:ind w:left="-124"/>
              <w:rPr>
                <w:sz w:val="18"/>
                <w:szCs w:val="18"/>
                <w:lang w:val="en-GB"/>
              </w:rPr>
            </w:pPr>
            <w:r w:rsidRPr="00315E64">
              <w:rPr>
                <w:rFonts w:cs="Arial"/>
                <w:noProof/>
                <w:sz w:val="14"/>
                <w:szCs w:val="14"/>
              </w:rPr>
              <w:drawing>
                <wp:inline distT="0" distB="0" distL="0" distR="0">
                  <wp:extent cx="4749196" cy="3548230"/>
                  <wp:effectExtent l="1905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6493D" w:rsidRPr="00A94152">
              <w:rPr>
                <w:rFonts w:cs="Arial"/>
                <w:sz w:val="14"/>
                <w:szCs w:val="14"/>
                <w:lang w:val="en-GB"/>
              </w:rPr>
              <w:t xml:space="preserve"> </w:t>
            </w:r>
            <w:r w:rsidR="00654093" w:rsidRPr="00A94152">
              <w:rPr>
                <w:rFonts w:cs="Arial"/>
                <w:sz w:val="14"/>
                <w:szCs w:val="14"/>
                <w:lang w:val="en-GB"/>
              </w:rPr>
              <w:t>*</w:t>
            </w:r>
            <w:r w:rsidR="00A94152" w:rsidRPr="00A94152">
              <w:rPr>
                <w:rFonts w:cs="Arial"/>
                <w:sz w:val="14"/>
                <w:szCs w:val="14"/>
                <w:lang w:val="en-GB"/>
              </w:rPr>
              <w:t>Adjusted for the effect of the number of working days</w:t>
            </w:r>
            <w:r w:rsidR="00654093" w:rsidRPr="00A94152">
              <w:rPr>
                <w:rFonts w:cs="Arial"/>
                <w:sz w:val="14"/>
                <w:szCs w:val="14"/>
                <w:lang w:val="en-GB"/>
              </w:rPr>
              <w:t>.</w:t>
            </w:r>
            <w:r w:rsidR="00A94152" w:rsidRPr="00A94152">
              <w:rPr>
                <w:rFonts w:cs="Arial"/>
                <w:sz w:val="14"/>
                <w:szCs w:val="14"/>
                <w:lang w:val="en-GB"/>
              </w:rPr>
              <w:t xml:space="preserve"> </w:t>
            </w:r>
            <w:r w:rsidR="00654093" w:rsidRPr="00A94152">
              <w:rPr>
                <w:rFonts w:cs="Arial"/>
                <w:sz w:val="14"/>
                <w:szCs w:val="14"/>
                <w:lang w:val="en-GB"/>
              </w:rPr>
              <w:t xml:space="preserve">                                     </w:t>
            </w:r>
            <w:r w:rsidR="00B6493D" w:rsidRPr="00A94152">
              <w:rPr>
                <w:rFonts w:cs="Arial"/>
                <w:sz w:val="14"/>
                <w:szCs w:val="14"/>
                <w:lang w:val="en-GB"/>
              </w:rPr>
              <w:t xml:space="preserve">                               </w:t>
            </w:r>
            <w:r w:rsidR="00654093" w:rsidRPr="00A94152">
              <w:rPr>
                <w:rFonts w:cs="Arial"/>
                <w:sz w:val="14"/>
                <w:szCs w:val="14"/>
                <w:lang w:val="en-GB"/>
              </w:rPr>
              <w:t xml:space="preserve">          </w:t>
            </w:r>
            <w:r w:rsidR="00A94152" w:rsidRPr="00A94152">
              <w:rPr>
                <w:rFonts w:cs="Arial"/>
                <w:sz w:val="14"/>
                <w:szCs w:val="14"/>
                <w:lang w:val="en-GB"/>
              </w:rPr>
              <w:t>Source</w:t>
            </w:r>
            <w:r w:rsidR="00654093" w:rsidRPr="00A94152">
              <w:rPr>
                <w:sz w:val="14"/>
                <w:szCs w:val="14"/>
                <w:lang w:val="en-GB"/>
              </w:rPr>
              <w:t>: Č</w:t>
            </w:r>
            <w:r w:rsidR="00A94152" w:rsidRPr="00A94152">
              <w:rPr>
                <w:sz w:val="14"/>
                <w:szCs w:val="14"/>
                <w:lang w:val="en-GB"/>
              </w:rPr>
              <w:t>ZSO</w:t>
            </w:r>
          </w:p>
        </w:tc>
      </w:tr>
    </w:tbl>
    <w:p w:rsidR="00654093" w:rsidRPr="00A94152" w:rsidRDefault="00654093" w:rsidP="00654093">
      <w:pPr>
        <w:pStyle w:val="Textpoznpodarou"/>
        <w:jc w:val="both"/>
        <w:rPr>
          <w:sz w:val="14"/>
          <w:szCs w:val="14"/>
          <w:lang w:val="en-GB"/>
        </w:rPr>
      </w:pPr>
    </w:p>
    <w:tbl>
      <w:tblPr>
        <w:tblW w:w="4986" w:type="pct"/>
        <w:tblInd w:w="107" w:type="dxa"/>
        <w:tblLayout w:type="fixed"/>
        <w:tblLook w:val="00A0"/>
      </w:tblPr>
      <w:tblGrid>
        <w:gridCol w:w="1997"/>
        <w:gridCol w:w="283"/>
        <w:gridCol w:w="7546"/>
      </w:tblGrid>
      <w:tr w:rsidR="00654093" w:rsidRPr="00A94152" w:rsidTr="00853C0F">
        <w:tc>
          <w:tcPr>
            <w:tcW w:w="1016" w:type="pct"/>
            <w:shd w:val="clear" w:color="auto" w:fill="auto"/>
          </w:tcPr>
          <w:p w:rsidR="00654093" w:rsidRPr="00A94152" w:rsidRDefault="00DF629B" w:rsidP="00DF629B">
            <w:pPr>
              <w:spacing w:line="240" w:lineRule="auto"/>
              <w:rPr>
                <w:sz w:val="16"/>
                <w:szCs w:val="16"/>
                <w:lang w:val="en-GB"/>
              </w:rPr>
            </w:pPr>
            <w:r>
              <w:rPr>
                <w:sz w:val="16"/>
                <w:szCs w:val="16"/>
                <w:lang w:val="en-GB"/>
              </w:rPr>
              <w:t xml:space="preserve">Growth of sales markedly accelerated in the selected services. All main activities prospered. </w:t>
            </w:r>
          </w:p>
        </w:tc>
        <w:tc>
          <w:tcPr>
            <w:tcW w:w="144" w:type="pct"/>
          </w:tcPr>
          <w:p w:rsidR="00654093" w:rsidRPr="00A94152" w:rsidRDefault="00654093" w:rsidP="00853C0F">
            <w:pPr>
              <w:rPr>
                <w:spacing w:val="-4"/>
                <w:szCs w:val="20"/>
                <w:lang w:val="en-GB"/>
              </w:rPr>
            </w:pPr>
          </w:p>
        </w:tc>
        <w:tc>
          <w:tcPr>
            <w:tcW w:w="3840" w:type="pct"/>
          </w:tcPr>
          <w:p w:rsidR="00654093" w:rsidRPr="00A94152" w:rsidRDefault="00DF629B" w:rsidP="00853C0F">
            <w:pPr>
              <w:pStyle w:val="Textpoznpodarou"/>
              <w:jc w:val="both"/>
              <w:rPr>
                <w:color w:val="000000" w:themeColor="text1"/>
                <w:spacing w:val="-4"/>
                <w:lang w:val="en-GB"/>
              </w:rPr>
            </w:pPr>
            <w:r>
              <w:rPr>
                <w:color w:val="000000" w:themeColor="text1"/>
                <w:spacing w:val="-4"/>
                <w:lang w:val="en-GB"/>
              </w:rPr>
              <w:t>The growth of sales in the selected services</w:t>
            </w:r>
            <w:r w:rsidR="00654093" w:rsidRPr="00A94152">
              <w:rPr>
                <w:color w:val="000000" w:themeColor="text1"/>
                <w:spacing w:val="-4"/>
                <w:vertAlign w:val="superscript"/>
                <w:lang w:val="en-GB"/>
              </w:rPr>
              <w:footnoteReference w:id="8"/>
            </w:r>
            <w:r w:rsidR="00654093" w:rsidRPr="00A94152">
              <w:rPr>
                <w:color w:val="000000" w:themeColor="text1"/>
                <w:spacing w:val="-4"/>
                <w:lang w:val="en-GB"/>
              </w:rPr>
              <w:t xml:space="preserve"> </w:t>
            </w:r>
            <w:r>
              <w:rPr>
                <w:color w:val="000000" w:themeColor="text1"/>
                <w:spacing w:val="-4"/>
                <w:lang w:val="en-GB"/>
              </w:rPr>
              <w:t>markedly accelerated at the beginning of the year</w:t>
            </w:r>
            <w:r w:rsidR="00654093" w:rsidRPr="00A94152">
              <w:rPr>
                <w:color w:val="000000" w:themeColor="text1"/>
                <w:spacing w:val="-4"/>
                <w:lang w:val="en-GB"/>
              </w:rPr>
              <w:t xml:space="preserve">. </w:t>
            </w:r>
            <w:r>
              <w:rPr>
                <w:color w:val="000000" w:themeColor="text1"/>
                <w:spacing w:val="-4"/>
                <w:lang w:val="en-GB"/>
              </w:rPr>
              <w:t>While the year-on-year growth of sales amounted “only” to 1.6</w:t>
            </w:r>
            <w:r w:rsidR="00954C8E">
              <w:rPr>
                <w:color w:val="000000" w:themeColor="text1"/>
                <w:spacing w:val="-4"/>
                <w:lang w:val="en-GB"/>
              </w:rPr>
              <w:t>%</w:t>
            </w:r>
            <w:r>
              <w:rPr>
                <w:color w:val="000000" w:themeColor="text1"/>
                <w:spacing w:val="-4"/>
                <w:lang w:val="en-GB"/>
              </w:rPr>
              <w:t xml:space="preserve"> in the last quarter of the last ye</w:t>
            </w:r>
            <w:r w:rsidR="008A243E">
              <w:rPr>
                <w:color w:val="000000" w:themeColor="text1"/>
                <w:spacing w:val="-4"/>
                <w:lang w:val="en-GB"/>
              </w:rPr>
              <w:t>a</w:t>
            </w:r>
            <w:r>
              <w:rPr>
                <w:color w:val="000000" w:themeColor="text1"/>
                <w:spacing w:val="-4"/>
                <w:lang w:val="en-GB"/>
              </w:rPr>
              <w:t>r, it hiked to 5.3</w:t>
            </w:r>
            <w:r w:rsidR="00954C8E">
              <w:rPr>
                <w:color w:val="000000" w:themeColor="text1"/>
                <w:spacing w:val="-4"/>
                <w:lang w:val="en-GB"/>
              </w:rPr>
              <w:t>%</w:t>
            </w:r>
            <w:r>
              <w:rPr>
                <w:color w:val="000000" w:themeColor="text1"/>
                <w:spacing w:val="-4"/>
                <w:lang w:val="en-GB"/>
              </w:rPr>
              <w:t xml:space="preserve"> </w:t>
            </w:r>
            <w:r w:rsidR="008A243E">
              <w:rPr>
                <w:color w:val="000000" w:themeColor="text1"/>
                <w:spacing w:val="-4"/>
                <w:lang w:val="en-GB"/>
              </w:rPr>
              <w:t xml:space="preserve">(the most since the end of year 2007) </w:t>
            </w:r>
            <w:r>
              <w:rPr>
                <w:color w:val="000000" w:themeColor="text1"/>
                <w:spacing w:val="-4"/>
                <w:lang w:val="en-GB"/>
              </w:rPr>
              <w:t>at the beginning of year 2017.</w:t>
            </w:r>
            <w:r w:rsidR="008A243E">
              <w:rPr>
                <w:color w:val="000000" w:themeColor="text1"/>
                <w:spacing w:val="-4"/>
                <w:lang w:val="en-GB"/>
              </w:rPr>
              <w:t xml:space="preserve"> The subsequent quarter confirmed this positive development </w:t>
            </w:r>
            <w:r w:rsidR="00654093" w:rsidRPr="00A94152">
              <w:rPr>
                <w:color w:val="000000" w:themeColor="text1"/>
                <w:spacing w:val="-4"/>
                <w:lang w:val="en-GB"/>
              </w:rPr>
              <w:t>(+5</w:t>
            </w:r>
            <w:r w:rsidR="008A243E">
              <w:rPr>
                <w:color w:val="000000" w:themeColor="text1"/>
                <w:spacing w:val="-4"/>
                <w:lang w:val="en-GB"/>
              </w:rPr>
              <w:t>.</w:t>
            </w:r>
            <w:r w:rsidR="00654093" w:rsidRPr="00A94152">
              <w:rPr>
                <w:color w:val="000000" w:themeColor="text1"/>
                <w:spacing w:val="-4"/>
                <w:lang w:val="en-GB"/>
              </w:rPr>
              <w:t>7</w:t>
            </w:r>
            <w:r w:rsidR="00954C8E">
              <w:rPr>
                <w:color w:val="000000" w:themeColor="text1"/>
                <w:spacing w:val="-4"/>
                <w:lang w:val="en-GB"/>
              </w:rPr>
              <w:t>%</w:t>
            </w:r>
            <w:r w:rsidR="00654093" w:rsidRPr="00A94152">
              <w:rPr>
                <w:color w:val="000000" w:themeColor="text1"/>
                <w:spacing w:val="-4"/>
                <w:lang w:val="en-GB"/>
              </w:rPr>
              <w:t xml:space="preserve">). </w:t>
            </w:r>
            <w:r w:rsidR="008A243E">
              <w:rPr>
                <w:color w:val="000000" w:themeColor="text1"/>
                <w:spacing w:val="-4"/>
                <w:lang w:val="en-GB"/>
              </w:rPr>
              <w:t xml:space="preserve">All monitored sections of services contributed to growth in both this year´s quarters. The services were driven mostly by the </w:t>
            </w:r>
            <w:proofErr w:type="gramStart"/>
            <w:r w:rsidR="008A243E">
              <w:rPr>
                <w:color w:val="000000" w:themeColor="text1"/>
                <w:spacing w:val="-4"/>
                <w:lang w:val="en-GB"/>
              </w:rPr>
              <w:t>activities, that</w:t>
            </w:r>
            <w:proofErr w:type="gramEnd"/>
            <w:r w:rsidR="008A243E">
              <w:rPr>
                <w:color w:val="000000" w:themeColor="text1"/>
                <w:spacing w:val="-4"/>
                <w:lang w:val="en-GB"/>
              </w:rPr>
              <w:t xml:space="preserve"> hold the largest weight – transportation and warehousing (with nearly one third addition to the total growth) at the beginning of the year.</w:t>
            </w:r>
            <w:r w:rsidR="00654093" w:rsidRPr="00A94152">
              <w:rPr>
                <w:color w:val="000000" w:themeColor="text1"/>
                <w:spacing w:val="-4"/>
                <w:lang w:val="en-GB"/>
              </w:rPr>
              <w:t xml:space="preserve"> </w:t>
            </w:r>
            <w:r w:rsidR="000C7398">
              <w:rPr>
                <w:color w:val="000000" w:themeColor="text1"/>
                <w:spacing w:val="-4"/>
                <w:lang w:val="en-GB"/>
              </w:rPr>
              <w:t>The role of this branch weakened to the benefit of the</w:t>
            </w:r>
            <w:r w:rsidR="00AE6195">
              <w:rPr>
                <w:color w:val="000000" w:themeColor="text1"/>
                <w:spacing w:val="-4"/>
                <w:lang w:val="en-GB"/>
              </w:rPr>
              <w:t xml:space="preserve"> information and communication</w:t>
            </w:r>
            <w:r w:rsidR="000C7398">
              <w:rPr>
                <w:color w:val="000000" w:themeColor="text1"/>
                <w:spacing w:val="-4"/>
                <w:lang w:val="en-GB"/>
              </w:rPr>
              <w:t xml:space="preserve"> </w:t>
            </w:r>
            <w:r w:rsidR="00D9266B" w:rsidRPr="00A94152">
              <w:rPr>
                <w:color w:val="000000" w:themeColor="text1"/>
                <w:spacing w:val="-4"/>
                <w:lang w:val="en-GB"/>
              </w:rPr>
              <w:t>a</w:t>
            </w:r>
            <w:r w:rsidR="000C7398">
              <w:rPr>
                <w:color w:val="000000" w:themeColor="text1"/>
                <w:spacing w:val="-4"/>
                <w:lang w:val="en-GB"/>
              </w:rPr>
              <w:t xml:space="preserve">nd also accommodation, food service activities </w:t>
            </w:r>
            <w:r w:rsidR="00EA2BC9">
              <w:rPr>
                <w:color w:val="000000" w:themeColor="text1"/>
                <w:spacing w:val="-4"/>
                <w:lang w:val="en-GB"/>
              </w:rPr>
              <w:t xml:space="preserve">and </w:t>
            </w:r>
            <w:r w:rsidR="00EA2BC9" w:rsidRPr="00A94152">
              <w:rPr>
                <w:color w:val="000000" w:themeColor="text1"/>
                <w:spacing w:val="-4"/>
                <w:lang w:val="en-GB"/>
              </w:rPr>
              <w:t>restaurants</w:t>
            </w:r>
            <w:r w:rsidR="000C7398">
              <w:rPr>
                <w:color w:val="000000" w:themeColor="text1"/>
                <w:spacing w:val="-4"/>
                <w:lang w:val="en-GB"/>
              </w:rPr>
              <w:t xml:space="preserve"> in Q2</w:t>
            </w:r>
            <w:r w:rsidR="00D9266B" w:rsidRPr="00A94152">
              <w:rPr>
                <w:color w:val="000000" w:themeColor="text1"/>
                <w:spacing w:val="-4"/>
                <w:lang w:val="en-GB"/>
              </w:rPr>
              <w:t>.</w:t>
            </w:r>
            <w:r w:rsidR="00654093" w:rsidRPr="00A94152">
              <w:rPr>
                <w:color w:val="000000" w:themeColor="text1"/>
                <w:spacing w:val="-4"/>
                <w:lang w:val="en-GB"/>
              </w:rPr>
              <w:t xml:space="preserve"> </w:t>
            </w:r>
          </w:p>
          <w:p w:rsidR="00654093" w:rsidRPr="00A94152" w:rsidRDefault="00654093" w:rsidP="00853C0F">
            <w:pPr>
              <w:pStyle w:val="Textpoznpodarou"/>
              <w:jc w:val="both"/>
              <w:rPr>
                <w:spacing w:val="-4"/>
                <w:sz w:val="14"/>
                <w:szCs w:val="14"/>
                <w:lang w:val="en-GB"/>
              </w:rPr>
            </w:pPr>
          </w:p>
        </w:tc>
      </w:tr>
      <w:tr w:rsidR="00654093" w:rsidRPr="00156294" w:rsidTr="00853C0F">
        <w:tc>
          <w:tcPr>
            <w:tcW w:w="1016" w:type="pct"/>
            <w:shd w:val="clear" w:color="auto" w:fill="auto"/>
          </w:tcPr>
          <w:p w:rsidR="00654093" w:rsidRPr="00933F72" w:rsidRDefault="00933F72" w:rsidP="00853C0F">
            <w:pPr>
              <w:spacing w:line="240" w:lineRule="auto"/>
              <w:rPr>
                <w:color w:val="0D0D0D" w:themeColor="text1" w:themeTint="F2"/>
                <w:spacing w:val="-2"/>
                <w:sz w:val="16"/>
                <w:szCs w:val="16"/>
                <w:lang w:val="en-GB"/>
              </w:rPr>
            </w:pPr>
            <w:r w:rsidRPr="00933F72">
              <w:rPr>
                <w:color w:val="0D0D0D" w:themeColor="text1" w:themeTint="F2"/>
                <w:spacing w:val="-2"/>
                <w:sz w:val="16"/>
                <w:szCs w:val="16"/>
                <w:lang w:val="en-GB"/>
              </w:rPr>
              <w:t xml:space="preserve">Sales markedly revived in the air </w:t>
            </w:r>
            <w:r w:rsidR="00605C22">
              <w:rPr>
                <w:color w:val="0D0D0D" w:themeColor="text1" w:themeTint="F2"/>
                <w:spacing w:val="-2"/>
                <w:sz w:val="16"/>
                <w:szCs w:val="16"/>
                <w:lang w:val="en-GB"/>
              </w:rPr>
              <w:t>t</w:t>
            </w:r>
            <w:r w:rsidRPr="00933F72">
              <w:rPr>
                <w:color w:val="0D0D0D" w:themeColor="text1" w:themeTint="F2"/>
                <w:spacing w:val="-2"/>
                <w:sz w:val="16"/>
                <w:szCs w:val="16"/>
                <w:lang w:val="en-GB"/>
              </w:rPr>
              <w:t xml:space="preserve">ransportation, they grew the fastest after year 2005. </w:t>
            </w: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491091"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 xml:space="preserve">Development of tourism was also reflected in the high growth of sales in accommodation, food service activities and restaurants. Demand for information and communication was growing. Job agencies also fared well in the long term. </w:t>
            </w: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DD428A"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Growth of orders in construction was also mirrored in the higher demand for the project activities. Sales for the</w:t>
            </w:r>
            <w:r w:rsidR="00EA2BC9">
              <w:rPr>
                <w:color w:val="0D0D0D" w:themeColor="text1" w:themeTint="F2"/>
                <w:spacing w:val="-2"/>
                <w:sz w:val="16"/>
                <w:szCs w:val="16"/>
                <w:lang w:val="en-GB"/>
              </w:rPr>
              <w:t xml:space="preserve"> architectural and </w:t>
            </w:r>
            <w:r w:rsidR="00EA2BC9">
              <w:rPr>
                <w:color w:val="0D0D0D" w:themeColor="text1" w:themeTint="F2"/>
                <w:spacing w:val="-2"/>
                <w:sz w:val="16"/>
                <w:szCs w:val="16"/>
                <w:lang w:val="en-GB"/>
              </w:rPr>
              <w:lastRenderedPageBreak/>
              <w:t xml:space="preserve">engineering </w:t>
            </w:r>
            <w:r>
              <w:rPr>
                <w:color w:val="0D0D0D" w:themeColor="text1" w:themeTint="F2"/>
                <w:spacing w:val="-2"/>
                <w:sz w:val="16"/>
                <w:szCs w:val="16"/>
                <w:lang w:val="en-GB"/>
              </w:rPr>
              <w:t xml:space="preserve">activities again increased after six quarters. </w:t>
            </w:r>
          </w:p>
          <w:p w:rsidR="00654093" w:rsidRPr="00933F72" w:rsidRDefault="00654093" w:rsidP="00853C0F">
            <w:pPr>
              <w:spacing w:line="240" w:lineRule="auto"/>
              <w:rPr>
                <w:spacing w:val="-2"/>
                <w:sz w:val="16"/>
                <w:szCs w:val="16"/>
                <w:lang w:val="en-GB"/>
              </w:rPr>
            </w:pPr>
          </w:p>
        </w:tc>
        <w:tc>
          <w:tcPr>
            <w:tcW w:w="144" w:type="pct"/>
          </w:tcPr>
          <w:p w:rsidR="00654093" w:rsidRPr="00933F72" w:rsidRDefault="00654093" w:rsidP="00853C0F">
            <w:pPr>
              <w:rPr>
                <w:spacing w:val="-4"/>
                <w:szCs w:val="20"/>
                <w:lang w:val="en-GB"/>
              </w:rPr>
            </w:pPr>
          </w:p>
        </w:tc>
        <w:tc>
          <w:tcPr>
            <w:tcW w:w="3840" w:type="pct"/>
          </w:tcPr>
          <w:p w:rsidR="00654093" w:rsidRPr="00933F72" w:rsidRDefault="00EB0F82" w:rsidP="00134F9F">
            <w:pPr>
              <w:pStyle w:val="Textpoznpodarou"/>
              <w:jc w:val="both"/>
              <w:rPr>
                <w:color w:val="000000" w:themeColor="text1"/>
                <w:spacing w:val="-4"/>
                <w:lang w:val="en-GB"/>
              </w:rPr>
            </w:pPr>
            <w:r>
              <w:rPr>
                <w:spacing w:val="-4"/>
                <w:lang w:val="en-GB"/>
              </w:rPr>
              <w:t>Sales in transportation and warehousing grew by 4.6</w:t>
            </w:r>
            <w:r w:rsidR="00954C8E">
              <w:rPr>
                <w:spacing w:val="-4"/>
                <w:lang w:val="en-GB"/>
              </w:rPr>
              <w:t>%</w:t>
            </w:r>
            <w:r>
              <w:rPr>
                <w:spacing w:val="-4"/>
                <w:lang w:val="en-GB"/>
              </w:rPr>
              <w:t xml:space="preserve"> this year compared to H1 2016. All kinds of transport reached more favourable result.</w:t>
            </w:r>
            <w:r w:rsidR="003777A0">
              <w:rPr>
                <w:spacing w:val="-4"/>
                <w:lang w:val="en-GB"/>
              </w:rPr>
              <w:t xml:space="preserve"> </w:t>
            </w:r>
            <w:r w:rsidR="00916C6C">
              <w:rPr>
                <w:spacing w:val="-4"/>
                <w:lang w:val="en-GB"/>
              </w:rPr>
              <w:t xml:space="preserve">The air transportation strongly hit by the prolonged recession stood out among them, when it </w:t>
            </w:r>
            <w:r w:rsidR="003777A0">
              <w:rPr>
                <w:spacing w:val="-4"/>
                <w:lang w:val="en-GB"/>
              </w:rPr>
              <w:t xml:space="preserve">recorded the best result </w:t>
            </w:r>
            <w:r w:rsidR="00654093" w:rsidRPr="00933F72">
              <w:rPr>
                <w:spacing w:val="-4"/>
                <w:lang w:val="en-GB"/>
              </w:rPr>
              <w:t>(+14</w:t>
            </w:r>
            <w:r w:rsidR="003777A0">
              <w:rPr>
                <w:spacing w:val="-4"/>
                <w:lang w:val="en-GB"/>
              </w:rPr>
              <w:t>.</w:t>
            </w:r>
            <w:r w:rsidR="00654093" w:rsidRPr="00933F72">
              <w:rPr>
                <w:spacing w:val="-4"/>
                <w:lang w:val="en-GB"/>
              </w:rPr>
              <w:t>9</w:t>
            </w:r>
            <w:r w:rsidR="00954C8E">
              <w:rPr>
                <w:spacing w:val="-4"/>
                <w:lang w:val="en-GB"/>
              </w:rPr>
              <w:t>%</w:t>
            </w:r>
            <w:r w:rsidR="00654093" w:rsidRPr="00933F72">
              <w:rPr>
                <w:spacing w:val="-4"/>
                <w:lang w:val="en-GB"/>
              </w:rPr>
              <w:t xml:space="preserve">) </w:t>
            </w:r>
            <w:r w:rsidR="003777A0">
              <w:rPr>
                <w:spacing w:val="-4"/>
                <w:lang w:val="en-GB"/>
              </w:rPr>
              <w:t xml:space="preserve">after year </w:t>
            </w:r>
            <w:r w:rsidR="00654093" w:rsidRPr="00933F72">
              <w:rPr>
                <w:spacing w:val="-4"/>
                <w:lang w:val="en-GB"/>
              </w:rPr>
              <w:t xml:space="preserve">2005. </w:t>
            </w:r>
            <w:r w:rsidR="003777A0">
              <w:rPr>
                <w:spacing w:val="-4"/>
                <w:lang w:val="en-GB"/>
              </w:rPr>
              <w:t xml:space="preserve">Warehousing and </w:t>
            </w:r>
            <w:r w:rsidR="00EA2BC9">
              <w:rPr>
                <w:spacing w:val="-4"/>
                <w:lang w:val="en-GB"/>
              </w:rPr>
              <w:t>support activities for transportation</w:t>
            </w:r>
            <w:r w:rsidR="003777A0">
              <w:rPr>
                <w:spacing w:val="-4"/>
                <w:lang w:val="en-GB"/>
              </w:rPr>
              <w:t xml:space="preserve"> also fared well</w:t>
            </w:r>
            <w:r w:rsidR="00654093" w:rsidRPr="00933F72">
              <w:rPr>
                <w:spacing w:val="-4"/>
                <w:lang w:val="en-GB"/>
              </w:rPr>
              <w:t xml:space="preserve"> (+5</w:t>
            </w:r>
            <w:r w:rsidR="003777A0">
              <w:rPr>
                <w:spacing w:val="-4"/>
                <w:lang w:val="en-GB"/>
              </w:rPr>
              <w:t>.</w:t>
            </w:r>
            <w:r w:rsidR="00654093" w:rsidRPr="00933F72">
              <w:rPr>
                <w:spacing w:val="-4"/>
                <w:lang w:val="en-GB"/>
              </w:rPr>
              <w:t>3</w:t>
            </w:r>
            <w:r w:rsidR="00954C8E">
              <w:rPr>
                <w:spacing w:val="-4"/>
                <w:lang w:val="en-GB"/>
              </w:rPr>
              <w:t>%</w:t>
            </w:r>
            <w:r w:rsidR="00654093" w:rsidRPr="00933F72">
              <w:rPr>
                <w:spacing w:val="-4"/>
                <w:lang w:val="en-GB"/>
              </w:rPr>
              <w:t xml:space="preserve">), </w:t>
            </w:r>
            <w:r w:rsidR="003777A0">
              <w:rPr>
                <w:spacing w:val="-4"/>
                <w:lang w:val="en-GB"/>
              </w:rPr>
              <w:t xml:space="preserve">belonging thanks to the narrow connection to industry to the most dynamic area of services in the long term. Accommodation also experienced strong growth </w:t>
            </w:r>
            <w:r w:rsidR="00654093" w:rsidRPr="00933F72">
              <w:rPr>
                <w:spacing w:val="-4"/>
                <w:lang w:val="en-GB"/>
              </w:rPr>
              <w:t>(+11</w:t>
            </w:r>
            <w:r w:rsidR="003777A0">
              <w:rPr>
                <w:spacing w:val="-4"/>
                <w:lang w:val="en-GB"/>
              </w:rPr>
              <w:t>.</w:t>
            </w:r>
            <w:r w:rsidR="00654093" w:rsidRPr="00933F72">
              <w:rPr>
                <w:spacing w:val="-4"/>
                <w:lang w:val="en-GB"/>
              </w:rPr>
              <w:t>9</w:t>
            </w:r>
            <w:r w:rsidR="00954C8E">
              <w:rPr>
                <w:spacing w:val="-4"/>
                <w:lang w:val="en-GB"/>
              </w:rPr>
              <w:t>%</w:t>
            </w:r>
            <w:r w:rsidR="00654093" w:rsidRPr="00933F72">
              <w:rPr>
                <w:spacing w:val="-4"/>
                <w:lang w:val="en-GB"/>
              </w:rPr>
              <w:t xml:space="preserve">) </w:t>
            </w:r>
            <w:r w:rsidR="003777A0">
              <w:rPr>
                <w:spacing w:val="-4"/>
                <w:lang w:val="en-GB"/>
              </w:rPr>
              <w:t xml:space="preserve">together with food service activities and restaurants </w:t>
            </w:r>
            <w:r w:rsidR="00654093" w:rsidRPr="00933F72">
              <w:rPr>
                <w:spacing w:val="-4"/>
                <w:lang w:val="en-GB"/>
              </w:rPr>
              <w:t>(13</w:t>
            </w:r>
            <w:r w:rsidR="003777A0">
              <w:rPr>
                <w:spacing w:val="-4"/>
                <w:lang w:val="en-GB"/>
              </w:rPr>
              <w:t>.</w:t>
            </w:r>
            <w:r w:rsidR="00654093" w:rsidRPr="00933F72">
              <w:rPr>
                <w:spacing w:val="-4"/>
                <w:lang w:val="en-GB"/>
              </w:rPr>
              <w:t>2</w:t>
            </w:r>
            <w:r w:rsidR="00954C8E">
              <w:rPr>
                <w:spacing w:val="-4"/>
                <w:lang w:val="en-GB"/>
              </w:rPr>
              <w:t>%</w:t>
            </w:r>
            <w:r w:rsidR="00654093" w:rsidRPr="00933F72">
              <w:rPr>
                <w:spacing w:val="-4"/>
                <w:lang w:val="en-GB"/>
              </w:rPr>
              <w:t xml:space="preserve">). </w:t>
            </w:r>
            <w:r w:rsidR="003777A0">
              <w:rPr>
                <w:spacing w:val="-4"/>
                <w:lang w:val="en-GB"/>
              </w:rPr>
              <w:t xml:space="preserve">Both branches benefited from the growing consumption of households complemented by the development of the arrival tourism. </w:t>
            </w:r>
            <w:r w:rsidR="003D1A24">
              <w:rPr>
                <w:spacing w:val="-4"/>
                <w:lang w:val="en-GB"/>
              </w:rPr>
              <w:t xml:space="preserve">The number of overnight stays of non-residents in the </w:t>
            </w:r>
            <w:r w:rsidR="00806D73">
              <w:rPr>
                <w:spacing w:val="-4"/>
                <w:lang w:val="en-GB"/>
              </w:rPr>
              <w:t xml:space="preserve">mass accommodation facilities </w:t>
            </w:r>
            <w:r w:rsidR="003D1A24">
              <w:rPr>
                <w:spacing w:val="-4"/>
                <w:lang w:val="en-GB"/>
              </w:rPr>
              <w:t>increased by 1</w:t>
            </w:r>
            <w:r w:rsidR="00654093" w:rsidRPr="00933F72">
              <w:rPr>
                <w:spacing w:val="-4"/>
                <w:lang w:val="en-GB"/>
              </w:rPr>
              <w:t>5</w:t>
            </w:r>
            <w:r w:rsidR="003D1A24">
              <w:rPr>
                <w:spacing w:val="-4"/>
                <w:lang w:val="en-GB"/>
              </w:rPr>
              <w:t>.</w:t>
            </w:r>
            <w:r w:rsidR="00654093" w:rsidRPr="00933F72">
              <w:rPr>
                <w:spacing w:val="-4"/>
                <w:lang w:val="en-GB"/>
              </w:rPr>
              <w:t>6</w:t>
            </w:r>
            <w:r w:rsidR="00954C8E">
              <w:rPr>
                <w:spacing w:val="-4"/>
                <w:lang w:val="en-GB"/>
              </w:rPr>
              <w:t>%</w:t>
            </w:r>
            <w:r w:rsidR="003D1A24">
              <w:rPr>
                <w:spacing w:val="-4"/>
                <w:lang w:val="en-GB"/>
              </w:rPr>
              <w:t xml:space="preserve"> in Q2 itself</w:t>
            </w:r>
            <w:r w:rsidR="00654093" w:rsidRPr="00933F72">
              <w:rPr>
                <w:spacing w:val="-4"/>
                <w:lang w:val="en-GB"/>
              </w:rPr>
              <w:t xml:space="preserve">. </w:t>
            </w:r>
            <w:r w:rsidR="00DA0299">
              <w:rPr>
                <w:spacing w:val="-4"/>
                <w:lang w:val="en-GB"/>
              </w:rPr>
              <w:t xml:space="preserve">The information and communication also strengthened by </w:t>
            </w:r>
            <w:r w:rsidR="00654093" w:rsidRPr="00933F72">
              <w:rPr>
                <w:spacing w:val="-4"/>
                <w:lang w:val="en-GB"/>
              </w:rPr>
              <w:t>4</w:t>
            </w:r>
            <w:r w:rsidR="00DA0299">
              <w:rPr>
                <w:spacing w:val="-4"/>
                <w:lang w:val="en-GB"/>
              </w:rPr>
              <w:t>.</w:t>
            </w:r>
            <w:r w:rsidR="00654093" w:rsidRPr="00933F72">
              <w:rPr>
                <w:spacing w:val="-4"/>
                <w:lang w:val="en-GB"/>
              </w:rPr>
              <w:t>4</w:t>
            </w:r>
            <w:r w:rsidR="00954C8E">
              <w:rPr>
                <w:spacing w:val="-4"/>
                <w:lang w:val="en-GB"/>
              </w:rPr>
              <w:t>%</w:t>
            </w:r>
            <w:r w:rsidR="00DA0299">
              <w:rPr>
                <w:spacing w:val="-4"/>
                <w:lang w:val="en-GB"/>
              </w:rPr>
              <w:t xml:space="preserve"> in H1, where the demand especially for the processing of data, web portals and hosting, programming and advisory in the IT area grows in the long-term. The film and music industry, where the sales decreased by one eighth this year, was in the opposite situation. </w:t>
            </w:r>
            <w:r w:rsidR="00DB5798">
              <w:rPr>
                <w:spacing w:val="-4"/>
                <w:lang w:val="en-GB"/>
              </w:rPr>
              <w:t xml:space="preserve">Sales in the professional, scientific and technical activities </w:t>
            </w:r>
            <w:r w:rsidR="008C79DA">
              <w:rPr>
                <w:spacing w:val="-4"/>
                <w:lang w:val="en-GB"/>
              </w:rPr>
              <w:t>strengthened</w:t>
            </w:r>
            <w:r w:rsidR="00DB5798">
              <w:rPr>
                <w:spacing w:val="-4"/>
                <w:lang w:val="en-GB"/>
              </w:rPr>
              <w:t xml:space="preserve"> by </w:t>
            </w:r>
            <w:r w:rsidR="00654093" w:rsidRPr="00933F72">
              <w:rPr>
                <w:spacing w:val="-4"/>
                <w:lang w:val="en-GB"/>
              </w:rPr>
              <w:t>3</w:t>
            </w:r>
            <w:r w:rsidR="00DB5798">
              <w:rPr>
                <w:spacing w:val="-4"/>
                <w:lang w:val="en-GB"/>
              </w:rPr>
              <w:t>.</w:t>
            </w:r>
            <w:r w:rsidR="00654093" w:rsidRPr="00933F72">
              <w:rPr>
                <w:spacing w:val="-4"/>
                <w:lang w:val="en-GB"/>
              </w:rPr>
              <w:t>2</w:t>
            </w:r>
            <w:r w:rsidR="00954C8E">
              <w:rPr>
                <w:spacing w:val="-4"/>
                <w:lang w:val="en-GB"/>
              </w:rPr>
              <w:t>%</w:t>
            </w:r>
            <w:r w:rsidR="00654093" w:rsidRPr="00933F72">
              <w:rPr>
                <w:spacing w:val="-4"/>
                <w:lang w:val="en-GB"/>
              </w:rPr>
              <w:t xml:space="preserve"> a</w:t>
            </w:r>
            <w:r w:rsidR="00DB5798">
              <w:rPr>
                <w:spacing w:val="-4"/>
                <w:lang w:val="en-GB"/>
              </w:rPr>
              <w:t>nd also recorded only their second year-on-year growth within the frame of the first half years after year 2008. Ar</w:t>
            </w:r>
            <w:r w:rsidR="002A0E4F">
              <w:rPr>
                <w:spacing w:val="-4"/>
                <w:lang w:val="en-GB"/>
              </w:rPr>
              <w:t>chitectural and engineering activities</w:t>
            </w:r>
            <w:r w:rsidR="00DB5798" w:rsidRPr="00933F72">
              <w:rPr>
                <w:color w:val="000000" w:themeColor="text1"/>
                <w:spacing w:val="-4"/>
                <w:lang w:val="en-GB"/>
              </w:rPr>
              <w:t xml:space="preserve"> </w:t>
            </w:r>
            <w:r w:rsidR="002A0E4F">
              <w:rPr>
                <w:color w:val="000000" w:themeColor="text1"/>
                <w:spacing w:val="-4"/>
                <w:lang w:val="en-GB"/>
              </w:rPr>
              <w:t>s</w:t>
            </w:r>
            <w:r w:rsidR="00DB5798">
              <w:rPr>
                <w:spacing w:val="-4"/>
                <w:lang w:val="en-GB"/>
              </w:rPr>
              <w:t xml:space="preserve">trongly interconnected with construction contributed to this year´s growth in this branch, they revived after six quarters of adverse development. </w:t>
            </w:r>
            <w:r w:rsidR="008C79DA">
              <w:rPr>
                <w:spacing w:val="-4"/>
                <w:lang w:val="en-GB"/>
              </w:rPr>
              <w:t xml:space="preserve">The demand for </w:t>
            </w:r>
            <w:r w:rsidR="002A0E4F">
              <w:rPr>
                <w:color w:val="000000" w:themeColor="text1"/>
                <w:spacing w:val="-4"/>
                <w:lang w:val="en-GB"/>
              </w:rPr>
              <w:t xml:space="preserve">photographic, design, translation and interpretation activities </w:t>
            </w:r>
            <w:r w:rsidR="00F91E9E">
              <w:rPr>
                <w:color w:val="000000" w:themeColor="text1"/>
                <w:spacing w:val="-4"/>
                <w:lang w:val="en-GB"/>
              </w:rPr>
              <w:t>(+8.</w:t>
            </w:r>
            <w:r w:rsidR="00654093" w:rsidRPr="00933F72">
              <w:rPr>
                <w:color w:val="000000" w:themeColor="text1"/>
                <w:spacing w:val="-4"/>
                <w:lang w:val="en-GB"/>
              </w:rPr>
              <w:t>5</w:t>
            </w:r>
            <w:r w:rsidR="00954C8E">
              <w:rPr>
                <w:color w:val="000000" w:themeColor="text1"/>
                <w:spacing w:val="-4"/>
                <w:lang w:val="en-GB"/>
              </w:rPr>
              <w:t>%</w:t>
            </w:r>
            <w:r w:rsidR="00654093" w:rsidRPr="00933F72">
              <w:rPr>
                <w:color w:val="000000" w:themeColor="text1"/>
                <w:spacing w:val="-4"/>
                <w:lang w:val="en-GB"/>
              </w:rPr>
              <w:t>)</w:t>
            </w:r>
            <w:r w:rsidR="008C79DA">
              <w:rPr>
                <w:color w:val="000000" w:themeColor="text1"/>
                <w:spacing w:val="-4"/>
                <w:lang w:val="en-GB"/>
              </w:rPr>
              <w:t xml:space="preserve"> also notably increased in H1</w:t>
            </w:r>
            <w:r w:rsidR="00654093" w:rsidRPr="00933F72">
              <w:rPr>
                <w:color w:val="000000" w:themeColor="text1"/>
                <w:spacing w:val="-4"/>
                <w:lang w:val="en-GB"/>
              </w:rPr>
              <w:t xml:space="preserve">. </w:t>
            </w:r>
            <w:r w:rsidR="008C79DA">
              <w:rPr>
                <w:color w:val="000000" w:themeColor="text1"/>
                <w:spacing w:val="-4"/>
                <w:lang w:val="en-GB"/>
              </w:rPr>
              <w:lastRenderedPageBreak/>
              <w:t xml:space="preserve">The dynamic growth of sales for </w:t>
            </w:r>
            <w:r w:rsidR="00180A6D">
              <w:rPr>
                <w:color w:val="000000" w:themeColor="text1"/>
                <w:spacing w:val="-4"/>
                <w:lang w:val="en-GB"/>
              </w:rPr>
              <w:t xml:space="preserve">market research and public opinion polling </w:t>
            </w:r>
            <w:r w:rsidR="008C79DA">
              <w:rPr>
                <w:color w:val="000000" w:themeColor="text1"/>
                <w:spacing w:val="-4"/>
                <w:lang w:val="en-GB"/>
              </w:rPr>
              <w:t>continued</w:t>
            </w:r>
            <w:r w:rsidR="00D9640A" w:rsidRPr="00933F72">
              <w:rPr>
                <w:color w:val="000000" w:themeColor="text1"/>
                <w:spacing w:val="-4"/>
                <w:lang w:val="en-GB"/>
              </w:rPr>
              <w:t xml:space="preserve">, </w:t>
            </w:r>
            <w:r w:rsidR="008C79DA">
              <w:rPr>
                <w:color w:val="000000" w:themeColor="text1"/>
                <w:spacing w:val="-4"/>
                <w:lang w:val="en-GB"/>
              </w:rPr>
              <w:t xml:space="preserve">on the contrary the </w:t>
            </w:r>
            <w:r w:rsidR="0098354B">
              <w:rPr>
                <w:color w:val="000000" w:themeColor="text1"/>
                <w:spacing w:val="-4"/>
                <w:lang w:val="en-GB"/>
              </w:rPr>
              <w:t xml:space="preserve">advertising activities </w:t>
            </w:r>
            <w:r w:rsidR="008C79DA">
              <w:rPr>
                <w:color w:val="000000" w:themeColor="text1"/>
                <w:spacing w:val="-4"/>
                <w:lang w:val="en-GB"/>
              </w:rPr>
              <w:t xml:space="preserve">were rather stagnating. </w:t>
            </w:r>
            <w:r w:rsidR="00134F9F">
              <w:rPr>
                <w:color w:val="000000" w:themeColor="text1"/>
                <w:spacing w:val="-4"/>
                <w:lang w:val="en-GB"/>
              </w:rPr>
              <w:t xml:space="preserve">Sales in the administrative and support activities rose by nearly one tenth, where especially the job agencies traditionally prospered </w:t>
            </w:r>
            <w:r w:rsidR="00654093" w:rsidRPr="00933F72">
              <w:rPr>
                <w:color w:val="000000" w:themeColor="text1"/>
                <w:spacing w:val="-4"/>
                <w:lang w:val="en-GB"/>
              </w:rPr>
              <w:t>(+17</w:t>
            </w:r>
            <w:r w:rsidR="00134F9F">
              <w:rPr>
                <w:color w:val="000000" w:themeColor="text1"/>
                <w:spacing w:val="-4"/>
                <w:lang w:val="en-GB"/>
              </w:rPr>
              <w:t>.</w:t>
            </w:r>
            <w:r w:rsidR="00654093" w:rsidRPr="00933F72">
              <w:rPr>
                <w:color w:val="000000" w:themeColor="text1"/>
                <w:spacing w:val="-4"/>
                <w:lang w:val="en-GB"/>
              </w:rPr>
              <w:t>3</w:t>
            </w:r>
            <w:r w:rsidR="00954C8E">
              <w:rPr>
                <w:color w:val="000000" w:themeColor="text1"/>
                <w:spacing w:val="-4"/>
                <w:lang w:val="en-GB"/>
              </w:rPr>
              <w:t>%</w:t>
            </w:r>
            <w:r w:rsidR="00654093" w:rsidRPr="00933F72">
              <w:rPr>
                <w:color w:val="000000" w:themeColor="text1"/>
                <w:spacing w:val="-4"/>
                <w:lang w:val="en-GB"/>
              </w:rPr>
              <w:t xml:space="preserve">). </w:t>
            </w:r>
            <w:r w:rsidR="00134F9F">
              <w:rPr>
                <w:color w:val="000000" w:themeColor="text1"/>
                <w:spacing w:val="-4"/>
                <w:lang w:val="en-GB"/>
              </w:rPr>
              <w:t xml:space="preserve">The travel agencies, offices and other reservation and connected activities considerably recovered and reached the best result </w:t>
            </w:r>
            <w:r w:rsidR="00654093" w:rsidRPr="00933F72">
              <w:rPr>
                <w:color w:val="000000" w:themeColor="text1"/>
                <w:spacing w:val="-4"/>
                <w:lang w:val="en-GB"/>
              </w:rPr>
              <w:t>(13</w:t>
            </w:r>
            <w:r w:rsidR="00134F9F">
              <w:rPr>
                <w:color w:val="000000" w:themeColor="text1"/>
                <w:spacing w:val="-4"/>
                <w:lang w:val="en-GB"/>
              </w:rPr>
              <w:t>.</w:t>
            </w:r>
            <w:r w:rsidR="00654093" w:rsidRPr="00933F72">
              <w:rPr>
                <w:color w:val="000000" w:themeColor="text1"/>
                <w:spacing w:val="-4"/>
                <w:lang w:val="en-GB"/>
              </w:rPr>
              <w:t>2</w:t>
            </w:r>
            <w:r w:rsidR="00954C8E">
              <w:rPr>
                <w:color w:val="000000" w:themeColor="text1"/>
                <w:spacing w:val="-4"/>
                <w:lang w:val="en-GB"/>
              </w:rPr>
              <w:t>%</w:t>
            </w:r>
            <w:r w:rsidR="00654093" w:rsidRPr="00933F72">
              <w:rPr>
                <w:color w:val="000000" w:themeColor="text1"/>
                <w:spacing w:val="-4"/>
                <w:lang w:val="en-GB"/>
              </w:rPr>
              <w:t xml:space="preserve">) </w:t>
            </w:r>
            <w:r w:rsidR="00134F9F">
              <w:rPr>
                <w:color w:val="000000" w:themeColor="text1"/>
                <w:spacing w:val="-4"/>
                <w:lang w:val="en-GB"/>
              </w:rPr>
              <w:t xml:space="preserve">for the last ten years. However, their sales were still by more than one quarter weaker in comparison to the peak of the business cycle </w:t>
            </w:r>
            <w:r w:rsidR="00654093" w:rsidRPr="00933F72">
              <w:rPr>
                <w:color w:val="000000" w:themeColor="text1"/>
                <w:spacing w:val="-4"/>
                <w:lang w:val="en-GB"/>
              </w:rPr>
              <w:t>(</w:t>
            </w:r>
            <w:r w:rsidR="00134F9F">
              <w:rPr>
                <w:color w:val="000000" w:themeColor="text1"/>
                <w:spacing w:val="-4"/>
                <w:lang w:val="en-GB"/>
              </w:rPr>
              <w:t>H</w:t>
            </w:r>
            <w:r w:rsidR="00654093" w:rsidRPr="00933F72">
              <w:rPr>
                <w:color w:val="000000" w:themeColor="text1"/>
                <w:spacing w:val="-4"/>
                <w:lang w:val="en-GB"/>
              </w:rPr>
              <w:t>1</w:t>
            </w:r>
            <w:r w:rsidR="00134F9F">
              <w:rPr>
                <w:color w:val="000000" w:themeColor="text1"/>
                <w:spacing w:val="-4"/>
                <w:lang w:val="en-GB"/>
              </w:rPr>
              <w:t xml:space="preserve"> </w:t>
            </w:r>
            <w:r w:rsidR="00654093" w:rsidRPr="00933F72">
              <w:rPr>
                <w:color w:val="000000" w:themeColor="text1"/>
                <w:spacing w:val="-4"/>
                <w:lang w:val="en-GB"/>
              </w:rPr>
              <w:t xml:space="preserve">2008) </w:t>
            </w:r>
            <w:r w:rsidR="00134F9F">
              <w:rPr>
                <w:color w:val="000000" w:themeColor="text1"/>
                <w:spacing w:val="-4"/>
                <w:lang w:val="en-GB"/>
              </w:rPr>
              <w:t xml:space="preserve">this year. </w:t>
            </w:r>
            <w:r w:rsidR="00654093" w:rsidRPr="00933F72">
              <w:rPr>
                <w:color w:val="000000" w:themeColor="text1"/>
                <w:spacing w:val="-4"/>
                <w:lang w:val="en-GB"/>
              </w:rPr>
              <w:t xml:space="preserve"> </w:t>
            </w:r>
          </w:p>
        </w:tc>
      </w:tr>
    </w:tbl>
    <w:p w:rsidR="00654093" w:rsidRPr="00535F78" w:rsidRDefault="00654093" w:rsidP="00654093">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E62A33" w:rsidRDefault="00806D73" w:rsidP="00806D73">
            <w:pPr>
              <w:pStyle w:val="Textpoznpodarou"/>
              <w:jc w:val="both"/>
              <w:rPr>
                <w:spacing w:val="-2"/>
                <w:highlight w:val="yellow"/>
              </w:rPr>
            </w:pPr>
            <w:r>
              <w:rPr>
                <w:color w:val="000000"/>
                <w:spacing w:val="-2"/>
              </w:rPr>
              <w:t xml:space="preserve">Chart </w:t>
            </w:r>
            <w:r w:rsidR="00654093" w:rsidRPr="00E62A33">
              <w:rPr>
                <w:color w:val="000000"/>
                <w:spacing w:val="-2"/>
              </w:rPr>
              <w:t>8</w:t>
            </w:r>
          </w:p>
        </w:tc>
        <w:tc>
          <w:tcPr>
            <w:tcW w:w="3333" w:type="pct"/>
          </w:tcPr>
          <w:p w:rsidR="00654093" w:rsidRPr="00806D73" w:rsidRDefault="00806D73" w:rsidP="00853C0F">
            <w:pPr>
              <w:pStyle w:val="Textpoznpodarou"/>
              <w:rPr>
                <w:b/>
                <w:spacing w:val="-2"/>
                <w:lang w:val="en-GB"/>
              </w:rPr>
            </w:pPr>
            <w:r w:rsidRPr="00806D73">
              <w:rPr>
                <w:b/>
                <w:spacing w:val="-2"/>
                <w:lang w:val="en-GB"/>
              </w:rPr>
              <w:t>Sales in services</w:t>
            </w:r>
            <w:r w:rsidR="00654093" w:rsidRPr="00806D73">
              <w:rPr>
                <w:b/>
                <w:spacing w:val="-2"/>
                <w:lang w:val="en-GB"/>
              </w:rPr>
              <w:t xml:space="preserve"> a</w:t>
            </w:r>
            <w:r w:rsidRPr="00806D73">
              <w:rPr>
                <w:b/>
                <w:spacing w:val="-2"/>
                <w:lang w:val="en-GB"/>
              </w:rPr>
              <w:t>nd their selected branch sections</w:t>
            </w:r>
          </w:p>
          <w:p w:rsidR="00654093" w:rsidRPr="00E62A33" w:rsidRDefault="00654093" w:rsidP="00806D73">
            <w:pPr>
              <w:pStyle w:val="Textpoznpodarou"/>
              <w:rPr>
                <w:spacing w:val="-2"/>
                <w:lang w:eastAsia="en-US"/>
              </w:rPr>
            </w:pPr>
            <w:r w:rsidRPr="00806D73">
              <w:rPr>
                <w:bCs/>
                <w:spacing w:val="-2"/>
                <w:lang w:val="en-GB"/>
              </w:rPr>
              <w:t>(</w:t>
            </w:r>
            <w:proofErr w:type="gramStart"/>
            <w:r w:rsidR="00806D73" w:rsidRPr="00806D73">
              <w:rPr>
                <w:bCs/>
                <w:spacing w:val="-2"/>
                <w:lang w:val="en-GB"/>
              </w:rPr>
              <w:t>in</w:t>
            </w:r>
            <w:proofErr w:type="gramEnd"/>
            <w:r w:rsidR="00806D73" w:rsidRPr="00806D73">
              <w:rPr>
                <w:bCs/>
                <w:spacing w:val="-2"/>
                <w:lang w:val="en-GB"/>
              </w:rPr>
              <w:t xml:space="preserve"> real terms</w:t>
            </w:r>
            <w:r w:rsidRPr="00806D73">
              <w:rPr>
                <w:bCs/>
                <w:spacing w:val="-2"/>
                <w:lang w:val="en-GB"/>
              </w:rPr>
              <w:t xml:space="preserve">, </w:t>
            </w:r>
            <w:r w:rsidR="00806D73" w:rsidRPr="00806D73">
              <w:rPr>
                <w:bCs/>
                <w:spacing w:val="-2"/>
                <w:lang w:val="en-GB"/>
              </w:rPr>
              <w:t xml:space="preserve">adjusted for the effect of the number of working days, year-on-year </w:t>
            </w:r>
            <w:r w:rsidR="00954C8E">
              <w:rPr>
                <w:bCs/>
                <w:spacing w:val="-2"/>
                <w:lang w:val="en-GB"/>
              </w:rPr>
              <w:t>in %</w:t>
            </w:r>
            <w:r w:rsidRPr="00806D73">
              <w:rPr>
                <w:bCs/>
                <w:spacing w:val="-2"/>
                <w:lang w:val="en-GB"/>
              </w:rPr>
              <w:t>)</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231499" w:rsidRPr="00E62A33" w:rsidRDefault="00486640" w:rsidP="00214DB7">
            <w:pPr>
              <w:pStyle w:val="Textpoznpodarou"/>
              <w:ind w:left="-124"/>
              <w:rPr>
                <w:sz w:val="16"/>
                <w:szCs w:val="16"/>
              </w:rPr>
            </w:pPr>
            <w:r>
              <w:rPr>
                <w:noProof/>
                <w:color w:val="0D0D0D" w:themeColor="text1" w:themeTint="F2"/>
                <w:spacing w:val="-4"/>
                <w:sz w:val="14"/>
                <w:szCs w:val="14"/>
              </w:rPr>
              <w:drawing>
                <wp:inline distT="0" distB="0" distL="0" distR="0">
                  <wp:extent cx="4752000" cy="3528000"/>
                  <wp:effectExtent l="1905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A59E4">
              <w:rPr>
                <w:color w:val="0D0D0D" w:themeColor="text1" w:themeTint="F2"/>
                <w:spacing w:val="-4"/>
                <w:sz w:val="14"/>
                <w:szCs w:val="14"/>
              </w:rPr>
              <w:t>*</w:t>
            </w:r>
            <w:r w:rsidR="004A59E4" w:rsidRPr="004A59E4">
              <w:rPr>
                <w:color w:val="0D0D0D" w:themeColor="text1" w:themeTint="F2"/>
                <w:spacing w:val="-4"/>
                <w:sz w:val="14"/>
                <w:szCs w:val="14"/>
                <w:lang w:val="en-GB"/>
              </w:rPr>
              <w:t>Excluding trade, financial and insurance activities, science, research and public services.</w:t>
            </w:r>
            <w:r w:rsidR="004A59E4">
              <w:rPr>
                <w:color w:val="0D0D0D" w:themeColor="text1" w:themeTint="F2"/>
                <w:spacing w:val="-4"/>
                <w:sz w:val="14"/>
                <w:szCs w:val="14"/>
              </w:rPr>
              <w:t xml:space="preserve">  </w:t>
            </w:r>
            <w:r w:rsidR="00654093">
              <w:rPr>
                <w:color w:val="0D0D0D" w:themeColor="text1" w:themeTint="F2"/>
                <w:spacing w:val="-4"/>
                <w:sz w:val="14"/>
                <w:szCs w:val="14"/>
              </w:rPr>
              <w:t xml:space="preserve">                            </w:t>
            </w:r>
            <w:r w:rsidR="00654093" w:rsidRPr="00612A06">
              <w:rPr>
                <w:color w:val="0D0D0D" w:themeColor="text1" w:themeTint="F2"/>
                <w:spacing w:val="-4"/>
                <w:sz w:val="14"/>
                <w:szCs w:val="14"/>
              </w:rPr>
              <w:t xml:space="preserve">        </w:t>
            </w:r>
            <w:proofErr w:type="spellStart"/>
            <w:r w:rsidR="00231499">
              <w:rPr>
                <w:color w:val="0D0D0D" w:themeColor="text1" w:themeTint="F2"/>
                <w:spacing w:val="-4"/>
                <w:sz w:val="14"/>
                <w:szCs w:val="14"/>
              </w:rPr>
              <w:t>Source</w:t>
            </w:r>
            <w:proofErr w:type="spellEnd"/>
            <w:r w:rsidR="00654093" w:rsidRPr="00E62A33">
              <w:rPr>
                <w:sz w:val="14"/>
                <w:szCs w:val="14"/>
              </w:rPr>
              <w:t>:</w:t>
            </w:r>
            <w:r w:rsidR="00231499">
              <w:rPr>
                <w:sz w:val="14"/>
                <w:szCs w:val="14"/>
              </w:rPr>
              <w:t xml:space="preserve"> CZSO</w:t>
            </w:r>
          </w:p>
        </w:tc>
      </w:tr>
    </w:tbl>
    <w:p w:rsidR="00654093" w:rsidRPr="00787688"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6C5BE9" w:rsidTr="00853C0F">
        <w:tc>
          <w:tcPr>
            <w:tcW w:w="1016" w:type="pct"/>
            <w:shd w:val="clear" w:color="auto" w:fill="auto"/>
          </w:tcPr>
          <w:p w:rsidR="00654093" w:rsidRPr="00FD300F" w:rsidRDefault="00FD300F" w:rsidP="00853C0F">
            <w:pPr>
              <w:spacing w:line="240" w:lineRule="auto"/>
              <w:rPr>
                <w:color w:val="0D0D0D" w:themeColor="text1" w:themeTint="F2"/>
                <w:spacing w:val="-2"/>
                <w:sz w:val="16"/>
                <w:szCs w:val="16"/>
                <w:lang w:val="en-GB"/>
              </w:rPr>
            </w:pPr>
            <w:r w:rsidRPr="00FD300F">
              <w:rPr>
                <w:color w:val="0D0D0D" w:themeColor="text1" w:themeTint="F2"/>
                <w:spacing w:val="-2"/>
                <w:sz w:val="16"/>
                <w:szCs w:val="16"/>
                <w:lang w:val="en-GB"/>
              </w:rPr>
              <w:t>Growth of the retail sales was stable in the last two and half years, it mildly fluctuated just below the 6</w:t>
            </w:r>
            <w:r w:rsidR="00954C8E">
              <w:rPr>
                <w:color w:val="0D0D0D" w:themeColor="text1" w:themeTint="F2"/>
                <w:spacing w:val="-2"/>
                <w:sz w:val="16"/>
                <w:szCs w:val="16"/>
                <w:lang w:val="en-GB"/>
              </w:rPr>
              <w:t>%</w:t>
            </w:r>
            <w:r w:rsidRPr="00FD300F">
              <w:rPr>
                <w:color w:val="0D0D0D" w:themeColor="text1" w:themeTint="F2"/>
                <w:spacing w:val="-2"/>
                <w:sz w:val="16"/>
                <w:szCs w:val="16"/>
                <w:lang w:val="en-GB"/>
              </w:rPr>
              <w:t xml:space="preserve"> level. </w:t>
            </w: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FD300F"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 xml:space="preserve">Rate of growth of sales for the non-food goods climbed the highest in the last ten years. The dynamic growth of the internet sale also continued. </w:t>
            </w:r>
          </w:p>
          <w:p w:rsidR="00654093" w:rsidRPr="00FD300F" w:rsidRDefault="00654093" w:rsidP="00853C0F">
            <w:pPr>
              <w:spacing w:line="240" w:lineRule="auto"/>
              <w:rPr>
                <w:spacing w:val="-2"/>
                <w:sz w:val="16"/>
                <w:szCs w:val="16"/>
                <w:lang w:val="en-GB"/>
              </w:rPr>
            </w:pPr>
          </w:p>
        </w:tc>
        <w:tc>
          <w:tcPr>
            <w:tcW w:w="144" w:type="pct"/>
          </w:tcPr>
          <w:p w:rsidR="00654093" w:rsidRPr="00FD300F" w:rsidRDefault="00654093" w:rsidP="00853C0F">
            <w:pPr>
              <w:rPr>
                <w:spacing w:val="-4"/>
                <w:szCs w:val="20"/>
                <w:lang w:val="en-GB"/>
              </w:rPr>
            </w:pPr>
          </w:p>
        </w:tc>
        <w:tc>
          <w:tcPr>
            <w:tcW w:w="3840" w:type="pct"/>
          </w:tcPr>
          <w:p w:rsidR="00654093" w:rsidRDefault="006C36F4" w:rsidP="00523550">
            <w:pPr>
              <w:pStyle w:val="Textpoznpodarou"/>
              <w:jc w:val="both"/>
              <w:rPr>
                <w:color w:val="000000" w:themeColor="text1"/>
                <w:spacing w:val="-4"/>
                <w:lang w:val="en-GB"/>
              </w:rPr>
            </w:pPr>
            <w:r>
              <w:rPr>
                <w:spacing w:val="-4"/>
                <w:lang w:val="en-GB"/>
              </w:rPr>
              <w:t xml:space="preserve">From the viewpoint of employees, the very favourable situation on the labour market was reflected in the swift pace of growth of the disposable incomes of households. This factor together with the more than two years lasting optimistic confidence indicator of consumers led to the high rates of growth of the retail sales. </w:t>
            </w:r>
            <w:r w:rsidR="00654093" w:rsidRPr="00FD300F">
              <w:rPr>
                <w:spacing w:val="-4"/>
                <w:lang w:val="en-GB"/>
              </w:rPr>
              <w:t>T</w:t>
            </w:r>
            <w:r>
              <w:rPr>
                <w:spacing w:val="-4"/>
                <w:lang w:val="en-GB"/>
              </w:rPr>
              <w:t>hey grew by 5.7</w:t>
            </w:r>
            <w:r w:rsidR="00954C8E">
              <w:rPr>
                <w:spacing w:val="-4"/>
                <w:lang w:val="en-GB"/>
              </w:rPr>
              <w:t>%</w:t>
            </w:r>
            <w:r>
              <w:rPr>
                <w:spacing w:val="-4"/>
                <w:lang w:val="en-GB"/>
              </w:rPr>
              <w:t xml:space="preserve"> year-on-year in Q1, by </w:t>
            </w:r>
            <w:r w:rsidR="00654093" w:rsidRPr="00FD300F">
              <w:rPr>
                <w:spacing w:val="-4"/>
                <w:lang w:val="en-GB"/>
              </w:rPr>
              <w:t>6</w:t>
            </w:r>
            <w:r>
              <w:rPr>
                <w:spacing w:val="-4"/>
                <w:lang w:val="en-GB"/>
              </w:rPr>
              <w:t>.</w:t>
            </w:r>
            <w:r w:rsidR="00654093" w:rsidRPr="00FD300F">
              <w:rPr>
                <w:spacing w:val="-4"/>
                <w:lang w:val="en-GB"/>
              </w:rPr>
              <w:t>5</w:t>
            </w:r>
            <w:r w:rsidR="00954C8E">
              <w:rPr>
                <w:spacing w:val="-4"/>
                <w:lang w:val="en-GB"/>
              </w:rPr>
              <w:t>%</w:t>
            </w:r>
            <w:r w:rsidR="00654093" w:rsidRPr="00FD300F">
              <w:rPr>
                <w:rStyle w:val="Znakapoznpodarou"/>
                <w:spacing w:val="-4"/>
                <w:lang w:val="en-GB"/>
              </w:rPr>
              <w:footnoteReference w:id="9"/>
            </w:r>
            <w:r>
              <w:rPr>
                <w:spacing w:val="-4"/>
                <w:lang w:val="en-GB"/>
              </w:rPr>
              <w:t xml:space="preserve"> in Q2</w:t>
            </w:r>
            <w:r w:rsidR="00654093" w:rsidRPr="00FD300F">
              <w:rPr>
                <w:spacing w:val="-4"/>
                <w:lang w:val="en-GB"/>
              </w:rPr>
              <w:t xml:space="preserve">. </w:t>
            </w:r>
            <w:r w:rsidR="00835B51" w:rsidRPr="00835B51">
              <w:rPr>
                <w:spacing w:val="-4"/>
                <w:lang w:val="en-US"/>
              </w:rPr>
              <w:t xml:space="preserve">The internet sellers earned by nearly one quarter more. The sales for the non-food goods the most significant by weight traditionally drove the </w:t>
            </w:r>
            <w:proofErr w:type="gramStart"/>
            <w:r w:rsidR="00835B51" w:rsidRPr="00835B51">
              <w:rPr>
                <w:spacing w:val="-4"/>
                <w:lang w:val="en-US"/>
              </w:rPr>
              <w:t>retail,</w:t>
            </w:r>
            <w:proofErr w:type="gramEnd"/>
            <w:r w:rsidR="00835B51" w:rsidRPr="00835B51">
              <w:rPr>
                <w:spacing w:val="-4"/>
                <w:lang w:val="en-US"/>
              </w:rPr>
              <w:t xml:space="preserve"> their growth climbed up to 9.4</w:t>
            </w:r>
            <w:r w:rsidR="00954C8E">
              <w:rPr>
                <w:spacing w:val="-4"/>
                <w:lang w:val="en-US"/>
              </w:rPr>
              <w:t>%</w:t>
            </w:r>
            <w:r w:rsidR="00835B51" w:rsidRPr="00835B51">
              <w:rPr>
                <w:spacing w:val="-4"/>
                <w:lang w:val="en-US"/>
              </w:rPr>
              <w:t xml:space="preserve"> (in Q2) during the year and attained the highest rate of growth since the end of year 2</w:t>
            </w:r>
            <w:r w:rsidR="00654093" w:rsidRPr="00FD300F">
              <w:rPr>
                <w:spacing w:val="-4"/>
                <w:lang w:val="en-GB"/>
              </w:rPr>
              <w:t xml:space="preserve">007. </w:t>
            </w:r>
            <w:r w:rsidR="007303CA">
              <w:rPr>
                <w:spacing w:val="-4"/>
                <w:lang w:val="en-GB"/>
              </w:rPr>
              <w:t xml:space="preserve">Mainly the </w:t>
            </w:r>
            <w:r w:rsidR="003E73E7">
              <w:rPr>
                <w:spacing w:val="-4"/>
                <w:lang w:val="en-GB"/>
              </w:rPr>
              <w:t xml:space="preserve">retail </w:t>
            </w:r>
            <w:r w:rsidR="007303CA">
              <w:rPr>
                <w:spacing w:val="-4"/>
                <w:lang w:val="en-GB"/>
              </w:rPr>
              <w:t xml:space="preserve">sales of </w:t>
            </w:r>
            <w:r w:rsidR="003E73E7">
              <w:rPr>
                <w:spacing w:val="-4"/>
                <w:lang w:val="en-GB"/>
              </w:rPr>
              <w:t>computer and communication equipment</w:t>
            </w:r>
            <w:r w:rsidR="00654093" w:rsidRPr="00FD300F">
              <w:rPr>
                <w:spacing w:val="-4"/>
                <w:lang w:val="en-GB"/>
              </w:rPr>
              <w:t xml:space="preserve">, </w:t>
            </w:r>
            <w:r w:rsidR="003E73E7">
              <w:rPr>
                <w:spacing w:val="-4"/>
                <w:lang w:val="en-GB"/>
              </w:rPr>
              <w:t xml:space="preserve">cultural and recreation goods </w:t>
            </w:r>
            <w:r w:rsidR="007303CA">
              <w:rPr>
                <w:spacing w:val="-4"/>
                <w:lang w:val="en-GB"/>
              </w:rPr>
              <w:t>fared the best in H</w:t>
            </w:r>
            <w:r w:rsidR="007303CA" w:rsidRPr="00FD300F">
              <w:rPr>
                <w:spacing w:val="-4"/>
                <w:lang w:val="en-GB"/>
              </w:rPr>
              <w:t>1</w:t>
            </w:r>
            <w:r w:rsidR="00BA6D2C" w:rsidRPr="00FD300F">
              <w:rPr>
                <w:spacing w:val="-4"/>
                <w:lang w:val="en-GB"/>
              </w:rPr>
              <w:t xml:space="preserve">. </w:t>
            </w:r>
            <w:r w:rsidR="00A67959">
              <w:rPr>
                <w:spacing w:val="-4"/>
                <w:lang w:val="en-GB"/>
              </w:rPr>
              <w:t xml:space="preserve">The retail with </w:t>
            </w:r>
            <w:r w:rsidR="003E73E7">
              <w:rPr>
                <w:spacing w:val="-4"/>
                <w:lang w:val="en-GB"/>
              </w:rPr>
              <w:t>clothes, footwear and leather goods (</w:t>
            </w:r>
            <w:r w:rsidR="00654093" w:rsidRPr="00FD300F">
              <w:rPr>
                <w:spacing w:val="-4"/>
                <w:lang w:val="en-GB"/>
              </w:rPr>
              <w:t>10</w:t>
            </w:r>
            <w:r w:rsidR="00A67959">
              <w:rPr>
                <w:spacing w:val="-4"/>
                <w:lang w:val="en-GB"/>
              </w:rPr>
              <w:t>.</w:t>
            </w:r>
            <w:r w:rsidR="00654093" w:rsidRPr="00FD300F">
              <w:rPr>
                <w:spacing w:val="-4"/>
                <w:lang w:val="en-GB"/>
              </w:rPr>
              <w:t>6</w:t>
            </w:r>
            <w:r w:rsidR="00954C8E">
              <w:rPr>
                <w:spacing w:val="-4"/>
                <w:lang w:val="en-GB"/>
              </w:rPr>
              <w:t>%</w:t>
            </w:r>
            <w:r w:rsidR="00654093" w:rsidRPr="00FD300F">
              <w:rPr>
                <w:spacing w:val="-4"/>
                <w:lang w:val="en-GB"/>
              </w:rPr>
              <w:t>)</w:t>
            </w:r>
            <w:r w:rsidR="00A67959">
              <w:rPr>
                <w:spacing w:val="-4"/>
                <w:lang w:val="en-GB"/>
              </w:rPr>
              <w:t xml:space="preserve"> also considerably revived</w:t>
            </w:r>
            <w:r w:rsidR="00654093" w:rsidRPr="00FD300F">
              <w:rPr>
                <w:spacing w:val="-4"/>
                <w:lang w:val="en-GB"/>
              </w:rPr>
              <w:t xml:space="preserve">. </w:t>
            </w:r>
            <w:r w:rsidR="00A67959">
              <w:rPr>
                <w:spacing w:val="-4"/>
                <w:lang w:val="en-GB"/>
              </w:rPr>
              <w:t xml:space="preserve">Sales for food decreased compared to the rates of growth from the first half of the last year </w:t>
            </w:r>
            <w:r w:rsidR="00654093" w:rsidRPr="00FD300F">
              <w:rPr>
                <w:color w:val="000000" w:themeColor="text1"/>
                <w:spacing w:val="-4"/>
                <w:lang w:val="en-GB"/>
              </w:rPr>
              <w:t>(</w:t>
            </w:r>
            <w:r w:rsidR="00A67959">
              <w:rPr>
                <w:color w:val="000000" w:themeColor="text1"/>
                <w:spacing w:val="-4"/>
                <w:lang w:val="en-GB"/>
              </w:rPr>
              <w:t xml:space="preserve">to </w:t>
            </w:r>
            <w:r w:rsidR="00654093" w:rsidRPr="00FD300F">
              <w:rPr>
                <w:color w:val="000000" w:themeColor="text1"/>
                <w:spacing w:val="-4"/>
                <w:lang w:val="en-GB"/>
              </w:rPr>
              <w:t>+2</w:t>
            </w:r>
            <w:r w:rsidR="00A67959">
              <w:rPr>
                <w:color w:val="000000" w:themeColor="text1"/>
                <w:spacing w:val="-4"/>
                <w:lang w:val="en-GB"/>
              </w:rPr>
              <w:t>.</w:t>
            </w:r>
            <w:r w:rsidR="00654093" w:rsidRPr="00FD300F">
              <w:rPr>
                <w:color w:val="000000" w:themeColor="text1"/>
                <w:spacing w:val="-4"/>
                <w:lang w:val="en-GB"/>
              </w:rPr>
              <w:t>4</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same was also valid for the sellers of fuels </w:t>
            </w:r>
            <w:r w:rsidR="00654093" w:rsidRPr="00FD300F">
              <w:rPr>
                <w:color w:val="000000" w:themeColor="text1"/>
                <w:spacing w:val="-4"/>
                <w:lang w:val="en-GB"/>
              </w:rPr>
              <w:t>(+4</w:t>
            </w:r>
            <w:r w:rsidR="00A67959">
              <w:rPr>
                <w:color w:val="000000" w:themeColor="text1"/>
                <w:spacing w:val="-4"/>
                <w:lang w:val="en-GB"/>
              </w:rPr>
              <w:t>.</w:t>
            </w:r>
            <w:r w:rsidR="00654093" w:rsidRPr="00FD300F">
              <w:rPr>
                <w:color w:val="000000" w:themeColor="text1"/>
                <w:spacing w:val="-4"/>
                <w:lang w:val="en-GB"/>
              </w:rPr>
              <w:t>8</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from last year´s </w:t>
            </w:r>
            <w:r w:rsidR="00654093" w:rsidRPr="00FD300F">
              <w:rPr>
                <w:color w:val="000000" w:themeColor="text1"/>
                <w:spacing w:val="-4"/>
                <w:lang w:val="en-GB"/>
              </w:rPr>
              <w:t>+7</w:t>
            </w:r>
            <w:r w:rsidR="00A67959">
              <w:rPr>
                <w:color w:val="000000" w:themeColor="text1"/>
                <w:spacing w:val="-4"/>
                <w:lang w:val="en-GB"/>
              </w:rPr>
              <w:t>.</w:t>
            </w:r>
            <w:r w:rsidR="00654093" w:rsidRPr="00FD300F">
              <w:rPr>
                <w:color w:val="000000" w:themeColor="text1"/>
                <w:spacing w:val="-4"/>
                <w:lang w:val="en-GB"/>
              </w:rPr>
              <w:t>2</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total retail sales grew by more than double pace in the CR in H1 compared to the EU </w:t>
            </w:r>
            <w:r w:rsidR="00654093" w:rsidRPr="00FD300F">
              <w:rPr>
                <w:color w:val="000000" w:themeColor="text1"/>
                <w:spacing w:val="-4"/>
                <w:lang w:val="en-GB"/>
              </w:rPr>
              <w:t>(+2</w:t>
            </w:r>
            <w:r w:rsidR="00A67959">
              <w:rPr>
                <w:color w:val="000000" w:themeColor="text1"/>
                <w:spacing w:val="-4"/>
                <w:lang w:val="en-GB"/>
              </w:rPr>
              <w:t>.</w:t>
            </w:r>
            <w:r w:rsidR="00654093" w:rsidRPr="00FD300F">
              <w:rPr>
                <w:color w:val="000000" w:themeColor="text1"/>
                <w:spacing w:val="-4"/>
                <w:lang w:val="en-GB"/>
              </w:rPr>
              <w:t>7</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CR thus ranked on the sixth position among countries (fourth for the non-food goods). </w:t>
            </w:r>
            <w:r w:rsidR="004F7990">
              <w:rPr>
                <w:color w:val="000000" w:themeColor="text1"/>
                <w:spacing w:val="-4"/>
                <w:lang w:val="en-GB"/>
              </w:rPr>
              <w:t xml:space="preserve">The core of growth was in the EU located in countries of Central and Eastern Europe. </w:t>
            </w:r>
            <w:r w:rsidR="00523550">
              <w:rPr>
                <w:color w:val="000000" w:themeColor="text1"/>
                <w:spacing w:val="-4"/>
                <w:lang w:val="en-GB"/>
              </w:rPr>
              <w:t>Retail grew slightly above 3</w:t>
            </w:r>
            <w:r w:rsidR="00954C8E">
              <w:rPr>
                <w:color w:val="000000" w:themeColor="text1"/>
                <w:spacing w:val="-4"/>
                <w:lang w:val="en-GB"/>
              </w:rPr>
              <w:t>%</w:t>
            </w:r>
            <w:r w:rsidR="00523550">
              <w:rPr>
                <w:color w:val="000000" w:themeColor="text1"/>
                <w:spacing w:val="-4"/>
                <w:lang w:val="en-GB"/>
              </w:rPr>
              <w:t xml:space="preserve"> in Germany as well as France, Belgium, Denmark, Italy and Spain recorded growth below 1.5</w:t>
            </w:r>
            <w:r w:rsidR="00954C8E">
              <w:rPr>
                <w:color w:val="000000" w:themeColor="text1"/>
                <w:spacing w:val="-4"/>
                <w:lang w:val="en-GB"/>
              </w:rPr>
              <w:t>%</w:t>
            </w:r>
            <w:r w:rsidR="00523550">
              <w:rPr>
                <w:color w:val="000000" w:themeColor="text1"/>
                <w:spacing w:val="-4"/>
                <w:lang w:val="en-GB"/>
              </w:rPr>
              <w:t>.</w:t>
            </w:r>
          </w:p>
          <w:p w:rsidR="00523550" w:rsidRPr="00FD300F" w:rsidRDefault="00523550" w:rsidP="00523550">
            <w:pPr>
              <w:pStyle w:val="Textpoznpodarou"/>
              <w:jc w:val="both"/>
              <w:rPr>
                <w:color w:val="000000" w:themeColor="text1"/>
                <w:spacing w:val="-4"/>
                <w:lang w:val="en-GB"/>
              </w:rPr>
            </w:pPr>
          </w:p>
        </w:tc>
      </w:tr>
    </w:tbl>
    <w:p w:rsidR="00813CB4" w:rsidRPr="00654093" w:rsidRDefault="00813CB4" w:rsidP="00492991">
      <w:pPr>
        <w:pStyle w:val="Textpoznpodarou"/>
        <w:jc w:val="both"/>
        <w:rPr>
          <w:sz w:val="2"/>
          <w:szCs w:val="2"/>
        </w:rPr>
      </w:pPr>
    </w:p>
    <w:sectPr w:rsidR="00813CB4" w:rsidRPr="00654093" w:rsidSect="00855990">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03" w:rsidRDefault="00296B03" w:rsidP="00E71A58">
      <w:r>
        <w:separator/>
      </w:r>
    </w:p>
  </w:endnote>
  <w:endnote w:type="continuationSeparator" w:id="0">
    <w:p w:rsidR="00296B03" w:rsidRDefault="00296B0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787267" w:rsidRPr="005A21E0">
      <w:rPr>
        <w:rFonts w:ascii="Arial" w:hAnsi="Arial" w:cs="Arial"/>
        <w:sz w:val="16"/>
        <w:szCs w:val="16"/>
      </w:rPr>
      <w:fldChar w:fldCharType="begin"/>
    </w:r>
    <w:r w:rsidRPr="005A21E0">
      <w:rPr>
        <w:rFonts w:ascii="Arial" w:hAnsi="Arial" w:cs="Arial"/>
        <w:sz w:val="16"/>
        <w:szCs w:val="16"/>
      </w:rPr>
      <w:instrText>PAGE   \* MERGEFORMAT</w:instrText>
    </w:r>
    <w:r w:rsidR="00787267" w:rsidRPr="005A21E0">
      <w:rPr>
        <w:rFonts w:ascii="Arial" w:hAnsi="Arial" w:cs="Arial"/>
        <w:sz w:val="16"/>
        <w:szCs w:val="16"/>
      </w:rPr>
      <w:fldChar w:fldCharType="separate"/>
    </w:r>
    <w:r w:rsidR="00743573">
      <w:rPr>
        <w:rFonts w:ascii="Arial" w:hAnsi="Arial" w:cs="Arial"/>
        <w:noProof/>
        <w:sz w:val="16"/>
        <w:szCs w:val="16"/>
      </w:rPr>
      <w:t>10</w:t>
    </w:r>
    <w:r w:rsidR="00787267"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78726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7267" w:rsidRPr="00223E00">
      <w:rPr>
        <w:rFonts w:ascii="Arial" w:hAnsi="Arial" w:cs="Arial"/>
        <w:sz w:val="16"/>
        <w:szCs w:val="16"/>
      </w:rPr>
      <w:fldChar w:fldCharType="separate"/>
    </w:r>
    <w:r w:rsidR="00743573">
      <w:rPr>
        <w:rFonts w:ascii="Arial" w:hAnsi="Arial" w:cs="Arial"/>
        <w:noProof/>
        <w:sz w:val="16"/>
        <w:szCs w:val="16"/>
      </w:rPr>
      <w:t>9</w:t>
    </w:r>
    <w:r w:rsidR="0078726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03" w:rsidRDefault="00296B03" w:rsidP="00E71A58">
      <w:r>
        <w:separator/>
      </w:r>
    </w:p>
  </w:footnote>
  <w:footnote w:type="continuationSeparator" w:id="0">
    <w:p w:rsidR="00296B03" w:rsidRDefault="00296B03" w:rsidP="00E71A58">
      <w:r>
        <w:continuationSeparator/>
      </w:r>
    </w:p>
  </w:footnote>
  <w:footnote w:id="1">
    <w:p w:rsidR="00486640" w:rsidRPr="00670182" w:rsidRDefault="00486640" w:rsidP="00654093">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w:t>
      </w:r>
      <w:r w:rsidRPr="009C560D">
        <w:rPr>
          <w:color w:val="0D0D0D" w:themeColor="text1" w:themeTint="F2"/>
          <w:spacing w:val="-2"/>
          <w:sz w:val="16"/>
          <w:szCs w:val="16"/>
          <w:lang w:val="en-GB"/>
        </w:rPr>
        <w:t>Data regarding the GVA are expressed in constant prices and adjusted for seasonal and calendar effects.</w:t>
      </w:r>
      <w:r>
        <w:rPr>
          <w:color w:val="0D0D0D" w:themeColor="text1" w:themeTint="F2"/>
          <w:spacing w:val="-2"/>
          <w:sz w:val="16"/>
          <w:szCs w:val="16"/>
        </w:rPr>
        <w:t xml:space="preserve"> </w:t>
      </w:r>
    </w:p>
  </w:footnote>
  <w:footnote w:id="2">
    <w:p w:rsidR="00486640" w:rsidRPr="00E72FBF" w:rsidRDefault="00486640" w:rsidP="00654093">
      <w:pPr>
        <w:pStyle w:val="Textpoznpodarou"/>
        <w:jc w:val="both"/>
        <w:rPr>
          <w:color w:val="0D0D0D" w:themeColor="text1" w:themeTint="F2"/>
          <w:spacing w:val="-2"/>
          <w:sz w:val="16"/>
          <w:szCs w:val="16"/>
          <w:lang w:val="en-GB"/>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w:t>
      </w:r>
      <w:r w:rsidRPr="00E72FBF">
        <w:rPr>
          <w:color w:val="0D0D0D" w:themeColor="text1" w:themeTint="F2"/>
          <w:spacing w:val="-2"/>
          <w:sz w:val="16"/>
          <w:szCs w:val="16"/>
          <w:lang w:val="en-GB"/>
        </w:rPr>
        <w:t>Included branc</w:t>
      </w:r>
      <w:r>
        <w:rPr>
          <w:color w:val="0D0D0D" w:themeColor="text1" w:themeTint="F2"/>
          <w:spacing w:val="-2"/>
          <w:sz w:val="16"/>
          <w:szCs w:val="16"/>
          <w:lang w:val="en-GB"/>
        </w:rPr>
        <w:t>h</w:t>
      </w:r>
      <w:r w:rsidRPr="00E72FBF">
        <w:rPr>
          <w:color w:val="0D0D0D" w:themeColor="text1" w:themeTint="F2"/>
          <w:spacing w:val="-2"/>
          <w:sz w:val="16"/>
          <w:szCs w:val="16"/>
          <w:lang w:val="en-GB"/>
        </w:rPr>
        <w:t>es: Mining and quarrying, Manufacturing, Energetics. All year-on-year rates of growth of output (at the level of</w:t>
      </w:r>
      <w:r>
        <w:rPr>
          <w:color w:val="0D0D0D" w:themeColor="text1" w:themeTint="F2"/>
          <w:spacing w:val="-2"/>
          <w:sz w:val="16"/>
          <w:szCs w:val="16"/>
          <w:lang w:val="en-GB"/>
        </w:rPr>
        <w:t xml:space="preserve"> activity sections as well as divisions</w:t>
      </w:r>
      <w:r w:rsidRPr="00E72FBF">
        <w:rPr>
          <w:color w:val="0D0D0D" w:themeColor="text1" w:themeTint="F2"/>
          <w:spacing w:val="-2"/>
          <w:sz w:val="16"/>
          <w:szCs w:val="16"/>
          <w:lang w:val="en-GB"/>
        </w:rPr>
        <w:t xml:space="preserve">) are adjusted for calendar effects. </w:t>
      </w:r>
    </w:p>
  </w:footnote>
  <w:footnote w:id="3">
    <w:p w:rsidR="00486640" w:rsidRPr="00E72FBF" w:rsidRDefault="00486640" w:rsidP="00654093">
      <w:pPr>
        <w:pStyle w:val="Textpoznpodarou"/>
        <w:jc w:val="both"/>
        <w:rPr>
          <w:sz w:val="16"/>
          <w:szCs w:val="16"/>
          <w:lang w:val="en-GB"/>
        </w:rPr>
      </w:pPr>
      <w:r w:rsidRPr="00E72FBF">
        <w:rPr>
          <w:rStyle w:val="Znakapoznpodarou"/>
          <w:spacing w:val="-2"/>
          <w:sz w:val="16"/>
          <w:szCs w:val="16"/>
          <w:lang w:val="en-GB"/>
        </w:rPr>
        <w:footnoteRef/>
      </w:r>
      <w:r w:rsidRPr="00E72FBF">
        <w:rPr>
          <w:spacing w:val="-2"/>
          <w:sz w:val="16"/>
          <w:szCs w:val="16"/>
          <w:lang w:val="en-GB"/>
        </w:rPr>
        <w:t xml:space="preserve"> </w:t>
      </w:r>
      <w:r>
        <w:rPr>
          <w:spacing w:val="-2"/>
          <w:sz w:val="16"/>
          <w:szCs w:val="16"/>
          <w:lang w:val="en-GB"/>
        </w:rPr>
        <w:t>The calendar influences were mirrored significantly in the output of industry in both this year´s quarters. There were three working days more in year-on-year in Q1, on the contrary four days less in Q</w:t>
      </w:r>
      <w:r w:rsidRPr="00E72FBF">
        <w:rPr>
          <w:spacing w:val="-2"/>
          <w:sz w:val="16"/>
          <w:szCs w:val="16"/>
          <w:lang w:val="en-GB"/>
        </w:rPr>
        <w:t>2.</w:t>
      </w:r>
      <w:r>
        <w:rPr>
          <w:spacing w:val="-2"/>
          <w:sz w:val="16"/>
          <w:szCs w:val="16"/>
          <w:lang w:val="en-GB"/>
        </w:rPr>
        <w:t xml:space="preserve"> The growth of industry was 7.5% at the beginning of the year 2017 when not adjusted for these effects, only 3.2% in the subsequent quarter</w:t>
      </w:r>
      <w:r w:rsidRPr="00E72FBF">
        <w:rPr>
          <w:spacing w:val="-2"/>
          <w:sz w:val="16"/>
          <w:szCs w:val="16"/>
          <w:lang w:val="en-GB"/>
        </w:rPr>
        <w:t xml:space="preserve">. </w:t>
      </w:r>
      <w:r>
        <w:rPr>
          <w:spacing w:val="-2"/>
          <w:sz w:val="16"/>
          <w:szCs w:val="16"/>
          <w:lang w:val="en-GB"/>
        </w:rPr>
        <w:t>The difference between adjusted and non-adjusted output was the highest in the history of monitoring (since year 20</w:t>
      </w:r>
      <w:r w:rsidR="00004BF2">
        <w:rPr>
          <w:spacing w:val="-2"/>
          <w:sz w:val="16"/>
          <w:szCs w:val="16"/>
          <w:lang w:val="en-GB"/>
        </w:rPr>
        <w:t>0</w:t>
      </w:r>
      <w:r>
        <w:rPr>
          <w:spacing w:val="-2"/>
          <w:sz w:val="16"/>
          <w:szCs w:val="16"/>
          <w:lang w:val="en-GB"/>
        </w:rPr>
        <w:t xml:space="preserve">1) in Q2 </w:t>
      </w:r>
      <w:r w:rsidR="00004BF2">
        <w:rPr>
          <w:spacing w:val="-2"/>
          <w:sz w:val="16"/>
          <w:szCs w:val="16"/>
          <w:lang w:val="en-GB"/>
        </w:rPr>
        <w:t xml:space="preserve">2017 </w:t>
      </w:r>
      <w:r>
        <w:rPr>
          <w:spacing w:val="-2"/>
          <w:sz w:val="16"/>
          <w:szCs w:val="16"/>
          <w:lang w:val="en-GB"/>
        </w:rPr>
        <w:t xml:space="preserve">(3.6 p. p.). </w:t>
      </w:r>
    </w:p>
  </w:footnote>
  <w:footnote w:id="4">
    <w:p w:rsidR="00486640" w:rsidRPr="00E72FBF" w:rsidRDefault="00486640" w:rsidP="00654093">
      <w:pPr>
        <w:pStyle w:val="Textpoznpodarou"/>
        <w:jc w:val="both"/>
        <w:rPr>
          <w:color w:val="0D0D0D" w:themeColor="text1" w:themeTint="F2"/>
          <w:sz w:val="16"/>
          <w:szCs w:val="16"/>
          <w:lang w:val="en-GB"/>
        </w:rPr>
      </w:pPr>
      <w:r w:rsidRPr="00E72FBF">
        <w:rPr>
          <w:rStyle w:val="Znakapoznpodarou"/>
          <w:color w:val="0D0D0D" w:themeColor="text1" w:themeTint="F2"/>
          <w:sz w:val="16"/>
          <w:szCs w:val="16"/>
          <w:lang w:val="en-GB"/>
        </w:rPr>
        <w:footnoteRef/>
      </w:r>
      <w:r w:rsidRPr="00E72FBF">
        <w:rPr>
          <w:color w:val="0D0D0D" w:themeColor="text1" w:themeTint="F2"/>
          <w:sz w:val="16"/>
          <w:szCs w:val="16"/>
          <w:lang w:val="en-GB"/>
        </w:rPr>
        <w:t xml:space="preserve"> </w:t>
      </w:r>
      <w:r>
        <w:rPr>
          <w:color w:val="0D0D0D" w:themeColor="text1" w:themeTint="F2"/>
          <w:sz w:val="16"/>
          <w:szCs w:val="16"/>
          <w:lang w:val="en-GB"/>
        </w:rPr>
        <w:t xml:space="preserve">Based on the data of the </w:t>
      </w:r>
      <w:proofErr w:type="gramStart"/>
      <w:r>
        <w:rPr>
          <w:color w:val="0D0D0D" w:themeColor="text1" w:themeTint="F2"/>
          <w:sz w:val="16"/>
          <w:szCs w:val="16"/>
          <w:lang w:val="en-GB"/>
        </w:rPr>
        <w:t>Automotive</w:t>
      </w:r>
      <w:proofErr w:type="gramEnd"/>
      <w:r>
        <w:rPr>
          <w:color w:val="0D0D0D" w:themeColor="text1" w:themeTint="F2"/>
          <w:sz w:val="16"/>
          <w:szCs w:val="16"/>
          <w:lang w:val="en-GB"/>
        </w:rPr>
        <w:t xml:space="preserve"> industry association, there were 823 thousand private vehicles manufactured in the CR in the first seven months of year 2017, by 6.2% more year-on-year</w:t>
      </w:r>
      <w:r w:rsidRPr="00E72FBF">
        <w:rPr>
          <w:color w:val="0D0D0D" w:themeColor="text1" w:themeTint="F2"/>
          <w:sz w:val="16"/>
          <w:szCs w:val="16"/>
          <w:lang w:val="en-GB"/>
        </w:rPr>
        <w:t xml:space="preserve">. </w:t>
      </w:r>
      <w:r>
        <w:rPr>
          <w:color w:val="0D0D0D" w:themeColor="text1" w:themeTint="F2"/>
          <w:sz w:val="16"/>
          <w:szCs w:val="16"/>
          <w:lang w:val="en-GB"/>
        </w:rPr>
        <w:t>Majority of manufacturers of other types of motor vehicles also registered a growth.</w:t>
      </w:r>
    </w:p>
  </w:footnote>
  <w:footnote w:id="5">
    <w:p w:rsidR="00486640" w:rsidRPr="00EC671E" w:rsidRDefault="00486640" w:rsidP="00654093">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w:t>
      </w:r>
      <w:r w:rsidRPr="00D6562C">
        <w:rPr>
          <w:rFonts w:cs="Arial"/>
          <w:color w:val="0D0D0D" w:themeColor="text1" w:themeTint="F2"/>
          <w:sz w:val="16"/>
          <w:szCs w:val="16"/>
          <w:lang w:val="en-GB"/>
        </w:rPr>
        <w:t>Industrial orders are monitored only in the selected CZ-NACE divisions (13, 14, 17, 20 to 21, 24 to 30), which manufacture mostly to contracts, with longer term production cycle and larger stocks of orders</w:t>
      </w:r>
      <w:r>
        <w:rPr>
          <w:rFonts w:cs="Arial"/>
          <w:color w:val="0D0D0D" w:themeColor="text1" w:themeTint="F2"/>
          <w:sz w:val="16"/>
          <w:szCs w:val="16"/>
        </w:rPr>
        <w:t xml:space="preserve">. </w:t>
      </w:r>
    </w:p>
  </w:footnote>
  <w:footnote w:id="6">
    <w:p w:rsidR="00486640" w:rsidRPr="001F3988" w:rsidRDefault="00486640" w:rsidP="00A762F6">
      <w:pPr>
        <w:pStyle w:val="Textpoznpodarou"/>
        <w:jc w:val="both"/>
        <w:rPr>
          <w:spacing w:val="-4"/>
          <w:sz w:val="16"/>
          <w:szCs w:val="16"/>
          <w:lang w:val="en-GB"/>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sidRPr="001F3988">
        <w:rPr>
          <w:color w:val="0D0D0D" w:themeColor="text1" w:themeTint="F2"/>
          <w:spacing w:val="-4"/>
          <w:sz w:val="16"/>
          <w:szCs w:val="16"/>
          <w:lang w:val="en-GB"/>
        </w:rPr>
        <w:t>The year-on-year data related to the construction output are corrected for the calendar effects. Without this adjustment, the production would grow only by 5.4</w:t>
      </w:r>
      <w:r>
        <w:rPr>
          <w:color w:val="0D0D0D" w:themeColor="text1" w:themeTint="F2"/>
          <w:spacing w:val="-4"/>
          <w:sz w:val="16"/>
          <w:szCs w:val="16"/>
          <w:lang w:val="en-GB"/>
        </w:rPr>
        <w:t>%</w:t>
      </w:r>
      <w:r w:rsidRPr="001F3988">
        <w:rPr>
          <w:color w:val="0D0D0D" w:themeColor="text1" w:themeTint="F2"/>
          <w:spacing w:val="-4"/>
          <w:sz w:val="16"/>
          <w:szCs w:val="16"/>
          <w:lang w:val="en-GB"/>
        </w:rPr>
        <w:t xml:space="preserve"> in Q2 2017.</w:t>
      </w:r>
    </w:p>
  </w:footnote>
  <w:footnote w:id="7">
    <w:p w:rsidR="00486640" w:rsidRPr="00A762F6" w:rsidRDefault="00486640" w:rsidP="00A762F6">
      <w:pPr>
        <w:pStyle w:val="Textpoznpodarou"/>
        <w:jc w:val="both"/>
        <w:rPr>
          <w:sz w:val="16"/>
          <w:szCs w:val="16"/>
          <w:lang w:val="en-GB"/>
        </w:rPr>
      </w:pPr>
      <w:r w:rsidRPr="00A762F6">
        <w:rPr>
          <w:rStyle w:val="Znakapoznpodarou"/>
          <w:sz w:val="16"/>
          <w:szCs w:val="16"/>
          <w:lang w:val="en-GB"/>
        </w:rPr>
        <w:footnoteRef/>
      </w:r>
      <w:r w:rsidRPr="00A762F6">
        <w:rPr>
          <w:sz w:val="16"/>
          <w:szCs w:val="16"/>
          <w:lang w:val="en-GB"/>
        </w:rPr>
        <w:t xml:space="preserve"> Figure includes only construction businesses with 50 and more employees.</w:t>
      </w:r>
    </w:p>
  </w:footnote>
  <w:footnote w:id="8">
    <w:p w:rsidR="00486640" w:rsidRPr="003E73E7" w:rsidRDefault="00486640" w:rsidP="003E73E7">
      <w:pPr>
        <w:pStyle w:val="Textpoznpodarou"/>
        <w:jc w:val="both"/>
        <w:rPr>
          <w:color w:val="0D0D0D" w:themeColor="text1" w:themeTint="F2"/>
          <w:sz w:val="16"/>
          <w:szCs w:val="16"/>
          <w:lang w:val="en-GB"/>
        </w:rPr>
      </w:pPr>
      <w:r w:rsidRPr="004A26AF">
        <w:rPr>
          <w:rStyle w:val="Znakapoznpodarou"/>
          <w:color w:val="0D0D0D" w:themeColor="text1" w:themeTint="F2"/>
          <w:sz w:val="16"/>
          <w:szCs w:val="16"/>
        </w:rPr>
        <w:footnoteRef/>
      </w:r>
      <w:r w:rsidRPr="003E73E7">
        <w:rPr>
          <w:color w:val="0D0D0D" w:themeColor="text1" w:themeTint="F2"/>
          <w:sz w:val="16"/>
          <w:szCs w:val="16"/>
          <w:lang w:val="en-GB"/>
        </w:rPr>
        <w:t xml:space="preserve">Excluding trade, financial and insurance activities, science, research and public services. All data for services are adjusted for calendar effects in constant prices. </w:t>
      </w:r>
    </w:p>
  </w:footnote>
  <w:footnote w:id="9">
    <w:p w:rsidR="00486640" w:rsidRPr="00A94BF6" w:rsidRDefault="00486640" w:rsidP="00654093">
      <w:pPr>
        <w:pStyle w:val="Textpoznpodarou"/>
        <w:rPr>
          <w:sz w:val="16"/>
          <w:szCs w:val="16"/>
          <w:lang w:val="en-GB"/>
        </w:rPr>
      </w:pPr>
      <w:r w:rsidRPr="00544A98">
        <w:rPr>
          <w:rStyle w:val="Znakapoznpodarou"/>
          <w:sz w:val="16"/>
          <w:szCs w:val="16"/>
        </w:rPr>
        <w:footnoteRef/>
      </w:r>
      <w:r w:rsidRPr="00544A98">
        <w:rPr>
          <w:sz w:val="16"/>
          <w:szCs w:val="16"/>
        </w:rPr>
        <w:t xml:space="preserve"> </w:t>
      </w:r>
      <w:r w:rsidRPr="00A94BF6">
        <w:rPr>
          <w:sz w:val="16"/>
          <w:szCs w:val="16"/>
          <w:lang w:val="en-GB"/>
        </w:rPr>
        <w:t xml:space="preserve">Data do not include the motorist segment. Retail data are adjusted for calendar effects in constant prices.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0D252BD"/>
    <w:multiLevelType w:val="hybridMultilevel"/>
    <w:tmpl w:val="64241A0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0"/>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6"/>
  </w:num>
  <w:num w:numId="17">
    <w:abstractNumId w:val="6"/>
  </w:num>
  <w:num w:numId="18">
    <w:abstractNumId w:val="22"/>
  </w:num>
  <w:num w:numId="19">
    <w:abstractNumId w:val="9"/>
  </w:num>
  <w:num w:numId="20">
    <w:abstractNumId w:val="1"/>
  </w:num>
  <w:num w:numId="21">
    <w:abstractNumId w:val="12"/>
  </w:num>
  <w:num w:numId="22">
    <w:abstractNumId w:val="14"/>
  </w:num>
  <w:num w:numId="23">
    <w:abstractNumId w:val="3"/>
  </w:num>
  <w:num w:numId="2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B03"/>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183"/>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3573"/>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90"/>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pololet&#237;-aktual\GB%20verze\Engl-Odv&#283;tv&#237;%20grafy-2q-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2040029038385493E-2"/>
          <c:y val="1.9513175616352466E-2"/>
          <c:w val="0.92433548575003111"/>
          <c:h val="0.75083417764269056"/>
        </c:manualLayout>
      </c:layout>
      <c:barChart>
        <c:barDir val="col"/>
        <c:grouping val="clustered"/>
        <c:ser>
          <c:idx val="0"/>
          <c:order val="0"/>
          <c:tx>
            <c:strRef>
              <c:f>'výkonnost odvětví 1'!$B$30</c:f>
              <c:strCache>
                <c:ptCount val="1"/>
                <c:pt idx="0">
                  <c:v>Industry total (B+C+D)</c:v>
                </c:pt>
              </c:strCache>
            </c:strRef>
          </c:tx>
          <c:spPr>
            <a:solidFill>
              <a:schemeClr val="bg1">
                <a:lumMod val="65000"/>
              </a:schemeClr>
            </a:solidFill>
            <a:ln w="12700">
              <a:noFill/>
              <a:prstDash val="solid"/>
            </a:ln>
          </c:spP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1'!$C$30:$AF$30</c:f>
              <c:numCache>
                <c:formatCode>#,##0.0</c:formatCode>
                <c:ptCount val="30"/>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pt idx="29">
                  <c:v>6.8</c:v>
                </c:pt>
              </c:numCache>
            </c:numRef>
          </c:val>
        </c:ser>
        <c:gapWidth val="30"/>
        <c:axId val="101137408"/>
        <c:axId val="101355520"/>
      </c:barChart>
      <c:lineChart>
        <c:grouping val="standard"/>
        <c:ser>
          <c:idx val="3"/>
          <c:order val="1"/>
          <c:tx>
            <c:strRef>
              <c:f>'výkonnost odvětví 1'!$B$31</c:f>
              <c:strCache>
                <c:ptCount val="1"/>
                <c:pt idx="0">
                  <c:v>Food products and beverages</c:v>
                </c:pt>
              </c:strCache>
            </c:strRef>
          </c:tx>
          <c:spPr>
            <a:ln w="19050">
              <a:solidFill>
                <a:srgbClr val="7DBB2D"/>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1'!$C$31:$AF$31</c:f>
              <c:numCache>
                <c:formatCode>#,##0.0</c:formatCode>
                <c:ptCount val="30"/>
                <c:pt idx="0">
                  <c:v>-1.4</c:v>
                </c:pt>
                <c:pt idx="1">
                  <c:v>-4.7</c:v>
                </c:pt>
                <c:pt idx="2">
                  <c:v>-3.1</c:v>
                </c:pt>
                <c:pt idx="3">
                  <c:v>-4.0999999999999996</c:v>
                </c:pt>
                <c:pt idx="4">
                  <c:v>-0.30000000000000032</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0.60000000000000064</c:v>
                </c:pt>
                <c:pt idx="19">
                  <c:v>5.7</c:v>
                </c:pt>
                <c:pt idx="20">
                  <c:v>4.4000000000000004</c:v>
                </c:pt>
                <c:pt idx="21">
                  <c:v>1.1000000000000001</c:v>
                </c:pt>
                <c:pt idx="22">
                  <c:v>8.2000000000000011</c:v>
                </c:pt>
                <c:pt idx="23">
                  <c:v>3.8</c:v>
                </c:pt>
                <c:pt idx="24">
                  <c:v>-0.8</c:v>
                </c:pt>
                <c:pt idx="25">
                  <c:v>0.8</c:v>
                </c:pt>
                <c:pt idx="26">
                  <c:v>0.60000000000000064</c:v>
                </c:pt>
                <c:pt idx="27">
                  <c:v>-1.9000000000000001</c:v>
                </c:pt>
                <c:pt idx="28">
                  <c:v>2.6</c:v>
                </c:pt>
                <c:pt idx="29">
                  <c:v>5</c:v>
                </c:pt>
              </c:numCache>
            </c:numRef>
          </c:val>
        </c:ser>
        <c:ser>
          <c:idx val="1"/>
          <c:order val="2"/>
          <c:tx>
            <c:strRef>
              <c:f>'výkonnost odvětví 1'!$B$32</c:f>
              <c:strCache>
                <c:ptCount val="1"/>
                <c:pt idx="0">
                  <c:v>Chemical industry</c:v>
                </c:pt>
              </c:strCache>
            </c:strRef>
          </c:tx>
          <c:spPr>
            <a:ln w="19050">
              <a:solidFill>
                <a:srgbClr val="F8A124"/>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1'!$C$32:$AF$32</c:f>
              <c:numCache>
                <c:formatCode>#,##0.0</c:formatCode>
                <c:ptCount val="30"/>
                <c:pt idx="0">
                  <c:v>0</c:v>
                </c:pt>
                <c:pt idx="1">
                  <c:v>-1.3</c:v>
                </c:pt>
                <c:pt idx="2">
                  <c:v>13.8</c:v>
                </c:pt>
                <c:pt idx="3">
                  <c:v>12.1</c:v>
                </c:pt>
                <c:pt idx="4">
                  <c:v>2.6</c:v>
                </c:pt>
                <c:pt idx="5">
                  <c:v>-4.7</c:v>
                </c:pt>
                <c:pt idx="6">
                  <c:v>-8.5</c:v>
                </c:pt>
                <c:pt idx="7">
                  <c:v>-8</c:v>
                </c:pt>
                <c:pt idx="8">
                  <c:v>3.1</c:v>
                </c:pt>
                <c:pt idx="9">
                  <c:v>0.60000000000000064</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pt idx="29">
                  <c:v>24</c:v>
                </c:pt>
              </c:numCache>
            </c:numRef>
          </c:val>
        </c:ser>
        <c:ser>
          <c:idx val="7"/>
          <c:order val="3"/>
          <c:tx>
            <c:strRef>
              <c:f>'výkonnost odvětví 1'!$B$33</c:f>
              <c:strCache>
                <c:ptCount val="1"/>
                <c:pt idx="0">
                  <c:v>Computers, electronics,optical appliances</c:v>
                </c:pt>
              </c:strCache>
            </c:strRef>
          </c:tx>
          <c:spPr>
            <a:ln w="19050">
              <a:solidFill>
                <a:srgbClr val="48AEE7"/>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1'!$C$33:$AF$33</c:f>
              <c:numCache>
                <c:formatCode>#,##0.0</c:formatCode>
                <c:ptCount val="30"/>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pt idx="29">
                  <c:v>18.100000000000001</c:v>
                </c:pt>
              </c:numCache>
            </c:numRef>
          </c:val>
        </c:ser>
        <c:ser>
          <c:idx val="2"/>
          <c:order val="4"/>
          <c:tx>
            <c:strRef>
              <c:f>'výkonnost odvětví 1'!$B$34</c:f>
              <c:strCache>
                <c:ptCount val="1"/>
                <c:pt idx="0">
                  <c:v>Motor vehicles</c:v>
                </c:pt>
              </c:strCache>
            </c:strRef>
          </c:tx>
          <c:spPr>
            <a:ln w="19050">
              <a:solidFill>
                <a:srgbClr val="BD1B21"/>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1'!$C$34:$AF$34</c:f>
              <c:numCache>
                <c:formatCode>#,##0.0</c:formatCode>
                <c:ptCount val="30"/>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14.6</c:v>
                </c:pt>
                <c:pt idx="26">
                  <c:v>6.4</c:v>
                </c:pt>
                <c:pt idx="27">
                  <c:v>7</c:v>
                </c:pt>
                <c:pt idx="28">
                  <c:v>10.5</c:v>
                </c:pt>
                <c:pt idx="29">
                  <c:v>9.8000000000000007</c:v>
                </c:pt>
              </c:numCache>
            </c:numRef>
          </c:val>
        </c:ser>
        <c:ser>
          <c:idx val="5"/>
          <c:order val="5"/>
          <c:tx>
            <c:strRef>
              <c:f>'výkonnost odvětví 1'!$B$35</c:f>
              <c:strCache>
                <c:ptCount val="1"/>
                <c:pt idx="0">
                  <c:v>Energy industry</c:v>
                </c:pt>
              </c:strCache>
            </c:strRef>
          </c:tx>
          <c:spPr>
            <a:ln w="19050">
              <a:noFill/>
            </a:ln>
          </c:spPr>
          <c:marker>
            <c:symbol val="diamond"/>
            <c:size val="5"/>
            <c:spPr>
              <a:solidFill>
                <a:schemeClr val="tx1">
                  <a:lumMod val="95000"/>
                  <a:lumOff val="5000"/>
                </a:schemeClr>
              </a:solidFill>
              <a:ln>
                <a:noFill/>
              </a:ln>
            </c:spPr>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1'!$C$35:$AF$35</c:f>
              <c:numCache>
                <c:formatCode>#,##0.0</c:formatCode>
                <c:ptCount val="30"/>
                <c:pt idx="0">
                  <c:v>3.3</c:v>
                </c:pt>
                <c:pt idx="1">
                  <c:v>5</c:v>
                </c:pt>
                <c:pt idx="2">
                  <c:v>8.5</c:v>
                </c:pt>
                <c:pt idx="3">
                  <c:v>2.6</c:v>
                </c:pt>
                <c:pt idx="4">
                  <c:v>-4</c:v>
                </c:pt>
                <c:pt idx="5">
                  <c:v>0.30000000000000032</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4.3</c:v>
                </c:pt>
                <c:pt idx="29">
                  <c:v>0.30000000000000032</c:v>
                </c:pt>
              </c:numCache>
            </c:numRef>
          </c:val>
        </c:ser>
        <c:marker val="1"/>
        <c:axId val="101137408"/>
        <c:axId val="101355520"/>
      </c:lineChart>
      <c:catAx>
        <c:axId val="10113740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1355520"/>
        <c:crossesAt val="0"/>
        <c:lblAlgn val="ctr"/>
        <c:lblOffset val="0"/>
        <c:tickLblSkip val="1"/>
        <c:tickMarkSkip val="4"/>
      </c:catAx>
      <c:valAx>
        <c:axId val="101355520"/>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1137408"/>
        <c:crosses val="autoZero"/>
        <c:crossBetween val="between"/>
        <c:majorUnit val="5"/>
      </c:valAx>
      <c:spPr>
        <a:noFill/>
        <a:ln w="9525">
          <a:solidFill>
            <a:schemeClr val="tx1"/>
          </a:solidFill>
        </a:ln>
      </c:spPr>
    </c:plotArea>
    <c:legend>
      <c:legendPos val="b"/>
      <c:layout>
        <c:manualLayout>
          <c:xMode val="edge"/>
          <c:yMode val="edge"/>
          <c:x val="6.0825137685827264E-2"/>
          <c:y val="0.87213891703253565"/>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088E-2"/>
          <c:w val="0.92988062751698064"/>
          <c:h val="0.74907069683665461"/>
        </c:manualLayout>
      </c:layout>
      <c:barChart>
        <c:barDir val="col"/>
        <c:grouping val="clustered"/>
        <c:ser>
          <c:idx val="0"/>
          <c:order val="0"/>
          <c:tx>
            <c:strRef>
              <c:f>'výkonnost odvětví 2'!$B$31</c:f>
              <c:strCache>
                <c:ptCount val="1"/>
                <c:pt idx="0">
                  <c:v>Total industry orders</c:v>
                </c:pt>
              </c:strCache>
            </c:strRef>
          </c:tx>
          <c:spPr>
            <a:solidFill>
              <a:schemeClr val="bg1">
                <a:lumMod val="65000"/>
              </a:schemeClr>
            </a:solidFill>
            <a:ln w="12700">
              <a:noFill/>
              <a:prstDash val="solid"/>
            </a:ln>
          </c:spP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2'!$C$31:$AF$31</c:f>
              <c:numCache>
                <c:formatCode>#,##0__</c:formatCode>
                <c:ptCount val="30"/>
                <c:pt idx="0">
                  <c:v>12.055392746813197</c:v>
                </c:pt>
                <c:pt idx="1">
                  <c:v>18.791785748936761</c:v>
                </c:pt>
                <c:pt idx="2">
                  <c:v>17.444096590215729</c:v>
                </c:pt>
                <c:pt idx="3">
                  <c:v>13.260899648585324</c:v>
                </c:pt>
                <c:pt idx="4" formatCode="#,##0.0__">
                  <c:v>12.043109882578847</c:v>
                </c:pt>
                <c:pt idx="5" formatCode="#,##0.0__">
                  <c:v>5.329288738434343</c:v>
                </c:pt>
                <c:pt idx="6" formatCode="#,##0.0__">
                  <c:v>-1.5038252425140923</c:v>
                </c:pt>
                <c:pt idx="7" formatCode="#,##0.0__">
                  <c:v>0.49985212637597076</c:v>
                </c:pt>
                <c:pt idx="8" formatCode="#,##0.0__">
                  <c:v>7.8919813268951096</c:v>
                </c:pt>
                <c:pt idx="9" formatCode="#,##0.0__">
                  <c:v>0.24365995359796996</c:v>
                </c:pt>
                <c:pt idx="10" formatCode="#,##0.0__">
                  <c:v>2.6780171683964693</c:v>
                </c:pt>
                <c:pt idx="11" formatCode="#,##0.0__">
                  <c:v>-2.2928067612426872</c:v>
                </c:pt>
                <c:pt idx="12" formatCode="#,##0.0__">
                  <c:v>-6.7566807507372015</c:v>
                </c:pt>
                <c:pt idx="13" formatCode="#,##0.0__">
                  <c:v>-0.77743655462337924</c:v>
                </c:pt>
                <c:pt idx="14" formatCode="#,##0.0__">
                  <c:v>12.110633355214674</c:v>
                </c:pt>
                <c:pt idx="15" formatCode="#,##0.0__">
                  <c:v>12.61158784734172</c:v>
                </c:pt>
                <c:pt idx="16" formatCode="#,##0.0__">
                  <c:v>18.162563874667111</c:v>
                </c:pt>
                <c:pt idx="17" formatCode="#,##0.0__">
                  <c:v>13.482126304908059</c:v>
                </c:pt>
                <c:pt idx="18" formatCode="#,##0.0__">
                  <c:v>11.650462908552004</c:v>
                </c:pt>
                <c:pt idx="19" formatCode="#,##0.0__">
                  <c:v>7.4466461221971407</c:v>
                </c:pt>
                <c:pt idx="20" formatCode="#,##0.0__">
                  <c:v>8.6601281679304396</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6.4782911884818253</c:v>
                </c:pt>
                <c:pt idx="28" formatCode="#,##0.0__">
                  <c:v>9.9432376163981502</c:v>
                </c:pt>
                <c:pt idx="29" formatCode="#,##0.0__">
                  <c:v>3.6195909194471625</c:v>
                </c:pt>
              </c:numCache>
            </c:numRef>
          </c:val>
        </c:ser>
        <c:gapWidth val="34"/>
        <c:overlap val="28"/>
        <c:axId val="101948800"/>
        <c:axId val="124138240"/>
      </c:barChart>
      <c:lineChart>
        <c:grouping val="standard"/>
        <c:ser>
          <c:idx val="2"/>
          <c:order val="1"/>
          <c:tx>
            <c:strRef>
              <c:f>'výkonnost odvětví 2'!$B$32</c:f>
              <c:strCache>
                <c:ptCount val="1"/>
                <c:pt idx="0">
                  <c:v>Domestic industry orders</c:v>
                </c:pt>
              </c:strCache>
            </c:strRef>
          </c:tx>
          <c:spPr>
            <a:ln w="19050">
              <a:solidFill>
                <a:srgbClr val="0071BC"/>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2'!$C$32:$AF$32</c:f>
              <c:numCache>
                <c:formatCode>#,##0__</c:formatCode>
                <c:ptCount val="30"/>
                <c:pt idx="0">
                  <c:v>9.3690276852933057</c:v>
                </c:pt>
                <c:pt idx="1">
                  <c:v>20.682181592692444</c:v>
                </c:pt>
                <c:pt idx="2">
                  <c:v>16.573478131898671</c:v>
                </c:pt>
                <c:pt idx="3">
                  <c:v>7.6006939720973321</c:v>
                </c:pt>
                <c:pt idx="4" formatCode="#,##0.0__">
                  <c:v>2.8145828625014992</c:v>
                </c:pt>
                <c:pt idx="5" formatCode="#,##0.0__">
                  <c:v>-0.65160236646085079</c:v>
                </c:pt>
                <c:pt idx="6" formatCode="#,##0.0__">
                  <c:v>-11.671779874966376</c:v>
                </c:pt>
                <c:pt idx="7" formatCode="#,##0.0__">
                  <c:v>-10.696553928195002</c:v>
                </c:pt>
                <c:pt idx="8" formatCode="#,##0.0__">
                  <c:v>2.6214089523072488</c:v>
                </c:pt>
                <c:pt idx="9" formatCode="#,##0.0__">
                  <c:v>-9.2467358771092787</c:v>
                </c:pt>
                <c:pt idx="10" formatCode="#,##0.0__">
                  <c:v>-2.8571327008706082</c:v>
                </c:pt>
                <c:pt idx="11" formatCode="#,##0.0__">
                  <c:v>-4.0487131301687915</c:v>
                </c:pt>
                <c:pt idx="12" formatCode="#,##0.0__">
                  <c:v>-7.1126687487238414</c:v>
                </c:pt>
                <c:pt idx="13" formatCode="#,##0.0__">
                  <c:v>-0.59564647244366165</c:v>
                </c:pt>
                <c:pt idx="14" formatCode="#,##0.0__">
                  <c:v>9.3846900381038747</c:v>
                </c:pt>
                <c:pt idx="15" formatCode="#,##0.0__">
                  <c:v>7.0781764130708726</c:v>
                </c:pt>
                <c:pt idx="16" formatCode="#,##0.0__">
                  <c:v>13.320088621608226</c:v>
                </c:pt>
                <c:pt idx="17" formatCode="#,##0.0__">
                  <c:v>7.6021800914440689</c:v>
                </c:pt>
                <c:pt idx="18" formatCode="#,##0.0__">
                  <c:v>17.491767655905477</c:v>
                </c:pt>
                <c:pt idx="19" formatCode="#,##0.0__">
                  <c:v>10.07772805392962</c:v>
                </c:pt>
                <c:pt idx="20" formatCode="#,##0.0__">
                  <c:v>5.7894297437900031</c:v>
                </c:pt>
                <c:pt idx="21" formatCode="#,##0.0__">
                  <c:v>11.162593735327249</c:v>
                </c:pt>
                <c:pt idx="22" formatCode="#,##0.0__">
                  <c:v>-4.0508483479998176</c:v>
                </c:pt>
                <c:pt idx="23" formatCode="#,##0.0__">
                  <c:v>1.8219061224914839</c:v>
                </c:pt>
                <c:pt idx="24" formatCode="#,##0.0__">
                  <c:v>1.3670231871965086</c:v>
                </c:pt>
                <c:pt idx="25" formatCode="#,##0.0__">
                  <c:v>6.1144874584533317</c:v>
                </c:pt>
                <c:pt idx="26" formatCode="#,##0.0__">
                  <c:v>-0.208282602941253</c:v>
                </c:pt>
                <c:pt idx="27" formatCode="#,##0.0__">
                  <c:v>3.0760686001194366</c:v>
                </c:pt>
                <c:pt idx="28" formatCode="#,##0.0__">
                  <c:v>10.978389781409588</c:v>
                </c:pt>
                <c:pt idx="29" formatCode="#,##0.0__">
                  <c:v>6.3261882148095845</c:v>
                </c:pt>
              </c:numCache>
            </c:numRef>
          </c:val>
        </c:ser>
        <c:ser>
          <c:idx val="5"/>
          <c:order val="2"/>
          <c:tx>
            <c:strRef>
              <c:f>'výkonnost odvětví 2'!$B$33</c:f>
              <c:strCache>
                <c:ptCount val="1"/>
                <c:pt idx="0">
                  <c:v>Foreign industry orders</c:v>
                </c:pt>
              </c:strCache>
            </c:strRef>
          </c:tx>
          <c:spPr>
            <a:ln w="19050">
              <a:solidFill>
                <a:srgbClr val="BD1B21"/>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2'!$C$33:$AF$33</c:f>
              <c:numCache>
                <c:formatCode>#,##0__</c:formatCode>
                <c:ptCount val="30"/>
                <c:pt idx="0">
                  <c:v>13.967994717912196</c:v>
                </c:pt>
                <c:pt idx="1">
                  <c:v>17.501951580886164</c:v>
                </c:pt>
                <c:pt idx="2">
                  <c:v>18.066389248755868</c:v>
                </c:pt>
                <c:pt idx="3">
                  <c:v>17.763791144855006</c:v>
                </c:pt>
                <c:pt idx="4" formatCode="#,##0.0__">
                  <c:v>18.348359830124476</c:v>
                </c:pt>
                <c:pt idx="5" formatCode="#,##0.0__">
                  <c:v>9.5205485847743709</c:v>
                </c:pt>
                <c:pt idx="6" formatCode="#,##0.0__">
                  <c:v>5.6719989098307195</c:v>
                </c:pt>
                <c:pt idx="7" formatCode="#,##0.0__">
                  <c:v>8.6383086882355951</c:v>
                </c:pt>
                <c:pt idx="8" formatCode="#,##0.0__">
                  <c:v>11.020367044503203</c:v>
                </c:pt>
                <c:pt idx="9" formatCode="#,##0.0__">
                  <c:v>6.2765550752876891</c:v>
                </c:pt>
                <c:pt idx="10" formatCode="#,##0.0__">
                  <c:v>5.9432809771147106</c:v>
                </c:pt>
                <c:pt idx="11" formatCode="#,##0.0__">
                  <c:v>-1.2435707077734555</c:v>
                </c:pt>
                <c:pt idx="12" formatCode="#,##0.0__">
                  <c:v>-6.5613810568299265</c:v>
                </c:pt>
                <c:pt idx="13" formatCode="#,##0.0__">
                  <c:v>-0.87612893265552083</c:v>
                </c:pt>
                <c:pt idx="14" formatCode="#,##0.0__">
                  <c:v>13.585017236629072</c:v>
                </c:pt>
                <c:pt idx="15" formatCode="#,##0.0__">
                  <c:v>15.823868051866199</c:v>
                </c:pt>
                <c:pt idx="16" formatCode="#,##0.0__">
                  <c:v>20.803737843093923</c:v>
                </c:pt>
                <c:pt idx="17" formatCode="#,##0.0__">
                  <c:v>16.683085155498258</c:v>
                </c:pt>
                <c:pt idx="18" formatCode="#,##0.0__">
                  <c:v>8.6077426037905482</c:v>
                </c:pt>
                <c:pt idx="19" formatCode="#,##0.0__">
                  <c:v>6.0345642153573777</c:v>
                </c:pt>
                <c:pt idx="20" formatCode="#,##0.0__">
                  <c:v>10.12888062925188</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9.4372753873575022</c:v>
                </c:pt>
                <c:pt idx="29" formatCode="#,##0.0__">
                  <c:v>2.2751291102671312</c:v>
                </c:pt>
              </c:numCache>
            </c:numRef>
          </c:val>
        </c:ser>
        <c:ser>
          <c:idx val="3"/>
          <c:order val="3"/>
          <c:tx>
            <c:strRef>
              <c:f>'výkonnost odvětví 2'!$B$34</c:f>
              <c:strCache>
                <c:ptCount val="1"/>
                <c:pt idx="0">
                  <c:v>Foreign orders (motor vehicles)</c:v>
                </c:pt>
              </c:strCache>
            </c:strRef>
          </c:tx>
          <c:spPr>
            <a:ln w="19050">
              <a:solidFill>
                <a:srgbClr val="7DBB2D"/>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2'!$C$34:$AF$34</c:f>
              <c:numCache>
                <c:formatCode>#,##0__</c:formatCode>
                <c:ptCount val="30"/>
                <c:pt idx="0">
                  <c:v>24.008427520841689</c:v>
                </c:pt>
                <c:pt idx="1">
                  <c:v>14.674010935341046</c:v>
                </c:pt>
                <c:pt idx="2">
                  <c:v>9.7391351049218109</c:v>
                </c:pt>
                <c:pt idx="3">
                  <c:v>16.783125711775629</c:v>
                </c:pt>
                <c:pt idx="4" formatCode="#,##0.0__">
                  <c:v>15.478617181437468</c:v>
                </c:pt>
                <c:pt idx="5" formatCode="#,##0.0__">
                  <c:v>11.72821468805186</c:v>
                </c:pt>
                <c:pt idx="6" formatCode="#,##0.0__">
                  <c:v>6.542679880774311</c:v>
                </c:pt>
                <c:pt idx="7" formatCode="#,##0.0__">
                  <c:v>6.6356960264430711</c:v>
                </c:pt>
                <c:pt idx="8" formatCode="#,##0.0__">
                  <c:v>22.670301977911127</c:v>
                </c:pt>
                <c:pt idx="9" formatCode="#,##0.0__">
                  <c:v>13.96015573008407</c:v>
                </c:pt>
                <c:pt idx="10" formatCode="#,##0.0__">
                  <c:v>3.8554465624995227</c:v>
                </c:pt>
                <c:pt idx="11" formatCode="#,##0.0__">
                  <c:v>-0.92548587727675624</c:v>
                </c:pt>
                <c:pt idx="12" formatCode="#,##0.0__">
                  <c:v>-14.839347610315926</c:v>
                </c:pt>
                <c:pt idx="13" formatCode="#,##0.0__">
                  <c:v>-5.2962975041670894</c:v>
                </c:pt>
                <c:pt idx="14" formatCode="#,##0.0__">
                  <c:v>28.5449141994455</c:v>
                </c:pt>
                <c:pt idx="15" formatCode="#,##0.0__">
                  <c:v>21.31669103822853</c:v>
                </c:pt>
                <c:pt idx="16" formatCode="#,##0.0__">
                  <c:v>35.957495888821171</c:v>
                </c:pt>
                <c:pt idx="17" formatCode="#,##0.0__">
                  <c:v>27.239841408344233</c:v>
                </c:pt>
                <c:pt idx="18" formatCode="#,##0.0__">
                  <c:v>9.2341155229136191</c:v>
                </c:pt>
                <c:pt idx="19" formatCode="#,##0.0__">
                  <c:v>6.1688216646606095</c:v>
                </c:pt>
                <c:pt idx="20" formatCode="#,##0.0__">
                  <c:v>15.591394938767356</c:v>
                </c:pt>
                <c:pt idx="21" formatCode="#,##0.0__">
                  <c:v>0.51541703808817374</c:v>
                </c:pt>
                <c:pt idx="22" formatCode="#,##0.0__">
                  <c:v>19.552829007204693</c:v>
                </c:pt>
                <c:pt idx="23" formatCode="#,##0.0__">
                  <c:v>21.966377727772336</c:v>
                </c:pt>
                <c:pt idx="24" formatCode="#,##0.0__">
                  <c:v>10.330511045843863</c:v>
                </c:pt>
                <c:pt idx="25" formatCode="#,##0.0__">
                  <c:v>38.766358848039296</c:v>
                </c:pt>
                <c:pt idx="26" formatCode="#,##0.0__">
                  <c:v>7.3137068574776265</c:v>
                </c:pt>
                <c:pt idx="27" formatCode="#,##0.0__">
                  <c:v>13.932436847203524</c:v>
                </c:pt>
                <c:pt idx="28" formatCode="#,##0.0__">
                  <c:v>7.8154936779983109</c:v>
                </c:pt>
                <c:pt idx="29" formatCode="#,##0.0__">
                  <c:v>-3.7245718868521829</c:v>
                </c:pt>
              </c:numCache>
            </c:numRef>
          </c:val>
        </c:ser>
        <c:marker val="1"/>
        <c:axId val="101948800"/>
        <c:axId val="124138240"/>
      </c:lineChart>
      <c:lineChart>
        <c:grouping val="standard"/>
        <c:ser>
          <c:idx val="4"/>
          <c:order val="4"/>
          <c:tx>
            <c:strRef>
              <c:f>'výkonnost odvětví 2'!$B$35</c:f>
              <c:strCache>
                <c:ptCount val="1"/>
                <c:pt idx="0">
                  <c:v>Balance of confidence indicator in industry</c:v>
                </c:pt>
              </c:strCache>
            </c:strRef>
          </c:tx>
          <c:spPr>
            <a:ln w="19050">
              <a:noFill/>
            </a:ln>
          </c:spPr>
          <c:marker>
            <c:symbol val="dash"/>
            <c:size val="9"/>
            <c:spPr>
              <a:solidFill>
                <a:srgbClr val="984807"/>
              </a:solidFill>
              <a:ln>
                <a:no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2'!$C$35:$AF$35</c:f>
              <c:numCache>
                <c:formatCode>0.0</c:formatCode>
                <c:ptCount val="30"/>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-6.2333333333333458</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5.3333333333333428</c:v>
                </c:pt>
                <c:pt idx="28">
                  <c:v>3.3333333333333335</c:v>
                </c:pt>
                <c:pt idx="29">
                  <c:v>0.8333333333333337</c:v>
                </c:pt>
              </c:numCache>
            </c:numRef>
          </c:val>
        </c:ser>
        <c:marker val="1"/>
        <c:axId val="124139776"/>
        <c:axId val="100806656"/>
      </c:lineChart>
      <c:catAx>
        <c:axId val="10194880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4138240"/>
        <c:crossesAt val="0"/>
        <c:lblAlgn val="ctr"/>
        <c:lblOffset val="0"/>
        <c:tickLblSkip val="1"/>
        <c:tickMarkSkip val="4"/>
      </c:catAx>
      <c:valAx>
        <c:axId val="124138240"/>
        <c:scaling>
          <c:orientation val="minMax"/>
          <c:max val="40"/>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1948800"/>
        <c:crosses val="autoZero"/>
        <c:crossBetween val="between"/>
        <c:majorUnit val="5"/>
      </c:valAx>
      <c:catAx>
        <c:axId val="124139776"/>
        <c:scaling>
          <c:orientation val="minMax"/>
        </c:scaling>
        <c:delete val="1"/>
        <c:axPos val="b"/>
        <c:numFmt formatCode="General" sourceLinked="1"/>
        <c:tickLblPos val="none"/>
        <c:crossAx val="100806656"/>
        <c:crosses val="autoZero"/>
        <c:auto val="1"/>
        <c:lblAlgn val="ctr"/>
        <c:lblOffset val="100"/>
      </c:catAx>
      <c:valAx>
        <c:axId val="100806656"/>
        <c:scaling>
          <c:orientation val="minMax"/>
          <c:max val="40"/>
          <c:min val="-30"/>
        </c:scaling>
        <c:delete val="1"/>
        <c:axPos val="r"/>
        <c:numFmt formatCode="0" sourceLinked="0"/>
        <c:majorTickMark val="in"/>
        <c:tickLblPos val="none"/>
        <c:crossAx val="124139776"/>
        <c:crosses val="max"/>
        <c:crossBetween val="between"/>
        <c:majorUnit val="10"/>
      </c:valAx>
      <c:spPr>
        <a:solidFill>
          <a:srgbClr val="FFFFFF"/>
        </a:solidFill>
        <a:ln w="9525">
          <a:solidFill>
            <a:schemeClr val="tx1"/>
          </a:solidFill>
        </a:ln>
      </c:spPr>
    </c:plotArea>
    <c:legend>
      <c:legendPos val="b"/>
      <c:layout>
        <c:manualLayout>
          <c:xMode val="edge"/>
          <c:yMode val="edge"/>
          <c:x val="4.9759612109554999E-2"/>
          <c:y val="0.86466408652853322"/>
          <c:w val="0.93071792660969377"/>
          <c:h val="0.12117661880503022"/>
        </c:manualLayout>
      </c:layout>
      <c:spPr>
        <a:noFill/>
        <a:ln w="6350">
          <a:solidFill>
            <a:schemeClr val="tx1"/>
          </a:solidFill>
        </a:ln>
      </c:spPr>
      <c:txPr>
        <a:bodyPr/>
        <a:lstStyle/>
        <a:p>
          <a:pPr>
            <a:defRPr sz="750"/>
          </a:pPr>
          <a:endParaRPr lang="cs-CZ"/>
        </a:p>
      </c:tx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739E-2"/>
          <c:w val="0.92847707700101312"/>
          <c:h val="0.72458972501782559"/>
        </c:manualLayout>
      </c:layout>
      <c:barChart>
        <c:barDir val="col"/>
        <c:grouping val="clustered"/>
        <c:ser>
          <c:idx val="0"/>
          <c:order val="0"/>
          <c:tx>
            <c:strRef>
              <c:f>'výkonnost odvětví 3'!$C$10</c:f>
              <c:strCache>
                <c:ptCount val="1"/>
                <c:pt idx="0">
                  <c:v>Construction production index (CPI)*</c:v>
                </c:pt>
              </c:strCache>
            </c:strRef>
          </c:tx>
          <c:spPr>
            <a:solidFill>
              <a:schemeClr val="bg1">
                <a:lumMod val="65000"/>
              </a:schemeClr>
            </a:solidFill>
            <a:ln w="12700">
              <a:noFill/>
              <a:prstDash val="solid"/>
            </a:ln>
          </c:spP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3'!$C$11:$C$40</c:f>
              <c:numCache>
                <c:formatCode>0.0</c:formatCode>
                <c:ptCount val="30"/>
                <c:pt idx="0">
                  <c:v>-22.648910008071788</c:v>
                </c:pt>
                <c:pt idx="1">
                  <c:v>-9.2156825309396009</c:v>
                </c:pt>
                <c:pt idx="2">
                  <c:v>-2.5810006468532833</c:v>
                </c:pt>
                <c:pt idx="3">
                  <c:v>-2.6505345871117547</c:v>
                </c:pt>
                <c:pt idx="4">
                  <c:v>4.8218751374231354</c:v>
                </c:pt>
                <c:pt idx="5">
                  <c:v>-5.294317605789729</c:v>
                </c:pt>
                <c:pt idx="6">
                  <c:v>-9.1132729088378959</c:v>
                </c:pt>
                <c:pt idx="7">
                  <c:v>-0.52625926393379563</c:v>
                </c:pt>
                <c:pt idx="8">
                  <c:v>-10.317415522066002</c:v>
                </c:pt>
                <c:pt idx="9">
                  <c:v>-5.029801427639697</c:v>
                </c:pt>
                <c:pt idx="10">
                  <c:v>-5.7533277226356514</c:v>
                </c:pt>
                <c:pt idx="11">
                  <c:v>-9.3369393893636641</c:v>
                </c:pt>
                <c:pt idx="12">
                  <c:v>-10.150277046339168</c:v>
                </c:pt>
                <c:pt idx="13">
                  <c:v>-11.698293439718171</c:v>
                </c:pt>
                <c:pt idx="14">
                  <c:v>-5.1620407483658042</c:v>
                </c:pt>
                <c:pt idx="15">
                  <c:v>-2.7391641013363182</c:v>
                </c:pt>
                <c:pt idx="16">
                  <c:v>13.259224349587512</c:v>
                </c:pt>
                <c:pt idx="17">
                  <c:v>5.5883892232888144</c:v>
                </c:pt>
                <c:pt idx="18">
                  <c:v>2.4083178914779824</c:v>
                </c:pt>
                <c:pt idx="19">
                  <c:v>1.0830991984453098</c:v>
                </c:pt>
                <c:pt idx="20">
                  <c:v>9.4921215706515589</c:v>
                </c:pt>
                <c:pt idx="21">
                  <c:v>12.22046613403414</c:v>
                </c:pt>
                <c:pt idx="22">
                  <c:v>8.341932816098705</c:v>
                </c:pt>
                <c:pt idx="23">
                  <c:v>1.0720608168441288</c:v>
                </c:pt>
                <c:pt idx="24">
                  <c:v>-6.3766673350847878</c:v>
                </c:pt>
                <c:pt idx="25">
                  <c:v>-10.606479221697157</c:v>
                </c:pt>
                <c:pt idx="26">
                  <c:v>-6.2234043259433394</c:v>
                </c:pt>
                <c:pt idx="27">
                  <c:v>-2.0138842383096716</c:v>
                </c:pt>
                <c:pt idx="28">
                  <c:v>-2.322959798748613</c:v>
                </c:pt>
                <c:pt idx="29">
                  <c:v>7.674140993672296</c:v>
                </c:pt>
              </c:numCache>
            </c:numRef>
          </c:val>
        </c:ser>
        <c:gapWidth val="31"/>
        <c:axId val="101148928"/>
        <c:axId val="101273984"/>
      </c:barChart>
      <c:lineChart>
        <c:grouping val="standard"/>
        <c:ser>
          <c:idx val="1"/>
          <c:order val="1"/>
          <c:tx>
            <c:strRef>
              <c:f>'výkonnost odvětví 3'!$D$10</c:f>
              <c:strCache>
                <c:ptCount val="1"/>
                <c:pt idx="0">
                  <c:v>CPI in the building construction*</c:v>
                </c:pt>
              </c:strCache>
            </c:strRef>
          </c:tx>
          <c:spPr>
            <a:ln w="19050">
              <a:solidFill>
                <a:srgbClr val="0071BC"/>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3'!$D$11:$D$40</c:f>
              <c:numCache>
                <c:formatCode>0.0</c:formatCode>
                <c:ptCount val="30"/>
                <c:pt idx="0">
                  <c:v>-27.130657556913505</c:v>
                </c:pt>
                <c:pt idx="1">
                  <c:v>-10.261407895857802</c:v>
                </c:pt>
                <c:pt idx="2">
                  <c:v>-0.58665460092620947</c:v>
                </c:pt>
                <c:pt idx="3">
                  <c:v>0.23546774022076991</c:v>
                </c:pt>
                <c:pt idx="4">
                  <c:v>8.1339439149999464</c:v>
                </c:pt>
                <c:pt idx="5">
                  <c:v>-1.7000247343842716</c:v>
                </c:pt>
                <c:pt idx="6">
                  <c:v>-6.3339756975623089</c:v>
                </c:pt>
                <c:pt idx="7">
                  <c:v>2.1912842598312636</c:v>
                </c:pt>
                <c:pt idx="8">
                  <c:v>-7.4948272420796371</c:v>
                </c:pt>
                <c:pt idx="9">
                  <c:v>-2.3014859610473053</c:v>
                </c:pt>
                <c:pt idx="10">
                  <c:v>-5.2500653746264545</c:v>
                </c:pt>
                <c:pt idx="11">
                  <c:v>-9.6056058915045668</c:v>
                </c:pt>
                <c:pt idx="12">
                  <c:v>-9.3657718913871548</c:v>
                </c:pt>
                <c:pt idx="13">
                  <c:v>-11.121354416361518</c:v>
                </c:pt>
                <c:pt idx="14">
                  <c:v>-1.5579556005030071</c:v>
                </c:pt>
                <c:pt idx="15">
                  <c:v>-2.9748120379874048</c:v>
                </c:pt>
                <c:pt idx="16">
                  <c:v>16.805784814600059</c:v>
                </c:pt>
                <c:pt idx="17">
                  <c:v>5.0881502079620695</c:v>
                </c:pt>
                <c:pt idx="18">
                  <c:v>-1.0678896819859598</c:v>
                </c:pt>
                <c:pt idx="19">
                  <c:v>-0.33059893139294277</c:v>
                </c:pt>
                <c:pt idx="20">
                  <c:v>7.9282098756323904</c:v>
                </c:pt>
                <c:pt idx="21">
                  <c:v>7.3316347433463314</c:v>
                </c:pt>
                <c:pt idx="22">
                  <c:v>1.3176939481690495</c:v>
                </c:pt>
                <c:pt idx="23">
                  <c:v>-2.6482987614626872</c:v>
                </c:pt>
                <c:pt idx="24">
                  <c:v>-6.6444498463628747</c:v>
                </c:pt>
                <c:pt idx="25">
                  <c:v>-7.7640616369894033</c:v>
                </c:pt>
                <c:pt idx="26">
                  <c:v>1.3238680635700604</c:v>
                </c:pt>
                <c:pt idx="27">
                  <c:v>6.0909470992974661</c:v>
                </c:pt>
                <c:pt idx="28">
                  <c:v>1.6274325108293084</c:v>
                </c:pt>
                <c:pt idx="29">
                  <c:v>13.427632335606242</c:v>
                </c:pt>
              </c:numCache>
            </c:numRef>
          </c:val>
        </c:ser>
        <c:ser>
          <c:idx val="2"/>
          <c:order val="2"/>
          <c:tx>
            <c:strRef>
              <c:f>'výkonnost odvětví 3'!$E$10</c:f>
              <c:strCache>
                <c:ptCount val="1"/>
                <c:pt idx="0">
                  <c:v>CPI in the civil engineering construction*</c:v>
                </c:pt>
              </c:strCache>
            </c:strRef>
          </c:tx>
          <c:spPr>
            <a:ln w="19050">
              <a:solidFill>
                <a:srgbClr val="BD1B21"/>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3'!$E$11:$E$40</c:f>
              <c:numCache>
                <c:formatCode>0.0</c:formatCode>
                <c:ptCount val="30"/>
                <c:pt idx="0">
                  <c:v>-9.2195637782418913</c:v>
                </c:pt>
                <c:pt idx="1">
                  <c:v>-7.2700248828442744</c:v>
                </c:pt>
                <c:pt idx="2">
                  <c:v>-6.0982659873771103</c:v>
                </c:pt>
                <c:pt idx="3">
                  <c:v>-7.790610683153866</c:v>
                </c:pt>
                <c:pt idx="4">
                  <c:v>-3.1444754115018867</c:v>
                </c:pt>
                <c:pt idx="5">
                  <c:v>-11.766061955270358</c:v>
                </c:pt>
                <c:pt idx="6">
                  <c:v>-14.302595679470476</c:v>
                </c:pt>
                <c:pt idx="7">
                  <c:v>-5.7875906342403169</c:v>
                </c:pt>
                <c:pt idx="8">
                  <c:v>-17.896997346818754</c:v>
                </c:pt>
                <c:pt idx="9">
                  <c:v>-10.502735570148518</c:v>
                </c:pt>
                <c:pt idx="10">
                  <c:v>-6.7803610838127355</c:v>
                </c:pt>
                <c:pt idx="11">
                  <c:v>-8.772732461160853</c:v>
                </c:pt>
                <c:pt idx="12">
                  <c:v>-12.523838561195788</c:v>
                </c:pt>
                <c:pt idx="13">
                  <c:v>-12.961672718623616</c:v>
                </c:pt>
                <c:pt idx="14">
                  <c:v>-12.637823237894798</c:v>
                </c:pt>
                <c:pt idx="15">
                  <c:v>-2.2488150197283687</c:v>
                </c:pt>
                <c:pt idx="16">
                  <c:v>2.1415338047714303</c:v>
                </c:pt>
                <c:pt idx="17">
                  <c:v>6.7069724097109864</c:v>
                </c:pt>
                <c:pt idx="18">
                  <c:v>10.533338913399334</c:v>
                </c:pt>
                <c:pt idx="19">
                  <c:v>4.0029514105969852</c:v>
                </c:pt>
                <c:pt idx="20">
                  <c:v>15.098487191355471</c:v>
                </c:pt>
                <c:pt idx="21">
                  <c:v>22.986524631637685</c:v>
                </c:pt>
                <c:pt idx="22">
                  <c:v>23.036677602226387</c:v>
                </c:pt>
                <c:pt idx="23">
                  <c:v>8.4359168367748705</c:v>
                </c:pt>
                <c:pt idx="24">
                  <c:v>-5.4765134545503393</c:v>
                </c:pt>
                <c:pt idx="25">
                  <c:v>-16.069209677741203</c:v>
                </c:pt>
                <c:pt idx="26">
                  <c:v>-19.225204934626067</c:v>
                </c:pt>
                <c:pt idx="27">
                  <c:v>-16.41628005697558</c:v>
                </c:pt>
                <c:pt idx="28">
                  <c:v>-15.438167879080353</c:v>
                </c:pt>
                <c:pt idx="29">
                  <c:v>-4.477423951790243</c:v>
                </c:pt>
              </c:numCache>
            </c:numRef>
          </c:val>
        </c:ser>
        <c:ser>
          <c:idx val="3"/>
          <c:order val="3"/>
          <c:tx>
            <c:strRef>
              <c:f>'výkonnost odvětví 3'!$F$10</c:f>
              <c:strCache>
                <c:ptCount val="1"/>
                <c:pt idx="0">
                  <c:v>Total new orders in construction</c:v>
                </c:pt>
              </c:strCache>
            </c:strRef>
          </c:tx>
          <c:spPr>
            <a:ln w="19050">
              <a:solidFill>
                <a:srgbClr val="7DBB2D"/>
              </a:solidFill>
              <a:prstDash val="sysDash"/>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3'!$F$11:$F$40</c:f>
              <c:numCache>
                <c:formatCode>0.0</c:formatCode>
                <c:ptCount val="30"/>
                <c:pt idx="0">
                  <c:v>0.82757088505651666</c:v>
                </c:pt>
                <c:pt idx="1">
                  <c:v>8.7687755178484537</c:v>
                </c:pt>
                <c:pt idx="2">
                  <c:v>30.89471189070375</c:v>
                </c:pt>
                <c:pt idx="3">
                  <c:v>-13.415413805192939</c:v>
                </c:pt>
                <c:pt idx="4">
                  <c:v>37.795405718063193</c:v>
                </c:pt>
                <c:pt idx="5">
                  <c:v>-23.565672566981156</c:v>
                </c:pt>
                <c:pt idx="6">
                  <c:v>-23.360716461156017</c:v>
                </c:pt>
                <c:pt idx="7">
                  <c:v>-9.1653963414634205</c:v>
                </c:pt>
                <c:pt idx="8">
                  <c:v>-46.32205964659795</c:v>
                </c:pt>
                <c:pt idx="9">
                  <c:v>-13.714800630772698</c:v>
                </c:pt>
                <c:pt idx="10">
                  <c:v>-7.6729748888363716</c:v>
                </c:pt>
                <c:pt idx="11">
                  <c:v>7.5624082232011753</c:v>
                </c:pt>
                <c:pt idx="12">
                  <c:v>-17.695687793252429</c:v>
                </c:pt>
                <c:pt idx="13">
                  <c:v>-1.584773641063137</c:v>
                </c:pt>
                <c:pt idx="14">
                  <c:v>-1.3308205951467045</c:v>
                </c:pt>
                <c:pt idx="15">
                  <c:v>16.153096050706978</c:v>
                </c:pt>
                <c:pt idx="16">
                  <c:v>67.509727626459025</c:v>
                </c:pt>
                <c:pt idx="17">
                  <c:v>18.978644382544068</c:v>
                </c:pt>
                <c:pt idx="18">
                  <c:v>34.050931384107542</c:v>
                </c:pt>
                <c:pt idx="19">
                  <c:v>-1</c:v>
                </c:pt>
                <c:pt idx="20">
                  <c:v>-3.1547956675580053</c:v>
                </c:pt>
                <c:pt idx="21">
                  <c:v>9.7504961091663347</c:v>
                </c:pt>
                <c:pt idx="22">
                  <c:v>-1.0976060227612561</c:v>
                </c:pt>
                <c:pt idx="23">
                  <c:v>-2.3987783410040464</c:v>
                </c:pt>
                <c:pt idx="24">
                  <c:v>-6.6406358945753805</c:v>
                </c:pt>
                <c:pt idx="25">
                  <c:v>-0.49977652269311085</c:v>
                </c:pt>
                <c:pt idx="26">
                  <c:v>-7.0322087253454839</c:v>
                </c:pt>
                <c:pt idx="27">
                  <c:v>10.122126124559955</c:v>
                </c:pt>
                <c:pt idx="28">
                  <c:v>16.610402413885833</c:v>
                </c:pt>
                <c:pt idx="29">
                  <c:v>9.3574534985809805</c:v>
                </c:pt>
              </c:numCache>
            </c:numRef>
          </c:val>
        </c:ser>
        <c:ser>
          <c:idx val="4"/>
          <c:order val="4"/>
          <c:tx>
            <c:strRef>
              <c:f>'výkonnost odvětví 3'!$G$10</c:f>
              <c:strCache>
                <c:ptCount val="1"/>
                <c:pt idx="0">
                  <c:v>Balance of confidence indicator in construction</c:v>
                </c:pt>
              </c:strCache>
            </c:strRef>
          </c:tx>
          <c:spPr>
            <a:ln w="19050">
              <a:noFill/>
              <a:prstDash val="solid"/>
            </a:ln>
          </c:spPr>
          <c:marker>
            <c:symbol val="dash"/>
            <c:size val="9"/>
            <c:spPr>
              <a:solidFill>
                <a:srgbClr val="984807"/>
              </a:solidFill>
              <a:ln>
                <a:noFill/>
              </a:ln>
            </c:spPr>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3'!$G$11:$G$40</c:f>
              <c:numCache>
                <c:formatCode>0.0</c:formatCode>
                <c:ptCount val="30"/>
                <c:pt idx="0">
                  <c:v>-32.166666666666565</c:v>
                </c:pt>
                <c:pt idx="1">
                  <c:v>-32.5</c:v>
                </c:pt>
                <c:pt idx="2">
                  <c:v>-37</c:v>
                </c:pt>
                <c:pt idx="3">
                  <c:v>-42.5</c:v>
                </c:pt>
                <c:pt idx="4">
                  <c:v>-40</c:v>
                </c:pt>
                <c:pt idx="5">
                  <c:v>-40.333333333333336</c:v>
                </c:pt>
                <c:pt idx="6">
                  <c:v>-39.166666666666565</c:v>
                </c:pt>
                <c:pt idx="7">
                  <c:v>-39.333333333333336</c:v>
                </c:pt>
                <c:pt idx="8">
                  <c:v>-46</c:v>
                </c:pt>
                <c:pt idx="9">
                  <c:v>-45.333333333333336</c:v>
                </c:pt>
                <c:pt idx="10">
                  <c:v>-43.5</c:v>
                </c:pt>
                <c:pt idx="11">
                  <c:v>-44.666666666666565</c:v>
                </c:pt>
                <c:pt idx="12">
                  <c:v>-46</c:v>
                </c:pt>
                <c:pt idx="13">
                  <c:v>-53.333333333333336</c:v>
                </c:pt>
                <c:pt idx="14">
                  <c:v>-49.5</c:v>
                </c:pt>
                <c:pt idx="15">
                  <c:v>-50.833333333333336</c:v>
                </c:pt>
                <c:pt idx="16">
                  <c:v>-45.166666666666565</c:v>
                </c:pt>
                <c:pt idx="17">
                  <c:v>-38.333333333333336</c:v>
                </c:pt>
                <c:pt idx="18">
                  <c:v>-32</c:v>
                </c:pt>
                <c:pt idx="19">
                  <c:v>-25.166666666666668</c:v>
                </c:pt>
                <c:pt idx="20">
                  <c:v>-20.833333333333282</c:v>
                </c:pt>
                <c:pt idx="21">
                  <c:v>-16.333333333333282</c:v>
                </c:pt>
                <c:pt idx="22">
                  <c:v>-18.666666666666668</c:v>
                </c:pt>
                <c:pt idx="23">
                  <c:v>-15.66666666666668</c:v>
                </c:pt>
                <c:pt idx="24">
                  <c:v>-17.166666666666668</c:v>
                </c:pt>
                <c:pt idx="25">
                  <c:v>-24</c:v>
                </c:pt>
                <c:pt idx="26">
                  <c:v>-26.666666666666668</c:v>
                </c:pt>
                <c:pt idx="27">
                  <c:v>-25.833333333333282</c:v>
                </c:pt>
                <c:pt idx="28">
                  <c:v>-24.5</c:v>
                </c:pt>
                <c:pt idx="29">
                  <c:v>-22.666666666666668</c:v>
                </c:pt>
              </c:numCache>
            </c:numRef>
          </c:val>
        </c:ser>
        <c:marker val="1"/>
        <c:axId val="101148928"/>
        <c:axId val="101273984"/>
      </c:lineChart>
      <c:catAx>
        <c:axId val="10114892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1273984"/>
        <c:crossesAt val="0"/>
        <c:lblAlgn val="ctr"/>
        <c:lblOffset val="0"/>
        <c:tickLblSkip val="1"/>
        <c:tickMarkSkip val="4"/>
      </c:catAx>
      <c:valAx>
        <c:axId val="101273984"/>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1148928"/>
        <c:crosses val="autoZero"/>
        <c:crossBetween val="between"/>
        <c:majorUnit val="10"/>
      </c:valAx>
      <c:spPr>
        <a:solidFill>
          <a:srgbClr val="FFFFFF"/>
        </a:solidFill>
        <a:ln w="9525">
          <a:solidFill>
            <a:schemeClr val="tx1"/>
          </a:solidFill>
        </a:ln>
      </c:spPr>
    </c:plotArea>
    <c:legend>
      <c:legendPos val="b"/>
      <c:layout>
        <c:manualLayout>
          <c:xMode val="edge"/>
          <c:yMode val="edge"/>
          <c:x val="5.4756636702296795E-2"/>
          <c:y val="0.83066712135346354"/>
          <c:w val="0.92610625633232013"/>
          <c:h val="0.157604495762676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1.7971422477637725E-2"/>
          <c:w val="0.91372590696101663"/>
          <c:h val="0.72973755625183523"/>
        </c:manualLayout>
      </c:layout>
      <c:barChart>
        <c:barDir val="col"/>
        <c:grouping val="clustered"/>
        <c:ser>
          <c:idx val="0"/>
          <c:order val="0"/>
          <c:tx>
            <c:strRef>
              <c:f>'výkonnost odvětví 4'!$C$10</c:f>
              <c:strCache>
                <c:ptCount val="1"/>
                <c:pt idx="0">
                  <c:v>Total services*</c:v>
                </c:pt>
              </c:strCache>
            </c:strRef>
          </c:tx>
          <c:spPr>
            <a:solidFill>
              <a:schemeClr val="bg1">
                <a:lumMod val="65000"/>
              </a:schemeClr>
            </a:solidFill>
            <a:ln w="12700">
              <a:noFill/>
              <a:prstDash val="solid"/>
            </a:ln>
          </c:spP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4'!$C$11:$C$40</c:f>
              <c:numCache>
                <c:formatCode>#,##0.0</c:formatCode>
                <c:ptCount val="30"/>
                <c:pt idx="0">
                  <c:v>-4.5086821461459685</c:v>
                </c:pt>
                <c:pt idx="1">
                  <c:v>-0.32835885535858822</c:v>
                </c:pt>
                <c:pt idx="2">
                  <c:v>0.73946053993891758</c:v>
                </c:pt>
                <c:pt idx="3">
                  <c:v>-2.5152236064232767</c:v>
                </c:pt>
                <c:pt idx="4">
                  <c:v>0.28391768756938573</c:v>
                </c:pt>
                <c:pt idx="5">
                  <c:v>-0.70805078172122515</c:v>
                </c:pt>
                <c:pt idx="6">
                  <c:v>-4.5203767606311374</c:v>
                </c:pt>
                <c:pt idx="7">
                  <c:v>-2.2655181443709602</c:v>
                </c:pt>
                <c:pt idx="8">
                  <c:v>0.37351297841811981</c:v>
                </c:pt>
                <c:pt idx="9">
                  <c:v>-1.1871830565365564</c:v>
                </c:pt>
                <c:pt idx="10">
                  <c:v>1.1226178720515663</c:v>
                </c:pt>
                <c:pt idx="11">
                  <c:v>-1.3757772010385321</c:v>
                </c:pt>
                <c:pt idx="12">
                  <c:v>-0.13738089259027245</c:v>
                </c:pt>
                <c:pt idx="13">
                  <c:v>-0.88320355282115759</c:v>
                </c:pt>
                <c:pt idx="14">
                  <c:v>-1.390692156642402</c:v>
                </c:pt>
                <c:pt idx="15">
                  <c:v>1.6364179776865666</c:v>
                </c:pt>
                <c:pt idx="16">
                  <c:v>2.8771336307295448</c:v>
                </c:pt>
                <c:pt idx="17">
                  <c:v>1.002019192308552</c:v>
                </c:pt>
                <c:pt idx="18">
                  <c:v>0.49159162809337426</c:v>
                </c:pt>
                <c:pt idx="19">
                  <c:v>-0.25866374543002729</c:v>
                </c:pt>
                <c:pt idx="20">
                  <c:v>3.6461757644775945</c:v>
                </c:pt>
                <c:pt idx="21">
                  <c:v>3.0546031719619742</c:v>
                </c:pt>
                <c:pt idx="22">
                  <c:v>3.647984423755247</c:v>
                </c:pt>
                <c:pt idx="23">
                  <c:v>2.3368507053215524</c:v>
                </c:pt>
                <c:pt idx="24">
                  <c:v>1.3201546203116981</c:v>
                </c:pt>
                <c:pt idx="25">
                  <c:v>-0.70323122890518164</c:v>
                </c:pt>
                <c:pt idx="26">
                  <c:v>1.421959263257603</c:v>
                </c:pt>
                <c:pt idx="27">
                  <c:v>1.6211618392301546</c:v>
                </c:pt>
                <c:pt idx="28">
                  <c:v>5.3320233480099262</c:v>
                </c:pt>
                <c:pt idx="29">
                  <c:v>5.7170689693668066</c:v>
                </c:pt>
              </c:numCache>
            </c:numRef>
          </c:val>
        </c:ser>
        <c:gapWidth val="31"/>
        <c:axId val="101334016"/>
        <c:axId val="101470976"/>
      </c:barChart>
      <c:lineChart>
        <c:grouping val="standard"/>
        <c:ser>
          <c:idx val="1"/>
          <c:order val="1"/>
          <c:tx>
            <c:strRef>
              <c:f>'výkonnost odvětví 4'!$D$10</c:f>
              <c:strCache>
                <c:ptCount val="1"/>
                <c:pt idx="0">
                  <c:v>Transportation and storage</c:v>
                </c:pt>
              </c:strCache>
            </c:strRef>
          </c:tx>
          <c:spPr>
            <a:ln w="19050">
              <a:noFill/>
              <a:prstDash val="solid"/>
            </a:ln>
          </c:spPr>
          <c:marker>
            <c:symbol val="diamond"/>
            <c:size val="5"/>
            <c:spPr>
              <a:solidFill>
                <a:srgbClr val="984807"/>
              </a:solidFill>
              <a:ln>
                <a:noFill/>
              </a:ln>
            </c:spPr>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4'!$D$11:$D$40</c:f>
              <c:numCache>
                <c:formatCode>#,##0.0</c:formatCode>
                <c:ptCount val="30"/>
                <c:pt idx="0">
                  <c:v>1.1947172056579101</c:v>
                </c:pt>
                <c:pt idx="1">
                  <c:v>6.1612006923673164</c:v>
                </c:pt>
                <c:pt idx="2">
                  <c:v>3.8321763739405226</c:v>
                </c:pt>
                <c:pt idx="3">
                  <c:v>1.9422562614741141</c:v>
                </c:pt>
                <c:pt idx="4">
                  <c:v>3.9905907077130012</c:v>
                </c:pt>
                <c:pt idx="5">
                  <c:v>0.66863750176709402</c:v>
                </c:pt>
                <c:pt idx="6">
                  <c:v>-0.96992608501065547</c:v>
                </c:pt>
                <c:pt idx="7">
                  <c:v>1.53701358146796</c:v>
                </c:pt>
                <c:pt idx="8">
                  <c:v>0.86419433077047492</c:v>
                </c:pt>
                <c:pt idx="9">
                  <c:v>1.820374106952102</c:v>
                </c:pt>
                <c:pt idx="10">
                  <c:v>3.4982887263413289</c:v>
                </c:pt>
                <c:pt idx="11">
                  <c:v>-1.8034409137813583</c:v>
                </c:pt>
                <c:pt idx="12">
                  <c:v>3.3926540371391023</c:v>
                </c:pt>
                <c:pt idx="13">
                  <c:v>2.7604642355407671</c:v>
                </c:pt>
                <c:pt idx="14">
                  <c:v>2.2208650522536715</c:v>
                </c:pt>
                <c:pt idx="15">
                  <c:v>10.115669423589594</c:v>
                </c:pt>
                <c:pt idx="16">
                  <c:v>6.7018833973273502</c:v>
                </c:pt>
                <c:pt idx="17">
                  <c:v>2.7333521657622981</c:v>
                </c:pt>
                <c:pt idx="18">
                  <c:v>2.0465515678918011</c:v>
                </c:pt>
                <c:pt idx="19">
                  <c:v>-1.530844720104767</c:v>
                </c:pt>
                <c:pt idx="20">
                  <c:v>1.002169684302757</c:v>
                </c:pt>
                <c:pt idx="21">
                  <c:v>9.8032147612841E-2</c:v>
                </c:pt>
                <c:pt idx="22">
                  <c:v>0.86950159365595425</c:v>
                </c:pt>
                <c:pt idx="23">
                  <c:v>0.28377530048348376</c:v>
                </c:pt>
                <c:pt idx="24">
                  <c:v>0.39004135456362121</c:v>
                </c:pt>
                <c:pt idx="25">
                  <c:v>0.85652658073075683</c:v>
                </c:pt>
                <c:pt idx="26">
                  <c:v>0.45460658671727588</c:v>
                </c:pt>
                <c:pt idx="27">
                  <c:v>2.9315490427268287</c:v>
                </c:pt>
                <c:pt idx="28">
                  <c:v>5.6249935981078085</c:v>
                </c:pt>
                <c:pt idx="29">
                  <c:v>3.6515405709936597</c:v>
                </c:pt>
              </c:numCache>
            </c:numRef>
          </c:val>
        </c:ser>
        <c:ser>
          <c:idx val="2"/>
          <c:order val="2"/>
          <c:tx>
            <c:strRef>
              <c:f>'výkonnost odvětví 4'!$E$10</c:f>
              <c:strCache>
                <c:ptCount val="1"/>
                <c:pt idx="0">
                  <c:v>Accommodation, food service and restaurants</c:v>
                </c:pt>
              </c:strCache>
            </c:strRef>
          </c:tx>
          <c:spPr>
            <a:ln w="19050">
              <a:solidFill>
                <a:schemeClr val="accent6">
                  <a:lumMod val="75000"/>
                </a:schemeClr>
              </a:solidFill>
              <a:prstDash val="solid"/>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4'!$E$11:$E$40</c:f>
              <c:numCache>
                <c:formatCode>#,##0.0</c:formatCode>
                <c:ptCount val="30"/>
                <c:pt idx="0">
                  <c:v>-5.6975334622339409</c:v>
                </c:pt>
                <c:pt idx="1">
                  <c:v>-6.45662917116905</c:v>
                </c:pt>
                <c:pt idx="2">
                  <c:v>-2.3613693441163552</c:v>
                </c:pt>
                <c:pt idx="3">
                  <c:v>-4.3794822068248322</c:v>
                </c:pt>
                <c:pt idx="4">
                  <c:v>-0.4555737275375123</c:v>
                </c:pt>
                <c:pt idx="5">
                  <c:v>2.8719283904406567</c:v>
                </c:pt>
                <c:pt idx="6">
                  <c:v>-2.0593466230799167</c:v>
                </c:pt>
                <c:pt idx="7">
                  <c:v>-1.7256463028242994</c:v>
                </c:pt>
                <c:pt idx="8">
                  <c:v>-2.0799940910439592</c:v>
                </c:pt>
                <c:pt idx="9">
                  <c:v>-2.7104496472732067</c:v>
                </c:pt>
                <c:pt idx="10">
                  <c:v>-1.7795460053675638</c:v>
                </c:pt>
                <c:pt idx="11">
                  <c:v>-3.5479456831717857</c:v>
                </c:pt>
                <c:pt idx="12">
                  <c:v>0.89755614973260534</c:v>
                </c:pt>
                <c:pt idx="13">
                  <c:v>0.22924413123806203</c:v>
                </c:pt>
                <c:pt idx="14">
                  <c:v>1.6544632966843258</c:v>
                </c:pt>
                <c:pt idx="15">
                  <c:v>0.76912142555656382</c:v>
                </c:pt>
                <c:pt idx="16">
                  <c:v>2.8501068964853005</c:v>
                </c:pt>
                <c:pt idx="17">
                  <c:v>2.4958042132578977</c:v>
                </c:pt>
                <c:pt idx="18">
                  <c:v>-0.14347203797564134</c:v>
                </c:pt>
                <c:pt idx="19">
                  <c:v>9.4433474314613006E-2</c:v>
                </c:pt>
                <c:pt idx="20">
                  <c:v>2.7050589721666398</c:v>
                </c:pt>
                <c:pt idx="21">
                  <c:v>7.5318806290230071</c:v>
                </c:pt>
                <c:pt idx="22">
                  <c:v>7.8389885799991976</c:v>
                </c:pt>
                <c:pt idx="23">
                  <c:v>4.873320614487179</c:v>
                </c:pt>
                <c:pt idx="24">
                  <c:v>5.5782241405589019</c:v>
                </c:pt>
                <c:pt idx="25">
                  <c:v>2.058514914094502</c:v>
                </c:pt>
                <c:pt idx="26">
                  <c:v>6.8375251195024545</c:v>
                </c:pt>
                <c:pt idx="27">
                  <c:v>7.3108025341731784</c:v>
                </c:pt>
                <c:pt idx="28">
                  <c:v>12.012080667822948</c:v>
                </c:pt>
                <c:pt idx="29">
                  <c:v>13.433599076288345</c:v>
                </c:pt>
              </c:numCache>
            </c:numRef>
          </c:val>
        </c:ser>
        <c:ser>
          <c:idx val="3"/>
          <c:order val="3"/>
          <c:tx>
            <c:strRef>
              <c:f>'výkonnost odvětví 4'!$F$10</c:f>
              <c:strCache>
                <c:ptCount val="1"/>
                <c:pt idx="0">
                  <c:v>Professional, scientific and technical activities </c:v>
                </c:pt>
              </c:strCache>
            </c:strRef>
          </c:tx>
          <c:spPr>
            <a:ln w="19050">
              <a:solidFill>
                <a:srgbClr val="48AEE7"/>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4'!$F$11:$F$40</c:f>
              <c:numCache>
                <c:formatCode>#,##0.0</c:formatCode>
                <c:ptCount val="30"/>
                <c:pt idx="0">
                  <c:v>-12.29140286587932</c:v>
                </c:pt>
                <c:pt idx="1">
                  <c:v>-4.2369590371524453</c:v>
                </c:pt>
                <c:pt idx="2">
                  <c:v>-1.2080379480757151</c:v>
                </c:pt>
                <c:pt idx="3">
                  <c:v>-7.4305239361272575</c:v>
                </c:pt>
                <c:pt idx="4">
                  <c:v>-5.3334335616924555</c:v>
                </c:pt>
                <c:pt idx="5">
                  <c:v>-4.4160578473172265</c:v>
                </c:pt>
                <c:pt idx="6">
                  <c:v>-16.037856901980945</c:v>
                </c:pt>
                <c:pt idx="7">
                  <c:v>-8.5897289971528039</c:v>
                </c:pt>
                <c:pt idx="8">
                  <c:v>1.7788922355555599</c:v>
                </c:pt>
                <c:pt idx="9">
                  <c:v>-5.9954391231438375</c:v>
                </c:pt>
                <c:pt idx="10">
                  <c:v>-0.72796001543736111</c:v>
                </c:pt>
                <c:pt idx="11">
                  <c:v>0.13792425546452591</c:v>
                </c:pt>
                <c:pt idx="12">
                  <c:v>-4.5792020329988192</c:v>
                </c:pt>
                <c:pt idx="13">
                  <c:v>-7.3603324814945523</c:v>
                </c:pt>
                <c:pt idx="14">
                  <c:v>-9.2524678147347217</c:v>
                </c:pt>
                <c:pt idx="15">
                  <c:v>-5.1127026831459688</c:v>
                </c:pt>
                <c:pt idx="16">
                  <c:v>-3.1398591187232325</c:v>
                </c:pt>
                <c:pt idx="17">
                  <c:v>-2.2337848171194334</c:v>
                </c:pt>
                <c:pt idx="18">
                  <c:v>-3.2082111393684301</c:v>
                </c:pt>
                <c:pt idx="19">
                  <c:v>-0.51190205487802132</c:v>
                </c:pt>
                <c:pt idx="20">
                  <c:v>5.0596405878540729</c:v>
                </c:pt>
                <c:pt idx="21">
                  <c:v>3.9939192273867832</c:v>
                </c:pt>
                <c:pt idx="22">
                  <c:v>5.6343976736692696</c:v>
                </c:pt>
                <c:pt idx="23">
                  <c:v>-0.90536959838848963</c:v>
                </c:pt>
                <c:pt idx="24">
                  <c:v>-1.6283771135000529</c:v>
                </c:pt>
                <c:pt idx="25">
                  <c:v>-7.4064779750107324</c:v>
                </c:pt>
                <c:pt idx="26">
                  <c:v>-0.53409395066332011</c:v>
                </c:pt>
                <c:pt idx="27">
                  <c:v>-1.4896673386361239</c:v>
                </c:pt>
                <c:pt idx="28">
                  <c:v>2.2822998345791197</c:v>
                </c:pt>
                <c:pt idx="29">
                  <c:v>3.9913465625417359</c:v>
                </c:pt>
              </c:numCache>
            </c:numRef>
          </c:val>
        </c:ser>
        <c:ser>
          <c:idx val="4"/>
          <c:order val="4"/>
          <c:tx>
            <c:strRef>
              <c:f>'výkonnost odvětví 4'!$G$10</c:f>
              <c:strCache>
                <c:ptCount val="1"/>
                <c:pt idx="0">
                  <c:v>Administrative and support service activities</c:v>
                </c:pt>
              </c:strCache>
            </c:strRef>
          </c:tx>
          <c:spPr>
            <a:ln w="19050">
              <a:solidFill>
                <a:srgbClr val="7DBB2D"/>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4'!$G$11:$G$40</c:f>
              <c:numCache>
                <c:formatCode>#,##0.0</c:formatCode>
                <c:ptCount val="30"/>
                <c:pt idx="0">
                  <c:v>-1.6549602302955009</c:v>
                </c:pt>
                <c:pt idx="1">
                  <c:v>-2.3594924008949767</c:v>
                </c:pt>
                <c:pt idx="2">
                  <c:v>1.0685094464073757</c:v>
                </c:pt>
                <c:pt idx="3">
                  <c:v>1.802428689681236</c:v>
                </c:pt>
                <c:pt idx="4">
                  <c:v>4.5715948454982955</c:v>
                </c:pt>
                <c:pt idx="5">
                  <c:v>5.6146067882748127</c:v>
                </c:pt>
                <c:pt idx="6">
                  <c:v>5.0768754367534825</c:v>
                </c:pt>
                <c:pt idx="7">
                  <c:v>3.1246108505308001</c:v>
                </c:pt>
                <c:pt idx="8">
                  <c:v>4.9368462848572365</c:v>
                </c:pt>
                <c:pt idx="9">
                  <c:v>2.4137029520887547</c:v>
                </c:pt>
                <c:pt idx="10">
                  <c:v>4.1629831718919119</c:v>
                </c:pt>
                <c:pt idx="11">
                  <c:v>-1.7756569206553507</c:v>
                </c:pt>
                <c:pt idx="12">
                  <c:v>-0.44871471439856236</c:v>
                </c:pt>
                <c:pt idx="13">
                  <c:v>0.9939088783912382</c:v>
                </c:pt>
                <c:pt idx="14">
                  <c:v>0.7362302514327016</c:v>
                </c:pt>
                <c:pt idx="15">
                  <c:v>3.5140731651337469</c:v>
                </c:pt>
                <c:pt idx="16">
                  <c:v>5.1516745001737263</c:v>
                </c:pt>
                <c:pt idx="17">
                  <c:v>3.2158782239781885</c:v>
                </c:pt>
                <c:pt idx="18">
                  <c:v>1.6599049809022119</c:v>
                </c:pt>
                <c:pt idx="19">
                  <c:v>2.1099084628199742</c:v>
                </c:pt>
                <c:pt idx="20">
                  <c:v>6.1376093301024781</c:v>
                </c:pt>
                <c:pt idx="21">
                  <c:v>6.6225322026989755</c:v>
                </c:pt>
                <c:pt idx="22">
                  <c:v>5.29807791431341</c:v>
                </c:pt>
                <c:pt idx="23">
                  <c:v>6.7528747274731273</c:v>
                </c:pt>
                <c:pt idx="24">
                  <c:v>5.6113763982608589</c:v>
                </c:pt>
                <c:pt idx="25">
                  <c:v>3.1599869758994714</c:v>
                </c:pt>
                <c:pt idx="26">
                  <c:v>3.1913401196739528</c:v>
                </c:pt>
                <c:pt idx="27">
                  <c:v>5.1831722314395066</c:v>
                </c:pt>
                <c:pt idx="28">
                  <c:v>9.5426188339913836</c:v>
                </c:pt>
                <c:pt idx="29">
                  <c:v>9.7122164188196507</c:v>
                </c:pt>
              </c:numCache>
            </c:numRef>
          </c:val>
        </c:ser>
        <c:marker val="1"/>
        <c:axId val="101334016"/>
        <c:axId val="101470976"/>
      </c:lineChart>
      <c:catAx>
        <c:axId val="10133401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01470976"/>
        <c:crosses val="autoZero"/>
        <c:lblAlgn val="ctr"/>
        <c:lblOffset val="0"/>
        <c:tickLblSkip val="1"/>
        <c:tickMarkSkip val="4"/>
      </c:catAx>
      <c:valAx>
        <c:axId val="101470976"/>
        <c:scaling>
          <c:orientation val="minMax"/>
          <c:max val="14"/>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01334016"/>
        <c:crosses val="autoZero"/>
        <c:crossBetween val="between"/>
        <c:majorUnit val="2"/>
      </c:valAx>
      <c:spPr>
        <a:solidFill>
          <a:srgbClr val="FFFFFF"/>
        </a:solidFill>
        <a:ln w="9525">
          <a:solidFill>
            <a:schemeClr val="tx1"/>
          </a:solidFill>
        </a:ln>
      </c:spPr>
    </c:plotArea>
    <c:legend>
      <c:legendPos val="b"/>
      <c:layout>
        <c:manualLayout>
          <c:xMode val="edge"/>
          <c:yMode val="edge"/>
          <c:x val="5.3159200603222566E-2"/>
          <c:y val="0.83987419856971135"/>
          <c:w val="0.91252125420875463"/>
          <c:h val="0.14576133078965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A161-02FF-4A3A-B27F-4BE1EF8C14BA}">
  <ds:schemaRefs>
    <ds:schemaRef ds:uri="http://schemas.openxmlformats.org/officeDocument/2006/bibliography"/>
  </ds:schemaRefs>
</ds:datastoreItem>
</file>

<file path=customXml/itemProps2.xml><?xml version="1.0" encoding="utf-8"?>
<ds:datastoreItem xmlns:ds="http://schemas.openxmlformats.org/officeDocument/2006/customXml" ds:itemID="{64B19EEE-48A9-4473-856A-478F5BE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6</Pages>
  <Words>2924</Words>
  <Characters>17258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20142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2017-10-18T06:36:00Z</cp:lastPrinted>
  <dcterms:created xsi:type="dcterms:W3CDTF">2017-10-23T14:06:00Z</dcterms:created>
  <dcterms:modified xsi:type="dcterms:W3CDTF">2017-10-23T14:08:00Z</dcterms:modified>
</cp:coreProperties>
</file>